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left="3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166370</wp:posOffset>
            </wp:positionH>
            <wp:positionV relativeFrom="page">
              <wp:posOffset>440690</wp:posOffset>
            </wp:positionV>
            <wp:extent cx="722947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29475" cy="8890"/>
                    </a:xfrm>
                    <a:prstGeom prst="rect">
                      <a:avLst/>
                    </a:prstGeom>
                    <a:noFill/>
                  </pic:spPr>
                </pic:pic>
              </a:graphicData>
            </a:graphic>
          </wp:anchor>
        </w:drawing>
        <w:drawing>
          <wp:anchor simplePos="0" relativeHeight="251657728" behindDoc="1" locked="0" layoutInCell="0" allowOverlap="1">
            <wp:simplePos x="0" y="0"/>
            <wp:positionH relativeFrom="page">
              <wp:posOffset>166370</wp:posOffset>
            </wp:positionH>
            <wp:positionV relativeFrom="page">
              <wp:posOffset>346075</wp:posOffset>
            </wp:positionV>
            <wp:extent cx="7229475"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29475" cy="17145"/>
                    </a:xfrm>
                    <a:prstGeom prst="rect">
                      <a:avLst/>
                    </a:prstGeom>
                    <a:noFill/>
                  </pic:spPr>
                </pic:pic>
              </a:graphicData>
            </a:graphic>
          </wp:anchor>
        </w:drawing>
        <w:t>UNITED STATES</w:t>
      </w:r>
    </w:p>
    <w:p>
      <w:pPr>
        <w:spacing w:after="0" w:line="77" w:lineRule="exact"/>
        <w:rPr>
          <w:sz w:val="24"/>
          <w:szCs w:val="24"/>
          <w:color w:val="auto"/>
        </w:rPr>
      </w:pPr>
    </w:p>
    <w:p>
      <w:pPr>
        <w:jc w:val="center"/>
        <w:ind w:left="340"/>
        <w:spacing w:after="0"/>
        <w:rPr>
          <w:sz w:val="20"/>
          <w:szCs w:val="20"/>
          <w:color w:val="auto"/>
        </w:rPr>
      </w:pPr>
      <w:r>
        <w:rPr>
          <w:rFonts w:ascii="Arial" w:cs="Arial" w:eastAsia="Arial" w:hAnsi="Arial"/>
          <w:sz w:val="18"/>
          <w:szCs w:val="18"/>
          <w:b w:val="1"/>
          <w:bCs w:val="1"/>
          <w:color w:val="auto"/>
        </w:rPr>
        <w:t>SECURITIES AND EXCHANGE COMMISSION</w:t>
      </w:r>
    </w:p>
    <w:p>
      <w:pPr>
        <w:spacing w:after="0" w:line="72" w:lineRule="exact"/>
        <w:rPr>
          <w:sz w:val="24"/>
          <w:szCs w:val="24"/>
          <w:color w:val="auto"/>
        </w:rPr>
      </w:pPr>
    </w:p>
    <w:p>
      <w:pPr>
        <w:jc w:val="center"/>
        <w:ind w:left="340"/>
        <w:spacing w:after="0"/>
        <w:rPr>
          <w:sz w:val="20"/>
          <w:szCs w:val="20"/>
          <w:color w:val="auto"/>
        </w:rPr>
      </w:pPr>
      <w:r>
        <w:rPr>
          <w:rFonts w:ascii="Arial" w:cs="Arial" w:eastAsia="Arial" w:hAnsi="Arial"/>
          <w:sz w:val="14"/>
          <w:szCs w:val="14"/>
          <w:b w:val="1"/>
          <w:bCs w:val="1"/>
          <w:color w:val="auto"/>
        </w:rPr>
        <w:t>Washington, D.C. 20549</w:t>
      </w:r>
    </w:p>
    <w:p>
      <w:pPr>
        <w:spacing w:after="0" w:line="200" w:lineRule="exact"/>
        <w:rPr>
          <w:sz w:val="24"/>
          <w:szCs w:val="24"/>
          <w:color w:val="auto"/>
        </w:rPr>
      </w:pPr>
    </w:p>
    <w:p>
      <w:pPr>
        <w:spacing w:after="0" w:line="283" w:lineRule="exact"/>
        <w:rPr>
          <w:sz w:val="24"/>
          <w:szCs w:val="24"/>
          <w:color w:val="auto"/>
        </w:rPr>
      </w:pPr>
    </w:p>
    <w:p>
      <w:pPr>
        <w:jc w:val="center"/>
        <w:ind w:left="340"/>
        <w:spacing w:after="0"/>
        <w:rPr>
          <w:sz w:val="20"/>
          <w:szCs w:val="20"/>
          <w:color w:val="auto"/>
        </w:rPr>
      </w:pPr>
      <w:r>
        <w:rPr>
          <w:rFonts w:ascii="Arial" w:cs="Arial" w:eastAsia="Arial" w:hAnsi="Arial"/>
          <w:sz w:val="22"/>
          <w:szCs w:val="22"/>
          <w:b w:val="1"/>
          <w:bCs w:val="1"/>
          <w:color w:val="auto"/>
        </w:rPr>
        <w:t>FORM 10-Q</w:t>
      </w:r>
    </w:p>
    <w:p>
      <w:pPr>
        <w:spacing w:after="0" w:line="346" w:lineRule="exact"/>
        <w:rPr>
          <w:sz w:val="24"/>
          <w:szCs w:val="24"/>
          <w:color w:val="auto"/>
        </w:rPr>
      </w:pPr>
    </w:p>
    <w:p>
      <w:pPr>
        <w:ind w:left="4300" w:right="3400" w:hanging="3907"/>
        <w:spacing w:after="0" w:line="563" w:lineRule="auto"/>
        <w:tabs>
          <w:tab w:leader="none" w:pos="709" w:val="left"/>
        </w:tabs>
        <w:numPr>
          <w:ilvl w:val="0"/>
          <w:numId w:val="1"/>
        </w:numPr>
        <w:rPr>
          <w:rFonts w:ascii="MS PGothic" w:cs="MS PGothic" w:eastAsia="MS PGothic" w:hAnsi="MS PGothic"/>
          <w:sz w:val="14"/>
          <w:szCs w:val="14"/>
          <w:color w:val="auto"/>
        </w:rPr>
      </w:pPr>
      <w:r>
        <w:rPr>
          <w:rFonts w:ascii="Arial" w:cs="Arial" w:eastAsia="Arial" w:hAnsi="Arial"/>
          <w:sz w:val="14"/>
          <w:szCs w:val="14"/>
          <w:b w:val="1"/>
          <w:bCs w:val="1"/>
          <w:color w:val="auto"/>
        </w:rPr>
        <w:t>QUARTERLY REPORT PURSUANT TO SECTION 13 OR 15(d) OF THE SECURITIES EXCHANGE ACT OF 1934 For the quarterly period ended September 30, 2017</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or</w:t>
      </w:r>
    </w:p>
    <w:p>
      <w:pPr>
        <w:spacing w:after="0" w:line="271" w:lineRule="exact"/>
        <w:rPr>
          <w:sz w:val="24"/>
          <w:szCs w:val="24"/>
          <w:color w:val="auto"/>
        </w:rPr>
      </w:pPr>
    </w:p>
    <w:p>
      <w:pPr>
        <w:ind w:left="820" w:hanging="326"/>
        <w:spacing w:after="0"/>
        <w:tabs>
          <w:tab w:leader="none" w:pos="820" w:val="left"/>
        </w:tabs>
        <w:numPr>
          <w:ilvl w:val="0"/>
          <w:numId w:val="2"/>
        </w:numPr>
        <w:rPr>
          <w:rFonts w:ascii="MS PGothic" w:cs="MS PGothic" w:eastAsia="MS PGothic" w:hAnsi="MS PGothic"/>
          <w:sz w:val="14"/>
          <w:szCs w:val="14"/>
          <w:color w:val="auto"/>
        </w:rPr>
      </w:pPr>
      <w:r>
        <w:rPr>
          <w:rFonts w:ascii="Arial" w:cs="Arial" w:eastAsia="Arial" w:hAnsi="Arial"/>
          <w:sz w:val="14"/>
          <w:szCs w:val="14"/>
          <w:b w:val="1"/>
          <w:bCs w:val="1"/>
          <w:color w:val="auto"/>
        </w:rPr>
        <w:t>TRANSITION REPORT PURSUANT TO SECTION 13 OR 15(d) OF THE SECURITIES EXCHANGE ACT OF 1934</w:t>
      </w:r>
    </w:p>
    <w:p>
      <w:pPr>
        <w:spacing w:after="0" w:line="285" w:lineRule="exact"/>
        <w:rPr>
          <w:sz w:val="24"/>
          <w:szCs w:val="24"/>
          <w:color w:val="auto"/>
        </w:rPr>
      </w:pPr>
    </w:p>
    <w:p>
      <w:pPr>
        <w:ind w:left="4120"/>
        <w:spacing w:after="0"/>
        <w:rPr>
          <w:sz w:val="20"/>
          <w:szCs w:val="20"/>
          <w:color w:val="auto"/>
        </w:rPr>
      </w:pPr>
      <w:r>
        <w:rPr>
          <w:rFonts w:ascii="Arial" w:cs="Arial" w:eastAsia="Arial" w:hAnsi="Arial"/>
          <w:sz w:val="14"/>
          <w:szCs w:val="14"/>
          <w:b w:val="1"/>
          <w:bCs w:val="1"/>
          <w:color w:val="auto"/>
        </w:rPr>
        <w:t>For the transition period from ___ to ___</w:t>
      </w:r>
    </w:p>
    <w:p>
      <w:pPr>
        <w:spacing w:after="0" w:line="136" w:lineRule="exact"/>
        <w:rPr>
          <w:sz w:val="24"/>
          <w:szCs w:val="24"/>
          <w:color w:val="auto"/>
        </w:rPr>
      </w:pPr>
    </w:p>
    <w:p>
      <w:pPr>
        <w:ind w:left="4740"/>
        <w:spacing w:after="0"/>
        <w:rPr>
          <w:sz w:val="20"/>
          <w:szCs w:val="20"/>
          <w:color w:val="auto"/>
        </w:rPr>
      </w:pPr>
      <w:r>
        <w:rPr>
          <w:rFonts w:ascii="Arial" w:cs="Arial" w:eastAsia="Arial" w:hAnsi="Arial"/>
          <w:sz w:val="14"/>
          <w:szCs w:val="14"/>
          <w:b w:val="1"/>
          <w:bCs w:val="1"/>
          <w:color w:val="auto"/>
        </w:rPr>
        <w:t>Commission File Number: 001-37905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246380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drawing>
          <wp:anchor simplePos="0" relativeHeight="251657728" behindDoc="1" locked="0" layoutInCell="0" allowOverlap="1">
            <wp:simplePos x="0" y="0"/>
            <wp:positionH relativeFrom="column">
              <wp:posOffset>2629535</wp:posOffset>
            </wp:positionH>
            <wp:positionV relativeFrom="paragraph">
              <wp:posOffset>426720</wp:posOffset>
            </wp:positionV>
            <wp:extent cx="2212340" cy="5486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212340" cy="54864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3" w:lineRule="exact"/>
        <w:rPr>
          <w:sz w:val="24"/>
          <w:szCs w:val="24"/>
          <w:color w:val="auto"/>
        </w:rPr>
      </w:pPr>
    </w:p>
    <w:p>
      <w:pPr>
        <w:jc w:val="center"/>
        <w:ind w:left="340"/>
        <w:spacing w:after="0"/>
        <w:rPr>
          <w:sz w:val="20"/>
          <w:szCs w:val="20"/>
          <w:color w:val="auto"/>
        </w:rPr>
      </w:pPr>
      <w:r>
        <w:rPr>
          <w:rFonts w:ascii="Arial" w:cs="Arial" w:eastAsia="Arial" w:hAnsi="Arial"/>
          <w:sz w:val="32"/>
          <w:szCs w:val="32"/>
          <w:b w:val="1"/>
          <w:bCs w:val="1"/>
          <w:color w:val="auto"/>
        </w:rPr>
        <w:t>Brighthouse Financial, Inc.</w:t>
      </w:r>
    </w:p>
    <w:p>
      <w:pPr>
        <w:spacing w:after="0" w:line="208" w:lineRule="exact"/>
        <w:rPr>
          <w:sz w:val="24"/>
          <w:szCs w:val="24"/>
          <w:color w:val="auto"/>
        </w:rPr>
      </w:pPr>
    </w:p>
    <w:tbl>
      <w:tblPr>
        <w:tblLayout w:type="fixed"/>
        <w:tblInd w:w="820" w:type="dxa"/>
        <w:tblCellMar>
          <w:top w:w="0" w:type="dxa"/>
          <w:left w:w="0" w:type="dxa"/>
          <w:bottom w:w="0" w:type="dxa"/>
          <w:right w:w="0" w:type="dxa"/>
        </w:tblCellMar>
      </w:tblPr>
      <w:tr>
        <w:trPr>
          <w:trHeight w:val="182"/>
        </w:trPr>
        <w:tc>
          <w:tcPr>
            <w:tcW w:w="6640" w:type="dxa"/>
            <w:vAlign w:val="bottom"/>
          </w:tcPr>
          <w:p>
            <w:pPr>
              <w:jc w:val="right"/>
              <w:ind w:right="169"/>
              <w:spacing w:after="0"/>
              <w:rPr>
                <w:sz w:val="20"/>
                <w:szCs w:val="20"/>
                <w:color w:val="auto"/>
              </w:rPr>
            </w:pPr>
            <w:r>
              <w:rPr>
                <w:rFonts w:ascii="Arial" w:cs="Arial" w:eastAsia="Arial" w:hAnsi="Arial"/>
                <w:sz w:val="14"/>
                <w:szCs w:val="14"/>
                <w:i w:val="1"/>
                <w:iCs w:val="1"/>
                <w:color w:val="auto"/>
              </w:rPr>
              <w:t>(Exact name of registrant as specified in its charter)</w:t>
            </w:r>
          </w:p>
        </w:tc>
        <w:tc>
          <w:tcPr>
            <w:tcW w:w="2300" w:type="dxa"/>
            <w:vAlign w:val="bottom"/>
          </w:tcPr>
          <w:p>
            <w:pPr>
              <w:spacing w:after="0"/>
              <w:rPr>
                <w:sz w:val="15"/>
                <w:szCs w:val="15"/>
                <w:color w:val="auto"/>
              </w:rPr>
            </w:pPr>
          </w:p>
        </w:tc>
      </w:tr>
      <w:tr>
        <w:trPr>
          <w:trHeight w:val="351"/>
        </w:trPr>
        <w:tc>
          <w:tcPr>
            <w:tcW w:w="6640" w:type="dxa"/>
            <w:vAlign w:val="bottom"/>
          </w:tcPr>
          <w:p>
            <w:pPr>
              <w:jc w:val="center"/>
              <w:ind w:right="2589"/>
              <w:spacing w:after="0"/>
              <w:rPr>
                <w:sz w:val="20"/>
                <w:szCs w:val="20"/>
                <w:color w:val="auto"/>
              </w:rPr>
            </w:pPr>
            <w:r>
              <w:rPr>
                <w:rFonts w:ascii="Arial" w:cs="Arial" w:eastAsia="Arial" w:hAnsi="Arial"/>
                <w:sz w:val="14"/>
                <w:szCs w:val="14"/>
                <w:b w:val="1"/>
                <w:bCs w:val="1"/>
                <w:color w:val="auto"/>
                <w:w w:val="94"/>
              </w:rPr>
              <w:t>Delaware</w:t>
            </w:r>
          </w:p>
        </w:tc>
        <w:tc>
          <w:tcPr>
            <w:tcW w:w="2300" w:type="dxa"/>
            <w:vAlign w:val="bottom"/>
          </w:tcPr>
          <w:p>
            <w:pPr>
              <w:jc w:val="right"/>
              <w:ind w:right="608"/>
              <w:spacing w:after="0"/>
              <w:rPr>
                <w:sz w:val="20"/>
                <w:szCs w:val="20"/>
                <w:color w:val="auto"/>
              </w:rPr>
            </w:pPr>
            <w:r>
              <w:rPr>
                <w:rFonts w:ascii="Arial" w:cs="Arial" w:eastAsia="Arial" w:hAnsi="Arial"/>
                <w:sz w:val="14"/>
                <w:szCs w:val="14"/>
                <w:b w:val="1"/>
                <w:bCs w:val="1"/>
                <w:color w:val="auto"/>
              </w:rPr>
              <w:t>81-3846992</w:t>
            </w:r>
          </w:p>
        </w:tc>
      </w:tr>
      <w:tr>
        <w:trPr>
          <w:trHeight w:val="351"/>
        </w:trPr>
        <w:tc>
          <w:tcPr>
            <w:tcW w:w="6640" w:type="dxa"/>
            <w:vAlign w:val="bottom"/>
          </w:tcPr>
          <w:p>
            <w:pPr>
              <w:jc w:val="center"/>
              <w:ind w:right="2569"/>
              <w:spacing w:after="0"/>
              <w:rPr>
                <w:sz w:val="20"/>
                <w:szCs w:val="20"/>
                <w:color w:val="auto"/>
              </w:rPr>
            </w:pPr>
            <w:r>
              <w:rPr>
                <w:rFonts w:ascii="Arial" w:cs="Arial" w:eastAsia="Arial" w:hAnsi="Arial"/>
                <w:sz w:val="14"/>
                <w:szCs w:val="14"/>
                <w:i w:val="1"/>
                <w:iCs w:val="1"/>
                <w:color w:val="auto"/>
                <w:w w:val="95"/>
              </w:rPr>
              <w:t>(State of incorporation)</w:t>
            </w:r>
          </w:p>
        </w:tc>
        <w:tc>
          <w:tcPr>
            <w:tcW w:w="2300" w:type="dxa"/>
            <w:vAlign w:val="bottom"/>
          </w:tcPr>
          <w:p>
            <w:pPr>
              <w:jc w:val="center"/>
              <w:ind w:left="168"/>
              <w:spacing w:after="0"/>
              <w:rPr>
                <w:sz w:val="20"/>
                <w:szCs w:val="20"/>
                <w:color w:val="auto"/>
              </w:rPr>
            </w:pPr>
            <w:r>
              <w:rPr>
                <w:rFonts w:ascii="Arial" w:cs="Arial" w:eastAsia="Arial" w:hAnsi="Arial"/>
                <w:sz w:val="14"/>
                <w:szCs w:val="14"/>
                <w:i w:val="1"/>
                <w:iCs w:val="1"/>
                <w:color w:val="auto"/>
                <w:w w:val="95"/>
              </w:rPr>
              <w:t>(I.R.S. Employer Identification No.)</w:t>
            </w:r>
          </w:p>
        </w:tc>
      </w:tr>
      <w:tr>
        <w:trPr>
          <w:trHeight w:val="324"/>
        </w:trPr>
        <w:tc>
          <w:tcPr>
            <w:tcW w:w="6640" w:type="dxa"/>
            <w:vAlign w:val="bottom"/>
          </w:tcPr>
          <w:p>
            <w:pPr>
              <w:jc w:val="center"/>
              <w:ind w:right="2569"/>
              <w:spacing w:after="0"/>
              <w:rPr>
                <w:sz w:val="20"/>
                <w:szCs w:val="20"/>
                <w:color w:val="auto"/>
              </w:rPr>
            </w:pPr>
            <w:r>
              <w:rPr>
                <w:rFonts w:ascii="Arial" w:cs="Arial" w:eastAsia="Arial" w:hAnsi="Arial"/>
                <w:sz w:val="14"/>
                <w:szCs w:val="14"/>
                <w:b w:val="1"/>
                <w:bCs w:val="1"/>
                <w:color w:val="auto"/>
                <w:w w:val="95"/>
              </w:rPr>
              <w:t>11225 North Community House Road, Charlotte, North Carolina</w:t>
            </w:r>
          </w:p>
        </w:tc>
        <w:tc>
          <w:tcPr>
            <w:tcW w:w="2300" w:type="dxa"/>
            <w:vAlign w:val="bottom"/>
          </w:tcPr>
          <w:p>
            <w:pPr>
              <w:jc w:val="right"/>
              <w:ind w:right="768"/>
              <w:spacing w:after="0"/>
              <w:rPr>
                <w:sz w:val="20"/>
                <w:szCs w:val="20"/>
                <w:color w:val="auto"/>
              </w:rPr>
            </w:pPr>
            <w:r>
              <w:rPr>
                <w:rFonts w:ascii="Arial" w:cs="Arial" w:eastAsia="Arial" w:hAnsi="Arial"/>
                <w:sz w:val="14"/>
                <w:szCs w:val="14"/>
                <w:b w:val="1"/>
                <w:bCs w:val="1"/>
                <w:color w:val="auto"/>
              </w:rPr>
              <w:t>28277</w:t>
            </w:r>
          </w:p>
        </w:tc>
      </w:tr>
      <w:tr>
        <w:trPr>
          <w:trHeight w:val="203"/>
        </w:trPr>
        <w:tc>
          <w:tcPr>
            <w:tcW w:w="6640" w:type="dxa"/>
            <w:vAlign w:val="bottom"/>
          </w:tcPr>
          <w:p>
            <w:pPr>
              <w:jc w:val="center"/>
              <w:ind w:right="2569"/>
              <w:spacing w:after="0"/>
              <w:rPr>
                <w:sz w:val="20"/>
                <w:szCs w:val="20"/>
                <w:color w:val="auto"/>
              </w:rPr>
            </w:pPr>
            <w:r>
              <w:rPr>
                <w:rFonts w:ascii="Arial" w:cs="Arial" w:eastAsia="Arial" w:hAnsi="Arial"/>
                <w:sz w:val="14"/>
                <w:szCs w:val="14"/>
                <w:i w:val="1"/>
                <w:iCs w:val="1"/>
                <w:color w:val="auto"/>
                <w:w w:val="93"/>
              </w:rPr>
              <w:t>(Address of principal executive offices)</w:t>
            </w:r>
          </w:p>
        </w:tc>
        <w:tc>
          <w:tcPr>
            <w:tcW w:w="2300" w:type="dxa"/>
            <w:vAlign w:val="bottom"/>
          </w:tcPr>
          <w:p>
            <w:pPr>
              <w:jc w:val="center"/>
              <w:ind w:left="168"/>
              <w:spacing w:after="0"/>
              <w:rPr>
                <w:sz w:val="20"/>
                <w:szCs w:val="20"/>
                <w:color w:val="auto"/>
              </w:rPr>
            </w:pPr>
            <w:r>
              <w:rPr>
                <w:rFonts w:ascii="Arial" w:cs="Arial" w:eastAsia="Arial" w:hAnsi="Arial"/>
                <w:sz w:val="14"/>
                <w:szCs w:val="14"/>
                <w:i w:val="1"/>
                <w:iCs w:val="1"/>
                <w:color w:val="auto"/>
                <w:w w:val="93"/>
              </w:rPr>
              <w:t>(Zip Code)</w:t>
            </w:r>
          </w:p>
        </w:tc>
      </w:tr>
      <w:tr>
        <w:trPr>
          <w:trHeight w:val="284"/>
        </w:trPr>
        <w:tc>
          <w:tcPr>
            <w:tcW w:w="6640" w:type="dxa"/>
            <w:vAlign w:val="bottom"/>
          </w:tcPr>
          <w:p>
            <w:pPr>
              <w:jc w:val="right"/>
              <w:ind w:right="1069"/>
              <w:spacing w:after="0"/>
              <w:rPr>
                <w:sz w:val="20"/>
                <w:szCs w:val="20"/>
                <w:color w:val="auto"/>
              </w:rPr>
            </w:pPr>
            <w:r>
              <w:rPr>
                <w:rFonts w:ascii="Arial" w:cs="Arial" w:eastAsia="Arial" w:hAnsi="Arial"/>
                <w:sz w:val="14"/>
                <w:szCs w:val="14"/>
                <w:b w:val="1"/>
                <w:bCs w:val="1"/>
                <w:color w:val="auto"/>
              </w:rPr>
              <w:t>(980) 365-7100</w:t>
            </w:r>
          </w:p>
        </w:tc>
        <w:tc>
          <w:tcPr>
            <w:tcW w:w="2300" w:type="dxa"/>
            <w:vAlign w:val="bottom"/>
          </w:tcPr>
          <w:p>
            <w:pPr>
              <w:spacing w:after="0"/>
              <w:rPr>
                <w:sz w:val="24"/>
                <w:szCs w:val="24"/>
                <w:color w:val="auto"/>
              </w:rPr>
            </w:pPr>
          </w:p>
        </w:tc>
      </w:tr>
      <w:tr>
        <w:trPr>
          <w:trHeight w:val="307"/>
        </w:trPr>
        <w:tc>
          <w:tcPr>
            <w:tcW w:w="6640" w:type="dxa"/>
            <w:vAlign w:val="bottom"/>
          </w:tcPr>
          <w:p>
            <w:pPr>
              <w:jc w:val="right"/>
              <w:ind w:right="169"/>
              <w:spacing w:after="0"/>
              <w:rPr>
                <w:sz w:val="20"/>
                <w:szCs w:val="20"/>
                <w:color w:val="auto"/>
              </w:rPr>
            </w:pPr>
            <w:r>
              <w:rPr>
                <w:rFonts w:ascii="Arial" w:cs="Arial" w:eastAsia="Arial" w:hAnsi="Arial"/>
                <w:sz w:val="13"/>
                <w:szCs w:val="13"/>
                <w:i w:val="1"/>
                <w:iCs w:val="1"/>
                <w:color w:val="auto"/>
              </w:rPr>
              <w:t>(Registrant’s telephone number, including area code)</w:t>
            </w:r>
          </w:p>
        </w:tc>
        <w:tc>
          <w:tcPr>
            <w:tcW w:w="2300" w:type="dxa"/>
            <w:vAlign w:val="bottom"/>
          </w:tcPr>
          <w:p>
            <w:pPr>
              <w:spacing w:after="0"/>
              <w:rPr>
                <w:sz w:val="24"/>
                <w:szCs w:val="24"/>
                <w:color w:val="auto"/>
              </w:rPr>
            </w:pPr>
          </w:p>
        </w:tc>
      </w:tr>
    </w:tbl>
    <w:p>
      <w:pPr>
        <w:spacing w:after="0" w:line="204" w:lineRule="exact"/>
        <w:rPr>
          <w:sz w:val="24"/>
          <w:szCs w:val="24"/>
          <w:color w:val="auto"/>
        </w:rPr>
      </w:pPr>
    </w:p>
    <w:p>
      <w:pPr>
        <w:ind w:firstLine="108"/>
        <w:spacing w:after="0" w:line="162" w:lineRule="exact"/>
        <w:rPr>
          <w:sz w:val="20"/>
          <w:szCs w:val="20"/>
          <w:color w:val="auto"/>
        </w:rPr>
      </w:pPr>
      <w:r>
        <w:rPr>
          <w:rFonts w:ascii="Arial" w:cs="Arial" w:eastAsia="Arial" w:hAnsi="Arial"/>
          <w:sz w:val="13"/>
          <w:szCs w:val="13"/>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191" w:lineRule="exact"/>
        <w:rPr>
          <w:sz w:val="24"/>
          <w:szCs w:val="24"/>
          <w:color w:val="auto"/>
        </w:rPr>
      </w:pPr>
    </w:p>
    <w:p>
      <w:pPr>
        <w:ind w:firstLine="108"/>
        <w:spacing w:after="0" w:line="162" w:lineRule="exact"/>
        <w:rPr>
          <w:sz w:val="20"/>
          <w:szCs w:val="20"/>
          <w:color w:val="auto"/>
        </w:rPr>
      </w:pPr>
      <w:r>
        <w:rPr>
          <w:rFonts w:ascii="Arial" w:cs="Arial" w:eastAsia="Arial" w:hAnsi="Arial"/>
          <w:sz w:val="13"/>
          <w:szCs w:val="13"/>
          <w:color w:val="auto"/>
        </w:rPr>
        <w:t xml:space="preserve">Indicate by check mark whether the registrant has submitted electronically and posted on its corporate Web site, if any, every Interactive Data File required to be submitted and posted pursuant to Rule 405 of Regulation S-T (§ 232.405 of this chapter) during the preceding 12 months (or for such shorter period that the registrant was required to submit and post such files).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191" w:lineRule="exact"/>
        <w:rPr>
          <w:sz w:val="24"/>
          <w:szCs w:val="24"/>
          <w:color w:val="auto"/>
        </w:rPr>
      </w:pPr>
    </w:p>
    <w:p>
      <w:pPr>
        <w:ind w:firstLine="108"/>
        <w:spacing w:after="0" w:line="255" w:lineRule="auto"/>
        <w:rPr>
          <w:sz w:val="20"/>
          <w:szCs w:val="20"/>
          <w:color w:val="auto"/>
        </w:rPr>
      </w:pPr>
      <w:r>
        <w:rPr>
          <w:rFonts w:ascii="Arial" w:cs="Arial" w:eastAsia="Arial" w:hAnsi="Arial"/>
          <w:sz w:val="13"/>
          <w:szCs w:val="13"/>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420"/>
          </w:cols>
          <w:pgMar w:left="240" w:top="756" w:right="239" w:bottom="1440" w:gutter="0" w:footer="0" w:header="0"/>
        </w:sectPr>
      </w:pPr>
    </w:p>
    <w:p>
      <w:pPr>
        <w:spacing w:after="0" w:line="317" w:lineRule="exact"/>
        <w:rPr>
          <w:sz w:val="24"/>
          <w:szCs w:val="24"/>
          <w:color w:val="auto"/>
        </w:rPr>
      </w:pPr>
    </w:p>
    <w:p>
      <w:pPr>
        <w:ind w:left="40"/>
        <w:spacing w:after="0"/>
        <w:rPr>
          <w:sz w:val="20"/>
          <w:szCs w:val="20"/>
          <w:color w:val="auto"/>
        </w:rPr>
      </w:pPr>
      <w:r>
        <w:rPr>
          <w:rFonts w:ascii="Arial" w:cs="Arial" w:eastAsia="Arial" w:hAnsi="Arial"/>
          <w:sz w:val="11"/>
          <w:szCs w:val="11"/>
          <w:color w:val="auto"/>
        </w:rPr>
        <w:t>Large accelerated filer</w:t>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br w:type="column"/>
      </w:r>
    </w:p>
    <w:p>
      <w:pPr>
        <w:spacing w:after="0" w:line="297" w:lineRule="exact"/>
        <w:rPr>
          <w:sz w:val="24"/>
          <w:szCs w:val="24"/>
          <w:color w:val="auto"/>
        </w:rPr>
      </w:pPr>
    </w:p>
    <w:p>
      <w:pPr>
        <w:spacing w:after="0"/>
        <w:rPr>
          <w:sz w:val="20"/>
          <w:szCs w:val="20"/>
          <w:color w:val="auto"/>
        </w:rPr>
      </w:pPr>
      <w:r>
        <w:rPr>
          <w:rFonts w:ascii="Arial" w:cs="Arial" w:eastAsia="Arial" w:hAnsi="Arial"/>
          <w:sz w:val="11"/>
          <w:szCs w:val="11"/>
          <w:color w:val="auto"/>
        </w:rPr>
        <w:t>Accelerated filer</w:t>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91" w:lineRule="exact"/>
        <w:rPr>
          <w:sz w:val="20"/>
          <w:szCs w:val="20"/>
          <w:color w:val="auto"/>
        </w:rPr>
      </w:pPr>
      <w:r>
        <w:rPr>
          <w:rFonts w:ascii="MS PGothic" w:cs="MS PGothic" w:eastAsia="MS PGothic" w:hAnsi="MS PGothic"/>
          <w:sz w:val="9"/>
          <w:szCs w:val="9"/>
          <w:color w:val="auto"/>
        </w:rPr>
        <w:t>☐</w:t>
      </w:r>
    </w:p>
    <w:p>
      <w:pPr>
        <w:spacing w:after="0" w:line="112" w:lineRule="exact"/>
        <w:rPr>
          <w:sz w:val="24"/>
          <w:szCs w:val="24"/>
          <w:color w:val="auto"/>
        </w:rPr>
      </w:pPr>
    </w:p>
    <w:p>
      <w:pPr>
        <w:sectPr>
          <w:pgSz w:w="11900" w:h="16838" w:orient="portrait"/>
          <w:cols w:equalWidth="0" w:num="4">
            <w:col w:w="1180" w:space="60"/>
            <w:col w:w="6740" w:space="720"/>
            <w:col w:w="840" w:space="80"/>
            <w:col w:w="1800"/>
          </w:cols>
          <w:pgMar w:left="240" w:top="756" w:right="239" w:bottom="1440" w:gutter="0" w:footer="0" w:header="0"/>
          <w:type w:val="continuous"/>
        </w:sectPr>
      </w:pPr>
    </w:p>
    <w:p>
      <w:pPr>
        <w:spacing w:after="0" w:line="25" w:lineRule="exact"/>
        <w:rPr>
          <w:sz w:val="24"/>
          <w:szCs w:val="24"/>
          <w:color w:val="auto"/>
        </w:rPr>
      </w:pPr>
    </w:p>
    <w:p>
      <w:pPr>
        <w:ind w:left="40"/>
        <w:spacing w:after="0"/>
        <w:rPr>
          <w:sz w:val="20"/>
          <w:szCs w:val="20"/>
          <w:color w:val="auto"/>
        </w:rPr>
      </w:pPr>
      <w:r>
        <w:rPr>
          <w:rFonts w:ascii="Arial" w:cs="Arial" w:eastAsia="Arial" w:hAnsi="Arial"/>
          <w:sz w:val="11"/>
          <w:szCs w:val="11"/>
          <w:color w:val="auto"/>
        </w:rPr>
        <w:t>Non-accelerated filer</w:t>
      </w:r>
    </w:p>
    <w:p>
      <w:pPr>
        <w:spacing w:after="0" w:line="20" w:lineRule="exact"/>
        <w:rPr>
          <w:sz w:val="24"/>
          <w:szCs w:val="24"/>
          <w:color w:val="auto"/>
        </w:rPr>
      </w:pPr>
      <w:r>
        <w:rPr>
          <w:sz w:val="24"/>
          <w:szCs w:val="24"/>
          <w:color w:val="auto"/>
        </w:rPr>
        <w:br w:type="column"/>
      </w:r>
    </w:p>
    <w:p>
      <w:pPr>
        <w:spacing w:after="0" w:line="101" w:lineRule="exact"/>
        <w:rPr>
          <w:sz w:val="20"/>
          <w:szCs w:val="20"/>
          <w:color w:val="auto"/>
        </w:rPr>
      </w:pP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br w:type="column"/>
      </w:r>
    </w:p>
    <w:p>
      <w:pPr>
        <w:spacing w:after="0" w:line="5" w:lineRule="exact"/>
        <w:rPr>
          <w:sz w:val="24"/>
          <w:szCs w:val="24"/>
          <w:color w:val="auto"/>
        </w:rPr>
      </w:pPr>
    </w:p>
    <w:p>
      <w:pPr>
        <w:spacing w:after="0"/>
        <w:rPr>
          <w:sz w:val="20"/>
          <w:szCs w:val="20"/>
          <w:color w:val="auto"/>
        </w:rPr>
      </w:pPr>
      <w:r>
        <w:rPr>
          <w:rFonts w:ascii="Arial" w:cs="Arial" w:eastAsia="Arial" w:hAnsi="Arial"/>
          <w:sz w:val="11"/>
          <w:szCs w:val="11"/>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line="5" w:lineRule="exact"/>
        <w:rPr>
          <w:sz w:val="24"/>
          <w:szCs w:val="24"/>
          <w:color w:val="auto"/>
        </w:rPr>
      </w:pPr>
    </w:p>
    <w:p>
      <w:pPr>
        <w:spacing w:after="0"/>
        <w:rPr>
          <w:sz w:val="20"/>
          <w:szCs w:val="20"/>
          <w:color w:val="auto"/>
        </w:rPr>
      </w:pPr>
      <w:r>
        <w:rPr>
          <w:rFonts w:ascii="Arial" w:cs="Arial" w:eastAsia="Arial" w:hAnsi="Arial"/>
          <w:sz w:val="11"/>
          <w:szCs w:val="11"/>
          <w:color w:val="auto"/>
        </w:rPr>
        <w:t>Smaller reporting company</w:t>
      </w:r>
    </w:p>
    <w:p>
      <w:pPr>
        <w:spacing w:after="0" w:line="20" w:lineRule="exact"/>
        <w:rPr>
          <w:sz w:val="24"/>
          <w:szCs w:val="24"/>
          <w:color w:val="auto"/>
        </w:rPr>
      </w:pPr>
      <w:r>
        <w:rPr>
          <w:sz w:val="24"/>
          <w:szCs w:val="24"/>
          <w:color w:val="auto"/>
        </w:rPr>
        <w:br w:type="column"/>
      </w:r>
    </w:p>
    <w:p>
      <w:pPr>
        <w:spacing w:after="0" w:line="101" w:lineRule="exact"/>
        <w:rPr>
          <w:sz w:val="20"/>
          <w:szCs w:val="20"/>
          <w:color w:val="auto"/>
        </w:rPr>
      </w:pPr>
      <w:r>
        <w:rPr>
          <w:rFonts w:ascii="MS PGothic" w:cs="MS PGothic" w:eastAsia="MS PGothic" w:hAnsi="MS PGothic"/>
          <w:sz w:val="12"/>
          <w:szCs w:val="12"/>
          <w:color w:val="auto"/>
        </w:rPr>
        <w:t>☐</w:t>
      </w:r>
    </w:p>
    <w:p>
      <w:pPr>
        <w:spacing w:after="0" w:line="150" w:lineRule="exact"/>
        <w:rPr>
          <w:sz w:val="24"/>
          <w:szCs w:val="24"/>
          <w:color w:val="auto"/>
        </w:rPr>
      </w:pPr>
    </w:p>
    <w:p>
      <w:pPr>
        <w:sectPr>
          <w:pgSz w:w="11900" w:h="16838" w:orient="portrait"/>
          <w:cols w:equalWidth="0" w:num="5">
            <w:col w:w="1120" w:space="120"/>
            <w:col w:w="120" w:space="60"/>
            <w:col w:w="6560" w:space="720"/>
            <w:col w:w="1380" w:space="60"/>
            <w:col w:w="1280"/>
          </w:cols>
          <w:pgMar w:left="240" w:top="756" w:right="239" w:bottom="1440" w:gutter="0" w:footer="0" w:header="0"/>
          <w:type w:val="continuous"/>
        </w:sectPr>
      </w:pPr>
    </w:p>
    <w:p>
      <w:pPr>
        <w:ind w:left="40"/>
        <w:spacing w:after="0" w:line="150" w:lineRule="exact"/>
        <w:rPr>
          <w:sz w:val="20"/>
          <w:szCs w:val="20"/>
          <w:color w:val="auto"/>
        </w:rPr>
      </w:pPr>
      <w:r>
        <w:rPr>
          <w:rFonts w:ascii="Arial" w:cs="Arial" w:eastAsia="Arial" w:hAnsi="Arial"/>
          <w:sz w:val="13"/>
          <w:szCs w:val="13"/>
          <w:color w:val="auto"/>
        </w:rPr>
        <w:t xml:space="preserve">Emerging growth company </w:t>
      </w:r>
      <w:r>
        <w:rPr>
          <w:rFonts w:ascii="MS PGothic" w:cs="MS PGothic" w:eastAsia="MS PGothic" w:hAnsi="MS PGothic"/>
          <w:sz w:val="13"/>
          <w:szCs w:val="13"/>
          <w:color w:val="auto"/>
        </w:rPr>
        <w:t>☐</w:t>
      </w:r>
    </w:p>
    <w:p>
      <w:pPr>
        <w:spacing w:after="0" w:line="253" w:lineRule="exact"/>
        <w:rPr>
          <w:sz w:val="24"/>
          <w:szCs w:val="24"/>
          <w:color w:val="auto"/>
        </w:rPr>
      </w:pPr>
    </w:p>
    <w:p>
      <w:pPr>
        <w:ind w:firstLine="108"/>
        <w:spacing w:after="0" w:line="162" w:lineRule="exact"/>
        <w:rPr>
          <w:sz w:val="20"/>
          <w:szCs w:val="20"/>
          <w:color w:val="auto"/>
        </w:rPr>
      </w:pPr>
      <w:r>
        <w:rPr>
          <w:rFonts w:ascii="Arial" w:cs="Arial" w:eastAsia="Arial" w:hAnsi="Arial"/>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3"/>
          <w:szCs w:val="13"/>
          <w:color w:val="auto"/>
        </w:rPr>
        <w:t>☐</w:t>
      </w:r>
    </w:p>
    <w:p>
      <w:pPr>
        <w:spacing w:after="0" w:line="166" w:lineRule="exact"/>
        <w:rPr>
          <w:sz w:val="24"/>
          <w:szCs w:val="24"/>
          <w:color w:val="auto"/>
        </w:rPr>
      </w:pPr>
    </w:p>
    <w:p>
      <w:pPr>
        <w:ind w:left="120"/>
        <w:spacing w:after="0" w:line="150" w:lineRule="exact"/>
        <w:tabs>
          <w:tab w:leader="none" w:pos="5940" w:val="left"/>
          <w:tab w:leader="none" w:pos="6380" w:val="left"/>
        </w:tabs>
        <w:rPr>
          <w:sz w:val="20"/>
          <w:szCs w:val="20"/>
          <w:color w:val="auto"/>
        </w:rPr>
      </w:pPr>
      <w:r>
        <w:rPr>
          <w:rFonts w:ascii="Arial" w:cs="Arial" w:eastAsia="Arial" w:hAnsi="Arial"/>
          <w:sz w:val="12"/>
          <w:szCs w:val="12"/>
          <w:color w:val="auto"/>
        </w:rPr>
        <w:t>Indicate by check mark whether the registrant is a shell company (as defined in Rule 12b-2 of the Exchange Act).</w:t>
      </w:r>
      <w:r>
        <w:rPr>
          <w:sz w:val="20"/>
          <w:szCs w:val="20"/>
          <w:color w:val="auto"/>
        </w:rPr>
        <w:tab/>
      </w:r>
      <w:r>
        <w:rPr>
          <w:rFonts w:ascii="Arial" w:cs="Arial" w:eastAsia="Arial" w:hAnsi="Arial"/>
          <w:sz w:val="13"/>
          <w:szCs w:val="13"/>
          <w:color w:val="auto"/>
        </w:rPr>
        <w:t xml:space="preserve">Yes </w:t>
      </w:r>
      <w:r>
        <w:rPr>
          <w:rFonts w:ascii="MS PGothic" w:cs="MS PGothic" w:eastAsia="MS PGothic" w:hAnsi="MS PGothic"/>
          <w:sz w:val="13"/>
          <w:szCs w:val="13"/>
          <w:color w:val="auto"/>
        </w:rPr>
        <w:t>☐</w:t>
      </w:r>
      <w:r>
        <w:rPr>
          <w:sz w:val="20"/>
          <w:szCs w:val="20"/>
          <w:color w:val="auto"/>
        </w:rPr>
        <w:tab/>
      </w:r>
      <w:r>
        <w:rPr>
          <w:rFonts w:ascii="Arial" w:cs="Arial" w:eastAsia="Arial" w:hAnsi="Arial"/>
          <w:sz w:val="11"/>
          <w:szCs w:val="11"/>
          <w:color w:val="auto"/>
        </w:rPr>
        <w:t xml:space="preserve">No </w:t>
      </w:r>
      <w:r>
        <w:rPr>
          <w:rFonts w:ascii="MS PGothic" w:cs="MS PGothic" w:eastAsia="MS PGothic" w:hAnsi="MS PGothic"/>
          <w:sz w:val="11"/>
          <w:szCs w:val="11"/>
          <w:color w:val="auto"/>
        </w:rPr>
        <w:t>☑</w:t>
      </w:r>
    </w:p>
    <w:p>
      <w:pPr>
        <w:spacing w:after="0" w:line="240" w:lineRule="exact"/>
        <w:rPr>
          <w:sz w:val="24"/>
          <w:szCs w:val="24"/>
          <w:color w:val="auto"/>
        </w:rPr>
      </w:pPr>
    </w:p>
    <w:p>
      <w:pPr>
        <w:ind w:left="120"/>
        <w:spacing w:after="0"/>
        <w:rPr>
          <w:sz w:val="20"/>
          <w:szCs w:val="20"/>
          <w:color w:val="auto"/>
        </w:rPr>
      </w:pPr>
      <w:r>
        <w:rPr>
          <w:rFonts w:ascii="Arial" w:cs="Arial" w:eastAsia="Arial" w:hAnsi="Arial"/>
          <w:sz w:val="13"/>
          <w:szCs w:val="13"/>
          <w:color w:val="auto"/>
        </w:rPr>
        <w:t>At November 9, 2017, 119,773,106 shares of the registrant’s common stock, $0.01 par value per share, were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282575</wp:posOffset>
            </wp:positionV>
            <wp:extent cx="72466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196850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56" w:right="239" w:bottom="1440" w:gutter="0" w:footer="0" w:header="0"/>
          <w:type w:val="continuous"/>
        </w:sectPr>
      </w:pPr>
    </w:p>
    <w:bookmarkStart w:id="1" w:name="page2"/>
    <w:bookmarkEnd w:id="1"/>
    <w:p>
      <w:pPr>
        <w:jc w:val="center"/>
        <w:ind w:left="340"/>
        <w:spacing w:after="0"/>
        <w:rPr>
          <w:sz w:val="20"/>
          <w:szCs w:val="20"/>
          <w:color w:val="auto"/>
        </w:rPr>
      </w:pPr>
      <w:r>
        <w:rPr>
          <w:rFonts w:ascii="Arial" w:cs="Arial" w:eastAsia="Arial" w:hAnsi="Arial"/>
          <w:sz w:val="18"/>
          <w:szCs w:val="18"/>
          <w:b w:val="1"/>
          <w:bCs w:val="1"/>
          <w:color w:val="auto"/>
        </w:rPr>
        <w:t>Table of Contents</w:t>
      </w:r>
    </w:p>
    <w:p>
      <w:pPr>
        <w:spacing w:after="0" w:line="333" w:lineRule="exact"/>
        <w:rPr>
          <w:sz w:val="20"/>
          <w:szCs w:val="20"/>
          <w:color w:val="auto"/>
        </w:rPr>
      </w:pPr>
    </w:p>
    <w:p>
      <w:pPr>
        <w:ind w:left="10860"/>
        <w:spacing w:after="0"/>
        <w:rPr>
          <w:sz w:val="20"/>
          <w:szCs w:val="20"/>
          <w:color w:val="auto"/>
        </w:rPr>
      </w:pPr>
      <w:r>
        <w:rPr>
          <w:rFonts w:ascii="Arial" w:cs="Arial" w:eastAsia="Arial" w:hAnsi="Arial"/>
          <w:sz w:val="18"/>
          <w:szCs w:val="18"/>
          <w:b w:val="1"/>
          <w:bCs w:val="1"/>
          <w:u w:val="single" w:color="auto"/>
          <w:color w:val="auto"/>
        </w:rPr>
        <w:t>Page</w:t>
      </w:r>
    </w:p>
    <w:p>
      <w:pPr>
        <w:spacing w:after="0" w:line="63" w:lineRule="exact"/>
        <w:rPr>
          <w:sz w:val="20"/>
          <w:szCs w:val="20"/>
          <w:color w:val="auto"/>
        </w:rPr>
      </w:pPr>
    </w:p>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Part I — Financial Information</w:t>
        </w:r>
      </w:hyperlink>
    </w:p>
    <w:p>
      <w:pPr>
        <w:spacing w:after="0" w:line="63" w:lineRule="exact"/>
        <w:rPr>
          <w:sz w:val="20"/>
          <w:szCs w:val="20"/>
          <w:color w:val="auto"/>
        </w:rPr>
      </w:pPr>
    </w:p>
    <w:p>
      <w:pPr>
        <w:ind w:left="1040" w:right="1040" w:hanging="1066"/>
        <w:spacing w:after="0" w:line="277" w:lineRule="auto"/>
        <w:tabs>
          <w:tab w:leader="none" w:pos="10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8"/>
          <w:szCs w:val="18"/>
          <w:color w:val="auto"/>
        </w:rPr>
        <w:t>Consolidated and Combined Financial Statements (at September 30, 2017 (Unaudited) and December 31, 2016 and for the Three Months and Nine Months Ended September 30, 2017 and 2016 (Unaudited)):</w:t>
      </w:r>
    </w:p>
    <w:tbl>
      <w:tblPr>
        <w:tblLayout w:type="fixed"/>
        <w:tblInd w:w="1240" w:type="dxa"/>
        <w:tblCellMar>
          <w:top w:w="0" w:type="dxa"/>
          <w:left w:w="0" w:type="dxa"/>
          <w:bottom w:w="0" w:type="dxa"/>
          <w:right w:w="0" w:type="dxa"/>
        </w:tblCellMar>
      </w:tblPr>
      <w:tr>
        <w:trPr>
          <w:trHeight w:val="202"/>
        </w:trPr>
        <w:tc>
          <w:tcPr>
            <w:tcW w:w="4620" w:type="dxa"/>
            <w:vAlign w:val="bottom"/>
            <w:tcBorders>
              <w:bottom w:val="single" w:sz="8" w:color="0000EE"/>
            </w:tcBorders>
          </w:tcPr>
          <w:p>
            <w:pPr>
              <w:spacing w:after="0" w:line="202" w:lineRule="exact"/>
              <w:rPr>
                <w:rFonts w:ascii="Arial" w:cs="Arial" w:eastAsia="Arial" w:hAnsi="Arial"/>
                <w:sz w:val="18"/>
                <w:szCs w:val="18"/>
                <w:color w:val="0000EE"/>
                <w:w w:val="89"/>
              </w:rPr>
            </w:pPr>
            <w:hyperlink w:anchor="page3">
              <w:r>
                <w:rPr>
                  <w:rFonts w:ascii="Arial" w:cs="Arial" w:eastAsia="Arial" w:hAnsi="Arial"/>
                  <w:sz w:val="18"/>
                  <w:szCs w:val="18"/>
                  <w:color w:val="0000EE"/>
                  <w:w w:val="89"/>
                </w:rPr>
                <w:t>Interim Condensed Consolidated and Combined Balance Sheets</w:t>
              </w:r>
            </w:hyperlink>
          </w:p>
        </w:tc>
        <w:tc>
          <w:tcPr>
            <w:tcW w:w="3940" w:type="dxa"/>
            <w:vAlign w:val="bottom"/>
            <w:gridSpan w:val="5"/>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Borders>
              <w:bottom w:val="single" w:sz="8" w:color="0000FF"/>
            </w:tcBorders>
          </w:tcPr>
          <w:p>
            <w:pPr>
              <w:jc w:val="right"/>
              <w:spacing w:after="0" w:line="202" w:lineRule="exact"/>
              <w:rPr>
                <w:rFonts w:ascii="Arial" w:cs="Arial" w:eastAsia="Arial" w:hAnsi="Arial"/>
                <w:sz w:val="18"/>
                <w:szCs w:val="18"/>
                <w:color w:val="0000FF"/>
                <w:w w:val="79"/>
              </w:rPr>
            </w:pPr>
            <w:hyperlink w:anchor="page3">
              <w:r>
                <w:rPr>
                  <w:rFonts w:ascii="Arial" w:cs="Arial" w:eastAsia="Arial" w:hAnsi="Arial"/>
                  <w:sz w:val="18"/>
                  <w:szCs w:val="18"/>
                  <w:color w:val="0000FF"/>
                  <w:w w:val="79"/>
                </w:rPr>
                <w:t>2</w:t>
              </w:r>
            </w:hyperlink>
          </w:p>
        </w:tc>
      </w:tr>
      <w:tr>
        <w:trPr>
          <w:trHeight w:val="244"/>
        </w:trPr>
        <w:tc>
          <w:tcPr>
            <w:tcW w:w="8560" w:type="dxa"/>
            <w:vAlign w:val="bottom"/>
            <w:tcBorders>
              <w:bottom w:val="single" w:sz="8" w:color="0000EE"/>
            </w:tcBorders>
            <w:gridSpan w:val="6"/>
          </w:tcPr>
          <w:p>
            <w:pPr>
              <w:spacing w:after="0"/>
              <w:rPr>
                <w:rFonts w:ascii="Arial" w:cs="Arial" w:eastAsia="Arial" w:hAnsi="Arial"/>
                <w:sz w:val="16"/>
                <w:szCs w:val="16"/>
                <w:color w:val="0000EE"/>
              </w:rPr>
            </w:pPr>
            <w:hyperlink w:anchor="page4">
              <w:r>
                <w:rPr>
                  <w:rFonts w:ascii="Arial" w:cs="Arial" w:eastAsia="Arial" w:hAnsi="Arial"/>
                  <w:sz w:val="16"/>
                  <w:szCs w:val="16"/>
                  <w:color w:val="0000EE"/>
                </w:rPr>
                <w:t>Interim Condensed Consolidated and Combined Statements of Operations and Comprehensive Income (Loss)</w:t>
              </w:r>
            </w:hyperlink>
          </w:p>
        </w:tc>
        <w:tc>
          <w:tcPr>
            <w:tcW w:w="1460" w:type="dxa"/>
            <w:vAlign w:val="bottom"/>
          </w:tcPr>
          <w:p>
            <w:pPr>
              <w:spacing w:after="0"/>
              <w:rPr>
                <w:sz w:val="21"/>
                <w:szCs w:val="21"/>
                <w:color w:val="auto"/>
              </w:rPr>
            </w:pPr>
          </w:p>
        </w:tc>
        <w:tc>
          <w:tcPr>
            <w:tcW w:w="100" w:type="dxa"/>
            <w:vAlign w:val="bottom"/>
            <w:tcBorders>
              <w:bottom w:val="single" w:sz="8" w:color="0000FF"/>
            </w:tcBorders>
          </w:tcPr>
          <w:p>
            <w:pPr>
              <w:jc w:val="right"/>
              <w:spacing w:after="0"/>
              <w:rPr>
                <w:rFonts w:ascii="Arial" w:cs="Arial" w:eastAsia="Arial" w:hAnsi="Arial"/>
                <w:sz w:val="18"/>
                <w:szCs w:val="18"/>
                <w:color w:val="0000FF"/>
                <w:w w:val="79"/>
              </w:rPr>
            </w:pPr>
            <w:hyperlink w:anchor="page4">
              <w:r>
                <w:rPr>
                  <w:rFonts w:ascii="Arial" w:cs="Arial" w:eastAsia="Arial" w:hAnsi="Arial"/>
                  <w:sz w:val="18"/>
                  <w:szCs w:val="18"/>
                  <w:color w:val="0000FF"/>
                  <w:w w:val="79"/>
                </w:rPr>
                <w:t>3</w:t>
              </w:r>
            </w:hyperlink>
          </w:p>
        </w:tc>
      </w:tr>
      <w:tr>
        <w:trPr>
          <w:trHeight w:val="257"/>
        </w:trPr>
        <w:tc>
          <w:tcPr>
            <w:tcW w:w="8560" w:type="dxa"/>
            <w:vAlign w:val="bottom"/>
            <w:gridSpan w:val="6"/>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Interim Condensed Consolidated and Combined Statements of Equity</w:t>
              </w:r>
            </w:hyperlink>
          </w:p>
        </w:tc>
        <w:tc>
          <w:tcPr>
            <w:tcW w:w="1560" w:type="dxa"/>
            <w:vAlign w:val="bottom"/>
            <w:gridSpan w:val="2"/>
          </w:tcPr>
          <w:p>
            <w:pPr>
              <w:jc w:val="right"/>
              <w:spacing w:after="0"/>
              <w:rPr>
                <w:rFonts w:ascii="Arial" w:cs="Arial" w:eastAsia="Arial" w:hAnsi="Arial"/>
                <w:sz w:val="18"/>
                <w:szCs w:val="18"/>
                <w:color w:val="0000FF"/>
              </w:rPr>
            </w:pPr>
            <w:hyperlink w:anchor="page5">
              <w:r>
                <w:rPr>
                  <w:rFonts w:ascii="Arial" w:cs="Arial" w:eastAsia="Arial" w:hAnsi="Arial"/>
                  <w:sz w:val="18"/>
                  <w:szCs w:val="18"/>
                  <w:color w:val="0000FF"/>
                </w:rPr>
                <w:t>4</w:t>
              </w:r>
            </w:hyperlink>
          </w:p>
        </w:tc>
      </w:tr>
      <w:tr>
        <w:trPr>
          <w:trHeight w:val="20"/>
        </w:trPr>
        <w:tc>
          <w:tcPr>
            <w:tcW w:w="5020" w:type="dxa"/>
            <w:vAlign w:val="bottom"/>
            <w:gridSpan w:val="2"/>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580" w:type="dxa"/>
            <w:vAlign w:val="bottom"/>
            <w:gridSpan w:val="2"/>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r>
      <w:tr>
        <w:trPr>
          <w:trHeight w:val="250"/>
        </w:trPr>
        <w:tc>
          <w:tcPr>
            <w:tcW w:w="5400" w:type="dxa"/>
            <w:vAlign w:val="bottom"/>
            <w:tcBorders>
              <w:bottom w:val="single" w:sz="8" w:color="0000EE"/>
            </w:tcBorders>
            <w:gridSpan w:val="3"/>
          </w:tcPr>
          <w:p>
            <w:pPr>
              <w:spacing w:after="0"/>
              <w:rPr>
                <w:rFonts w:ascii="Arial" w:cs="Arial" w:eastAsia="Arial" w:hAnsi="Arial"/>
                <w:sz w:val="18"/>
                <w:szCs w:val="18"/>
                <w:color w:val="0000EE"/>
                <w:w w:val="89"/>
              </w:rPr>
            </w:pPr>
            <w:hyperlink w:anchor="page6">
              <w:r>
                <w:rPr>
                  <w:rFonts w:ascii="Arial" w:cs="Arial" w:eastAsia="Arial" w:hAnsi="Arial"/>
                  <w:sz w:val="18"/>
                  <w:szCs w:val="18"/>
                  <w:color w:val="0000EE"/>
                  <w:w w:val="89"/>
                </w:rPr>
                <w:t>Interim Condensed Consolidated and Combined Statements of Cash Flows</w:t>
              </w:r>
            </w:hyperlink>
          </w:p>
        </w:tc>
        <w:tc>
          <w:tcPr>
            <w:tcW w:w="3160" w:type="dxa"/>
            <w:vAlign w:val="bottom"/>
            <w:gridSpan w:val="3"/>
          </w:tcPr>
          <w:p>
            <w:pPr>
              <w:spacing w:after="0"/>
              <w:rPr>
                <w:sz w:val="21"/>
                <w:szCs w:val="21"/>
                <w:color w:val="auto"/>
              </w:rPr>
            </w:pPr>
          </w:p>
        </w:tc>
        <w:tc>
          <w:tcPr>
            <w:tcW w:w="1460" w:type="dxa"/>
            <w:vAlign w:val="bottom"/>
          </w:tcPr>
          <w:p>
            <w:pPr>
              <w:spacing w:after="0"/>
              <w:rPr>
                <w:sz w:val="21"/>
                <w:szCs w:val="21"/>
                <w:color w:val="auto"/>
              </w:rPr>
            </w:pPr>
          </w:p>
        </w:tc>
        <w:tc>
          <w:tcPr>
            <w:tcW w:w="100" w:type="dxa"/>
            <w:vAlign w:val="bottom"/>
            <w:tcBorders>
              <w:bottom w:val="single" w:sz="8" w:color="0000FF"/>
            </w:tcBorders>
          </w:tcPr>
          <w:p>
            <w:pPr>
              <w:jc w:val="right"/>
              <w:spacing w:after="0"/>
              <w:rPr>
                <w:rFonts w:ascii="Arial" w:cs="Arial" w:eastAsia="Arial" w:hAnsi="Arial"/>
                <w:sz w:val="18"/>
                <w:szCs w:val="18"/>
                <w:color w:val="0000FF"/>
                <w:w w:val="79"/>
              </w:rPr>
            </w:pPr>
            <w:hyperlink w:anchor="page6">
              <w:r>
                <w:rPr>
                  <w:rFonts w:ascii="Arial" w:cs="Arial" w:eastAsia="Arial" w:hAnsi="Arial"/>
                  <w:sz w:val="18"/>
                  <w:szCs w:val="18"/>
                  <w:color w:val="0000FF"/>
                  <w:w w:val="79"/>
                </w:rPr>
                <w:t>5</w:t>
              </w:r>
            </w:hyperlink>
          </w:p>
        </w:tc>
      </w:tr>
      <w:tr>
        <w:trPr>
          <w:trHeight w:val="250"/>
        </w:trPr>
        <w:tc>
          <w:tcPr>
            <w:tcW w:w="8560" w:type="dxa"/>
            <w:vAlign w:val="bottom"/>
            <w:gridSpan w:val="6"/>
          </w:tcPr>
          <w:p>
            <w:pPr>
              <w:spacing w:after="0"/>
              <w:rPr>
                <w:rFonts w:ascii="Arial" w:cs="Arial" w:eastAsia="Arial" w:hAnsi="Arial"/>
                <w:sz w:val="18"/>
                <w:szCs w:val="18"/>
                <w:color w:val="0000EE"/>
              </w:rPr>
            </w:pPr>
            <w:hyperlink w:anchor="page8">
              <w:r>
                <w:rPr>
                  <w:rFonts w:ascii="Arial" w:cs="Arial" w:eastAsia="Arial" w:hAnsi="Arial"/>
                  <w:sz w:val="18"/>
                  <w:szCs w:val="18"/>
                  <w:color w:val="0000EE"/>
                </w:rPr>
                <w:t>Notes to the Interim Condensed Consolidated and Combined Financial Statements:</w:t>
              </w:r>
            </w:hyperlink>
          </w:p>
        </w:tc>
        <w:tc>
          <w:tcPr>
            <w:tcW w:w="14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0"/>
        </w:trPr>
        <w:tc>
          <w:tcPr>
            <w:tcW w:w="46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160" w:type="dxa"/>
            <w:vAlign w:val="bottom"/>
            <w:gridSpan w:val="19"/>
          </w:tcPr>
          <w:p>
            <w:pPr>
              <w:spacing w:after="0"/>
              <w:rPr>
                <w:rFonts w:ascii="Arial" w:cs="Arial" w:eastAsia="Arial" w:hAnsi="Arial"/>
                <w:sz w:val="18"/>
                <w:szCs w:val="18"/>
                <w:color w:val="0000FF"/>
              </w:rPr>
            </w:pPr>
            <w:hyperlink w:anchor="page8">
              <w:r>
                <w:rPr>
                  <w:rFonts w:ascii="Arial" w:cs="Arial" w:eastAsia="Arial" w:hAnsi="Arial"/>
                  <w:sz w:val="18"/>
                  <w:szCs w:val="18"/>
                  <w:color w:val="0000FF"/>
                </w:rPr>
                <w:t>Note 1 — Business, Basis of Presentation and Summary of Significant Accounting Policies</w:t>
              </w:r>
            </w:hyperlink>
          </w:p>
        </w:tc>
        <w:tc>
          <w:tcPr>
            <w:tcW w:w="1840" w:type="dxa"/>
            <w:vAlign w:val="bottom"/>
            <w:gridSpan w:val="4"/>
          </w:tcPr>
          <w:p>
            <w:pPr>
              <w:jc w:val="right"/>
              <w:spacing w:after="0"/>
              <w:rPr>
                <w:rFonts w:ascii="Arial" w:cs="Arial" w:eastAsia="Arial" w:hAnsi="Arial"/>
                <w:sz w:val="18"/>
                <w:szCs w:val="18"/>
                <w:color w:val="0000EE"/>
              </w:rPr>
            </w:pPr>
            <w:hyperlink w:anchor="page8">
              <w:r>
                <w:rPr>
                  <w:rFonts w:ascii="Arial" w:cs="Arial" w:eastAsia="Arial" w:hAnsi="Arial"/>
                  <w:sz w:val="18"/>
                  <w:szCs w:val="18"/>
                  <w:color w:val="0000EE"/>
                </w:rPr>
                <w:t>6</w:t>
              </w:r>
            </w:hyperlink>
          </w:p>
        </w:tc>
      </w:tr>
      <w:tr>
        <w:trPr>
          <w:trHeight w:val="20"/>
        </w:trPr>
        <w:tc>
          <w:tcPr>
            <w:tcW w:w="8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560" w:type="dxa"/>
            <w:vAlign w:val="bottom"/>
            <w:tcBorders>
              <w:left w:val="single" w:sz="8" w:color="0000FF"/>
            </w:tcBorders>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1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250"/>
        </w:trPr>
        <w:tc>
          <w:tcPr>
            <w:tcW w:w="8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580" w:type="dxa"/>
            <w:vAlign w:val="bottom"/>
            <w:gridSpan w:val="18"/>
          </w:tcPr>
          <w:p>
            <w:pPr>
              <w:spacing w:after="0"/>
              <w:rPr>
                <w:rFonts w:ascii="Arial" w:cs="Arial" w:eastAsia="Arial" w:hAnsi="Arial"/>
                <w:sz w:val="18"/>
                <w:szCs w:val="18"/>
                <w:color w:val="0000EE"/>
              </w:rPr>
            </w:pPr>
            <w:hyperlink w:anchor="page12">
              <w:r>
                <w:rPr>
                  <w:rFonts w:ascii="Arial" w:cs="Arial" w:eastAsia="Arial" w:hAnsi="Arial"/>
                  <w:sz w:val="18"/>
                  <w:szCs w:val="18"/>
                  <w:color w:val="0000EE"/>
                </w:rPr>
                <w:t>Note 2 — Segment Information</w:t>
              </w:r>
            </w:hyperlink>
          </w:p>
        </w:tc>
        <w:tc>
          <w:tcPr>
            <w:tcW w:w="1580" w:type="dxa"/>
            <w:vAlign w:val="bottom"/>
          </w:tcPr>
          <w:p>
            <w:pPr>
              <w:spacing w:after="0"/>
              <w:rPr>
                <w:sz w:val="21"/>
                <w:szCs w:val="21"/>
                <w:color w:val="auto"/>
              </w:rPr>
            </w:pPr>
          </w:p>
        </w:tc>
        <w:tc>
          <w:tcPr>
            <w:tcW w:w="1840" w:type="dxa"/>
            <w:vAlign w:val="bottom"/>
            <w:gridSpan w:val="4"/>
          </w:tcPr>
          <w:p>
            <w:pPr>
              <w:jc w:val="right"/>
              <w:spacing w:after="0"/>
              <w:rPr>
                <w:rFonts w:ascii="Arial" w:cs="Arial" w:eastAsia="Arial" w:hAnsi="Arial"/>
                <w:sz w:val="18"/>
                <w:szCs w:val="18"/>
                <w:color w:val="0000EE"/>
              </w:rPr>
            </w:pPr>
            <w:hyperlink w:anchor="page12">
              <w:r>
                <w:rPr>
                  <w:rFonts w:ascii="Arial" w:cs="Arial" w:eastAsia="Arial" w:hAnsi="Arial"/>
                  <w:sz w:val="18"/>
                  <w:szCs w:val="18"/>
                  <w:color w:val="0000EE"/>
                </w:rPr>
                <w:t>10</w:t>
              </w:r>
            </w:hyperlink>
          </w:p>
        </w:tc>
      </w:tr>
      <w:tr>
        <w:trPr>
          <w:trHeight w:val="20"/>
        </w:trPr>
        <w:tc>
          <w:tcPr>
            <w:tcW w:w="8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560" w:type="dxa"/>
            <w:vAlign w:val="bottom"/>
            <w:tcBorders>
              <w:left w:val="single" w:sz="8" w:color="0000EE"/>
            </w:tcBorders>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8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60" w:type="dxa"/>
            <w:vAlign w:val="bottom"/>
            <w:gridSpan w:val="7"/>
          </w:tcPr>
          <w:p>
            <w:pPr>
              <w:spacing w:after="0"/>
              <w:rPr>
                <w:rFonts w:ascii="Arial" w:cs="Arial" w:eastAsia="Arial" w:hAnsi="Arial"/>
                <w:sz w:val="18"/>
                <w:szCs w:val="18"/>
                <w:color w:val="0000FF"/>
                <w:w w:val="89"/>
              </w:rPr>
            </w:pPr>
            <w:hyperlink w:anchor="page16">
              <w:r>
                <w:rPr>
                  <w:rFonts w:ascii="Arial" w:cs="Arial" w:eastAsia="Arial" w:hAnsi="Arial"/>
                  <w:sz w:val="18"/>
                  <w:szCs w:val="18"/>
                  <w:color w:val="0000FF"/>
                  <w:w w:val="89"/>
                </w:rPr>
                <w:t>Note 3 — Insurance</w:t>
              </w:r>
            </w:hyperlink>
          </w:p>
        </w:tc>
        <w:tc>
          <w:tcPr>
            <w:tcW w:w="760" w:type="dxa"/>
            <w:vAlign w:val="bottom"/>
            <w:gridSpan w:val="4"/>
          </w:tcPr>
          <w:p>
            <w:pPr>
              <w:spacing w:after="0"/>
              <w:rPr>
                <w:sz w:val="21"/>
                <w:szCs w:val="21"/>
                <w:color w:val="auto"/>
              </w:rPr>
            </w:pPr>
          </w:p>
        </w:tc>
        <w:tc>
          <w:tcPr>
            <w:tcW w:w="5940" w:type="dxa"/>
            <w:vAlign w:val="bottom"/>
            <w:gridSpan w:val="8"/>
          </w:tcPr>
          <w:p>
            <w:pPr>
              <w:spacing w:after="0"/>
              <w:rPr>
                <w:sz w:val="21"/>
                <w:szCs w:val="21"/>
                <w:color w:val="auto"/>
              </w:rPr>
            </w:pPr>
          </w:p>
        </w:tc>
        <w:tc>
          <w:tcPr>
            <w:tcW w:w="1840" w:type="dxa"/>
            <w:vAlign w:val="bottom"/>
            <w:gridSpan w:val="4"/>
          </w:tcPr>
          <w:p>
            <w:pPr>
              <w:jc w:val="right"/>
              <w:spacing w:after="0"/>
              <w:rPr>
                <w:rFonts w:ascii="Arial" w:cs="Arial" w:eastAsia="Arial" w:hAnsi="Arial"/>
                <w:sz w:val="18"/>
                <w:szCs w:val="18"/>
                <w:color w:val="0000EE"/>
              </w:rPr>
            </w:pPr>
            <w:hyperlink w:anchor="page16">
              <w:r>
                <w:rPr>
                  <w:rFonts w:ascii="Arial" w:cs="Arial" w:eastAsia="Arial" w:hAnsi="Arial"/>
                  <w:sz w:val="18"/>
                  <w:szCs w:val="18"/>
                  <w:color w:val="0000EE"/>
                </w:rPr>
                <w:t>14</w:t>
              </w:r>
            </w:hyperlink>
          </w:p>
        </w:tc>
      </w:tr>
      <w:tr>
        <w:trPr>
          <w:trHeight w:val="20"/>
        </w:trPr>
        <w:tc>
          <w:tcPr>
            <w:tcW w:w="8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8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160" w:type="dxa"/>
            <w:vAlign w:val="bottom"/>
            <w:gridSpan w:val="19"/>
          </w:tcPr>
          <w:p>
            <w:pPr>
              <w:spacing w:after="0"/>
              <w:rPr>
                <w:rFonts w:ascii="Arial" w:cs="Arial" w:eastAsia="Arial" w:hAnsi="Arial"/>
                <w:sz w:val="18"/>
                <w:szCs w:val="18"/>
                <w:color w:val="0000EE"/>
              </w:rPr>
            </w:pPr>
            <w:hyperlink w:anchor="page18">
              <w:r>
                <w:rPr>
                  <w:rFonts w:ascii="Arial" w:cs="Arial" w:eastAsia="Arial" w:hAnsi="Arial"/>
                  <w:sz w:val="18"/>
                  <w:szCs w:val="18"/>
                  <w:color w:val="0000EE"/>
                </w:rPr>
                <w:t>Note 4 — Investments</w:t>
              </w:r>
            </w:hyperlink>
          </w:p>
        </w:tc>
        <w:tc>
          <w:tcPr>
            <w:tcW w:w="1840" w:type="dxa"/>
            <w:vAlign w:val="bottom"/>
            <w:gridSpan w:val="4"/>
          </w:tcPr>
          <w:p>
            <w:pPr>
              <w:jc w:val="right"/>
              <w:spacing w:after="0"/>
              <w:rPr>
                <w:rFonts w:ascii="Arial" w:cs="Arial" w:eastAsia="Arial" w:hAnsi="Arial"/>
                <w:sz w:val="18"/>
                <w:szCs w:val="18"/>
                <w:color w:val="0000EE"/>
              </w:rPr>
            </w:pPr>
            <w:hyperlink w:anchor="page18">
              <w:r>
                <w:rPr>
                  <w:rFonts w:ascii="Arial" w:cs="Arial" w:eastAsia="Arial" w:hAnsi="Arial"/>
                  <w:sz w:val="18"/>
                  <w:szCs w:val="18"/>
                  <w:color w:val="0000EE"/>
                </w:rPr>
                <w:t>16</w:t>
              </w:r>
            </w:hyperlink>
          </w:p>
        </w:tc>
      </w:tr>
      <w:tr>
        <w:trPr>
          <w:trHeight w:val="20"/>
        </w:trPr>
        <w:tc>
          <w:tcPr>
            <w:tcW w:w="8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300" w:type="dxa"/>
            <w:vAlign w:val="bottom"/>
            <w:tcBorders>
              <w:left w:val="single" w:sz="8" w:color="0000EE"/>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8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580" w:type="dxa"/>
            <w:vAlign w:val="bottom"/>
            <w:gridSpan w:val="9"/>
          </w:tcPr>
          <w:p>
            <w:pPr>
              <w:spacing w:after="0"/>
              <w:rPr>
                <w:rFonts w:ascii="Arial" w:cs="Arial" w:eastAsia="Arial" w:hAnsi="Arial"/>
                <w:sz w:val="18"/>
                <w:szCs w:val="18"/>
                <w:color w:val="0000EE"/>
                <w:w w:val="90"/>
              </w:rPr>
            </w:pPr>
            <w:hyperlink w:anchor="page31">
              <w:r>
                <w:rPr>
                  <w:rFonts w:ascii="Arial" w:cs="Arial" w:eastAsia="Arial" w:hAnsi="Arial"/>
                  <w:sz w:val="18"/>
                  <w:szCs w:val="18"/>
                  <w:color w:val="0000EE"/>
                  <w:w w:val="90"/>
                </w:rPr>
                <w:t>Note 5 — Derivatives</w:t>
              </w:r>
            </w:hyperlink>
          </w:p>
        </w:tc>
        <w:tc>
          <w:tcPr>
            <w:tcW w:w="6580" w:type="dxa"/>
            <w:vAlign w:val="bottom"/>
            <w:gridSpan w:val="10"/>
          </w:tcPr>
          <w:p>
            <w:pPr>
              <w:spacing w:after="0"/>
              <w:rPr>
                <w:sz w:val="21"/>
                <w:szCs w:val="21"/>
                <w:color w:val="auto"/>
              </w:rPr>
            </w:pPr>
          </w:p>
        </w:tc>
        <w:tc>
          <w:tcPr>
            <w:tcW w:w="1840" w:type="dxa"/>
            <w:vAlign w:val="bottom"/>
            <w:gridSpan w:val="4"/>
          </w:tcPr>
          <w:p>
            <w:pPr>
              <w:jc w:val="right"/>
              <w:spacing w:after="0"/>
              <w:rPr>
                <w:rFonts w:ascii="Arial" w:cs="Arial" w:eastAsia="Arial" w:hAnsi="Arial"/>
                <w:sz w:val="18"/>
                <w:szCs w:val="18"/>
                <w:color w:val="0000EE"/>
              </w:rPr>
            </w:pPr>
            <w:hyperlink w:anchor="page31">
              <w:r>
                <w:rPr>
                  <w:rFonts w:ascii="Arial" w:cs="Arial" w:eastAsia="Arial" w:hAnsi="Arial"/>
                  <w:sz w:val="18"/>
                  <w:szCs w:val="18"/>
                  <w:color w:val="0000EE"/>
                </w:rPr>
                <w:t>29</w:t>
              </w:r>
            </w:hyperlink>
          </w:p>
        </w:tc>
      </w:tr>
      <w:tr>
        <w:trPr>
          <w:trHeight w:val="20"/>
        </w:trPr>
        <w:tc>
          <w:tcPr>
            <w:tcW w:w="8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8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500" w:type="dxa"/>
            <w:vAlign w:val="bottom"/>
            <w:gridSpan w:val="8"/>
          </w:tcPr>
          <w:p>
            <w:pPr>
              <w:spacing w:after="0"/>
              <w:rPr>
                <w:rFonts w:ascii="Arial" w:cs="Arial" w:eastAsia="Arial" w:hAnsi="Arial"/>
                <w:sz w:val="18"/>
                <w:szCs w:val="18"/>
                <w:color w:val="0000EE"/>
                <w:w w:val="90"/>
              </w:rPr>
            </w:pPr>
            <w:hyperlink w:anchor="page45">
              <w:r>
                <w:rPr>
                  <w:rFonts w:ascii="Arial" w:cs="Arial" w:eastAsia="Arial" w:hAnsi="Arial"/>
                  <w:sz w:val="18"/>
                  <w:szCs w:val="18"/>
                  <w:color w:val="0000EE"/>
                  <w:w w:val="90"/>
                </w:rPr>
                <w:t>Note 6 — Fair Value</w:t>
              </w:r>
            </w:hyperlink>
          </w:p>
        </w:tc>
        <w:tc>
          <w:tcPr>
            <w:tcW w:w="80" w:type="dxa"/>
            <w:vAlign w:val="bottom"/>
          </w:tcPr>
          <w:p>
            <w:pPr>
              <w:spacing w:after="0"/>
              <w:rPr>
                <w:sz w:val="21"/>
                <w:szCs w:val="21"/>
                <w:color w:val="auto"/>
              </w:rPr>
            </w:pPr>
          </w:p>
        </w:tc>
        <w:tc>
          <w:tcPr>
            <w:tcW w:w="6580" w:type="dxa"/>
            <w:vAlign w:val="bottom"/>
            <w:gridSpan w:val="10"/>
          </w:tcPr>
          <w:p>
            <w:pPr>
              <w:spacing w:after="0"/>
              <w:rPr>
                <w:sz w:val="21"/>
                <w:szCs w:val="21"/>
                <w:color w:val="auto"/>
              </w:rPr>
            </w:pPr>
          </w:p>
        </w:tc>
        <w:tc>
          <w:tcPr>
            <w:tcW w:w="1840" w:type="dxa"/>
            <w:vAlign w:val="bottom"/>
            <w:gridSpan w:val="4"/>
          </w:tcPr>
          <w:p>
            <w:pPr>
              <w:jc w:val="right"/>
              <w:spacing w:after="0"/>
              <w:rPr>
                <w:rFonts w:ascii="Arial" w:cs="Arial" w:eastAsia="Arial" w:hAnsi="Arial"/>
                <w:sz w:val="18"/>
                <w:szCs w:val="18"/>
                <w:color w:val="0000EE"/>
              </w:rPr>
            </w:pPr>
            <w:hyperlink w:anchor="page45">
              <w:r>
                <w:rPr>
                  <w:rFonts w:ascii="Arial" w:cs="Arial" w:eastAsia="Arial" w:hAnsi="Arial"/>
                  <w:sz w:val="18"/>
                  <w:szCs w:val="18"/>
                  <w:color w:val="0000EE"/>
                </w:rPr>
                <w:t>43</w:t>
              </w:r>
            </w:hyperlink>
          </w:p>
        </w:tc>
      </w:tr>
      <w:tr>
        <w:trPr>
          <w:trHeight w:val="20"/>
        </w:trPr>
        <w:tc>
          <w:tcPr>
            <w:tcW w:w="8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8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160" w:type="dxa"/>
            <w:vAlign w:val="bottom"/>
            <w:gridSpan w:val="19"/>
          </w:tcPr>
          <w:p>
            <w:pPr>
              <w:spacing w:after="0"/>
              <w:rPr>
                <w:rFonts w:ascii="Arial" w:cs="Arial" w:eastAsia="Arial" w:hAnsi="Arial"/>
                <w:sz w:val="18"/>
                <w:szCs w:val="18"/>
                <w:color w:val="0000EE"/>
              </w:rPr>
            </w:pPr>
            <w:hyperlink w:anchor="page62">
              <w:r>
                <w:rPr>
                  <w:rFonts w:ascii="Arial" w:cs="Arial" w:eastAsia="Arial" w:hAnsi="Arial"/>
                  <w:sz w:val="18"/>
                  <w:szCs w:val="18"/>
                  <w:color w:val="0000EE"/>
                </w:rPr>
                <w:t>Note 7 — Debt and Collateral Financing Arrangement</w:t>
              </w:r>
            </w:hyperlink>
          </w:p>
        </w:tc>
        <w:tc>
          <w:tcPr>
            <w:tcW w:w="1840" w:type="dxa"/>
            <w:vAlign w:val="bottom"/>
            <w:gridSpan w:val="4"/>
          </w:tcPr>
          <w:p>
            <w:pPr>
              <w:jc w:val="right"/>
              <w:spacing w:after="0"/>
              <w:rPr>
                <w:rFonts w:ascii="Arial" w:cs="Arial" w:eastAsia="Arial" w:hAnsi="Arial"/>
                <w:sz w:val="18"/>
                <w:szCs w:val="18"/>
                <w:color w:val="0000EE"/>
              </w:rPr>
            </w:pPr>
            <w:hyperlink w:anchor="page62">
              <w:r>
                <w:rPr>
                  <w:rFonts w:ascii="Arial" w:cs="Arial" w:eastAsia="Arial" w:hAnsi="Arial"/>
                  <w:sz w:val="18"/>
                  <w:szCs w:val="18"/>
                  <w:color w:val="0000EE"/>
                </w:rPr>
                <w:t>60</w:t>
              </w:r>
            </w:hyperlink>
          </w:p>
        </w:tc>
      </w:tr>
      <w:tr>
        <w:trPr>
          <w:trHeight w:val="20"/>
        </w:trPr>
        <w:tc>
          <w:tcPr>
            <w:tcW w:w="8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40" w:type="dxa"/>
            <w:vAlign w:val="bottom"/>
            <w:tcBorders>
              <w:right w:val="single" w:sz="8" w:color="0000EE"/>
            </w:tcBorders>
            <w:gridSpan w:val="3"/>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560" w:type="dxa"/>
            <w:vAlign w:val="bottom"/>
            <w:tcBorders>
              <w:left w:val="single" w:sz="8" w:color="0000EE"/>
            </w:tcBorders>
            <w:shd w:val="clear" w:color="auto" w:fill="0000EE"/>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8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40" w:type="dxa"/>
            <w:vAlign w:val="bottom"/>
            <w:gridSpan w:val="6"/>
          </w:tcPr>
          <w:p>
            <w:pPr>
              <w:spacing w:after="0"/>
              <w:rPr>
                <w:rFonts w:ascii="Arial" w:cs="Arial" w:eastAsia="Arial" w:hAnsi="Arial"/>
                <w:sz w:val="18"/>
                <w:szCs w:val="18"/>
                <w:color w:val="0000EE"/>
                <w:w w:val="93"/>
              </w:rPr>
            </w:pPr>
            <w:hyperlink w:anchor="page63">
              <w:r>
                <w:rPr>
                  <w:rFonts w:ascii="Arial" w:cs="Arial" w:eastAsia="Arial" w:hAnsi="Arial"/>
                  <w:sz w:val="18"/>
                  <w:szCs w:val="18"/>
                  <w:color w:val="0000EE"/>
                  <w:w w:val="93"/>
                </w:rPr>
                <w:t>Note 8 — Equity</w:t>
              </w:r>
            </w:hyperlink>
          </w:p>
        </w:tc>
        <w:tc>
          <w:tcPr>
            <w:tcW w:w="2680" w:type="dxa"/>
            <w:vAlign w:val="bottom"/>
            <w:gridSpan w:val="7"/>
          </w:tcPr>
          <w:p>
            <w:pPr>
              <w:spacing w:after="0"/>
              <w:rPr>
                <w:sz w:val="21"/>
                <w:szCs w:val="21"/>
                <w:color w:val="auto"/>
              </w:rPr>
            </w:pPr>
          </w:p>
        </w:tc>
        <w:tc>
          <w:tcPr>
            <w:tcW w:w="4240" w:type="dxa"/>
            <w:vAlign w:val="bottom"/>
            <w:gridSpan w:val="6"/>
          </w:tcPr>
          <w:p>
            <w:pPr>
              <w:spacing w:after="0"/>
              <w:rPr>
                <w:sz w:val="21"/>
                <w:szCs w:val="21"/>
                <w:color w:val="auto"/>
              </w:rPr>
            </w:pPr>
          </w:p>
        </w:tc>
        <w:tc>
          <w:tcPr>
            <w:tcW w:w="1840" w:type="dxa"/>
            <w:vAlign w:val="bottom"/>
            <w:gridSpan w:val="4"/>
          </w:tcPr>
          <w:p>
            <w:pPr>
              <w:jc w:val="right"/>
              <w:spacing w:after="0"/>
              <w:rPr>
                <w:rFonts w:ascii="Arial" w:cs="Arial" w:eastAsia="Arial" w:hAnsi="Arial"/>
                <w:sz w:val="18"/>
                <w:szCs w:val="18"/>
                <w:color w:val="0000EE"/>
              </w:rPr>
            </w:pPr>
            <w:hyperlink w:anchor="page63">
              <w:r>
                <w:rPr>
                  <w:rFonts w:ascii="Arial" w:cs="Arial" w:eastAsia="Arial" w:hAnsi="Arial"/>
                  <w:sz w:val="18"/>
                  <w:szCs w:val="18"/>
                  <w:color w:val="0000EE"/>
                </w:rPr>
                <w:t>61</w:t>
              </w:r>
            </w:hyperlink>
          </w:p>
        </w:tc>
      </w:tr>
      <w:tr>
        <w:trPr>
          <w:trHeight w:val="20"/>
        </w:trPr>
        <w:tc>
          <w:tcPr>
            <w:tcW w:w="8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8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160" w:type="dxa"/>
            <w:vAlign w:val="bottom"/>
            <w:gridSpan w:val="19"/>
          </w:tcPr>
          <w:p>
            <w:pPr>
              <w:spacing w:after="0"/>
              <w:rPr>
                <w:rFonts w:ascii="Arial" w:cs="Arial" w:eastAsia="Arial" w:hAnsi="Arial"/>
                <w:sz w:val="18"/>
                <w:szCs w:val="18"/>
                <w:color w:val="0000EE"/>
              </w:rPr>
            </w:pPr>
            <w:hyperlink w:anchor="page67">
              <w:r>
                <w:rPr>
                  <w:rFonts w:ascii="Arial" w:cs="Arial" w:eastAsia="Arial" w:hAnsi="Arial"/>
                  <w:sz w:val="18"/>
                  <w:szCs w:val="18"/>
                  <w:color w:val="0000EE"/>
                </w:rPr>
                <w:t>Note 9 — Other Expenses</w:t>
              </w:r>
            </w:hyperlink>
          </w:p>
        </w:tc>
        <w:tc>
          <w:tcPr>
            <w:tcW w:w="1840" w:type="dxa"/>
            <w:vAlign w:val="bottom"/>
            <w:gridSpan w:val="4"/>
          </w:tcPr>
          <w:p>
            <w:pPr>
              <w:jc w:val="right"/>
              <w:spacing w:after="0"/>
              <w:rPr>
                <w:rFonts w:ascii="Arial" w:cs="Arial" w:eastAsia="Arial" w:hAnsi="Arial"/>
                <w:sz w:val="18"/>
                <w:szCs w:val="18"/>
                <w:color w:val="0000EE"/>
              </w:rPr>
            </w:pPr>
            <w:hyperlink w:anchor="page67">
              <w:r>
                <w:rPr>
                  <w:rFonts w:ascii="Arial" w:cs="Arial" w:eastAsia="Arial" w:hAnsi="Arial"/>
                  <w:sz w:val="18"/>
                  <w:szCs w:val="18"/>
                  <w:color w:val="0000EE"/>
                </w:rPr>
                <w:t>65</w:t>
              </w:r>
            </w:hyperlink>
          </w:p>
        </w:tc>
      </w:tr>
      <w:tr>
        <w:trPr>
          <w:trHeight w:val="20"/>
        </w:trPr>
        <w:tc>
          <w:tcPr>
            <w:tcW w:w="8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60" w:type="dxa"/>
            <w:vAlign w:val="bottom"/>
            <w:tcBorders>
              <w:right w:val="single" w:sz="8" w:color="0000EE"/>
            </w:tcBorders>
            <w:gridSpan w:val="4"/>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8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160" w:type="dxa"/>
            <w:vAlign w:val="bottom"/>
            <w:gridSpan w:val="19"/>
          </w:tcPr>
          <w:p>
            <w:pPr>
              <w:spacing w:after="0"/>
              <w:rPr>
                <w:rFonts w:ascii="Arial" w:cs="Arial" w:eastAsia="Arial" w:hAnsi="Arial"/>
                <w:sz w:val="18"/>
                <w:szCs w:val="18"/>
                <w:color w:val="0000EE"/>
              </w:rPr>
            </w:pPr>
            <w:hyperlink w:anchor="page67">
              <w:r>
                <w:rPr>
                  <w:rFonts w:ascii="Arial" w:cs="Arial" w:eastAsia="Arial" w:hAnsi="Arial"/>
                  <w:sz w:val="18"/>
                  <w:szCs w:val="18"/>
                  <w:color w:val="0000EE"/>
                </w:rPr>
                <w:t>Note 10 — Earnings Per Share</w:t>
              </w:r>
            </w:hyperlink>
          </w:p>
        </w:tc>
        <w:tc>
          <w:tcPr>
            <w:tcW w:w="1840" w:type="dxa"/>
            <w:vAlign w:val="bottom"/>
            <w:gridSpan w:val="4"/>
          </w:tcPr>
          <w:p>
            <w:pPr>
              <w:jc w:val="right"/>
              <w:spacing w:after="0"/>
              <w:rPr>
                <w:rFonts w:ascii="Arial" w:cs="Arial" w:eastAsia="Arial" w:hAnsi="Arial"/>
                <w:sz w:val="18"/>
                <w:szCs w:val="18"/>
                <w:color w:val="0000EE"/>
              </w:rPr>
            </w:pPr>
            <w:hyperlink w:anchor="page67">
              <w:r>
                <w:rPr>
                  <w:rFonts w:ascii="Arial" w:cs="Arial" w:eastAsia="Arial" w:hAnsi="Arial"/>
                  <w:sz w:val="18"/>
                  <w:szCs w:val="18"/>
                  <w:color w:val="0000EE"/>
                </w:rPr>
                <w:t>65</w:t>
              </w:r>
            </w:hyperlink>
          </w:p>
        </w:tc>
      </w:tr>
      <w:tr>
        <w:trPr>
          <w:trHeight w:val="20"/>
        </w:trPr>
        <w:tc>
          <w:tcPr>
            <w:tcW w:w="8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60" w:type="dxa"/>
            <w:vAlign w:val="bottom"/>
            <w:tcBorders>
              <w:right w:val="single" w:sz="8" w:color="0000EE"/>
            </w:tcBorders>
            <w:gridSpan w:val="4"/>
            <w:shd w:val="clear" w:color="auto" w:fill="0000EE"/>
          </w:tcPr>
          <w:p>
            <w:pPr>
              <w:spacing w:after="0" w:line="20" w:lineRule="exact"/>
              <w:rPr>
                <w:sz w:val="1"/>
                <w:szCs w:val="1"/>
                <w:color w:val="auto"/>
              </w:rPr>
            </w:pPr>
          </w:p>
        </w:tc>
        <w:tc>
          <w:tcPr>
            <w:tcW w:w="640" w:type="dxa"/>
            <w:vAlign w:val="bottom"/>
            <w:tcBorders>
              <w:left w:val="single" w:sz="8" w:color="0000EE"/>
            </w:tcBorders>
            <w:gridSpan w:val="2"/>
            <w:shd w:val="clear" w:color="auto" w:fill="0000E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8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140" w:type="dxa"/>
            <w:vAlign w:val="bottom"/>
            <w:gridSpan w:val="14"/>
          </w:tcPr>
          <w:p>
            <w:pPr>
              <w:spacing w:after="0"/>
              <w:rPr>
                <w:rFonts w:ascii="Arial" w:cs="Arial" w:eastAsia="Arial" w:hAnsi="Arial"/>
                <w:sz w:val="18"/>
                <w:szCs w:val="18"/>
                <w:color w:val="0000EE"/>
                <w:w w:val="89"/>
              </w:rPr>
            </w:pPr>
            <w:hyperlink w:anchor="page67">
              <w:r>
                <w:rPr>
                  <w:rFonts w:ascii="Arial" w:cs="Arial" w:eastAsia="Arial" w:hAnsi="Arial"/>
                  <w:sz w:val="18"/>
                  <w:szCs w:val="18"/>
                  <w:color w:val="0000EE"/>
                  <w:w w:val="89"/>
                </w:rPr>
                <w:t>Note 11 — Contingencies, Commitments and Guarantees</w:t>
              </w:r>
            </w:hyperlink>
          </w:p>
        </w:tc>
        <w:tc>
          <w:tcPr>
            <w:tcW w:w="4020" w:type="dxa"/>
            <w:vAlign w:val="bottom"/>
            <w:gridSpan w:val="5"/>
          </w:tcPr>
          <w:p>
            <w:pPr>
              <w:spacing w:after="0"/>
              <w:rPr>
                <w:sz w:val="21"/>
                <w:szCs w:val="21"/>
                <w:color w:val="auto"/>
              </w:rPr>
            </w:pPr>
          </w:p>
        </w:tc>
        <w:tc>
          <w:tcPr>
            <w:tcW w:w="1840" w:type="dxa"/>
            <w:vAlign w:val="bottom"/>
            <w:gridSpan w:val="4"/>
          </w:tcPr>
          <w:p>
            <w:pPr>
              <w:jc w:val="right"/>
              <w:spacing w:after="0"/>
              <w:rPr>
                <w:rFonts w:ascii="Arial" w:cs="Arial" w:eastAsia="Arial" w:hAnsi="Arial"/>
                <w:sz w:val="18"/>
                <w:szCs w:val="18"/>
                <w:color w:val="0000EE"/>
              </w:rPr>
            </w:pPr>
            <w:hyperlink w:anchor="page67">
              <w:r>
                <w:rPr>
                  <w:rFonts w:ascii="Arial" w:cs="Arial" w:eastAsia="Arial" w:hAnsi="Arial"/>
                  <w:sz w:val="18"/>
                  <w:szCs w:val="18"/>
                  <w:color w:val="0000EE"/>
                </w:rPr>
                <w:t>65</w:t>
              </w:r>
            </w:hyperlink>
          </w:p>
        </w:tc>
      </w:tr>
      <w:tr>
        <w:trPr>
          <w:trHeight w:val="20"/>
        </w:trPr>
        <w:tc>
          <w:tcPr>
            <w:tcW w:w="8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60" w:type="dxa"/>
            <w:vAlign w:val="bottom"/>
            <w:tcBorders>
              <w:right w:val="single" w:sz="8" w:color="0000EE"/>
            </w:tcBorders>
            <w:gridSpan w:val="4"/>
            <w:shd w:val="clear" w:color="auto" w:fill="0000EE"/>
          </w:tcPr>
          <w:p>
            <w:pPr>
              <w:spacing w:after="0" w:line="20" w:lineRule="exact"/>
              <w:rPr>
                <w:sz w:val="1"/>
                <w:szCs w:val="1"/>
                <w:color w:val="auto"/>
              </w:rPr>
            </w:pPr>
          </w:p>
        </w:tc>
        <w:tc>
          <w:tcPr>
            <w:tcW w:w="1200" w:type="dxa"/>
            <w:vAlign w:val="bottom"/>
            <w:tcBorders>
              <w:left w:val="single" w:sz="8" w:color="0000EE"/>
            </w:tcBorders>
            <w:gridSpan w:val="3"/>
            <w:shd w:val="clear" w:color="auto" w:fill="0000EE"/>
          </w:tcPr>
          <w:p>
            <w:pPr>
              <w:spacing w:after="0" w:line="20" w:lineRule="exact"/>
              <w:rPr>
                <w:sz w:val="1"/>
                <w:szCs w:val="1"/>
                <w:color w:val="auto"/>
              </w:rPr>
            </w:pPr>
          </w:p>
        </w:tc>
        <w:tc>
          <w:tcPr>
            <w:tcW w:w="136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8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780" w:type="dxa"/>
            <w:vAlign w:val="bottom"/>
            <w:gridSpan w:val="12"/>
          </w:tcPr>
          <w:p>
            <w:pPr>
              <w:spacing w:after="0"/>
              <w:rPr>
                <w:rFonts w:ascii="Arial" w:cs="Arial" w:eastAsia="Arial" w:hAnsi="Arial"/>
                <w:sz w:val="18"/>
                <w:szCs w:val="18"/>
                <w:color w:val="0000EE"/>
                <w:w w:val="89"/>
              </w:rPr>
            </w:pPr>
            <w:hyperlink w:anchor="page70">
              <w:r>
                <w:rPr>
                  <w:rFonts w:ascii="Arial" w:cs="Arial" w:eastAsia="Arial" w:hAnsi="Arial"/>
                  <w:sz w:val="18"/>
                  <w:szCs w:val="18"/>
                  <w:color w:val="0000EE"/>
                  <w:w w:val="89"/>
                </w:rPr>
                <w:t>Note 12 — Related Party Transactions</w:t>
              </w:r>
            </w:hyperlink>
          </w:p>
        </w:tc>
        <w:tc>
          <w:tcPr>
            <w:tcW w:w="1360" w:type="dxa"/>
            <w:vAlign w:val="bottom"/>
            <w:gridSpan w:val="2"/>
          </w:tcPr>
          <w:p>
            <w:pPr>
              <w:spacing w:after="0"/>
              <w:rPr>
                <w:sz w:val="21"/>
                <w:szCs w:val="21"/>
                <w:color w:val="auto"/>
              </w:rPr>
            </w:pPr>
          </w:p>
        </w:tc>
        <w:tc>
          <w:tcPr>
            <w:tcW w:w="4020" w:type="dxa"/>
            <w:vAlign w:val="bottom"/>
            <w:gridSpan w:val="5"/>
          </w:tcPr>
          <w:p>
            <w:pPr>
              <w:spacing w:after="0"/>
              <w:rPr>
                <w:sz w:val="21"/>
                <w:szCs w:val="21"/>
                <w:color w:val="auto"/>
              </w:rPr>
            </w:pPr>
          </w:p>
        </w:tc>
        <w:tc>
          <w:tcPr>
            <w:tcW w:w="1840" w:type="dxa"/>
            <w:vAlign w:val="bottom"/>
            <w:gridSpan w:val="4"/>
          </w:tcPr>
          <w:p>
            <w:pPr>
              <w:jc w:val="right"/>
              <w:spacing w:after="0"/>
              <w:rPr>
                <w:rFonts w:ascii="Arial" w:cs="Arial" w:eastAsia="Arial" w:hAnsi="Arial"/>
                <w:sz w:val="18"/>
                <w:szCs w:val="18"/>
                <w:color w:val="0000EE"/>
              </w:rPr>
            </w:pPr>
            <w:hyperlink w:anchor="page70">
              <w:r>
                <w:rPr>
                  <w:rFonts w:ascii="Arial" w:cs="Arial" w:eastAsia="Arial" w:hAnsi="Arial"/>
                  <w:sz w:val="18"/>
                  <w:szCs w:val="18"/>
                  <w:color w:val="0000EE"/>
                </w:rPr>
                <w:t>68</w:t>
              </w:r>
            </w:hyperlink>
          </w:p>
        </w:tc>
      </w:tr>
      <w:tr>
        <w:trPr>
          <w:trHeight w:val="20"/>
        </w:trPr>
        <w:tc>
          <w:tcPr>
            <w:tcW w:w="8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60" w:type="dxa"/>
            <w:vAlign w:val="bottom"/>
            <w:tcBorders>
              <w:right w:val="single" w:sz="8" w:color="0000EE"/>
            </w:tcBorders>
            <w:gridSpan w:val="4"/>
            <w:shd w:val="clear" w:color="auto" w:fill="0000EE"/>
          </w:tcPr>
          <w:p>
            <w:pPr>
              <w:spacing w:after="0" w:line="20" w:lineRule="exact"/>
              <w:rPr>
                <w:sz w:val="1"/>
                <w:szCs w:val="1"/>
                <w:color w:val="auto"/>
              </w:rPr>
            </w:pPr>
          </w:p>
        </w:tc>
        <w:tc>
          <w:tcPr>
            <w:tcW w:w="1200" w:type="dxa"/>
            <w:vAlign w:val="bottom"/>
            <w:tcBorders>
              <w:left w:val="single" w:sz="8" w:color="0000EE"/>
            </w:tcBorders>
            <w:gridSpan w:val="3"/>
            <w:shd w:val="clear" w:color="auto" w:fill="0000EE"/>
          </w:tcPr>
          <w:p>
            <w:pPr>
              <w:spacing w:after="0" w:line="20" w:lineRule="exact"/>
              <w:rPr>
                <w:sz w:val="1"/>
                <w:szCs w:val="1"/>
                <w:color w:val="auto"/>
              </w:rPr>
            </w:pPr>
          </w:p>
        </w:tc>
        <w:tc>
          <w:tcPr>
            <w:tcW w:w="146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1060" w:type="dxa"/>
            <w:vAlign w:val="bottom"/>
            <w:gridSpan w:val="2"/>
          </w:tcPr>
          <w:p>
            <w:pPr>
              <w:ind w:left="80"/>
              <w:spacing w:after="0"/>
              <w:rPr>
                <w:sz w:val="20"/>
                <w:szCs w:val="20"/>
                <w:color w:val="auto"/>
              </w:rPr>
            </w:pPr>
            <w:r>
              <w:rPr>
                <w:rFonts w:ascii="Arial" w:cs="Arial" w:eastAsia="Arial" w:hAnsi="Arial"/>
                <w:sz w:val="18"/>
                <w:szCs w:val="18"/>
                <w:b w:val="1"/>
                <w:bCs w:val="1"/>
                <w:color w:val="auto"/>
              </w:rPr>
              <w:t>Item 2.</w:t>
            </w:r>
          </w:p>
        </w:tc>
        <w:tc>
          <w:tcPr>
            <w:tcW w:w="8460" w:type="dxa"/>
            <w:vAlign w:val="bottom"/>
            <w:gridSpan w:val="20"/>
          </w:tcPr>
          <w:p>
            <w:pPr>
              <w:spacing w:after="0"/>
              <w:rPr>
                <w:rFonts w:ascii="Arial" w:cs="Arial" w:eastAsia="Arial" w:hAnsi="Arial"/>
                <w:sz w:val="18"/>
                <w:szCs w:val="18"/>
                <w:b w:val="1"/>
                <w:bCs w:val="1"/>
                <w:color w:val="0000EE"/>
              </w:rPr>
            </w:pPr>
            <w:hyperlink w:anchor="page75">
              <w:r>
                <w:rPr>
                  <w:rFonts w:ascii="Arial" w:cs="Arial" w:eastAsia="Arial" w:hAnsi="Arial"/>
                  <w:sz w:val="18"/>
                  <w:szCs w:val="18"/>
                  <w:b w:val="1"/>
                  <w:bCs w:val="1"/>
                  <w:color w:val="0000EE"/>
                </w:rPr>
                <w:t>Management’s Discussion and Analysis of Financial Condition and Results of Operations</w:t>
              </w:r>
            </w:hyperlink>
          </w:p>
        </w:tc>
        <w:tc>
          <w:tcPr>
            <w:tcW w:w="1840" w:type="dxa"/>
            <w:vAlign w:val="bottom"/>
            <w:gridSpan w:val="4"/>
          </w:tcPr>
          <w:p>
            <w:pPr>
              <w:jc w:val="right"/>
              <w:spacing w:after="0"/>
              <w:rPr>
                <w:rFonts w:ascii="Arial" w:cs="Arial" w:eastAsia="Arial" w:hAnsi="Arial"/>
                <w:sz w:val="18"/>
                <w:szCs w:val="18"/>
                <w:color w:val="0000EE"/>
              </w:rPr>
            </w:pPr>
            <w:hyperlink w:anchor="page75">
              <w:r>
                <w:rPr>
                  <w:rFonts w:ascii="Arial" w:cs="Arial" w:eastAsia="Arial" w:hAnsi="Arial"/>
                  <w:sz w:val="18"/>
                  <w:szCs w:val="18"/>
                  <w:color w:val="0000EE"/>
                </w:rPr>
                <w:t>73</w:t>
              </w:r>
            </w:hyperlink>
          </w:p>
        </w:tc>
      </w:tr>
      <w:tr>
        <w:trPr>
          <w:trHeight w:val="20"/>
        </w:trPr>
        <w:tc>
          <w:tcPr>
            <w:tcW w:w="820" w:type="dxa"/>
            <w:vAlign w:val="bottom"/>
          </w:tcPr>
          <w:p>
            <w:pPr>
              <w:spacing w:after="0" w:line="20" w:lineRule="exact"/>
              <w:rPr>
                <w:sz w:val="1"/>
                <w:szCs w:val="1"/>
                <w:color w:val="auto"/>
              </w:rPr>
            </w:pPr>
          </w:p>
        </w:tc>
        <w:tc>
          <w:tcPr>
            <w:tcW w:w="240" w:type="dxa"/>
            <w:vAlign w:val="bottom"/>
            <w:tcBorders>
              <w:right w:val="single" w:sz="8" w:color="0000EE"/>
            </w:tcBorders>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60" w:type="dxa"/>
            <w:vAlign w:val="bottom"/>
            <w:tcBorders>
              <w:right w:val="single" w:sz="8" w:color="0000EE"/>
            </w:tcBorders>
            <w:gridSpan w:val="4"/>
            <w:shd w:val="clear" w:color="auto" w:fill="0000EE"/>
          </w:tcPr>
          <w:p>
            <w:pPr>
              <w:spacing w:after="0" w:line="20" w:lineRule="exact"/>
              <w:rPr>
                <w:sz w:val="1"/>
                <w:szCs w:val="1"/>
                <w:color w:val="auto"/>
              </w:rPr>
            </w:pPr>
          </w:p>
        </w:tc>
        <w:tc>
          <w:tcPr>
            <w:tcW w:w="2660" w:type="dxa"/>
            <w:vAlign w:val="bottom"/>
            <w:tcBorders>
              <w:left w:val="single" w:sz="8" w:color="0000EE"/>
            </w:tcBorders>
            <w:gridSpan w:val="6"/>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160" w:type="dxa"/>
            <w:vAlign w:val="bottom"/>
            <w:shd w:val="clear" w:color="auto" w:fill="0000EE"/>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1060" w:type="dxa"/>
            <w:vAlign w:val="bottom"/>
            <w:gridSpan w:val="2"/>
          </w:tcPr>
          <w:p>
            <w:pPr>
              <w:ind w:left="80"/>
              <w:spacing w:after="0"/>
              <w:rPr>
                <w:sz w:val="20"/>
                <w:szCs w:val="20"/>
                <w:color w:val="auto"/>
              </w:rPr>
            </w:pPr>
            <w:r>
              <w:rPr>
                <w:rFonts w:ascii="Arial" w:cs="Arial" w:eastAsia="Arial" w:hAnsi="Arial"/>
                <w:sz w:val="18"/>
                <w:szCs w:val="18"/>
                <w:b w:val="1"/>
                <w:bCs w:val="1"/>
                <w:color w:val="auto"/>
              </w:rPr>
              <w:t>Item 3.</w:t>
            </w:r>
          </w:p>
        </w:tc>
        <w:tc>
          <w:tcPr>
            <w:tcW w:w="6800" w:type="dxa"/>
            <w:vAlign w:val="bottom"/>
            <w:gridSpan w:val="18"/>
          </w:tcPr>
          <w:p>
            <w:pPr>
              <w:spacing w:after="0"/>
              <w:rPr>
                <w:rFonts w:ascii="Arial" w:cs="Arial" w:eastAsia="Arial" w:hAnsi="Arial"/>
                <w:sz w:val="18"/>
                <w:szCs w:val="18"/>
                <w:b w:val="1"/>
                <w:bCs w:val="1"/>
                <w:color w:val="0000EE"/>
              </w:rPr>
            </w:pPr>
            <w:hyperlink w:anchor="page136">
              <w:r>
                <w:rPr>
                  <w:rFonts w:ascii="Arial" w:cs="Arial" w:eastAsia="Arial" w:hAnsi="Arial"/>
                  <w:sz w:val="18"/>
                  <w:szCs w:val="18"/>
                  <w:b w:val="1"/>
                  <w:bCs w:val="1"/>
                  <w:color w:val="0000EE"/>
                </w:rPr>
                <w:t>Quantitative and Qualitative Disclosures About Market Risk</w:t>
              </w:r>
            </w:hyperlink>
          </w:p>
        </w:tc>
        <w:tc>
          <w:tcPr>
            <w:tcW w:w="1660" w:type="dxa"/>
            <w:vAlign w:val="bottom"/>
            <w:gridSpan w:val="2"/>
          </w:tcPr>
          <w:p>
            <w:pPr>
              <w:spacing w:after="0"/>
              <w:rPr>
                <w:sz w:val="21"/>
                <w:szCs w:val="21"/>
                <w:color w:val="auto"/>
              </w:rPr>
            </w:pPr>
          </w:p>
        </w:tc>
        <w:tc>
          <w:tcPr>
            <w:tcW w:w="1840" w:type="dxa"/>
            <w:vAlign w:val="bottom"/>
            <w:gridSpan w:val="4"/>
          </w:tcPr>
          <w:p>
            <w:pPr>
              <w:jc w:val="right"/>
              <w:spacing w:after="0"/>
              <w:rPr>
                <w:rFonts w:ascii="Arial" w:cs="Arial" w:eastAsia="Arial" w:hAnsi="Arial"/>
                <w:sz w:val="18"/>
                <w:szCs w:val="18"/>
                <w:color w:val="0000EE"/>
              </w:rPr>
            </w:pPr>
            <w:hyperlink w:anchor="page136">
              <w:r>
                <w:rPr>
                  <w:rFonts w:ascii="Arial" w:cs="Arial" w:eastAsia="Arial" w:hAnsi="Arial"/>
                  <w:sz w:val="18"/>
                  <w:szCs w:val="18"/>
                  <w:color w:val="0000EE"/>
                </w:rPr>
                <w:t>134</w:t>
              </w:r>
            </w:hyperlink>
          </w:p>
        </w:tc>
      </w:tr>
      <w:tr>
        <w:trPr>
          <w:trHeight w:val="250"/>
        </w:trPr>
        <w:tc>
          <w:tcPr>
            <w:tcW w:w="1060" w:type="dxa"/>
            <w:vAlign w:val="bottom"/>
            <w:gridSpan w:val="2"/>
          </w:tcPr>
          <w:p>
            <w:pPr>
              <w:ind w:left="80"/>
              <w:spacing w:after="0"/>
              <w:rPr>
                <w:sz w:val="20"/>
                <w:szCs w:val="20"/>
                <w:color w:val="auto"/>
              </w:rPr>
            </w:pPr>
            <w:r>
              <w:rPr>
                <w:rFonts w:ascii="Arial" w:cs="Arial" w:eastAsia="Arial" w:hAnsi="Arial"/>
                <w:sz w:val="18"/>
                <w:szCs w:val="18"/>
                <w:b w:val="1"/>
                <w:bCs w:val="1"/>
                <w:color w:val="auto"/>
              </w:rPr>
              <w:t>Item 4.</w:t>
            </w:r>
          </w:p>
        </w:tc>
        <w:tc>
          <w:tcPr>
            <w:tcW w:w="4640" w:type="dxa"/>
            <w:vAlign w:val="bottom"/>
            <w:tcBorders>
              <w:top w:val="single" w:sz="8" w:color="0000EE"/>
            </w:tcBorders>
            <w:gridSpan w:val="17"/>
          </w:tcPr>
          <w:p>
            <w:pPr>
              <w:spacing w:after="0"/>
              <w:rPr>
                <w:rFonts w:ascii="Arial" w:cs="Arial" w:eastAsia="Arial" w:hAnsi="Arial"/>
                <w:sz w:val="18"/>
                <w:szCs w:val="18"/>
                <w:b w:val="1"/>
                <w:bCs w:val="1"/>
                <w:color w:val="0000EE"/>
              </w:rPr>
            </w:pPr>
            <w:hyperlink w:anchor="page136">
              <w:r>
                <w:rPr>
                  <w:rFonts w:ascii="Arial" w:cs="Arial" w:eastAsia="Arial" w:hAnsi="Arial"/>
                  <w:sz w:val="18"/>
                  <w:szCs w:val="18"/>
                  <w:b w:val="1"/>
                  <w:bCs w:val="1"/>
                  <w:color w:val="0000EE"/>
                </w:rPr>
                <w:t>Controls and Procedures</w:t>
              </w:r>
            </w:hyperlink>
          </w:p>
        </w:tc>
        <w:tc>
          <w:tcPr>
            <w:tcW w:w="3820" w:type="dxa"/>
            <w:vAlign w:val="bottom"/>
            <w:gridSpan w:val="3"/>
          </w:tcPr>
          <w:p>
            <w:pPr>
              <w:spacing w:after="0"/>
              <w:rPr>
                <w:sz w:val="21"/>
                <w:szCs w:val="21"/>
                <w:color w:val="auto"/>
              </w:rPr>
            </w:pPr>
          </w:p>
        </w:tc>
        <w:tc>
          <w:tcPr>
            <w:tcW w:w="1580" w:type="dxa"/>
            <w:vAlign w:val="bottom"/>
          </w:tcPr>
          <w:p>
            <w:pPr>
              <w:spacing w:after="0"/>
              <w:rPr>
                <w:sz w:val="21"/>
                <w:szCs w:val="21"/>
                <w:color w:val="auto"/>
              </w:rPr>
            </w:pPr>
          </w:p>
        </w:tc>
        <w:tc>
          <w:tcPr>
            <w:tcW w:w="260" w:type="dxa"/>
            <w:vAlign w:val="bottom"/>
            <w:tcBorders>
              <w:top w:val="single" w:sz="8" w:color="0000EE"/>
            </w:tcBorders>
            <w:gridSpan w:val="3"/>
          </w:tcPr>
          <w:p>
            <w:pPr>
              <w:jc w:val="right"/>
              <w:spacing w:after="0"/>
              <w:rPr>
                <w:rFonts w:ascii="Arial" w:cs="Arial" w:eastAsia="Arial" w:hAnsi="Arial"/>
                <w:sz w:val="18"/>
                <w:szCs w:val="18"/>
                <w:color w:val="0000EE"/>
                <w:w w:val="79"/>
              </w:rPr>
            </w:pPr>
            <w:hyperlink w:anchor="page136">
              <w:r>
                <w:rPr>
                  <w:rFonts w:ascii="Arial" w:cs="Arial" w:eastAsia="Arial" w:hAnsi="Arial"/>
                  <w:sz w:val="18"/>
                  <w:szCs w:val="18"/>
                  <w:color w:val="0000EE"/>
                  <w:w w:val="79"/>
                </w:rPr>
                <w:t>134</w:t>
              </w:r>
            </w:hyperlink>
          </w:p>
        </w:tc>
      </w:tr>
      <w:tr>
        <w:trPr>
          <w:trHeight w:val="20"/>
        </w:trPr>
        <w:tc>
          <w:tcPr>
            <w:tcW w:w="820" w:type="dxa"/>
            <w:vAlign w:val="bottom"/>
          </w:tcPr>
          <w:p>
            <w:pPr>
              <w:spacing w:after="0" w:line="20" w:lineRule="exact"/>
              <w:rPr>
                <w:sz w:val="1"/>
                <w:szCs w:val="1"/>
                <w:color w:val="auto"/>
              </w:rPr>
            </w:pPr>
          </w:p>
        </w:tc>
        <w:tc>
          <w:tcPr>
            <w:tcW w:w="240" w:type="dxa"/>
            <w:vAlign w:val="bottom"/>
            <w:tcBorders>
              <w:right w:val="single" w:sz="8" w:color="0000EE"/>
            </w:tcBorders>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60" w:type="dxa"/>
            <w:vAlign w:val="bottom"/>
            <w:tcBorders>
              <w:right w:val="single" w:sz="8" w:color="0000EE"/>
            </w:tcBorders>
            <w:gridSpan w:val="4"/>
            <w:shd w:val="clear" w:color="auto" w:fill="0000EE"/>
          </w:tcPr>
          <w:p>
            <w:pPr>
              <w:spacing w:after="0" w:line="20" w:lineRule="exact"/>
              <w:rPr>
                <w:sz w:val="1"/>
                <w:szCs w:val="1"/>
                <w:color w:val="auto"/>
              </w:rPr>
            </w:pPr>
          </w:p>
        </w:tc>
        <w:tc>
          <w:tcPr>
            <w:tcW w:w="2660" w:type="dxa"/>
            <w:vAlign w:val="bottom"/>
            <w:gridSpan w:val="6"/>
          </w:tcPr>
          <w:p>
            <w:pPr>
              <w:spacing w:after="0" w:line="20" w:lineRule="exact"/>
              <w:rPr>
                <w:sz w:val="1"/>
                <w:szCs w:val="1"/>
                <w:color w:val="auto"/>
              </w:rPr>
            </w:pPr>
          </w:p>
        </w:tc>
        <w:tc>
          <w:tcPr>
            <w:tcW w:w="3920" w:type="dxa"/>
            <w:vAlign w:val="bottom"/>
            <w:gridSpan w:val="4"/>
          </w:tcPr>
          <w:p>
            <w:pPr>
              <w:spacing w:after="0" w:line="20" w:lineRule="exact"/>
              <w:rPr>
                <w:sz w:val="1"/>
                <w:szCs w:val="1"/>
                <w:color w:val="auto"/>
              </w:rPr>
            </w:pPr>
          </w:p>
        </w:tc>
        <w:tc>
          <w:tcPr>
            <w:tcW w:w="158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372"/>
        </w:trPr>
        <w:tc>
          <w:tcPr>
            <w:tcW w:w="2240" w:type="dxa"/>
            <w:vAlign w:val="bottom"/>
            <w:tcBorders>
              <w:bottom w:val="single" w:sz="8" w:color="0000EE"/>
            </w:tcBorders>
            <w:gridSpan w:val="6"/>
          </w:tcPr>
          <w:p>
            <w:pPr>
              <w:spacing w:after="0"/>
              <w:rPr>
                <w:rFonts w:ascii="Arial" w:cs="Arial" w:eastAsia="Arial" w:hAnsi="Arial"/>
                <w:sz w:val="18"/>
                <w:szCs w:val="18"/>
                <w:b w:val="1"/>
                <w:bCs w:val="1"/>
                <w:color w:val="0000EE"/>
                <w:w w:val="96"/>
              </w:rPr>
            </w:pPr>
            <w:hyperlink w:anchor="page137">
              <w:r>
                <w:rPr>
                  <w:rFonts w:ascii="Arial" w:cs="Arial" w:eastAsia="Arial" w:hAnsi="Arial"/>
                  <w:sz w:val="18"/>
                  <w:szCs w:val="18"/>
                  <w:b w:val="1"/>
                  <w:bCs w:val="1"/>
                  <w:color w:val="0000EE"/>
                  <w:w w:val="96"/>
                </w:rPr>
                <w:t>Part II — Other Information</w:t>
              </w:r>
            </w:hyperlink>
          </w:p>
        </w:tc>
        <w:tc>
          <w:tcPr>
            <w:tcW w:w="7280" w:type="dxa"/>
            <w:vAlign w:val="bottom"/>
            <w:gridSpan w:val="16"/>
          </w:tcPr>
          <w:p>
            <w:pPr>
              <w:spacing w:after="0"/>
              <w:rPr>
                <w:sz w:val="24"/>
                <w:szCs w:val="24"/>
                <w:color w:val="auto"/>
              </w:rPr>
            </w:pPr>
          </w:p>
        </w:tc>
        <w:tc>
          <w:tcPr>
            <w:tcW w:w="1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50"/>
        </w:trPr>
        <w:tc>
          <w:tcPr>
            <w:tcW w:w="1060" w:type="dxa"/>
            <w:vAlign w:val="bottom"/>
            <w:gridSpan w:val="2"/>
          </w:tcPr>
          <w:p>
            <w:pPr>
              <w:ind w:left="80"/>
              <w:spacing w:after="0"/>
              <w:rPr>
                <w:sz w:val="20"/>
                <w:szCs w:val="20"/>
                <w:color w:val="auto"/>
              </w:rPr>
            </w:pPr>
            <w:r>
              <w:rPr>
                <w:rFonts w:ascii="Arial" w:cs="Arial" w:eastAsia="Arial" w:hAnsi="Arial"/>
                <w:sz w:val="18"/>
                <w:szCs w:val="18"/>
                <w:b w:val="1"/>
                <w:bCs w:val="1"/>
                <w:color w:val="auto"/>
              </w:rPr>
              <w:t>Item 1.</w:t>
            </w:r>
          </w:p>
        </w:tc>
        <w:tc>
          <w:tcPr>
            <w:tcW w:w="1380" w:type="dxa"/>
            <w:vAlign w:val="bottom"/>
            <w:tcBorders>
              <w:bottom w:val="single" w:sz="8" w:color="0000EE"/>
            </w:tcBorders>
            <w:gridSpan w:val="5"/>
          </w:tcPr>
          <w:p>
            <w:pPr>
              <w:spacing w:after="0"/>
              <w:rPr>
                <w:rFonts w:ascii="Arial" w:cs="Arial" w:eastAsia="Arial" w:hAnsi="Arial"/>
                <w:sz w:val="18"/>
                <w:szCs w:val="18"/>
                <w:b w:val="1"/>
                <w:bCs w:val="1"/>
                <w:color w:val="0000EE"/>
                <w:w w:val="84"/>
              </w:rPr>
            </w:pPr>
            <w:hyperlink w:anchor="page137">
              <w:r>
                <w:rPr>
                  <w:rFonts w:ascii="Arial" w:cs="Arial" w:eastAsia="Arial" w:hAnsi="Arial"/>
                  <w:sz w:val="18"/>
                  <w:szCs w:val="18"/>
                  <w:b w:val="1"/>
                  <w:bCs w:val="1"/>
                  <w:color w:val="0000EE"/>
                  <w:w w:val="84"/>
                </w:rPr>
                <w:t>Legal Proceedings</w:t>
              </w:r>
            </w:hyperlink>
          </w:p>
        </w:tc>
        <w:tc>
          <w:tcPr>
            <w:tcW w:w="7080" w:type="dxa"/>
            <w:vAlign w:val="bottom"/>
            <w:gridSpan w:val="15"/>
          </w:tcPr>
          <w:p>
            <w:pPr>
              <w:spacing w:after="0"/>
              <w:rPr>
                <w:sz w:val="21"/>
                <w:szCs w:val="21"/>
                <w:color w:val="auto"/>
              </w:rPr>
            </w:pPr>
          </w:p>
        </w:tc>
        <w:tc>
          <w:tcPr>
            <w:tcW w:w="1580" w:type="dxa"/>
            <w:vAlign w:val="bottom"/>
          </w:tcPr>
          <w:p>
            <w:pPr>
              <w:spacing w:after="0"/>
              <w:rPr>
                <w:sz w:val="21"/>
                <w:szCs w:val="21"/>
                <w:color w:val="auto"/>
              </w:rPr>
            </w:pPr>
          </w:p>
        </w:tc>
        <w:tc>
          <w:tcPr>
            <w:tcW w:w="260" w:type="dxa"/>
            <w:vAlign w:val="bottom"/>
            <w:tcBorders>
              <w:bottom w:val="single" w:sz="8" w:color="0000EE"/>
            </w:tcBorders>
            <w:gridSpan w:val="3"/>
          </w:tcPr>
          <w:p>
            <w:pPr>
              <w:jc w:val="right"/>
              <w:spacing w:after="0"/>
              <w:rPr>
                <w:rFonts w:ascii="Arial" w:cs="Arial" w:eastAsia="Arial" w:hAnsi="Arial"/>
                <w:sz w:val="18"/>
                <w:szCs w:val="18"/>
                <w:color w:val="0000EE"/>
                <w:w w:val="79"/>
              </w:rPr>
            </w:pPr>
            <w:hyperlink w:anchor="page137">
              <w:r>
                <w:rPr>
                  <w:rFonts w:ascii="Arial" w:cs="Arial" w:eastAsia="Arial" w:hAnsi="Arial"/>
                  <w:sz w:val="18"/>
                  <w:szCs w:val="18"/>
                  <w:color w:val="0000EE"/>
                  <w:w w:val="79"/>
                </w:rPr>
                <w:t>135</w:t>
              </w:r>
            </w:hyperlink>
          </w:p>
        </w:tc>
      </w:tr>
      <w:tr>
        <w:trPr>
          <w:trHeight w:val="250"/>
        </w:trPr>
        <w:tc>
          <w:tcPr>
            <w:tcW w:w="1060" w:type="dxa"/>
            <w:vAlign w:val="bottom"/>
            <w:gridSpan w:val="2"/>
          </w:tcPr>
          <w:p>
            <w:pPr>
              <w:ind w:left="80"/>
              <w:spacing w:after="0"/>
              <w:rPr>
                <w:sz w:val="20"/>
                <w:szCs w:val="20"/>
                <w:color w:val="auto"/>
              </w:rPr>
            </w:pPr>
            <w:r>
              <w:rPr>
                <w:rFonts w:ascii="Arial" w:cs="Arial" w:eastAsia="Arial" w:hAnsi="Arial"/>
                <w:sz w:val="18"/>
                <w:szCs w:val="18"/>
                <w:b w:val="1"/>
                <w:bCs w:val="1"/>
                <w:color w:val="auto"/>
              </w:rPr>
              <w:t>Item 1A.</w:t>
            </w:r>
          </w:p>
        </w:tc>
        <w:tc>
          <w:tcPr>
            <w:tcW w:w="8460" w:type="dxa"/>
            <w:vAlign w:val="bottom"/>
            <w:gridSpan w:val="20"/>
          </w:tcPr>
          <w:p>
            <w:pPr>
              <w:spacing w:after="0"/>
              <w:rPr>
                <w:rFonts w:ascii="Arial" w:cs="Arial" w:eastAsia="Arial" w:hAnsi="Arial"/>
                <w:sz w:val="18"/>
                <w:szCs w:val="18"/>
                <w:b w:val="1"/>
                <w:bCs w:val="1"/>
                <w:color w:val="0000EE"/>
              </w:rPr>
            </w:pPr>
            <w:hyperlink w:anchor="page137">
              <w:r>
                <w:rPr>
                  <w:rFonts w:ascii="Arial" w:cs="Arial" w:eastAsia="Arial" w:hAnsi="Arial"/>
                  <w:sz w:val="18"/>
                  <w:szCs w:val="18"/>
                  <w:b w:val="1"/>
                  <w:bCs w:val="1"/>
                  <w:color w:val="0000EE"/>
                </w:rPr>
                <w:t>Risk Factors</w:t>
              </w:r>
            </w:hyperlink>
          </w:p>
        </w:tc>
        <w:tc>
          <w:tcPr>
            <w:tcW w:w="1840" w:type="dxa"/>
            <w:vAlign w:val="bottom"/>
            <w:gridSpan w:val="4"/>
          </w:tcPr>
          <w:p>
            <w:pPr>
              <w:jc w:val="right"/>
              <w:spacing w:after="0"/>
              <w:rPr>
                <w:rFonts w:ascii="Arial" w:cs="Arial" w:eastAsia="Arial" w:hAnsi="Arial"/>
                <w:sz w:val="18"/>
                <w:szCs w:val="18"/>
                <w:color w:val="0000EE"/>
              </w:rPr>
            </w:pPr>
            <w:hyperlink w:anchor="page137">
              <w:r>
                <w:rPr>
                  <w:rFonts w:ascii="Arial" w:cs="Arial" w:eastAsia="Arial" w:hAnsi="Arial"/>
                  <w:sz w:val="18"/>
                  <w:szCs w:val="18"/>
                  <w:color w:val="0000EE"/>
                </w:rPr>
                <w:t>135</w:t>
              </w:r>
            </w:hyperlink>
          </w:p>
        </w:tc>
      </w:tr>
      <w:tr>
        <w:trPr>
          <w:trHeight w:val="20"/>
        </w:trPr>
        <w:tc>
          <w:tcPr>
            <w:tcW w:w="820" w:type="dxa"/>
            <w:vAlign w:val="bottom"/>
          </w:tcPr>
          <w:p>
            <w:pPr>
              <w:spacing w:after="0" w:line="20" w:lineRule="exact"/>
              <w:rPr>
                <w:sz w:val="1"/>
                <w:szCs w:val="1"/>
                <w:color w:val="auto"/>
              </w:rPr>
            </w:pPr>
          </w:p>
        </w:tc>
        <w:tc>
          <w:tcPr>
            <w:tcW w:w="240" w:type="dxa"/>
            <w:vAlign w:val="bottom"/>
            <w:tcBorders>
              <w:right w:val="single" w:sz="8" w:color="0000EE"/>
            </w:tcBorders>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460" w:type="dxa"/>
            <w:vAlign w:val="bottom"/>
            <w:gridSpan w:val="4"/>
          </w:tcPr>
          <w:p>
            <w:pPr>
              <w:spacing w:after="0" w:line="20" w:lineRule="exact"/>
              <w:rPr>
                <w:sz w:val="1"/>
                <w:szCs w:val="1"/>
                <w:color w:val="auto"/>
              </w:rPr>
            </w:pPr>
          </w:p>
        </w:tc>
        <w:tc>
          <w:tcPr>
            <w:tcW w:w="2660" w:type="dxa"/>
            <w:vAlign w:val="bottom"/>
            <w:gridSpan w:val="6"/>
          </w:tcPr>
          <w:p>
            <w:pPr>
              <w:spacing w:after="0" w:line="20" w:lineRule="exact"/>
              <w:rPr>
                <w:sz w:val="1"/>
                <w:szCs w:val="1"/>
                <w:color w:val="auto"/>
              </w:rPr>
            </w:pPr>
          </w:p>
        </w:tc>
        <w:tc>
          <w:tcPr>
            <w:tcW w:w="3920" w:type="dxa"/>
            <w:vAlign w:val="bottom"/>
            <w:gridSpan w:val="4"/>
          </w:tcPr>
          <w:p>
            <w:pPr>
              <w:spacing w:after="0" w:line="20" w:lineRule="exact"/>
              <w:rPr>
                <w:sz w:val="1"/>
                <w:szCs w:val="1"/>
                <w:color w:val="auto"/>
              </w:rPr>
            </w:pPr>
          </w:p>
        </w:tc>
        <w:tc>
          <w:tcPr>
            <w:tcW w:w="1580" w:type="dxa"/>
            <w:vAlign w:val="bottom"/>
            <w:tcBorders>
              <w:right w:val="single" w:sz="8" w:color="0000EE"/>
            </w:tcBorders>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r>
      <w:tr>
        <w:trPr>
          <w:trHeight w:val="250"/>
        </w:trPr>
        <w:tc>
          <w:tcPr>
            <w:tcW w:w="1060" w:type="dxa"/>
            <w:vAlign w:val="bottom"/>
            <w:gridSpan w:val="2"/>
          </w:tcPr>
          <w:p>
            <w:pPr>
              <w:ind w:left="80"/>
              <w:spacing w:after="0"/>
              <w:rPr>
                <w:sz w:val="20"/>
                <w:szCs w:val="20"/>
                <w:color w:val="auto"/>
              </w:rPr>
            </w:pPr>
            <w:r>
              <w:rPr>
                <w:rFonts w:ascii="Arial" w:cs="Arial" w:eastAsia="Arial" w:hAnsi="Arial"/>
                <w:sz w:val="18"/>
                <w:szCs w:val="18"/>
                <w:b w:val="1"/>
                <w:bCs w:val="1"/>
                <w:color w:val="auto"/>
              </w:rPr>
              <w:t>Item 2.</w:t>
            </w:r>
          </w:p>
        </w:tc>
        <w:tc>
          <w:tcPr>
            <w:tcW w:w="8460" w:type="dxa"/>
            <w:vAlign w:val="bottom"/>
            <w:gridSpan w:val="20"/>
          </w:tcPr>
          <w:p>
            <w:pPr>
              <w:spacing w:after="0"/>
              <w:rPr>
                <w:rFonts w:ascii="Arial" w:cs="Arial" w:eastAsia="Arial" w:hAnsi="Arial"/>
                <w:sz w:val="18"/>
                <w:szCs w:val="18"/>
                <w:b w:val="1"/>
                <w:bCs w:val="1"/>
                <w:color w:val="0000EE"/>
              </w:rPr>
            </w:pPr>
            <w:hyperlink w:anchor="page172">
              <w:r>
                <w:rPr>
                  <w:rFonts w:ascii="Arial" w:cs="Arial" w:eastAsia="Arial" w:hAnsi="Arial"/>
                  <w:sz w:val="18"/>
                  <w:szCs w:val="18"/>
                  <w:b w:val="1"/>
                  <w:bCs w:val="1"/>
                  <w:color w:val="0000EE"/>
                </w:rPr>
                <w:t>Unregistered Sales of Equity Securities and Use of Proceeds</w:t>
              </w:r>
            </w:hyperlink>
          </w:p>
        </w:tc>
        <w:tc>
          <w:tcPr>
            <w:tcW w:w="1840" w:type="dxa"/>
            <w:vAlign w:val="bottom"/>
            <w:gridSpan w:val="4"/>
          </w:tcPr>
          <w:p>
            <w:pPr>
              <w:jc w:val="right"/>
              <w:spacing w:after="0"/>
              <w:rPr>
                <w:rFonts w:ascii="Arial" w:cs="Arial" w:eastAsia="Arial" w:hAnsi="Arial"/>
                <w:sz w:val="18"/>
                <w:szCs w:val="18"/>
                <w:color w:val="0000EE"/>
              </w:rPr>
            </w:pPr>
            <w:hyperlink w:anchor="page172">
              <w:r>
                <w:rPr>
                  <w:rFonts w:ascii="Arial" w:cs="Arial" w:eastAsia="Arial" w:hAnsi="Arial"/>
                  <w:sz w:val="18"/>
                  <w:szCs w:val="18"/>
                  <w:color w:val="0000EE"/>
                </w:rPr>
                <w:t>170</w:t>
              </w:r>
            </w:hyperlink>
          </w:p>
        </w:tc>
      </w:tr>
      <w:tr>
        <w:trPr>
          <w:trHeight w:val="250"/>
        </w:trPr>
        <w:tc>
          <w:tcPr>
            <w:tcW w:w="1060" w:type="dxa"/>
            <w:vAlign w:val="bottom"/>
            <w:gridSpan w:val="2"/>
          </w:tcPr>
          <w:p>
            <w:pPr>
              <w:ind w:left="80"/>
              <w:spacing w:after="0"/>
              <w:rPr>
                <w:sz w:val="20"/>
                <w:szCs w:val="20"/>
                <w:color w:val="auto"/>
              </w:rPr>
            </w:pPr>
            <w:r>
              <w:rPr>
                <w:rFonts w:ascii="Arial" w:cs="Arial" w:eastAsia="Arial" w:hAnsi="Arial"/>
                <w:sz w:val="18"/>
                <w:szCs w:val="18"/>
                <w:b w:val="1"/>
                <w:bCs w:val="1"/>
                <w:color w:val="auto"/>
              </w:rPr>
              <w:t>Item 4.</w:t>
            </w:r>
          </w:p>
        </w:tc>
        <w:tc>
          <w:tcPr>
            <w:tcW w:w="1880" w:type="dxa"/>
            <w:vAlign w:val="bottom"/>
            <w:tcBorders>
              <w:top w:val="single" w:sz="8" w:color="0000EE"/>
              <w:bottom w:val="single" w:sz="8" w:color="0000EE"/>
            </w:tcBorders>
            <w:gridSpan w:val="10"/>
          </w:tcPr>
          <w:p>
            <w:pPr>
              <w:spacing w:after="0"/>
              <w:rPr>
                <w:rFonts w:ascii="Arial" w:cs="Arial" w:eastAsia="Arial" w:hAnsi="Arial"/>
                <w:sz w:val="18"/>
                <w:szCs w:val="18"/>
                <w:b w:val="1"/>
                <w:bCs w:val="1"/>
                <w:color w:val="0000EE"/>
                <w:w w:val="88"/>
              </w:rPr>
            </w:pPr>
            <w:hyperlink w:anchor="page172">
              <w:r>
                <w:rPr>
                  <w:rFonts w:ascii="Arial" w:cs="Arial" w:eastAsia="Arial" w:hAnsi="Arial"/>
                  <w:sz w:val="18"/>
                  <w:szCs w:val="18"/>
                  <w:b w:val="1"/>
                  <w:bCs w:val="1"/>
                  <w:color w:val="0000EE"/>
                  <w:w w:val="88"/>
                </w:rPr>
                <w:t>Mine Safety Disclosures</w:t>
              </w:r>
            </w:hyperlink>
          </w:p>
        </w:tc>
        <w:tc>
          <w:tcPr>
            <w:tcW w:w="2660" w:type="dxa"/>
            <w:vAlign w:val="bottom"/>
            <w:tcBorders>
              <w:top w:val="single" w:sz="8" w:color="0000EE"/>
            </w:tcBorders>
            <w:gridSpan w:val="6"/>
          </w:tcPr>
          <w:p>
            <w:pPr>
              <w:spacing w:after="0"/>
              <w:rPr>
                <w:sz w:val="21"/>
                <w:szCs w:val="21"/>
                <w:color w:val="auto"/>
              </w:rPr>
            </w:pPr>
          </w:p>
        </w:tc>
        <w:tc>
          <w:tcPr>
            <w:tcW w:w="3920" w:type="dxa"/>
            <w:vAlign w:val="bottom"/>
            <w:gridSpan w:val="4"/>
          </w:tcPr>
          <w:p>
            <w:pPr>
              <w:spacing w:after="0"/>
              <w:rPr>
                <w:sz w:val="21"/>
                <w:szCs w:val="21"/>
                <w:color w:val="auto"/>
              </w:rPr>
            </w:pPr>
          </w:p>
        </w:tc>
        <w:tc>
          <w:tcPr>
            <w:tcW w:w="1580" w:type="dxa"/>
            <w:vAlign w:val="bottom"/>
          </w:tcPr>
          <w:p>
            <w:pPr>
              <w:spacing w:after="0"/>
              <w:rPr>
                <w:sz w:val="21"/>
                <w:szCs w:val="21"/>
                <w:color w:val="auto"/>
              </w:rPr>
            </w:pPr>
          </w:p>
        </w:tc>
        <w:tc>
          <w:tcPr>
            <w:tcW w:w="260" w:type="dxa"/>
            <w:vAlign w:val="bottom"/>
            <w:tcBorders>
              <w:top w:val="single" w:sz="8" w:color="0000EE"/>
              <w:bottom w:val="single" w:sz="8" w:color="0000EE"/>
            </w:tcBorders>
            <w:gridSpan w:val="3"/>
          </w:tcPr>
          <w:p>
            <w:pPr>
              <w:jc w:val="right"/>
              <w:spacing w:after="0"/>
              <w:rPr>
                <w:rFonts w:ascii="Arial" w:cs="Arial" w:eastAsia="Arial" w:hAnsi="Arial"/>
                <w:sz w:val="18"/>
                <w:szCs w:val="18"/>
                <w:color w:val="0000EE"/>
                <w:w w:val="79"/>
              </w:rPr>
            </w:pPr>
            <w:hyperlink w:anchor="page172">
              <w:r>
                <w:rPr>
                  <w:rFonts w:ascii="Arial" w:cs="Arial" w:eastAsia="Arial" w:hAnsi="Arial"/>
                  <w:sz w:val="18"/>
                  <w:szCs w:val="18"/>
                  <w:color w:val="0000EE"/>
                  <w:w w:val="79"/>
                </w:rPr>
                <w:t>170</w:t>
              </w:r>
            </w:hyperlink>
          </w:p>
        </w:tc>
      </w:tr>
      <w:tr>
        <w:trPr>
          <w:trHeight w:val="250"/>
        </w:trPr>
        <w:tc>
          <w:tcPr>
            <w:tcW w:w="1060" w:type="dxa"/>
            <w:vAlign w:val="bottom"/>
            <w:gridSpan w:val="2"/>
          </w:tcPr>
          <w:p>
            <w:pPr>
              <w:ind w:left="80"/>
              <w:spacing w:after="0"/>
              <w:rPr>
                <w:sz w:val="20"/>
                <w:szCs w:val="20"/>
                <w:color w:val="auto"/>
              </w:rPr>
            </w:pPr>
            <w:r>
              <w:rPr>
                <w:rFonts w:ascii="Arial" w:cs="Arial" w:eastAsia="Arial" w:hAnsi="Arial"/>
                <w:sz w:val="18"/>
                <w:szCs w:val="18"/>
                <w:b w:val="1"/>
                <w:bCs w:val="1"/>
                <w:color w:val="auto"/>
              </w:rPr>
              <w:t>Item 5.</w:t>
            </w:r>
          </w:p>
        </w:tc>
        <w:tc>
          <w:tcPr>
            <w:tcW w:w="1420" w:type="dxa"/>
            <w:vAlign w:val="bottom"/>
            <w:tcBorders>
              <w:bottom w:val="single" w:sz="8" w:color="0000EE"/>
            </w:tcBorders>
            <w:gridSpan w:val="6"/>
          </w:tcPr>
          <w:p>
            <w:pPr>
              <w:spacing w:after="0"/>
              <w:rPr>
                <w:rFonts w:ascii="Arial" w:cs="Arial" w:eastAsia="Arial" w:hAnsi="Arial"/>
                <w:sz w:val="18"/>
                <w:szCs w:val="18"/>
                <w:b w:val="1"/>
                <w:bCs w:val="1"/>
                <w:color w:val="0000EE"/>
                <w:w w:val="92"/>
              </w:rPr>
            </w:pPr>
            <w:hyperlink w:anchor="page172">
              <w:r>
                <w:rPr>
                  <w:rFonts w:ascii="Arial" w:cs="Arial" w:eastAsia="Arial" w:hAnsi="Arial"/>
                  <w:sz w:val="18"/>
                  <w:szCs w:val="18"/>
                  <w:b w:val="1"/>
                  <w:bCs w:val="1"/>
                  <w:color w:val="0000EE"/>
                  <w:w w:val="92"/>
                </w:rPr>
                <w:t>Other Information</w:t>
              </w:r>
            </w:hyperlink>
          </w:p>
        </w:tc>
        <w:tc>
          <w:tcPr>
            <w:tcW w:w="7040" w:type="dxa"/>
            <w:vAlign w:val="bottom"/>
            <w:gridSpan w:val="14"/>
          </w:tcPr>
          <w:p>
            <w:pPr>
              <w:spacing w:after="0"/>
              <w:rPr>
                <w:sz w:val="21"/>
                <w:szCs w:val="21"/>
                <w:color w:val="auto"/>
              </w:rPr>
            </w:pPr>
          </w:p>
        </w:tc>
        <w:tc>
          <w:tcPr>
            <w:tcW w:w="1580" w:type="dxa"/>
            <w:vAlign w:val="bottom"/>
          </w:tcPr>
          <w:p>
            <w:pPr>
              <w:spacing w:after="0"/>
              <w:rPr>
                <w:sz w:val="21"/>
                <w:szCs w:val="21"/>
                <w:color w:val="auto"/>
              </w:rPr>
            </w:pPr>
          </w:p>
        </w:tc>
        <w:tc>
          <w:tcPr>
            <w:tcW w:w="260" w:type="dxa"/>
            <w:vAlign w:val="bottom"/>
            <w:tcBorders>
              <w:bottom w:val="single" w:sz="8" w:color="0000EE"/>
            </w:tcBorders>
            <w:gridSpan w:val="3"/>
          </w:tcPr>
          <w:p>
            <w:pPr>
              <w:jc w:val="right"/>
              <w:spacing w:after="0"/>
              <w:rPr>
                <w:rFonts w:ascii="Arial" w:cs="Arial" w:eastAsia="Arial" w:hAnsi="Arial"/>
                <w:sz w:val="18"/>
                <w:szCs w:val="18"/>
                <w:color w:val="0000EE"/>
                <w:w w:val="79"/>
              </w:rPr>
            </w:pPr>
            <w:hyperlink w:anchor="page172">
              <w:r>
                <w:rPr>
                  <w:rFonts w:ascii="Arial" w:cs="Arial" w:eastAsia="Arial" w:hAnsi="Arial"/>
                  <w:sz w:val="18"/>
                  <w:szCs w:val="18"/>
                  <w:color w:val="0000EE"/>
                  <w:w w:val="79"/>
                </w:rPr>
                <w:t>170</w:t>
              </w:r>
            </w:hyperlink>
          </w:p>
        </w:tc>
      </w:tr>
      <w:tr>
        <w:trPr>
          <w:trHeight w:val="250"/>
        </w:trPr>
        <w:tc>
          <w:tcPr>
            <w:tcW w:w="1060" w:type="dxa"/>
            <w:vAlign w:val="bottom"/>
            <w:gridSpan w:val="2"/>
          </w:tcPr>
          <w:p>
            <w:pPr>
              <w:ind w:left="80"/>
              <w:spacing w:after="0"/>
              <w:rPr>
                <w:sz w:val="20"/>
                <w:szCs w:val="20"/>
                <w:color w:val="auto"/>
              </w:rPr>
            </w:pPr>
            <w:r>
              <w:rPr>
                <w:rFonts w:ascii="Arial" w:cs="Arial" w:eastAsia="Arial" w:hAnsi="Arial"/>
                <w:sz w:val="18"/>
                <w:szCs w:val="18"/>
                <w:b w:val="1"/>
                <w:bCs w:val="1"/>
                <w:color w:val="auto"/>
              </w:rPr>
              <w:t>Item 6.</w:t>
            </w:r>
          </w:p>
        </w:tc>
        <w:tc>
          <w:tcPr>
            <w:tcW w:w="620" w:type="dxa"/>
            <w:vAlign w:val="bottom"/>
            <w:tcBorders>
              <w:bottom w:val="single" w:sz="8" w:color="0000EE"/>
            </w:tcBorders>
            <w:gridSpan w:val="2"/>
          </w:tcPr>
          <w:p>
            <w:pPr>
              <w:spacing w:after="0"/>
              <w:rPr>
                <w:rFonts w:ascii="Arial" w:cs="Arial" w:eastAsia="Arial" w:hAnsi="Arial"/>
                <w:sz w:val="18"/>
                <w:szCs w:val="18"/>
                <w:b w:val="1"/>
                <w:bCs w:val="1"/>
                <w:color w:val="0000EE"/>
                <w:w w:val="85"/>
              </w:rPr>
            </w:pPr>
            <w:hyperlink w:anchor="page173">
              <w:r>
                <w:rPr>
                  <w:rFonts w:ascii="Arial" w:cs="Arial" w:eastAsia="Arial" w:hAnsi="Arial"/>
                  <w:sz w:val="18"/>
                  <w:szCs w:val="18"/>
                  <w:b w:val="1"/>
                  <w:bCs w:val="1"/>
                  <w:color w:val="0000EE"/>
                  <w:w w:val="85"/>
                </w:rPr>
                <w:t>Exhibits</w:t>
              </w:r>
            </w:hyperlink>
          </w:p>
        </w:tc>
        <w:tc>
          <w:tcPr>
            <w:tcW w:w="7840" w:type="dxa"/>
            <w:vAlign w:val="bottom"/>
            <w:gridSpan w:val="18"/>
          </w:tcPr>
          <w:p>
            <w:pPr>
              <w:spacing w:after="0"/>
              <w:rPr>
                <w:sz w:val="21"/>
                <w:szCs w:val="21"/>
                <w:color w:val="auto"/>
              </w:rPr>
            </w:pPr>
          </w:p>
        </w:tc>
        <w:tc>
          <w:tcPr>
            <w:tcW w:w="1580" w:type="dxa"/>
            <w:vAlign w:val="bottom"/>
          </w:tcPr>
          <w:p>
            <w:pPr>
              <w:spacing w:after="0"/>
              <w:rPr>
                <w:sz w:val="21"/>
                <w:szCs w:val="21"/>
                <w:color w:val="auto"/>
              </w:rPr>
            </w:pPr>
          </w:p>
        </w:tc>
        <w:tc>
          <w:tcPr>
            <w:tcW w:w="260" w:type="dxa"/>
            <w:vAlign w:val="bottom"/>
            <w:tcBorders>
              <w:bottom w:val="single" w:sz="8" w:color="0000EE"/>
            </w:tcBorders>
            <w:gridSpan w:val="3"/>
          </w:tcPr>
          <w:p>
            <w:pPr>
              <w:jc w:val="right"/>
              <w:spacing w:after="0"/>
              <w:rPr>
                <w:rFonts w:ascii="Arial" w:cs="Arial" w:eastAsia="Arial" w:hAnsi="Arial"/>
                <w:sz w:val="18"/>
                <w:szCs w:val="18"/>
                <w:color w:val="0000EE"/>
                <w:w w:val="79"/>
              </w:rPr>
            </w:pPr>
            <w:hyperlink w:anchor="page173">
              <w:r>
                <w:rPr>
                  <w:rFonts w:ascii="Arial" w:cs="Arial" w:eastAsia="Arial" w:hAnsi="Arial"/>
                  <w:sz w:val="18"/>
                  <w:szCs w:val="18"/>
                  <w:color w:val="0000EE"/>
                  <w:w w:val="79"/>
                </w:rPr>
                <w:t>171</w:t>
              </w:r>
            </w:hyperlink>
          </w:p>
        </w:tc>
      </w:tr>
      <w:tr>
        <w:trPr>
          <w:trHeight w:val="372"/>
        </w:trPr>
        <w:tc>
          <w:tcPr>
            <w:tcW w:w="820" w:type="dxa"/>
            <w:vAlign w:val="bottom"/>
            <w:tcBorders>
              <w:bottom w:val="single" w:sz="8" w:color="0000EE"/>
            </w:tcBorders>
          </w:tcPr>
          <w:p>
            <w:pPr>
              <w:spacing w:after="0"/>
              <w:rPr>
                <w:rFonts w:ascii="Arial" w:cs="Arial" w:eastAsia="Arial" w:hAnsi="Arial"/>
                <w:sz w:val="18"/>
                <w:szCs w:val="18"/>
                <w:b w:val="1"/>
                <w:bCs w:val="1"/>
                <w:color w:val="0000EE"/>
                <w:w w:val="85"/>
              </w:rPr>
            </w:pPr>
            <w:hyperlink w:anchor="page175">
              <w:r>
                <w:rPr>
                  <w:rFonts w:ascii="Arial" w:cs="Arial" w:eastAsia="Arial" w:hAnsi="Arial"/>
                  <w:sz w:val="18"/>
                  <w:szCs w:val="18"/>
                  <w:b w:val="1"/>
                  <w:bCs w:val="1"/>
                  <w:color w:val="0000EE"/>
                  <w:w w:val="85"/>
                </w:rPr>
                <w:t>Signatures</w:t>
              </w:r>
            </w:hyperlink>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60" w:type="dxa"/>
            <w:vAlign w:val="bottom"/>
            <w:tcBorders>
              <w:bottom w:val="single" w:sz="8" w:color="0000EE"/>
            </w:tcBorders>
            <w:gridSpan w:val="3"/>
          </w:tcPr>
          <w:p>
            <w:pPr>
              <w:jc w:val="right"/>
              <w:spacing w:after="0"/>
              <w:rPr>
                <w:rFonts w:ascii="Arial" w:cs="Arial" w:eastAsia="Arial" w:hAnsi="Arial"/>
                <w:sz w:val="18"/>
                <w:szCs w:val="18"/>
                <w:color w:val="0000EE"/>
                <w:w w:val="79"/>
              </w:rPr>
            </w:pPr>
            <w:hyperlink w:anchor="page175">
              <w:r>
                <w:rPr>
                  <w:rFonts w:ascii="Arial" w:cs="Arial" w:eastAsia="Arial" w:hAnsi="Arial"/>
                  <w:sz w:val="18"/>
                  <w:szCs w:val="18"/>
                  <w:color w:val="0000EE"/>
                  <w:w w:val="79"/>
                </w:rPr>
                <w:t>173</w:t>
              </w:r>
            </w:hyperlink>
          </w:p>
        </w:tc>
      </w:tr>
      <w:tr>
        <w:trPr>
          <w:trHeight w:val="372"/>
        </w:trPr>
        <w:tc>
          <w:tcPr>
            <w:tcW w:w="1060" w:type="dxa"/>
            <w:vAlign w:val="bottom"/>
            <w:tcBorders>
              <w:bottom w:val="single" w:sz="8" w:color="0000EE"/>
            </w:tcBorders>
            <w:gridSpan w:val="2"/>
          </w:tcPr>
          <w:p>
            <w:pPr>
              <w:spacing w:after="0"/>
              <w:rPr>
                <w:rFonts w:ascii="Arial" w:cs="Arial" w:eastAsia="Arial" w:hAnsi="Arial"/>
                <w:sz w:val="18"/>
                <w:szCs w:val="18"/>
                <w:b w:val="1"/>
                <w:bCs w:val="1"/>
                <w:color w:val="0000EE"/>
                <w:w w:val="90"/>
              </w:rPr>
            </w:pPr>
            <w:hyperlink w:anchor="page176">
              <w:r>
                <w:rPr>
                  <w:rFonts w:ascii="Arial" w:cs="Arial" w:eastAsia="Arial" w:hAnsi="Arial"/>
                  <w:sz w:val="18"/>
                  <w:szCs w:val="18"/>
                  <w:b w:val="1"/>
                  <w:bCs w:val="1"/>
                  <w:color w:val="0000EE"/>
                  <w:w w:val="90"/>
                </w:rPr>
                <w:t>Exhibit Index</w:t>
              </w:r>
            </w:hyperlink>
          </w:p>
        </w:tc>
        <w:tc>
          <w:tcPr>
            <w:tcW w:w="8460" w:type="dxa"/>
            <w:vAlign w:val="bottom"/>
            <w:gridSpan w:val="20"/>
          </w:tcPr>
          <w:p>
            <w:pPr>
              <w:spacing w:after="0"/>
              <w:rPr>
                <w:sz w:val="24"/>
                <w:szCs w:val="24"/>
                <w:color w:val="auto"/>
              </w:rPr>
            </w:pPr>
          </w:p>
        </w:tc>
        <w:tc>
          <w:tcPr>
            <w:tcW w:w="1580" w:type="dxa"/>
            <w:vAlign w:val="bottom"/>
          </w:tcPr>
          <w:p>
            <w:pPr>
              <w:spacing w:after="0"/>
              <w:rPr>
                <w:sz w:val="24"/>
                <w:szCs w:val="24"/>
                <w:color w:val="auto"/>
              </w:rPr>
            </w:pPr>
          </w:p>
        </w:tc>
        <w:tc>
          <w:tcPr>
            <w:tcW w:w="260" w:type="dxa"/>
            <w:vAlign w:val="bottom"/>
            <w:tcBorders>
              <w:bottom w:val="single" w:sz="8" w:color="0000EE"/>
            </w:tcBorders>
            <w:gridSpan w:val="3"/>
          </w:tcPr>
          <w:p>
            <w:pPr>
              <w:jc w:val="right"/>
              <w:spacing w:after="0"/>
              <w:rPr>
                <w:rFonts w:ascii="Arial" w:cs="Arial" w:eastAsia="Arial" w:hAnsi="Arial"/>
                <w:sz w:val="18"/>
                <w:szCs w:val="18"/>
                <w:color w:val="0000EE"/>
                <w:w w:val="85"/>
              </w:rPr>
            </w:pPr>
            <w:hyperlink w:anchor="page176">
              <w:r>
                <w:rPr>
                  <w:rFonts w:ascii="Arial" w:cs="Arial" w:eastAsia="Arial" w:hAnsi="Arial"/>
                  <w:sz w:val="18"/>
                  <w:szCs w:val="18"/>
                  <w:color w:val="0000EE"/>
                  <w:w w:val="85"/>
                </w:rPr>
                <w:t>E-1</w:t>
              </w:r>
            </w:hyperlink>
          </w:p>
        </w:tc>
      </w:tr>
    </w:tbl>
    <w:p>
      <w:pPr>
        <w:sectPr>
          <w:pgSz w:w="11900" w:h="16838" w:orient="portrait"/>
          <w:cols w:equalWidth="0" w:num="1">
            <w:col w:w="11360"/>
          </w:cols>
          <w:pgMar w:left="280" w:top="526" w:right="259" w:bottom="1440" w:gutter="0" w:footer="0" w:header="0"/>
        </w:sectPr>
      </w:pPr>
    </w:p>
    <w:bookmarkStart w:id="2" w:name="page3"/>
    <w:bookmarkEnd w:id="2"/>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Part I — Financial Information</w:t>
      </w:r>
    </w:p>
    <w:p>
      <w:pPr>
        <w:spacing w:after="0" w:line="11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Item 1. Financial Statements</w:t>
      </w:r>
    </w:p>
    <w:p>
      <w:pPr>
        <w:spacing w:after="0" w:line="164" w:lineRule="exact"/>
        <w:rPr>
          <w:sz w:val="20"/>
          <w:szCs w:val="20"/>
          <w:color w:val="auto"/>
        </w:rPr>
      </w:pPr>
    </w:p>
    <w:p>
      <w:pPr>
        <w:ind w:left="4840"/>
        <w:spacing w:after="0"/>
        <w:rPr>
          <w:sz w:val="20"/>
          <w:szCs w:val="20"/>
          <w:color w:val="auto"/>
        </w:rPr>
      </w:pPr>
      <w:r>
        <w:rPr>
          <w:rFonts w:ascii="Arial" w:cs="Arial" w:eastAsia="Arial" w:hAnsi="Arial"/>
          <w:sz w:val="18"/>
          <w:szCs w:val="18"/>
          <w:b w:val="1"/>
          <w:bCs w:val="1"/>
          <w:color w:val="auto"/>
        </w:rPr>
        <w:t>Brighthouse Financial, Inc.</w:t>
      </w:r>
    </w:p>
    <w:p>
      <w:pPr>
        <w:spacing w:after="0" w:line="171" w:lineRule="exact"/>
        <w:rPr>
          <w:sz w:val="20"/>
          <w:szCs w:val="20"/>
          <w:color w:val="auto"/>
        </w:rPr>
      </w:pPr>
    </w:p>
    <w:p>
      <w:pPr>
        <w:ind w:left="3420"/>
        <w:spacing w:after="0"/>
        <w:rPr>
          <w:sz w:val="20"/>
          <w:szCs w:val="20"/>
          <w:color w:val="auto"/>
        </w:rPr>
      </w:pPr>
      <w:r>
        <w:rPr>
          <w:rFonts w:ascii="Arial" w:cs="Arial" w:eastAsia="Arial" w:hAnsi="Arial"/>
          <w:sz w:val="18"/>
          <w:szCs w:val="18"/>
          <w:b w:val="1"/>
          <w:bCs w:val="1"/>
          <w:color w:val="auto"/>
        </w:rPr>
        <w:t>Interim Condensed Consolidated and Combined Balance Sheets</w:t>
      </w:r>
    </w:p>
    <w:p>
      <w:pPr>
        <w:spacing w:after="0" w:line="27"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September 30, 2017 (Unaudited) and December 31, 2016</w:t>
      </w:r>
    </w:p>
    <w:p>
      <w:pPr>
        <w:spacing w:after="0" w:line="99"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(In millions, except share and per share data)</w:t>
      </w:r>
    </w:p>
    <w:p>
      <w:pPr>
        <w:spacing w:after="0" w:line="360"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84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40" w:type="dxa"/>
            <w:vAlign w:val="bottom"/>
            <w:gridSpan w:val="2"/>
          </w:tcPr>
          <w:p>
            <w:pPr>
              <w:ind w:left="60"/>
              <w:spacing w:after="0"/>
              <w:rPr>
                <w:sz w:val="20"/>
                <w:szCs w:val="20"/>
                <w:color w:val="auto"/>
              </w:rPr>
            </w:pPr>
            <w:r>
              <w:rPr>
                <w:rFonts w:ascii="Arial" w:cs="Arial" w:eastAsia="Arial" w:hAnsi="Arial"/>
                <w:sz w:val="13"/>
                <w:szCs w:val="13"/>
                <w:b w:val="1"/>
                <w:bCs w:val="1"/>
                <w:color w:val="auto"/>
              </w:rPr>
              <w:t>September 30, 2017</w:t>
            </w:r>
          </w:p>
        </w:tc>
        <w:tc>
          <w:tcPr>
            <w:tcW w:w="140" w:type="dxa"/>
            <w:vAlign w:val="bottom"/>
          </w:tcPr>
          <w:p>
            <w:pPr>
              <w:spacing w:after="0"/>
              <w:rPr>
                <w:sz w:val="15"/>
                <w:szCs w:val="15"/>
                <w:color w:val="auto"/>
              </w:rPr>
            </w:pPr>
          </w:p>
        </w:tc>
        <w:tc>
          <w:tcPr>
            <w:tcW w:w="1220" w:type="dxa"/>
            <w:vAlign w:val="bottom"/>
          </w:tcPr>
          <w:p>
            <w:pPr>
              <w:jc w:val="right"/>
              <w:ind w:right="88"/>
              <w:spacing w:after="0"/>
              <w:rPr>
                <w:sz w:val="20"/>
                <w:szCs w:val="20"/>
                <w:color w:val="auto"/>
              </w:rPr>
            </w:pPr>
            <w:r>
              <w:rPr>
                <w:rFonts w:ascii="Arial" w:cs="Arial" w:eastAsia="Arial" w:hAnsi="Arial"/>
                <w:sz w:val="13"/>
                <w:szCs w:val="13"/>
                <w:b w:val="1"/>
                <w:bCs w:val="1"/>
                <w:color w:val="auto"/>
                <w:w w:val="88"/>
              </w:rPr>
              <w:t>December 31, 2016</w:t>
            </w:r>
          </w:p>
        </w:tc>
        <w:tc>
          <w:tcPr>
            <w:tcW w:w="0" w:type="dxa"/>
            <w:vAlign w:val="bottom"/>
          </w:tcPr>
          <w:p>
            <w:pPr>
              <w:spacing w:after="0"/>
              <w:rPr>
                <w:sz w:val="1"/>
                <w:szCs w:val="1"/>
                <w:color w:val="auto"/>
              </w:rPr>
            </w:pPr>
          </w:p>
        </w:tc>
      </w:tr>
      <w:tr>
        <w:trPr>
          <w:trHeight w:val="177"/>
        </w:trPr>
        <w:tc>
          <w:tcPr>
            <w:tcW w:w="846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Assets</w:t>
            </w:r>
          </w:p>
        </w:tc>
        <w:tc>
          <w:tcPr>
            <w:tcW w:w="160" w:type="dxa"/>
            <w:vAlign w:val="bottom"/>
            <w:tcBorders>
              <w:top w:val="single" w:sz="8" w:color="auto"/>
            </w:tcBorders>
            <w:shd w:val="clear" w:color="auto" w:fill="CCEEFF"/>
          </w:tcPr>
          <w:p>
            <w:pPr>
              <w:spacing w:after="0"/>
              <w:rPr>
                <w:sz w:val="15"/>
                <w:szCs w:val="15"/>
                <w:color w:val="auto"/>
              </w:rPr>
            </w:pPr>
          </w:p>
        </w:tc>
        <w:tc>
          <w:tcPr>
            <w:tcW w:w="13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122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846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13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22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91"/>
        </w:trPr>
        <w:tc>
          <w:tcPr>
            <w:tcW w:w="8460" w:type="dxa"/>
            <w:vAlign w:val="bottom"/>
          </w:tcPr>
          <w:p>
            <w:pPr>
              <w:ind w:left="40"/>
              <w:spacing w:after="0"/>
              <w:rPr>
                <w:sz w:val="20"/>
                <w:szCs w:val="20"/>
                <w:color w:val="auto"/>
              </w:rPr>
            </w:pPr>
            <w:r>
              <w:rPr>
                <w:rFonts w:ascii="Arial" w:cs="Arial" w:eastAsia="Arial" w:hAnsi="Arial"/>
                <w:sz w:val="14"/>
                <w:szCs w:val="14"/>
                <w:color w:val="auto"/>
              </w:rPr>
              <w:t>Investments:</w:t>
            </w:r>
          </w:p>
        </w:tc>
        <w:tc>
          <w:tcPr>
            <w:tcW w:w="16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8460" w:type="dxa"/>
            <w:vAlign w:val="bottom"/>
          </w:tcPr>
          <w:p>
            <w:pPr>
              <w:spacing w:after="0"/>
              <w:rPr>
                <w:sz w:val="6"/>
                <w:szCs w:val="6"/>
                <w:color w:val="auto"/>
              </w:rPr>
            </w:pPr>
          </w:p>
        </w:tc>
        <w:tc>
          <w:tcPr>
            <w:tcW w:w="160" w:type="dxa"/>
            <w:vAlign w:val="bottom"/>
          </w:tcPr>
          <w:p>
            <w:pPr>
              <w:spacing w:after="0"/>
              <w:rPr>
                <w:sz w:val="6"/>
                <w:szCs w:val="6"/>
                <w:color w:val="auto"/>
              </w:rPr>
            </w:pPr>
          </w:p>
        </w:tc>
        <w:tc>
          <w:tcPr>
            <w:tcW w:w="13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2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57"/>
        </w:trPr>
        <w:tc>
          <w:tcPr>
            <w:tcW w:w="8460" w:type="dxa"/>
            <w:vAlign w:val="bottom"/>
            <w:shd w:val="clear" w:color="auto" w:fill="CCEEFF"/>
          </w:tcPr>
          <w:p>
            <w:pPr>
              <w:ind w:left="40"/>
              <w:spacing w:after="0" w:line="157" w:lineRule="exact"/>
              <w:rPr>
                <w:sz w:val="20"/>
                <w:szCs w:val="20"/>
                <w:color w:val="auto"/>
              </w:rPr>
            </w:pPr>
            <w:r>
              <w:rPr>
                <w:rFonts w:ascii="Arial" w:cs="Arial" w:eastAsia="Arial" w:hAnsi="Arial"/>
                <w:sz w:val="14"/>
                <w:szCs w:val="14"/>
                <w:color w:val="auto"/>
              </w:rPr>
              <w:t>Fixed maturity securities available-for-sale, at estimated fair value (amortized cost: $59,126 and $58,715, respectively; includes $0 and</w:t>
            </w:r>
          </w:p>
        </w:tc>
        <w:tc>
          <w:tcPr>
            <w:tcW w:w="160" w:type="dxa"/>
            <w:vAlign w:val="bottom"/>
            <w:shd w:val="clear" w:color="auto" w:fill="CCEEFF"/>
          </w:tcPr>
          <w:p>
            <w:pPr>
              <w:spacing w:after="0"/>
              <w:rPr>
                <w:sz w:val="13"/>
                <w:szCs w:val="13"/>
                <w:color w:val="auto"/>
              </w:rPr>
            </w:pPr>
          </w:p>
        </w:tc>
        <w:tc>
          <w:tcPr>
            <w:tcW w:w="13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94"/>
        </w:trPr>
        <w:tc>
          <w:tcPr>
            <w:tcW w:w="8460" w:type="dxa"/>
            <w:vAlign w:val="bottom"/>
            <w:shd w:val="clear" w:color="auto" w:fill="CCEEFF"/>
          </w:tcPr>
          <w:p>
            <w:pPr>
              <w:ind w:left="200"/>
              <w:spacing w:after="0"/>
              <w:rPr>
                <w:sz w:val="20"/>
                <w:szCs w:val="20"/>
                <w:color w:val="auto"/>
              </w:rPr>
            </w:pPr>
            <w:r>
              <w:rPr>
                <w:rFonts w:ascii="Arial" w:cs="Arial" w:eastAsia="Arial" w:hAnsi="Arial"/>
                <w:sz w:val="14"/>
                <w:szCs w:val="14"/>
                <w:color w:val="auto"/>
              </w:rPr>
              <w:t>$3,413, respectively, relating to variable interest entities)</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63,565</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61,388</w:t>
            </w:r>
          </w:p>
        </w:tc>
        <w:tc>
          <w:tcPr>
            <w:tcW w:w="0" w:type="dxa"/>
            <w:vAlign w:val="bottom"/>
          </w:tcPr>
          <w:p>
            <w:pPr>
              <w:spacing w:after="0"/>
              <w:rPr>
                <w:sz w:val="1"/>
                <w:szCs w:val="1"/>
                <w:color w:val="auto"/>
              </w:rPr>
            </w:pPr>
          </w:p>
        </w:tc>
      </w:tr>
      <w:tr>
        <w:trPr>
          <w:trHeight w:val="264"/>
        </w:trPr>
        <w:tc>
          <w:tcPr>
            <w:tcW w:w="8460" w:type="dxa"/>
            <w:vAlign w:val="bottom"/>
          </w:tcPr>
          <w:p>
            <w:pPr>
              <w:ind w:left="40"/>
              <w:spacing w:after="0"/>
              <w:rPr>
                <w:sz w:val="20"/>
                <w:szCs w:val="20"/>
                <w:color w:val="auto"/>
              </w:rPr>
            </w:pPr>
            <w:r>
              <w:rPr>
                <w:rFonts w:ascii="Arial" w:cs="Arial" w:eastAsia="Arial" w:hAnsi="Arial"/>
                <w:sz w:val="14"/>
                <w:szCs w:val="14"/>
                <w:color w:val="auto"/>
              </w:rPr>
              <w:t>Equity securities available-for-sale, at estimated fair value (cost: $234 and $280, respectively)</w:t>
            </w:r>
          </w:p>
        </w:tc>
        <w:tc>
          <w:tcPr>
            <w:tcW w:w="160" w:type="dxa"/>
            <w:vAlign w:val="bottom"/>
          </w:tcPr>
          <w:p>
            <w:pPr>
              <w:spacing w:after="0"/>
              <w:rPr>
                <w:sz w:val="22"/>
                <w:szCs w:val="22"/>
                <w:color w:val="auto"/>
              </w:rPr>
            </w:pPr>
          </w:p>
        </w:tc>
        <w:tc>
          <w:tcPr>
            <w:tcW w:w="1340" w:type="dxa"/>
            <w:vAlign w:val="bottom"/>
          </w:tcPr>
          <w:p>
            <w:pPr>
              <w:jc w:val="right"/>
              <w:ind w:right="48"/>
              <w:spacing w:after="0"/>
              <w:rPr>
                <w:sz w:val="20"/>
                <w:szCs w:val="20"/>
                <w:color w:val="auto"/>
              </w:rPr>
            </w:pPr>
            <w:r>
              <w:rPr>
                <w:rFonts w:ascii="Arial" w:cs="Arial" w:eastAsia="Arial" w:hAnsi="Arial"/>
                <w:sz w:val="14"/>
                <w:szCs w:val="14"/>
                <w:color w:val="auto"/>
              </w:rPr>
              <w:t>265</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20" w:type="dxa"/>
            <w:vAlign w:val="bottom"/>
          </w:tcPr>
          <w:p>
            <w:pPr>
              <w:jc w:val="right"/>
              <w:ind w:right="28"/>
              <w:spacing w:after="0"/>
              <w:rPr>
                <w:sz w:val="20"/>
                <w:szCs w:val="20"/>
                <w:color w:val="auto"/>
              </w:rPr>
            </w:pPr>
            <w:r>
              <w:rPr>
                <w:rFonts w:ascii="Arial" w:cs="Arial" w:eastAsia="Arial" w:hAnsi="Arial"/>
                <w:sz w:val="14"/>
                <w:szCs w:val="14"/>
                <w:color w:val="auto"/>
              </w:rPr>
              <w:t>300</w:t>
            </w:r>
          </w:p>
        </w:tc>
        <w:tc>
          <w:tcPr>
            <w:tcW w:w="0" w:type="dxa"/>
            <w:vAlign w:val="bottom"/>
          </w:tcPr>
          <w:p>
            <w:pPr>
              <w:spacing w:after="0"/>
              <w:rPr>
                <w:sz w:val="1"/>
                <w:szCs w:val="1"/>
                <w:color w:val="auto"/>
              </w:rPr>
            </w:pPr>
          </w:p>
        </w:tc>
      </w:tr>
      <w:tr>
        <w:trPr>
          <w:trHeight w:val="163"/>
        </w:trPr>
        <w:tc>
          <w:tcPr>
            <w:tcW w:w="8460" w:type="dxa"/>
            <w:vAlign w:val="bottom"/>
            <w:shd w:val="clear" w:color="auto" w:fill="CCEEFF"/>
          </w:tcPr>
          <w:p>
            <w:pPr>
              <w:ind w:left="40"/>
              <w:spacing w:after="0"/>
              <w:rPr>
                <w:sz w:val="20"/>
                <w:szCs w:val="20"/>
                <w:color w:val="auto"/>
              </w:rPr>
            </w:pPr>
            <w:r>
              <w:rPr>
                <w:rFonts w:ascii="Arial" w:cs="Arial" w:eastAsia="Arial" w:hAnsi="Arial"/>
                <w:sz w:val="14"/>
                <w:szCs w:val="14"/>
                <w:color w:val="auto"/>
              </w:rPr>
              <w:t>Mortgage loans (net of valuation allowances of $45 and $40, respectively; includes $119 and $136, respectively, at estimated fair value,</w:t>
            </w:r>
          </w:p>
        </w:tc>
        <w:tc>
          <w:tcPr>
            <w:tcW w:w="16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8460" w:type="dxa"/>
            <w:vAlign w:val="bottom"/>
            <w:shd w:val="clear" w:color="auto" w:fill="CCEEFF"/>
          </w:tcPr>
          <w:p>
            <w:pPr>
              <w:ind w:left="200"/>
              <w:spacing w:after="0"/>
              <w:rPr>
                <w:sz w:val="20"/>
                <w:szCs w:val="20"/>
                <w:color w:val="auto"/>
              </w:rPr>
            </w:pPr>
            <w:r>
              <w:rPr>
                <w:rFonts w:ascii="Arial" w:cs="Arial" w:eastAsia="Arial" w:hAnsi="Arial"/>
                <w:sz w:val="14"/>
                <w:szCs w:val="14"/>
                <w:color w:val="auto"/>
              </w:rPr>
              <w:t>relating to variable interest entities)</w:t>
            </w:r>
          </w:p>
        </w:tc>
        <w:tc>
          <w:tcPr>
            <w:tcW w:w="160" w:type="dxa"/>
            <w:vAlign w:val="bottom"/>
            <w:shd w:val="clear" w:color="auto" w:fill="CCEEFF"/>
          </w:tcPr>
          <w:p>
            <w:pPr>
              <w:spacing w:after="0"/>
              <w:rPr>
                <w:sz w:val="16"/>
                <w:szCs w:val="16"/>
                <w:color w:val="auto"/>
              </w:rPr>
            </w:pPr>
          </w:p>
        </w:tc>
        <w:tc>
          <w:tcPr>
            <w:tcW w:w="13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10,431</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9,378</w:t>
            </w:r>
          </w:p>
        </w:tc>
        <w:tc>
          <w:tcPr>
            <w:tcW w:w="0" w:type="dxa"/>
            <w:vAlign w:val="bottom"/>
          </w:tcPr>
          <w:p>
            <w:pPr>
              <w:spacing w:after="0"/>
              <w:rPr>
                <w:sz w:val="1"/>
                <w:szCs w:val="1"/>
                <w:color w:val="auto"/>
              </w:rPr>
            </w:pPr>
          </w:p>
        </w:tc>
      </w:tr>
      <w:tr>
        <w:trPr>
          <w:trHeight w:val="264"/>
        </w:trPr>
        <w:tc>
          <w:tcPr>
            <w:tcW w:w="8460" w:type="dxa"/>
            <w:vAlign w:val="bottom"/>
          </w:tcPr>
          <w:p>
            <w:pPr>
              <w:ind w:left="40"/>
              <w:spacing w:after="0"/>
              <w:rPr>
                <w:sz w:val="20"/>
                <w:szCs w:val="20"/>
                <w:color w:val="auto"/>
              </w:rPr>
            </w:pPr>
            <w:r>
              <w:rPr>
                <w:rFonts w:ascii="Arial" w:cs="Arial" w:eastAsia="Arial" w:hAnsi="Arial"/>
                <w:sz w:val="14"/>
                <w:szCs w:val="14"/>
                <w:color w:val="auto"/>
              </w:rPr>
              <w:t>Policy loans</w:t>
            </w:r>
          </w:p>
        </w:tc>
        <w:tc>
          <w:tcPr>
            <w:tcW w:w="160" w:type="dxa"/>
            <w:vAlign w:val="bottom"/>
          </w:tcPr>
          <w:p>
            <w:pPr>
              <w:spacing w:after="0"/>
              <w:rPr>
                <w:sz w:val="22"/>
                <w:szCs w:val="22"/>
                <w:color w:val="auto"/>
              </w:rPr>
            </w:pPr>
          </w:p>
        </w:tc>
        <w:tc>
          <w:tcPr>
            <w:tcW w:w="1340" w:type="dxa"/>
            <w:vAlign w:val="bottom"/>
          </w:tcPr>
          <w:p>
            <w:pPr>
              <w:jc w:val="right"/>
              <w:ind w:right="48"/>
              <w:spacing w:after="0"/>
              <w:rPr>
                <w:sz w:val="20"/>
                <w:szCs w:val="20"/>
                <w:color w:val="auto"/>
              </w:rPr>
            </w:pPr>
            <w:r>
              <w:rPr>
                <w:rFonts w:ascii="Arial" w:cs="Arial" w:eastAsia="Arial" w:hAnsi="Arial"/>
                <w:sz w:val="14"/>
                <w:szCs w:val="14"/>
                <w:color w:val="auto"/>
              </w:rPr>
              <w:t>1,522</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20" w:type="dxa"/>
            <w:vAlign w:val="bottom"/>
          </w:tcPr>
          <w:p>
            <w:pPr>
              <w:jc w:val="right"/>
              <w:ind w:right="28"/>
              <w:spacing w:after="0"/>
              <w:rPr>
                <w:sz w:val="20"/>
                <w:szCs w:val="20"/>
                <w:color w:val="auto"/>
              </w:rPr>
            </w:pPr>
            <w:r>
              <w:rPr>
                <w:rFonts w:ascii="Arial" w:cs="Arial" w:eastAsia="Arial" w:hAnsi="Arial"/>
                <w:sz w:val="14"/>
                <w:szCs w:val="14"/>
                <w:color w:val="auto"/>
              </w:rPr>
              <w:t>1,517</w:t>
            </w:r>
          </w:p>
        </w:tc>
        <w:tc>
          <w:tcPr>
            <w:tcW w:w="0" w:type="dxa"/>
            <w:vAlign w:val="bottom"/>
          </w:tcPr>
          <w:p>
            <w:pPr>
              <w:spacing w:after="0"/>
              <w:rPr>
                <w:sz w:val="1"/>
                <w:szCs w:val="1"/>
                <w:color w:val="auto"/>
              </w:rPr>
            </w:pPr>
          </w:p>
        </w:tc>
      </w:tr>
      <w:tr>
        <w:trPr>
          <w:trHeight w:val="276"/>
        </w:trPr>
        <w:tc>
          <w:tcPr>
            <w:tcW w:w="8460" w:type="dxa"/>
            <w:vAlign w:val="bottom"/>
            <w:shd w:val="clear" w:color="auto" w:fill="CCEEFF"/>
          </w:tcPr>
          <w:p>
            <w:pPr>
              <w:ind w:left="40"/>
              <w:spacing w:after="0"/>
              <w:rPr>
                <w:sz w:val="20"/>
                <w:szCs w:val="20"/>
                <w:color w:val="auto"/>
              </w:rPr>
            </w:pPr>
            <w:r>
              <w:rPr>
                <w:rFonts w:ascii="Arial" w:cs="Arial" w:eastAsia="Arial" w:hAnsi="Arial"/>
                <w:sz w:val="14"/>
                <w:szCs w:val="14"/>
                <w:color w:val="auto"/>
              </w:rPr>
              <w:t>Real estate and real estate joint ventures</w:t>
            </w:r>
          </w:p>
        </w:tc>
        <w:tc>
          <w:tcPr>
            <w:tcW w:w="160" w:type="dxa"/>
            <w:vAlign w:val="bottom"/>
            <w:shd w:val="clear" w:color="auto" w:fill="CCEEFF"/>
          </w:tcPr>
          <w:p>
            <w:pPr>
              <w:spacing w:after="0"/>
              <w:rPr>
                <w:sz w:val="24"/>
                <w:szCs w:val="24"/>
                <w:color w:val="auto"/>
              </w:rPr>
            </w:pPr>
          </w:p>
        </w:tc>
        <w:tc>
          <w:tcPr>
            <w:tcW w:w="13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407</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215</w:t>
            </w:r>
          </w:p>
        </w:tc>
        <w:tc>
          <w:tcPr>
            <w:tcW w:w="0" w:type="dxa"/>
            <w:vAlign w:val="bottom"/>
          </w:tcPr>
          <w:p>
            <w:pPr>
              <w:spacing w:after="0"/>
              <w:rPr>
                <w:sz w:val="1"/>
                <w:szCs w:val="1"/>
                <w:color w:val="auto"/>
              </w:rPr>
            </w:pPr>
          </w:p>
        </w:tc>
      </w:tr>
      <w:tr>
        <w:trPr>
          <w:trHeight w:val="264"/>
        </w:trPr>
        <w:tc>
          <w:tcPr>
            <w:tcW w:w="8460" w:type="dxa"/>
            <w:vAlign w:val="bottom"/>
          </w:tcPr>
          <w:p>
            <w:pPr>
              <w:ind w:left="40"/>
              <w:spacing w:after="0"/>
              <w:rPr>
                <w:sz w:val="20"/>
                <w:szCs w:val="20"/>
                <w:color w:val="auto"/>
              </w:rPr>
            </w:pPr>
            <w:r>
              <w:rPr>
                <w:rFonts w:ascii="Arial" w:cs="Arial" w:eastAsia="Arial" w:hAnsi="Arial"/>
                <w:sz w:val="14"/>
                <w:szCs w:val="14"/>
                <w:color w:val="auto"/>
              </w:rPr>
              <w:t>Other limited partnership interests</w:t>
            </w:r>
          </w:p>
        </w:tc>
        <w:tc>
          <w:tcPr>
            <w:tcW w:w="160" w:type="dxa"/>
            <w:vAlign w:val="bottom"/>
          </w:tcPr>
          <w:p>
            <w:pPr>
              <w:spacing w:after="0"/>
              <w:rPr>
                <w:sz w:val="22"/>
                <w:szCs w:val="22"/>
                <w:color w:val="auto"/>
              </w:rPr>
            </w:pPr>
          </w:p>
        </w:tc>
        <w:tc>
          <w:tcPr>
            <w:tcW w:w="1340" w:type="dxa"/>
            <w:vAlign w:val="bottom"/>
          </w:tcPr>
          <w:p>
            <w:pPr>
              <w:jc w:val="right"/>
              <w:ind w:right="48"/>
              <w:spacing w:after="0"/>
              <w:rPr>
                <w:sz w:val="20"/>
                <w:szCs w:val="20"/>
                <w:color w:val="auto"/>
              </w:rPr>
            </w:pPr>
            <w:r>
              <w:rPr>
                <w:rFonts w:ascii="Arial" w:cs="Arial" w:eastAsia="Arial" w:hAnsi="Arial"/>
                <w:sz w:val="14"/>
                <w:szCs w:val="14"/>
                <w:color w:val="auto"/>
              </w:rPr>
              <w:t>1,654</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20" w:type="dxa"/>
            <w:vAlign w:val="bottom"/>
          </w:tcPr>
          <w:p>
            <w:pPr>
              <w:jc w:val="right"/>
              <w:ind w:right="28"/>
              <w:spacing w:after="0"/>
              <w:rPr>
                <w:sz w:val="20"/>
                <w:szCs w:val="20"/>
                <w:color w:val="auto"/>
              </w:rPr>
            </w:pPr>
            <w:r>
              <w:rPr>
                <w:rFonts w:ascii="Arial" w:cs="Arial" w:eastAsia="Arial" w:hAnsi="Arial"/>
                <w:sz w:val="14"/>
                <w:szCs w:val="14"/>
                <w:color w:val="auto"/>
              </w:rPr>
              <w:t>1,642</w:t>
            </w:r>
          </w:p>
        </w:tc>
        <w:tc>
          <w:tcPr>
            <w:tcW w:w="0" w:type="dxa"/>
            <w:vAlign w:val="bottom"/>
          </w:tcPr>
          <w:p>
            <w:pPr>
              <w:spacing w:after="0"/>
              <w:rPr>
                <w:sz w:val="1"/>
                <w:szCs w:val="1"/>
                <w:color w:val="auto"/>
              </w:rPr>
            </w:pPr>
          </w:p>
        </w:tc>
      </w:tr>
      <w:tr>
        <w:trPr>
          <w:trHeight w:val="276"/>
        </w:trPr>
        <w:tc>
          <w:tcPr>
            <w:tcW w:w="8460" w:type="dxa"/>
            <w:vAlign w:val="bottom"/>
            <w:shd w:val="clear" w:color="auto" w:fill="CCEEFF"/>
          </w:tcPr>
          <w:p>
            <w:pPr>
              <w:ind w:left="40"/>
              <w:spacing w:after="0"/>
              <w:rPr>
                <w:sz w:val="20"/>
                <w:szCs w:val="20"/>
                <w:color w:val="auto"/>
              </w:rPr>
            </w:pPr>
            <w:r>
              <w:rPr>
                <w:rFonts w:ascii="Arial" w:cs="Arial" w:eastAsia="Arial" w:hAnsi="Arial"/>
                <w:sz w:val="14"/>
                <w:szCs w:val="14"/>
                <w:color w:val="auto"/>
              </w:rPr>
              <w:t>Short-term investments, principally at estimated fair value</w:t>
            </w:r>
          </w:p>
        </w:tc>
        <w:tc>
          <w:tcPr>
            <w:tcW w:w="160" w:type="dxa"/>
            <w:vAlign w:val="bottom"/>
            <w:shd w:val="clear" w:color="auto" w:fill="CCEEFF"/>
          </w:tcPr>
          <w:p>
            <w:pPr>
              <w:spacing w:after="0"/>
              <w:rPr>
                <w:sz w:val="24"/>
                <w:szCs w:val="24"/>
                <w:color w:val="auto"/>
              </w:rPr>
            </w:pPr>
          </w:p>
        </w:tc>
        <w:tc>
          <w:tcPr>
            <w:tcW w:w="13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1,149</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1,288</w:t>
            </w:r>
          </w:p>
        </w:tc>
        <w:tc>
          <w:tcPr>
            <w:tcW w:w="0" w:type="dxa"/>
            <w:vAlign w:val="bottom"/>
          </w:tcPr>
          <w:p>
            <w:pPr>
              <w:spacing w:after="0"/>
              <w:rPr>
                <w:sz w:val="1"/>
                <w:szCs w:val="1"/>
                <w:color w:val="auto"/>
              </w:rPr>
            </w:pPr>
          </w:p>
        </w:tc>
      </w:tr>
      <w:tr>
        <w:trPr>
          <w:trHeight w:val="264"/>
        </w:trPr>
        <w:tc>
          <w:tcPr>
            <w:tcW w:w="846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Other invested assets, principally at estimated fair value</w:t>
            </w:r>
          </w:p>
        </w:tc>
        <w:tc>
          <w:tcPr>
            <w:tcW w:w="16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2,666</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4,904</w:t>
            </w:r>
          </w:p>
        </w:tc>
        <w:tc>
          <w:tcPr>
            <w:tcW w:w="0" w:type="dxa"/>
            <w:vAlign w:val="bottom"/>
          </w:tcPr>
          <w:p>
            <w:pPr>
              <w:spacing w:after="0"/>
              <w:rPr>
                <w:sz w:val="1"/>
                <w:szCs w:val="1"/>
                <w:color w:val="auto"/>
              </w:rPr>
            </w:pPr>
          </w:p>
        </w:tc>
      </w:tr>
      <w:tr>
        <w:trPr>
          <w:trHeight w:val="177"/>
        </w:trPr>
        <w:tc>
          <w:tcPr>
            <w:tcW w:w="8460" w:type="dxa"/>
            <w:vAlign w:val="bottom"/>
            <w:shd w:val="clear" w:color="auto" w:fill="CCEEFF"/>
          </w:tcPr>
          <w:p>
            <w:pPr>
              <w:ind w:left="200"/>
              <w:spacing w:after="0"/>
              <w:rPr>
                <w:sz w:val="20"/>
                <w:szCs w:val="20"/>
                <w:color w:val="auto"/>
              </w:rPr>
            </w:pPr>
            <w:r>
              <w:rPr>
                <w:rFonts w:ascii="Arial" w:cs="Arial" w:eastAsia="Arial" w:hAnsi="Arial"/>
                <w:sz w:val="14"/>
                <w:szCs w:val="14"/>
                <w:color w:val="auto"/>
              </w:rPr>
              <w:t>Total investments</w:t>
            </w:r>
          </w:p>
        </w:tc>
        <w:tc>
          <w:tcPr>
            <w:tcW w:w="160" w:type="dxa"/>
            <w:vAlign w:val="bottom"/>
            <w:shd w:val="clear" w:color="auto" w:fill="CCEEFF"/>
          </w:tcPr>
          <w:p>
            <w:pPr>
              <w:spacing w:after="0"/>
              <w:rPr>
                <w:sz w:val="15"/>
                <w:szCs w:val="15"/>
                <w:color w:val="auto"/>
              </w:rPr>
            </w:pPr>
          </w:p>
        </w:tc>
        <w:tc>
          <w:tcPr>
            <w:tcW w:w="134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81,659</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2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80,632</w:t>
            </w:r>
          </w:p>
        </w:tc>
        <w:tc>
          <w:tcPr>
            <w:tcW w:w="0" w:type="dxa"/>
            <w:vAlign w:val="bottom"/>
          </w:tcPr>
          <w:p>
            <w:pPr>
              <w:spacing w:after="0"/>
              <w:rPr>
                <w:sz w:val="1"/>
                <w:szCs w:val="1"/>
                <w:color w:val="auto"/>
              </w:rPr>
            </w:pPr>
          </w:p>
        </w:tc>
      </w:tr>
      <w:tr>
        <w:trPr>
          <w:trHeight w:val="80"/>
        </w:trPr>
        <w:tc>
          <w:tcPr>
            <w:tcW w:w="846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34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22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64"/>
        </w:trPr>
        <w:tc>
          <w:tcPr>
            <w:tcW w:w="8460" w:type="dxa"/>
            <w:vAlign w:val="bottom"/>
          </w:tcPr>
          <w:p>
            <w:pPr>
              <w:ind w:left="40"/>
              <w:spacing w:after="0"/>
              <w:rPr>
                <w:sz w:val="20"/>
                <w:szCs w:val="20"/>
                <w:color w:val="auto"/>
              </w:rPr>
            </w:pPr>
            <w:r>
              <w:rPr>
                <w:rFonts w:ascii="Arial" w:cs="Arial" w:eastAsia="Arial" w:hAnsi="Arial"/>
                <w:sz w:val="14"/>
                <w:szCs w:val="14"/>
                <w:color w:val="auto"/>
              </w:rPr>
              <w:t>Cash and cash equivalents, principally at estimated fair value (includes $0 and $9, respectively, relating to variable interest entities)</w:t>
            </w:r>
          </w:p>
        </w:tc>
        <w:tc>
          <w:tcPr>
            <w:tcW w:w="160" w:type="dxa"/>
            <w:vAlign w:val="bottom"/>
          </w:tcPr>
          <w:p>
            <w:pPr>
              <w:spacing w:after="0"/>
              <w:rPr>
                <w:sz w:val="22"/>
                <w:szCs w:val="22"/>
                <w:color w:val="auto"/>
              </w:rPr>
            </w:pPr>
          </w:p>
        </w:tc>
        <w:tc>
          <w:tcPr>
            <w:tcW w:w="1340" w:type="dxa"/>
            <w:vAlign w:val="bottom"/>
          </w:tcPr>
          <w:p>
            <w:pPr>
              <w:jc w:val="right"/>
              <w:ind w:right="48"/>
              <w:spacing w:after="0"/>
              <w:rPr>
                <w:sz w:val="20"/>
                <w:szCs w:val="20"/>
                <w:color w:val="auto"/>
              </w:rPr>
            </w:pPr>
            <w:r>
              <w:rPr>
                <w:rFonts w:ascii="Arial" w:cs="Arial" w:eastAsia="Arial" w:hAnsi="Arial"/>
                <w:sz w:val="14"/>
                <w:szCs w:val="14"/>
                <w:color w:val="auto"/>
              </w:rPr>
              <w:t>1,698</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20" w:type="dxa"/>
            <w:vAlign w:val="bottom"/>
          </w:tcPr>
          <w:p>
            <w:pPr>
              <w:jc w:val="right"/>
              <w:ind w:right="28"/>
              <w:spacing w:after="0"/>
              <w:rPr>
                <w:sz w:val="20"/>
                <w:szCs w:val="20"/>
                <w:color w:val="auto"/>
              </w:rPr>
            </w:pPr>
            <w:r>
              <w:rPr>
                <w:rFonts w:ascii="Arial" w:cs="Arial" w:eastAsia="Arial" w:hAnsi="Arial"/>
                <w:sz w:val="14"/>
                <w:szCs w:val="14"/>
                <w:color w:val="auto"/>
              </w:rPr>
              <w:t>5,228</w:t>
            </w:r>
          </w:p>
        </w:tc>
        <w:tc>
          <w:tcPr>
            <w:tcW w:w="0" w:type="dxa"/>
            <w:vAlign w:val="bottom"/>
          </w:tcPr>
          <w:p>
            <w:pPr>
              <w:spacing w:after="0"/>
              <w:rPr>
                <w:sz w:val="1"/>
                <w:szCs w:val="1"/>
                <w:color w:val="auto"/>
              </w:rPr>
            </w:pPr>
          </w:p>
        </w:tc>
      </w:tr>
      <w:tr>
        <w:trPr>
          <w:trHeight w:val="197"/>
        </w:trPr>
        <w:tc>
          <w:tcPr>
            <w:tcW w:w="8460" w:type="dxa"/>
            <w:vAlign w:val="bottom"/>
            <w:shd w:val="clear" w:color="auto" w:fill="CCEEFF"/>
          </w:tcPr>
          <w:p>
            <w:pPr>
              <w:ind w:left="40"/>
              <w:spacing w:after="0"/>
              <w:rPr>
                <w:sz w:val="20"/>
                <w:szCs w:val="20"/>
                <w:color w:val="auto"/>
              </w:rPr>
            </w:pPr>
            <w:r>
              <w:rPr>
                <w:rFonts w:ascii="Arial" w:cs="Arial" w:eastAsia="Arial" w:hAnsi="Arial"/>
                <w:sz w:val="14"/>
                <w:szCs w:val="14"/>
                <w:color w:val="auto"/>
              </w:rPr>
              <w:t>Accrued investment income (includes $1 and $1, respectively, relating to variable interest entities)</w:t>
            </w:r>
          </w:p>
        </w:tc>
        <w:tc>
          <w:tcPr>
            <w:tcW w:w="160" w:type="dxa"/>
            <w:vAlign w:val="bottom"/>
            <w:shd w:val="clear" w:color="auto" w:fill="CCEEFF"/>
          </w:tcPr>
          <w:p>
            <w:pPr>
              <w:spacing w:after="0"/>
              <w:rPr>
                <w:sz w:val="17"/>
                <w:szCs w:val="17"/>
                <w:color w:val="auto"/>
              </w:rPr>
            </w:pPr>
          </w:p>
        </w:tc>
        <w:tc>
          <w:tcPr>
            <w:tcW w:w="134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641</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2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693</w:t>
            </w:r>
          </w:p>
        </w:tc>
        <w:tc>
          <w:tcPr>
            <w:tcW w:w="0" w:type="dxa"/>
            <w:vAlign w:val="bottom"/>
          </w:tcPr>
          <w:p>
            <w:pPr>
              <w:spacing w:after="0"/>
              <w:rPr>
                <w:sz w:val="1"/>
                <w:szCs w:val="1"/>
                <w:color w:val="auto"/>
              </w:rPr>
            </w:pPr>
          </w:p>
        </w:tc>
      </w:tr>
      <w:tr>
        <w:trPr>
          <w:trHeight w:val="80"/>
        </w:trPr>
        <w:tc>
          <w:tcPr>
            <w:tcW w:w="846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34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22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8460" w:type="dxa"/>
            <w:vAlign w:val="bottom"/>
          </w:tcPr>
          <w:p>
            <w:pPr>
              <w:ind w:left="40"/>
              <w:spacing w:after="0"/>
              <w:rPr>
                <w:sz w:val="20"/>
                <w:szCs w:val="20"/>
                <w:color w:val="auto"/>
              </w:rPr>
            </w:pPr>
            <w:r>
              <w:rPr>
                <w:rFonts w:ascii="Arial" w:cs="Arial" w:eastAsia="Arial" w:hAnsi="Arial"/>
                <w:sz w:val="14"/>
                <w:szCs w:val="14"/>
                <w:color w:val="auto"/>
              </w:rPr>
              <w:t>Premiums, reinsurance and other receivables</w:t>
            </w:r>
          </w:p>
        </w:tc>
        <w:tc>
          <w:tcPr>
            <w:tcW w:w="160" w:type="dxa"/>
            <w:vAlign w:val="bottom"/>
          </w:tcPr>
          <w:p>
            <w:pPr>
              <w:spacing w:after="0"/>
              <w:rPr>
                <w:sz w:val="16"/>
                <w:szCs w:val="16"/>
                <w:color w:val="auto"/>
              </w:rPr>
            </w:pPr>
          </w:p>
        </w:tc>
        <w:tc>
          <w:tcPr>
            <w:tcW w:w="1340" w:type="dxa"/>
            <w:vAlign w:val="bottom"/>
            <w:vMerge w:val="restart"/>
          </w:tcPr>
          <w:p>
            <w:pPr>
              <w:jc w:val="right"/>
              <w:ind w:right="48"/>
              <w:spacing w:after="0"/>
              <w:rPr>
                <w:sz w:val="20"/>
                <w:szCs w:val="20"/>
                <w:color w:val="auto"/>
              </w:rPr>
            </w:pPr>
            <w:r>
              <w:rPr>
                <w:rFonts w:ascii="Arial" w:cs="Arial" w:eastAsia="Arial" w:hAnsi="Arial"/>
                <w:sz w:val="14"/>
                <w:szCs w:val="14"/>
                <w:color w:val="auto"/>
              </w:rPr>
              <w:t>13,591</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vMerge w:val="restart"/>
          </w:tcPr>
          <w:p>
            <w:pPr>
              <w:jc w:val="right"/>
              <w:ind w:right="28"/>
              <w:spacing w:after="0"/>
              <w:rPr>
                <w:sz w:val="20"/>
                <w:szCs w:val="20"/>
                <w:color w:val="auto"/>
              </w:rPr>
            </w:pPr>
            <w:r>
              <w:rPr>
                <w:rFonts w:ascii="Arial" w:cs="Arial" w:eastAsia="Arial" w:hAnsi="Arial"/>
                <w:sz w:val="14"/>
                <w:szCs w:val="14"/>
                <w:color w:val="auto"/>
              </w:rPr>
              <w:t>14,647</w:t>
            </w:r>
          </w:p>
        </w:tc>
        <w:tc>
          <w:tcPr>
            <w:tcW w:w="0" w:type="dxa"/>
            <w:vAlign w:val="bottom"/>
          </w:tcPr>
          <w:p>
            <w:pPr>
              <w:spacing w:after="0"/>
              <w:rPr>
                <w:sz w:val="1"/>
                <w:szCs w:val="1"/>
                <w:color w:val="auto"/>
              </w:rPr>
            </w:pPr>
          </w:p>
        </w:tc>
      </w:tr>
      <w:tr>
        <w:trPr>
          <w:trHeight w:val="74"/>
        </w:trPr>
        <w:tc>
          <w:tcPr>
            <w:tcW w:w="8460" w:type="dxa"/>
            <w:vAlign w:val="bottom"/>
          </w:tcPr>
          <w:p>
            <w:pPr>
              <w:spacing w:after="0"/>
              <w:rPr>
                <w:sz w:val="6"/>
                <w:szCs w:val="6"/>
                <w:color w:val="auto"/>
              </w:rPr>
            </w:pPr>
          </w:p>
        </w:tc>
        <w:tc>
          <w:tcPr>
            <w:tcW w:w="160" w:type="dxa"/>
            <w:vAlign w:val="bottom"/>
          </w:tcPr>
          <w:p>
            <w:pPr>
              <w:spacing w:after="0"/>
              <w:rPr>
                <w:sz w:val="6"/>
                <w:szCs w:val="6"/>
                <w:color w:val="auto"/>
              </w:rPr>
            </w:pPr>
          </w:p>
        </w:tc>
        <w:tc>
          <w:tcPr>
            <w:tcW w:w="134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2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8460" w:type="dxa"/>
            <w:vAlign w:val="bottom"/>
            <w:shd w:val="clear" w:color="auto" w:fill="CCEEFF"/>
          </w:tcPr>
          <w:p>
            <w:pPr>
              <w:ind w:left="40"/>
              <w:spacing w:after="0"/>
              <w:rPr>
                <w:sz w:val="20"/>
                <w:szCs w:val="20"/>
                <w:color w:val="auto"/>
              </w:rPr>
            </w:pPr>
            <w:r>
              <w:rPr>
                <w:rFonts w:ascii="Arial" w:cs="Arial" w:eastAsia="Arial" w:hAnsi="Arial"/>
                <w:sz w:val="14"/>
                <w:szCs w:val="14"/>
                <w:color w:val="auto"/>
              </w:rPr>
              <w:t>Deferred policy acquisition costs and value of business acquired</w:t>
            </w:r>
          </w:p>
        </w:tc>
        <w:tc>
          <w:tcPr>
            <w:tcW w:w="160" w:type="dxa"/>
            <w:vAlign w:val="bottom"/>
            <w:shd w:val="clear" w:color="auto" w:fill="CCEEFF"/>
          </w:tcPr>
          <w:p>
            <w:pPr>
              <w:spacing w:after="0"/>
              <w:rPr>
                <w:sz w:val="17"/>
                <w:szCs w:val="17"/>
                <w:color w:val="auto"/>
              </w:rPr>
            </w:pPr>
          </w:p>
        </w:tc>
        <w:tc>
          <w:tcPr>
            <w:tcW w:w="134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6,414</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2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6,293</w:t>
            </w:r>
          </w:p>
        </w:tc>
        <w:tc>
          <w:tcPr>
            <w:tcW w:w="0" w:type="dxa"/>
            <w:vAlign w:val="bottom"/>
          </w:tcPr>
          <w:p>
            <w:pPr>
              <w:spacing w:after="0"/>
              <w:rPr>
                <w:sz w:val="1"/>
                <w:szCs w:val="1"/>
                <w:color w:val="auto"/>
              </w:rPr>
            </w:pPr>
          </w:p>
        </w:tc>
      </w:tr>
      <w:tr>
        <w:trPr>
          <w:trHeight w:val="80"/>
        </w:trPr>
        <w:tc>
          <w:tcPr>
            <w:tcW w:w="846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34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22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8460" w:type="dxa"/>
            <w:vAlign w:val="bottom"/>
          </w:tcPr>
          <w:p>
            <w:pPr>
              <w:ind w:left="40"/>
              <w:spacing w:after="0"/>
              <w:rPr>
                <w:sz w:val="20"/>
                <w:szCs w:val="20"/>
                <w:color w:val="auto"/>
              </w:rPr>
            </w:pPr>
            <w:r>
              <w:rPr>
                <w:rFonts w:ascii="Arial" w:cs="Arial" w:eastAsia="Arial" w:hAnsi="Arial"/>
                <w:sz w:val="14"/>
                <w:szCs w:val="14"/>
                <w:color w:val="auto"/>
              </w:rPr>
              <w:t>Current income tax recoverable</w:t>
            </w:r>
          </w:p>
        </w:tc>
        <w:tc>
          <w:tcPr>
            <w:tcW w:w="160" w:type="dxa"/>
            <w:vAlign w:val="bottom"/>
          </w:tcPr>
          <w:p>
            <w:pPr>
              <w:spacing w:after="0"/>
              <w:rPr>
                <w:sz w:val="16"/>
                <w:szCs w:val="16"/>
                <w:color w:val="auto"/>
              </w:rPr>
            </w:pPr>
          </w:p>
        </w:tc>
        <w:tc>
          <w:tcPr>
            <w:tcW w:w="1340" w:type="dxa"/>
            <w:vAlign w:val="bottom"/>
            <w:vMerge w:val="restart"/>
          </w:tcPr>
          <w:p>
            <w:pPr>
              <w:jc w:val="right"/>
              <w:ind w:right="48"/>
              <w:spacing w:after="0"/>
              <w:rPr>
                <w:sz w:val="20"/>
                <w:szCs w:val="20"/>
                <w:color w:val="auto"/>
              </w:rPr>
            </w:pPr>
            <w:r>
              <w:rPr>
                <w:rFonts w:ascii="Arial" w:cs="Arial" w:eastAsia="Arial" w:hAnsi="Arial"/>
                <w:sz w:val="14"/>
                <w:szCs w:val="14"/>
                <w:color w:val="auto"/>
              </w:rPr>
              <w:t>1,772</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vMerge w:val="restart"/>
          </w:tcPr>
          <w:p>
            <w:pPr>
              <w:jc w:val="right"/>
              <w:ind w:right="28"/>
              <w:spacing w:after="0"/>
              <w:rPr>
                <w:sz w:val="20"/>
                <w:szCs w:val="20"/>
                <w:color w:val="auto"/>
              </w:rPr>
            </w:pPr>
            <w:r>
              <w:rPr>
                <w:rFonts w:ascii="Arial" w:cs="Arial" w:eastAsia="Arial" w:hAnsi="Arial"/>
                <w:sz w:val="14"/>
                <w:szCs w:val="14"/>
                <w:color w:val="auto"/>
              </w:rPr>
              <w:t>778</w:t>
            </w:r>
          </w:p>
        </w:tc>
        <w:tc>
          <w:tcPr>
            <w:tcW w:w="0" w:type="dxa"/>
            <w:vAlign w:val="bottom"/>
          </w:tcPr>
          <w:p>
            <w:pPr>
              <w:spacing w:after="0"/>
              <w:rPr>
                <w:sz w:val="1"/>
                <w:szCs w:val="1"/>
                <w:color w:val="auto"/>
              </w:rPr>
            </w:pPr>
          </w:p>
        </w:tc>
      </w:tr>
      <w:tr>
        <w:trPr>
          <w:trHeight w:val="74"/>
        </w:trPr>
        <w:tc>
          <w:tcPr>
            <w:tcW w:w="8460" w:type="dxa"/>
            <w:vAlign w:val="bottom"/>
          </w:tcPr>
          <w:p>
            <w:pPr>
              <w:spacing w:after="0"/>
              <w:rPr>
                <w:sz w:val="6"/>
                <w:szCs w:val="6"/>
                <w:color w:val="auto"/>
              </w:rPr>
            </w:pPr>
          </w:p>
        </w:tc>
        <w:tc>
          <w:tcPr>
            <w:tcW w:w="160" w:type="dxa"/>
            <w:vAlign w:val="bottom"/>
          </w:tcPr>
          <w:p>
            <w:pPr>
              <w:spacing w:after="0"/>
              <w:rPr>
                <w:sz w:val="6"/>
                <w:szCs w:val="6"/>
                <w:color w:val="auto"/>
              </w:rPr>
            </w:pPr>
          </w:p>
        </w:tc>
        <w:tc>
          <w:tcPr>
            <w:tcW w:w="134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2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8460" w:type="dxa"/>
            <w:vAlign w:val="bottom"/>
            <w:shd w:val="clear" w:color="auto" w:fill="CCEEFF"/>
          </w:tcPr>
          <w:p>
            <w:pPr>
              <w:ind w:left="40"/>
              <w:spacing w:after="0"/>
              <w:rPr>
                <w:sz w:val="20"/>
                <w:szCs w:val="20"/>
                <w:color w:val="auto"/>
              </w:rPr>
            </w:pPr>
            <w:r>
              <w:rPr>
                <w:rFonts w:ascii="Arial" w:cs="Arial" w:eastAsia="Arial" w:hAnsi="Arial"/>
                <w:sz w:val="14"/>
                <w:szCs w:val="14"/>
                <w:color w:val="auto"/>
              </w:rPr>
              <w:t>Other assets</w:t>
            </w:r>
          </w:p>
        </w:tc>
        <w:tc>
          <w:tcPr>
            <w:tcW w:w="160" w:type="dxa"/>
            <w:vAlign w:val="bottom"/>
            <w:shd w:val="clear" w:color="auto" w:fill="CCEEFF"/>
          </w:tcPr>
          <w:p>
            <w:pPr>
              <w:spacing w:after="0"/>
              <w:rPr>
                <w:sz w:val="17"/>
                <w:szCs w:val="17"/>
                <w:color w:val="auto"/>
              </w:rPr>
            </w:pPr>
          </w:p>
        </w:tc>
        <w:tc>
          <w:tcPr>
            <w:tcW w:w="134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647</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2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616</w:t>
            </w:r>
          </w:p>
        </w:tc>
        <w:tc>
          <w:tcPr>
            <w:tcW w:w="0" w:type="dxa"/>
            <w:vAlign w:val="bottom"/>
          </w:tcPr>
          <w:p>
            <w:pPr>
              <w:spacing w:after="0"/>
              <w:rPr>
                <w:sz w:val="1"/>
                <w:szCs w:val="1"/>
                <w:color w:val="auto"/>
              </w:rPr>
            </w:pPr>
          </w:p>
        </w:tc>
      </w:tr>
      <w:tr>
        <w:trPr>
          <w:trHeight w:val="80"/>
        </w:trPr>
        <w:tc>
          <w:tcPr>
            <w:tcW w:w="846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34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22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8460" w:type="dxa"/>
            <w:vAlign w:val="bottom"/>
          </w:tcPr>
          <w:p>
            <w:pPr>
              <w:ind w:left="40"/>
              <w:spacing w:after="0"/>
              <w:rPr>
                <w:sz w:val="20"/>
                <w:szCs w:val="20"/>
                <w:color w:val="auto"/>
              </w:rPr>
            </w:pPr>
            <w:r>
              <w:rPr>
                <w:rFonts w:ascii="Arial" w:cs="Arial" w:eastAsia="Arial" w:hAnsi="Arial"/>
                <w:sz w:val="14"/>
                <w:szCs w:val="14"/>
                <w:color w:val="auto"/>
              </w:rPr>
              <w:t>Separate account assets</w:t>
            </w:r>
          </w:p>
        </w:tc>
        <w:tc>
          <w:tcPr>
            <w:tcW w:w="160" w:type="dxa"/>
            <w:vAlign w:val="bottom"/>
          </w:tcPr>
          <w:p>
            <w:pPr>
              <w:spacing w:after="0"/>
              <w:rPr>
                <w:sz w:val="16"/>
                <w:szCs w:val="16"/>
                <w:color w:val="auto"/>
              </w:rPr>
            </w:pPr>
          </w:p>
        </w:tc>
        <w:tc>
          <w:tcPr>
            <w:tcW w:w="1340" w:type="dxa"/>
            <w:vAlign w:val="bottom"/>
            <w:vMerge w:val="restart"/>
          </w:tcPr>
          <w:p>
            <w:pPr>
              <w:jc w:val="right"/>
              <w:ind w:right="48"/>
              <w:spacing w:after="0"/>
              <w:rPr>
                <w:sz w:val="20"/>
                <w:szCs w:val="20"/>
                <w:color w:val="auto"/>
              </w:rPr>
            </w:pPr>
            <w:r>
              <w:rPr>
                <w:rFonts w:ascii="Arial" w:cs="Arial" w:eastAsia="Arial" w:hAnsi="Arial"/>
                <w:sz w:val="14"/>
                <w:szCs w:val="14"/>
                <w:color w:val="auto"/>
              </w:rPr>
              <w:t>116,857</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vMerge w:val="restart"/>
          </w:tcPr>
          <w:p>
            <w:pPr>
              <w:jc w:val="right"/>
              <w:ind w:right="28"/>
              <w:spacing w:after="0"/>
              <w:rPr>
                <w:sz w:val="20"/>
                <w:szCs w:val="20"/>
                <w:color w:val="auto"/>
              </w:rPr>
            </w:pPr>
            <w:r>
              <w:rPr>
                <w:rFonts w:ascii="Arial" w:cs="Arial" w:eastAsia="Arial" w:hAnsi="Arial"/>
                <w:sz w:val="14"/>
                <w:szCs w:val="14"/>
                <w:color w:val="auto"/>
              </w:rPr>
              <w:t>113,043</w:t>
            </w:r>
          </w:p>
        </w:tc>
        <w:tc>
          <w:tcPr>
            <w:tcW w:w="0" w:type="dxa"/>
            <w:vAlign w:val="bottom"/>
          </w:tcPr>
          <w:p>
            <w:pPr>
              <w:spacing w:after="0"/>
              <w:rPr>
                <w:sz w:val="1"/>
                <w:szCs w:val="1"/>
                <w:color w:val="auto"/>
              </w:rPr>
            </w:pPr>
          </w:p>
        </w:tc>
      </w:tr>
      <w:tr>
        <w:trPr>
          <w:trHeight w:val="74"/>
        </w:trPr>
        <w:tc>
          <w:tcPr>
            <w:tcW w:w="8460" w:type="dxa"/>
            <w:vAlign w:val="bottom"/>
            <w:tcBorders>
              <w:bottom w:val="single" w:sz="8" w:color="CCEEFF"/>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134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122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8460" w:type="dxa"/>
            <w:vAlign w:val="bottom"/>
            <w:shd w:val="clear" w:color="auto" w:fill="CCEEFF"/>
          </w:tcPr>
          <w:p>
            <w:pPr>
              <w:ind w:left="200"/>
              <w:spacing w:after="0"/>
              <w:rPr>
                <w:sz w:val="20"/>
                <w:szCs w:val="20"/>
                <w:color w:val="auto"/>
              </w:rPr>
            </w:pPr>
            <w:r>
              <w:rPr>
                <w:rFonts w:ascii="Arial" w:cs="Arial" w:eastAsia="Arial" w:hAnsi="Arial"/>
                <w:sz w:val="14"/>
                <w:szCs w:val="14"/>
                <w:color w:val="auto"/>
              </w:rPr>
              <w:t>Total assets</w:t>
            </w: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4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223,279</w:t>
            </w:r>
          </w:p>
        </w:tc>
        <w:tc>
          <w:tcPr>
            <w:tcW w:w="100" w:type="dxa"/>
            <w:vAlign w:val="bottom"/>
            <w:shd w:val="clear" w:color="auto" w:fill="CCEEFF"/>
          </w:tcPr>
          <w:p>
            <w:pPr>
              <w:spacing w:after="0"/>
              <w:rPr>
                <w:sz w:val="15"/>
                <w:szCs w:val="15"/>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2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221,930</w:t>
            </w:r>
          </w:p>
        </w:tc>
        <w:tc>
          <w:tcPr>
            <w:tcW w:w="0" w:type="dxa"/>
            <w:vAlign w:val="bottom"/>
          </w:tcPr>
          <w:p>
            <w:pPr>
              <w:spacing w:after="0"/>
              <w:rPr>
                <w:sz w:val="1"/>
                <w:szCs w:val="1"/>
                <w:color w:val="auto"/>
              </w:rPr>
            </w:pPr>
          </w:p>
        </w:tc>
      </w:tr>
      <w:tr>
        <w:trPr>
          <w:trHeight w:val="60"/>
        </w:trPr>
        <w:tc>
          <w:tcPr>
            <w:tcW w:w="8460" w:type="dxa"/>
            <w:vAlign w:val="bottom"/>
            <w:tcBorders>
              <w:bottom w:val="single" w:sz="8" w:color="CCEEFF"/>
            </w:tcBorders>
            <w:shd w:val="clear" w:color="auto" w:fill="CCEEFF"/>
          </w:tcPr>
          <w:p>
            <w:pPr>
              <w:spacing w:after="0"/>
              <w:rPr>
                <w:sz w:val="5"/>
                <w:szCs w:val="5"/>
                <w:color w:val="auto"/>
              </w:rPr>
            </w:pPr>
          </w:p>
        </w:tc>
        <w:tc>
          <w:tcPr>
            <w:tcW w:w="160" w:type="dxa"/>
            <w:vAlign w:val="bottom"/>
            <w:tcBorders>
              <w:bottom w:val="single" w:sz="8" w:color="auto"/>
            </w:tcBorders>
            <w:vMerge w:val="continue"/>
            <w:shd w:val="clear" w:color="auto" w:fill="CCEEFF"/>
          </w:tcPr>
          <w:p>
            <w:pPr>
              <w:spacing w:after="0"/>
              <w:rPr>
                <w:sz w:val="5"/>
                <w:szCs w:val="5"/>
                <w:color w:val="auto"/>
              </w:rPr>
            </w:pPr>
          </w:p>
        </w:tc>
        <w:tc>
          <w:tcPr>
            <w:tcW w:w="1340" w:type="dxa"/>
            <w:vAlign w:val="bottom"/>
            <w:tcBorders>
              <w:bottom w:val="single" w:sz="8" w:color="auto"/>
            </w:tcBorders>
            <w:vMerge w:val="continue"/>
            <w:shd w:val="clear" w:color="auto" w:fill="CCEEFF"/>
          </w:tcPr>
          <w:p>
            <w:pPr>
              <w:spacing w:after="0"/>
              <w:rPr>
                <w:sz w:val="5"/>
                <w:szCs w:val="5"/>
                <w:color w:val="auto"/>
              </w:rPr>
            </w:pPr>
          </w:p>
        </w:tc>
        <w:tc>
          <w:tcPr>
            <w:tcW w:w="100" w:type="dxa"/>
            <w:vAlign w:val="bottom"/>
            <w:tcBorders>
              <w:bottom w:val="single" w:sz="8" w:color="CCEEFF"/>
            </w:tcBorders>
            <w:shd w:val="clear" w:color="auto" w:fill="CCEEFF"/>
          </w:tcPr>
          <w:p>
            <w:pPr>
              <w:spacing w:after="0"/>
              <w:rPr>
                <w:sz w:val="5"/>
                <w:szCs w:val="5"/>
                <w:color w:val="auto"/>
              </w:rPr>
            </w:pPr>
          </w:p>
        </w:tc>
        <w:tc>
          <w:tcPr>
            <w:tcW w:w="140" w:type="dxa"/>
            <w:vAlign w:val="bottom"/>
            <w:tcBorders>
              <w:bottom w:val="single" w:sz="8" w:color="auto"/>
            </w:tcBorders>
            <w:vMerge w:val="continue"/>
            <w:shd w:val="clear" w:color="auto" w:fill="CCEEFF"/>
          </w:tcPr>
          <w:p>
            <w:pPr>
              <w:spacing w:after="0"/>
              <w:rPr>
                <w:sz w:val="5"/>
                <w:szCs w:val="5"/>
                <w:color w:val="auto"/>
              </w:rPr>
            </w:pPr>
          </w:p>
        </w:tc>
        <w:tc>
          <w:tcPr>
            <w:tcW w:w="1220" w:type="dxa"/>
            <w:vAlign w:val="bottom"/>
            <w:tcBorders>
              <w:bottom w:val="single" w:sz="8" w:color="auto"/>
            </w:tcBorders>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846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Liabilities and Equity</w:t>
            </w: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8460" w:type="dxa"/>
            <w:vAlign w:val="bottom"/>
            <w:vMerge w:val="continue"/>
          </w:tcPr>
          <w:p>
            <w:pPr>
              <w:spacing w:after="0"/>
              <w:rPr>
                <w:sz w:val="13"/>
                <w:szCs w:val="13"/>
                <w:color w:val="auto"/>
              </w:rPr>
            </w:pPr>
          </w:p>
        </w:tc>
        <w:tc>
          <w:tcPr>
            <w:tcW w:w="16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84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91"/>
        </w:trPr>
        <w:tc>
          <w:tcPr>
            <w:tcW w:w="846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Liabilities</w:t>
            </w:r>
          </w:p>
        </w:tc>
        <w:tc>
          <w:tcPr>
            <w:tcW w:w="16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846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3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22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8460" w:type="dxa"/>
            <w:vAlign w:val="bottom"/>
          </w:tcPr>
          <w:p>
            <w:pPr>
              <w:ind w:left="40"/>
              <w:spacing w:after="0"/>
              <w:rPr>
                <w:sz w:val="20"/>
                <w:szCs w:val="20"/>
                <w:color w:val="auto"/>
              </w:rPr>
            </w:pPr>
            <w:r>
              <w:rPr>
                <w:rFonts w:ascii="Arial" w:cs="Arial" w:eastAsia="Arial" w:hAnsi="Arial"/>
                <w:sz w:val="14"/>
                <w:szCs w:val="14"/>
                <w:color w:val="auto"/>
              </w:rPr>
              <w:t>Future policy benefits</w:t>
            </w:r>
          </w:p>
        </w:tc>
        <w:tc>
          <w:tcPr>
            <w:tcW w:w="1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340" w:type="dxa"/>
            <w:vAlign w:val="bottom"/>
            <w:vMerge w:val="restart"/>
          </w:tcPr>
          <w:p>
            <w:pPr>
              <w:jc w:val="right"/>
              <w:ind w:right="48"/>
              <w:spacing w:after="0"/>
              <w:rPr>
                <w:sz w:val="20"/>
                <w:szCs w:val="20"/>
                <w:color w:val="auto"/>
              </w:rPr>
            </w:pPr>
            <w:r>
              <w:rPr>
                <w:rFonts w:ascii="Arial" w:cs="Arial" w:eastAsia="Arial" w:hAnsi="Arial"/>
                <w:sz w:val="14"/>
                <w:szCs w:val="14"/>
                <w:color w:val="auto"/>
              </w:rPr>
              <w:t>36,035</w:t>
            </w:r>
          </w:p>
        </w:tc>
        <w:tc>
          <w:tcPr>
            <w:tcW w:w="100" w:type="dxa"/>
            <w:vAlign w:val="bottom"/>
          </w:tcPr>
          <w:p>
            <w:pPr>
              <w:spacing w:after="0"/>
              <w:rPr>
                <w:sz w:val="16"/>
                <w:szCs w:val="16"/>
                <w:color w:val="auto"/>
              </w:rPr>
            </w:pPr>
          </w:p>
        </w:tc>
        <w:tc>
          <w:tcPr>
            <w:tcW w:w="1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220" w:type="dxa"/>
            <w:vAlign w:val="bottom"/>
            <w:vMerge w:val="restart"/>
          </w:tcPr>
          <w:p>
            <w:pPr>
              <w:jc w:val="right"/>
              <w:ind w:right="28"/>
              <w:spacing w:after="0"/>
              <w:rPr>
                <w:sz w:val="20"/>
                <w:szCs w:val="20"/>
                <w:color w:val="auto"/>
              </w:rPr>
            </w:pPr>
            <w:r>
              <w:rPr>
                <w:rFonts w:ascii="Arial" w:cs="Arial" w:eastAsia="Arial" w:hAnsi="Arial"/>
                <w:sz w:val="14"/>
                <w:szCs w:val="14"/>
                <w:color w:val="auto"/>
              </w:rPr>
              <w:t>33,372</w:t>
            </w:r>
          </w:p>
        </w:tc>
        <w:tc>
          <w:tcPr>
            <w:tcW w:w="0" w:type="dxa"/>
            <w:vAlign w:val="bottom"/>
          </w:tcPr>
          <w:p>
            <w:pPr>
              <w:spacing w:after="0"/>
              <w:rPr>
                <w:sz w:val="1"/>
                <w:szCs w:val="1"/>
                <w:color w:val="auto"/>
              </w:rPr>
            </w:pPr>
          </w:p>
        </w:tc>
      </w:tr>
      <w:tr>
        <w:trPr>
          <w:trHeight w:val="74"/>
        </w:trPr>
        <w:tc>
          <w:tcPr>
            <w:tcW w:w="8460" w:type="dxa"/>
            <w:vAlign w:val="bottom"/>
          </w:tcPr>
          <w:p>
            <w:pPr>
              <w:spacing w:after="0"/>
              <w:rPr>
                <w:sz w:val="6"/>
                <w:szCs w:val="6"/>
                <w:color w:val="auto"/>
              </w:rPr>
            </w:pPr>
          </w:p>
        </w:tc>
        <w:tc>
          <w:tcPr>
            <w:tcW w:w="160" w:type="dxa"/>
            <w:vAlign w:val="bottom"/>
            <w:vMerge w:val="continue"/>
          </w:tcPr>
          <w:p>
            <w:pPr>
              <w:spacing w:after="0"/>
              <w:rPr>
                <w:sz w:val="6"/>
                <w:szCs w:val="6"/>
                <w:color w:val="auto"/>
              </w:rPr>
            </w:pPr>
          </w:p>
        </w:tc>
        <w:tc>
          <w:tcPr>
            <w:tcW w:w="134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vMerge w:val="continue"/>
          </w:tcPr>
          <w:p>
            <w:pPr>
              <w:spacing w:after="0"/>
              <w:rPr>
                <w:sz w:val="6"/>
                <w:szCs w:val="6"/>
                <w:color w:val="auto"/>
              </w:rPr>
            </w:pPr>
          </w:p>
        </w:tc>
        <w:tc>
          <w:tcPr>
            <w:tcW w:w="12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8460" w:type="dxa"/>
            <w:vAlign w:val="bottom"/>
            <w:shd w:val="clear" w:color="auto" w:fill="CCEEFF"/>
          </w:tcPr>
          <w:p>
            <w:pPr>
              <w:ind w:left="40"/>
              <w:spacing w:after="0"/>
              <w:rPr>
                <w:sz w:val="20"/>
                <w:szCs w:val="20"/>
                <w:color w:val="auto"/>
              </w:rPr>
            </w:pPr>
            <w:r>
              <w:rPr>
                <w:rFonts w:ascii="Arial" w:cs="Arial" w:eastAsia="Arial" w:hAnsi="Arial"/>
                <w:sz w:val="14"/>
                <w:szCs w:val="14"/>
                <w:color w:val="auto"/>
              </w:rPr>
              <w:t>Policyholder account balances</w:t>
            </w:r>
          </w:p>
        </w:tc>
        <w:tc>
          <w:tcPr>
            <w:tcW w:w="160" w:type="dxa"/>
            <w:vAlign w:val="bottom"/>
            <w:shd w:val="clear" w:color="auto" w:fill="CCEEFF"/>
          </w:tcPr>
          <w:p>
            <w:pPr>
              <w:spacing w:after="0"/>
              <w:rPr>
                <w:sz w:val="17"/>
                <w:szCs w:val="17"/>
                <w:color w:val="auto"/>
              </w:rPr>
            </w:pPr>
          </w:p>
        </w:tc>
        <w:tc>
          <w:tcPr>
            <w:tcW w:w="134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37,298</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2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37,526</w:t>
            </w:r>
          </w:p>
        </w:tc>
        <w:tc>
          <w:tcPr>
            <w:tcW w:w="0" w:type="dxa"/>
            <w:vAlign w:val="bottom"/>
          </w:tcPr>
          <w:p>
            <w:pPr>
              <w:spacing w:after="0"/>
              <w:rPr>
                <w:sz w:val="1"/>
                <w:szCs w:val="1"/>
                <w:color w:val="auto"/>
              </w:rPr>
            </w:pPr>
          </w:p>
        </w:tc>
      </w:tr>
      <w:tr>
        <w:trPr>
          <w:trHeight w:val="80"/>
        </w:trPr>
        <w:tc>
          <w:tcPr>
            <w:tcW w:w="846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34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22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8460" w:type="dxa"/>
            <w:vAlign w:val="bottom"/>
          </w:tcPr>
          <w:p>
            <w:pPr>
              <w:ind w:left="40"/>
              <w:spacing w:after="0"/>
              <w:rPr>
                <w:sz w:val="20"/>
                <w:szCs w:val="20"/>
                <w:color w:val="auto"/>
              </w:rPr>
            </w:pPr>
            <w:r>
              <w:rPr>
                <w:rFonts w:ascii="Arial" w:cs="Arial" w:eastAsia="Arial" w:hAnsi="Arial"/>
                <w:sz w:val="14"/>
                <w:szCs w:val="14"/>
                <w:color w:val="auto"/>
              </w:rPr>
              <w:t>Other policy-related balances</w:t>
            </w:r>
          </w:p>
        </w:tc>
        <w:tc>
          <w:tcPr>
            <w:tcW w:w="160" w:type="dxa"/>
            <w:vAlign w:val="bottom"/>
          </w:tcPr>
          <w:p>
            <w:pPr>
              <w:spacing w:after="0"/>
              <w:rPr>
                <w:sz w:val="16"/>
                <w:szCs w:val="16"/>
                <w:color w:val="auto"/>
              </w:rPr>
            </w:pPr>
          </w:p>
        </w:tc>
        <w:tc>
          <w:tcPr>
            <w:tcW w:w="1340" w:type="dxa"/>
            <w:vAlign w:val="bottom"/>
            <w:vMerge w:val="restart"/>
          </w:tcPr>
          <w:p>
            <w:pPr>
              <w:jc w:val="right"/>
              <w:ind w:right="48"/>
              <w:spacing w:after="0"/>
              <w:rPr>
                <w:sz w:val="20"/>
                <w:szCs w:val="20"/>
                <w:color w:val="auto"/>
              </w:rPr>
            </w:pPr>
            <w:r>
              <w:rPr>
                <w:rFonts w:ascii="Arial" w:cs="Arial" w:eastAsia="Arial" w:hAnsi="Arial"/>
                <w:sz w:val="14"/>
                <w:szCs w:val="14"/>
                <w:color w:val="auto"/>
              </w:rPr>
              <w:t>2,964</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vMerge w:val="restart"/>
          </w:tcPr>
          <w:p>
            <w:pPr>
              <w:jc w:val="right"/>
              <w:ind w:right="28"/>
              <w:spacing w:after="0"/>
              <w:rPr>
                <w:sz w:val="20"/>
                <w:szCs w:val="20"/>
                <w:color w:val="auto"/>
              </w:rPr>
            </w:pPr>
            <w:r>
              <w:rPr>
                <w:rFonts w:ascii="Arial" w:cs="Arial" w:eastAsia="Arial" w:hAnsi="Arial"/>
                <w:sz w:val="14"/>
                <w:szCs w:val="14"/>
                <w:color w:val="auto"/>
              </w:rPr>
              <w:t>3,045</w:t>
            </w:r>
          </w:p>
        </w:tc>
        <w:tc>
          <w:tcPr>
            <w:tcW w:w="0" w:type="dxa"/>
            <w:vAlign w:val="bottom"/>
          </w:tcPr>
          <w:p>
            <w:pPr>
              <w:spacing w:after="0"/>
              <w:rPr>
                <w:sz w:val="1"/>
                <w:szCs w:val="1"/>
                <w:color w:val="auto"/>
              </w:rPr>
            </w:pPr>
          </w:p>
        </w:tc>
      </w:tr>
      <w:tr>
        <w:trPr>
          <w:trHeight w:val="74"/>
        </w:trPr>
        <w:tc>
          <w:tcPr>
            <w:tcW w:w="8460" w:type="dxa"/>
            <w:vAlign w:val="bottom"/>
          </w:tcPr>
          <w:p>
            <w:pPr>
              <w:spacing w:after="0"/>
              <w:rPr>
                <w:sz w:val="6"/>
                <w:szCs w:val="6"/>
                <w:color w:val="auto"/>
              </w:rPr>
            </w:pPr>
          </w:p>
        </w:tc>
        <w:tc>
          <w:tcPr>
            <w:tcW w:w="160" w:type="dxa"/>
            <w:vAlign w:val="bottom"/>
          </w:tcPr>
          <w:p>
            <w:pPr>
              <w:spacing w:after="0"/>
              <w:rPr>
                <w:sz w:val="6"/>
                <w:szCs w:val="6"/>
                <w:color w:val="auto"/>
              </w:rPr>
            </w:pPr>
          </w:p>
        </w:tc>
        <w:tc>
          <w:tcPr>
            <w:tcW w:w="134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2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8460" w:type="dxa"/>
            <w:vAlign w:val="bottom"/>
            <w:shd w:val="clear" w:color="auto" w:fill="CCEEFF"/>
          </w:tcPr>
          <w:p>
            <w:pPr>
              <w:ind w:left="40"/>
              <w:spacing w:after="0"/>
              <w:rPr>
                <w:sz w:val="20"/>
                <w:szCs w:val="20"/>
                <w:color w:val="auto"/>
              </w:rPr>
            </w:pPr>
            <w:r>
              <w:rPr>
                <w:rFonts w:ascii="Arial" w:cs="Arial" w:eastAsia="Arial" w:hAnsi="Arial"/>
                <w:sz w:val="14"/>
                <w:szCs w:val="14"/>
                <w:color w:val="auto"/>
              </w:rPr>
              <w:t>Payables for collateral under securities loaned and other transactions</w:t>
            </w:r>
          </w:p>
        </w:tc>
        <w:tc>
          <w:tcPr>
            <w:tcW w:w="160" w:type="dxa"/>
            <w:vAlign w:val="bottom"/>
            <w:shd w:val="clear" w:color="auto" w:fill="CCEEFF"/>
          </w:tcPr>
          <w:p>
            <w:pPr>
              <w:spacing w:after="0"/>
              <w:rPr>
                <w:sz w:val="17"/>
                <w:szCs w:val="17"/>
                <w:color w:val="auto"/>
              </w:rPr>
            </w:pPr>
          </w:p>
        </w:tc>
        <w:tc>
          <w:tcPr>
            <w:tcW w:w="134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4,569</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2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7,390</w:t>
            </w:r>
          </w:p>
        </w:tc>
        <w:tc>
          <w:tcPr>
            <w:tcW w:w="0" w:type="dxa"/>
            <w:vAlign w:val="bottom"/>
          </w:tcPr>
          <w:p>
            <w:pPr>
              <w:spacing w:after="0"/>
              <w:rPr>
                <w:sz w:val="1"/>
                <w:szCs w:val="1"/>
                <w:color w:val="auto"/>
              </w:rPr>
            </w:pPr>
          </w:p>
        </w:tc>
      </w:tr>
      <w:tr>
        <w:trPr>
          <w:trHeight w:val="80"/>
        </w:trPr>
        <w:tc>
          <w:tcPr>
            <w:tcW w:w="846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34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22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8460" w:type="dxa"/>
            <w:vAlign w:val="bottom"/>
          </w:tcPr>
          <w:p>
            <w:pPr>
              <w:ind w:left="40"/>
              <w:spacing w:after="0"/>
              <w:rPr>
                <w:sz w:val="20"/>
                <w:szCs w:val="20"/>
                <w:color w:val="auto"/>
              </w:rPr>
            </w:pPr>
            <w:r>
              <w:rPr>
                <w:rFonts w:ascii="Arial" w:cs="Arial" w:eastAsia="Arial" w:hAnsi="Arial"/>
                <w:sz w:val="14"/>
                <w:szCs w:val="14"/>
                <w:color w:val="auto"/>
              </w:rPr>
              <w:t>Long-term debt (includes $14 and $23, respectively, at estimated fair value, relating to variable interest entities)</w:t>
            </w:r>
          </w:p>
        </w:tc>
        <w:tc>
          <w:tcPr>
            <w:tcW w:w="160" w:type="dxa"/>
            <w:vAlign w:val="bottom"/>
          </w:tcPr>
          <w:p>
            <w:pPr>
              <w:spacing w:after="0"/>
              <w:rPr>
                <w:sz w:val="16"/>
                <w:szCs w:val="16"/>
                <w:color w:val="auto"/>
              </w:rPr>
            </w:pPr>
          </w:p>
        </w:tc>
        <w:tc>
          <w:tcPr>
            <w:tcW w:w="1340" w:type="dxa"/>
            <w:vAlign w:val="bottom"/>
            <w:vMerge w:val="restart"/>
          </w:tcPr>
          <w:p>
            <w:pPr>
              <w:jc w:val="right"/>
              <w:ind w:right="48"/>
              <w:spacing w:after="0"/>
              <w:rPr>
                <w:sz w:val="20"/>
                <w:szCs w:val="20"/>
                <w:color w:val="auto"/>
              </w:rPr>
            </w:pPr>
            <w:r>
              <w:rPr>
                <w:rFonts w:ascii="Arial" w:cs="Arial" w:eastAsia="Arial" w:hAnsi="Arial"/>
                <w:sz w:val="14"/>
                <w:szCs w:val="14"/>
                <w:color w:val="auto"/>
              </w:rPr>
              <w:t>3,615</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vMerge w:val="restart"/>
          </w:tcPr>
          <w:p>
            <w:pPr>
              <w:jc w:val="right"/>
              <w:ind w:right="28"/>
              <w:spacing w:after="0"/>
              <w:rPr>
                <w:sz w:val="20"/>
                <w:szCs w:val="20"/>
                <w:color w:val="auto"/>
              </w:rPr>
            </w:pPr>
            <w:r>
              <w:rPr>
                <w:rFonts w:ascii="Arial" w:cs="Arial" w:eastAsia="Arial" w:hAnsi="Arial"/>
                <w:sz w:val="14"/>
                <w:szCs w:val="14"/>
                <w:color w:val="auto"/>
              </w:rPr>
              <w:t>1,910</w:t>
            </w:r>
          </w:p>
        </w:tc>
        <w:tc>
          <w:tcPr>
            <w:tcW w:w="0" w:type="dxa"/>
            <w:vAlign w:val="bottom"/>
          </w:tcPr>
          <w:p>
            <w:pPr>
              <w:spacing w:after="0"/>
              <w:rPr>
                <w:sz w:val="1"/>
                <w:szCs w:val="1"/>
                <w:color w:val="auto"/>
              </w:rPr>
            </w:pPr>
          </w:p>
        </w:tc>
      </w:tr>
      <w:tr>
        <w:trPr>
          <w:trHeight w:val="74"/>
        </w:trPr>
        <w:tc>
          <w:tcPr>
            <w:tcW w:w="8460" w:type="dxa"/>
            <w:vAlign w:val="bottom"/>
          </w:tcPr>
          <w:p>
            <w:pPr>
              <w:spacing w:after="0"/>
              <w:rPr>
                <w:sz w:val="6"/>
                <w:szCs w:val="6"/>
                <w:color w:val="auto"/>
              </w:rPr>
            </w:pPr>
          </w:p>
        </w:tc>
        <w:tc>
          <w:tcPr>
            <w:tcW w:w="160" w:type="dxa"/>
            <w:vAlign w:val="bottom"/>
          </w:tcPr>
          <w:p>
            <w:pPr>
              <w:spacing w:after="0"/>
              <w:rPr>
                <w:sz w:val="6"/>
                <w:szCs w:val="6"/>
                <w:color w:val="auto"/>
              </w:rPr>
            </w:pPr>
          </w:p>
        </w:tc>
        <w:tc>
          <w:tcPr>
            <w:tcW w:w="134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2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8460" w:type="dxa"/>
            <w:vAlign w:val="bottom"/>
            <w:shd w:val="clear" w:color="auto" w:fill="CCEEFF"/>
          </w:tcPr>
          <w:p>
            <w:pPr>
              <w:ind w:left="40"/>
              <w:spacing w:after="0"/>
              <w:rPr>
                <w:sz w:val="20"/>
                <w:szCs w:val="20"/>
                <w:color w:val="auto"/>
              </w:rPr>
            </w:pPr>
            <w:r>
              <w:rPr>
                <w:rFonts w:ascii="Arial" w:cs="Arial" w:eastAsia="Arial" w:hAnsi="Arial"/>
                <w:sz w:val="14"/>
                <w:szCs w:val="14"/>
                <w:color w:val="auto"/>
              </w:rPr>
              <w:t>Collateral financing arrangement</w:t>
            </w:r>
          </w:p>
        </w:tc>
        <w:tc>
          <w:tcPr>
            <w:tcW w:w="160" w:type="dxa"/>
            <w:vAlign w:val="bottom"/>
            <w:shd w:val="clear" w:color="auto" w:fill="CCEEFF"/>
          </w:tcPr>
          <w:p>
            <w:pPr>
              <w:spacing w:after="0"/>
              <w:rPr>
                <w:sz w:val="17"/>
                <w:szCs w:val="17"/>
                <w:color w:val="auto"/>
              </w:rPr>
            </w:pPr>
          </w:p>
        </w:tc>
        <w:tc>
          <w:tcPr>
            <w:tcW w:w="144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122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2,797</w:t>
            </w:r>
          </w:p>
        </w:tc>
        <w:tc>
          <w:tcPr>
            <w:tcW w:w="0" w:type="dxa"/>
            <w:vAlign w:val="bottom"/>
          </w:tcPr>
          <w:p>
            <w:pPr>
              <w:spacing w:after="0"/>
              <w:rPr>
                <w:sz w:val="1"/>
                <w:szCs w:val="1"/>
                <w:color w:val="auto"/>
              </w:rPr>
            </w:pPr>
          </w:p>
        </w:tc>
      </w:tr>
      <w:tr>
        <w:trPr>
          <w:trHeight w:val="80"/>
        </w:trPr>
        <w:tc>
          <w:tcPr>
            <w:tcW w:w="846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440" w:type="dxa"/>
            <w:vAlign w:val="bottom"/>
            <w:gridSpan w:val="2"/>
            <w:vMerge w:val="continue"/>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22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8460" w:type="dxa"/>
            <w:vAlign w:val="bottom"/>
          </w:tcPr>
          <w:p>
            <w:pPr>
              <w:ind w:left="40"/>
              <w:spacing w:after="0"/>
              <w:rPr>
                <w:sz w:val="20"/>
                <w:szCs w:val="20"/>
                <w:color w:val="auto"/>
              </w:rPr>
            </w:pPr>
            <w:r>
              <w:rPr>
                <w:rFonts w:ascii="Arial" w:cs="Arial" w:eastAsia="Arial" w:hAnsi="Arial"/>
                <w:sz w:val="14"/>
                <w:szCs w:val="14"/>
                <w:color w:val="auto"/>
              </w:rPr>
              <w:t>Deferred income tax liability</w:t>
            </w:r>
          </w:p>
        </w:tc>
        <w:tc>
          <w:tcPr>
            <w:tcW w:w="160" w:type="dxa"/>
            <w:vAlign w:val="bottom"/>
          </w:tcPr>
          <w:p>
            <w:pPr>
              <w:spacing w:after="0"/>
              <w:rPr>
                <w:sz w:val="16"/>
                <w:szCs w:val="16"/>
                <w:color w:val="auto"/>
              </w:rPr>
            </w:pPr>
          </w:p>
        </w:tc>
        <w:tc>
          <w:tcPr>
            <w:tcW w:w="1340" w:type="dxa"/>
            <w:vAlign w:val="bottom"/>
            <w:vMerge w:val="restart"/>
          </w:tcPr>
          <w:p>
            <w:pPr>
              <w:jc w:val="right"/>
              <w:ind w:right="48"/>
              <w:spacing w:after="0"/>
              <w:rPr>
                <w:sz w:val="20"/>
                <w:szCs w:val="20"/>
                <w:color w:val="auto"/>
              </w:rPr>
            </w:pPr>
            <w:r>
              <w:rPr>
                <w:rFonts w:ascii="Arial" w:cs="Arial" w:eastAsia="Arial" w:hAnsi="Arial"/>
                <w:sz w:val="14"/>
                <w:szCs w:val="14"/>
                <w:color w:val="auto"/>
              </w:rPr>
              <w:t>2,116</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vMerge w:val="restart"/>
          </w:tcPr>
          <w:p>
            <w:pPr>
              <w:jc w:val="right"/>
              <w:ind w:right="28"/>
              <w:spacing w:after="0"/>
              <w:rPr>
                <w:sz w:val="20"/>
                <w:szCs w:val="20"/>
                <w:color w:val="auto"/>
              </w:rPr>
            </w:pPr>
            <w:r>
              <w:rPr>
                <w:rFonts w:ascii="Arial" w:cs="Arial" w:eastAsia="Arial" w:hAnsi="Arial"/>
                <w:sz w:val="14"/>
                <w:szCs w:val="14"/>
                <w:color w:val="auto"/>
              </w:rPr>
              <w:t>2,056</w:t>
            </w:r>
          </w:p>
        </w:tc>
        <w:tc>
          <w:tcPr>
            <w:tcW w:w="0" w:type="dxa"/>
            <w:vAlign w:val="bottom"/>
          </w:tcPr>
          <w:p>
            <w:pPr>
              <w:spacing w:after="0"/>
              <w:rPr>
                <w:sz w:val="1"/>
                <w:szCs w:val="1"/>
                <w:color w:val="auto"/>
              </w:rPr>
            </w:pPr>
          </w:p>
        </w:tc>
      </w:tr>
      <w:tr>
        <w:trPr>
          <w:trHeight w:val="74"/>
        </w:trPr>
        <w:tc>
          <w:tcPr>
            <w:tcW w:w="8460" w:type="dxa"/>
            <w:vAlign w:val="bottom"/>
          </w:tcPr>
          <w:p>
            <w:pPr>
              <w:spacing w:after="0"/>
              <w:rPr>
                <w:sz w:val="6"/>
                <w:szCs w:val="6"/>
                <w:color w:val="auto"/>
              </w:rPr>
            </w:pPr>
          </w:p>
        </w:tc>
        <w:tc>
          <w:tcPr>
            <w:tcW w:w="160" w:type="dxa"/>
            <w:vAlign w:val="bottom"/>
          </w:tcPr>
          <w:p>
            <w:pPr>
              <w:spacing w:after="0"/>
              <w:rPr>
                <w:sz w:val="6"/>
                <w:szCs w:val="6"/>
                <w:color w:val="auto"/>
              </w:rPr>
            </w:pPr>
          </w:p>
        </w:tc>
        <w:tc>
          <w:tcPr>
            <w:tcW w:w="134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2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8460" w:type="dxa"/>
            <w:vAlign w:val="bottom"/>
            <w:shd w:val="clear" w:color="auto" w:fill="CCEEFF"/>
          </w:tcPr>
          <w:p>
            <w:pPr>
              <w:ind w:left="40"/>
              <w:spacing w:after="0"/>
              <w:rPr>
                <w:sz w:val="20"/>
                <w:szCs w:val="20"/>
                <w:color w:val="auto"/>
              </w:rPr>
            </w:pPr>
            <w:r>
              <w:rPr>
                <w:rFonts w:ascii="Arial" w:cs="Arial" w:eastAsia="Arial" w:hAnsi="Arial"/>
                <w:sz w:val="14"/>
                <w:szCs w:val="14"/>
                <w:color w:val="auto"/>
              </w:rPr>
              <w:t>Other liabilities (includes $0 and $1, respectively, relating to variable interest entities)</w:t>
            </w:r>
          </w:p>
        </w:tc>
        <w:tc>
          <w:tcPr>
            <w:tcW w:w="160" w:type="dxa"/>
            <w:vAlign w:val="bottom"/>
            <w:shd w:val="clear" w:color="auto" w:fill="CCEEFF"/>
          </w:tcPr>
          <w:p>
            <w:pPr>
              <w:spacing w:after="0"/>
              <w:rPr>
                <w:sz w:val="17"/>
                <w:szCs w:val="17"/>
                <w:color w:val="auto"/>
              </w:rPr>
            </w:pPr>
          </w:p>
        </w:tc>
        <w:tc>
          <w:tcPr>
            <w:tcW w:w="134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5,994</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2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5,929</w:t>
            </w:r>
          </w:p>
        </w:tc>
        <w:tc>
          <w:tcPr>
            <w:tcW w:w="0" w:type="dxa"/>
            <w:vAlign w:val="bottom"/>
          </w:tcPr>
          <w:p>
            <w:pPr>
              <w:spacing w:after="0"/>
              <w:rPr>
                <w:sz w:val="1"/>
                <w:szCs w:val="1"/>
                <w:color w:val="auto"/>
              </w:rPr>
            </w:pPr>
          </w:p>
        </w:tc>
      </w:tr>
      <w:tr>
        <w:trPr>
          <w:trHeight w:val="80"/>
        </w:trPr>
        <w:tc>
          <w:tcPr>
            <w:tcW w:w="846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34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22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8460" w:type="dxa"/>
            <w:vAlign w:val="bottom"/>
          </w:tcPr>
          <w:p>
            <w:pPr>
              <w:ind w:left="40"/>
              <w:spacing w:after="0"/>
              <w:rPr>
                <w:sz w:val="20"/>
                <w:szCs w:val="20"/>
                <w:color w:val="auto"/>
              </w:rPr>
            </w:pPr>
            <w:r>
              <w:rPr>
                <w:rFonts w:ascii="Arial" w:cs="Arial" w:eastAsia="Arial" w:hAnsi="Arial"/>
                <w:sz w:val="14"/>
                <w:szCs w:val="14"/>
                <w:color w:val="auto"/>
              </w:rPr>
              <w:t>Separate account liabilities</w:t>
            </w:r>
          </w:p>
        </w:tc>
        <w:tc>
          <w:tcPr>
            <w:tcW w:w="160" w:type="dxa"/>
            <w:vAlign w:val="bottom"/>
          </w:tcPr>
          <w:p>
            <w:pPr>
              <w:spacing w:after="0"/>
              <w:rPr>
                <w:sz w:val="16"/>
                <w:szCs w:val="16"/>
                <w:color w:val="auto"/>
              </w:rPr>
            </w:pPr>
          </w:p>
        </w:tc>
        <w:tc>
          <w:tcPr>
            <w:tcW w:w="1340" w:type="dxa"/>
            <w:vAlign w:val="bottom"/>
            <w:vMerge w:val="restart"/>
          </w:tcPr>
          <w:p>
            <w:pPr>
              <w:jc w:val="right"/>
              <w:ind w:right="48"/>
              <w:spacing w:after="0"/>
              <w:rPr>
                <w:sz w:val="20"/>
                <w:szCs w:val="20"/>
                <w:color w:val="auto"/>
              </w:rPr>
            </w:pPr>
            <w:r>
              <w:rPr>
                <w:rFonts w:ascii="Arial" w:cs="Arial" w:eastAsia="Arial" w:hAnsi="Arial"/>
                <w:sz w:val="14"/>
                <w:szCs w:val="14"/>
                <w:color w:val="auto"/>
              </w:rPr>
              <w:t>116,857</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vMerge w:val="restart"/>
          </w:tcPr>
          <w:p>
            <w:pPr>
              <w:jc w:val="right"/>
              <w:ind w:right="28"/>
              <w:spacing w:after="0"/>
              <w:rPr>
                <w:sz w:val="20"/>
                <w:szCs w:val="20"/>
                <w:color w:val="auto"/>
              </w:rPr>
            </w:pPr>
            <w:r>
              <w:rPr>
                <w:rFonts w:ascii="Arial" w:cs="Arial" w:eastAsia="Arial" w:hAnsi="Arial"/>
                <w:sz w:val="14"/>
                <w:szCs w:val="14"/>
                <w:color w:val="auto"/>
              </w:rPr>
              <w:t>113,043</w:t>
            </w:r>
          </w:p>
        </w:tc>
        <w:tc>
          <w:tcPr>
            <w:tcW w:w="0" w:type="dxa"/>
            <w:vAlign w:val="bottom"/>
          </w:tcPr>
          <w:p>
            <w:pPr>
              <w:spacing w:after="0"/>
              <w:rPr>
                <w:sz w:val="1"/>
                <w:szCs w:val="1"/>
                <w:color w:val="auto"/>
              </w:rPr>
            </w:pPr>
          </w:p>
        </w:tc>
      </w:tr>
      <w:tr>
        <w:trPr>
          <w:trHeight w:val="74"/>
        </w:trPr>
        <w:tc>
          <w:tcPr>
            <w:tcW w:w="8460" w:type="dxa"/>
            <w:vAlign w:val="bottom"/>
            <w:tcBorders>
              <w:bottom w:val="single" w:sz="8" w:color="CCEEFF"/>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134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122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8460" w:type="dxa"/>
            <w:vAlign w:val="bottom"/>
            <w:shd w:val="clear" w:color="auto" w:fill="CCEEFF"/>
          </w:tcPr>
          <w:p>
            <w:pPr>
              <w:ind w:left="200"/>
              <w:spacing w:after="0"/>
              <w:rPr>
                <w:sz w:val="20"/>
                <w:szCs w:val="20"/>
                <w:color w:val="auto"/>
              </w:rPr>
            </w:pPr>
            <w:r>
              <w:rPr>
                <w:rFonts w:ascii="Arial" w:cs="Arial" w:eastAsia="Arial" w:hAnsi="Arial"/>
                <w:sz w:val="14"/>
                <w:szCs w:val="14"/>
                <w:color w:val="auto"/>
              </w:rPr>
              <w:t>Total liabilities</w:t>
            </w:r>
          </w:p>
        </w:tc>
        <w:tc>
          <w:tcPr>
            <w:tcW w:w="160" w:type="dxa"/>
            <w:vAlign w:val="bottom"/>
            <w:shd w:val="clear" w:color="auto" w:fill="CCEEFF"/>
          </w:tcPr>
          <w:p>
            <w:pPr>
              <w:spacing w:after="0"/>
              <w:rPr>
                <w:sz w:val="15"/>
                <w:szCs w:val="15"/>
                <w:color w:val="auto"/>
              </w:rPr>
            </w:pPr>
          </w:p>
        </w:tc>
        <w:tc>
          <w:tcPr>
            <w:tcW w:w="134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209,448</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2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207,068</w:t>
            </w:r>
          </w:p>
        </w:tc>
        <w:tc>
          <w:tcPr>
            <w:tcW w:w="0" w:type="dxa"/>
            <w:vAlign w:val="bottom"/>
          </w:tcPr>
          <w:p>
            <w:pPr>
              <w:spacing w:after="0"/>
              <w:rPr>
                <w:sz w:val="1"/>
                <w:szCs w:val="1"/>
                <w:color w:val="auto"/>
              </w:rPr>
            </w:pPr>
          </w:p>
        </w:tc>
      </w:tr>
      <w:tr>
        <w:trPr>
          <w:trHeight w:val="80"/>
        </w:trPr>
        <w:tc>
          <w:tcPr>
            <w:tcW w:w="8460" w:type="dxa"/>
            <w:vAlign w:val="bottom"/>
            <w:shd w:val="clear" w:color="auto" w:fill="CCEEFF"/>
          </w:tcPr>
          <w:p>
            <w:pPr>
              <w:spacing w:after="0"/>
              <w:rPr>
                <w:sz w:val="6"/>
                <w:szCs w:val="6"/>
                <w:color w:val="auto"/>
              </w:rPr>
            </w:pPr>
          </w:p>
        </w:tc>
        <w:tc>
          <w:tcPr>
            <w:tcW w:w="160" w:type="dxa"/>
            <w:vAlign w:val="bottom"/>
            <w:tcBorders>
              <w:bottom w:val="single" w:sz="8" w:color="auto"/>
            </w:tcBorders>
            <w:shd w:val="clear" w:color="auto" w:fill="CCEEFF"/>
          </w:tcPr>
          <w:p>
            <w:pPr>
              <w:spacing w:after="0"/>
              <w:rPr>
                <w:sz w:val="6"/>
                <w:szCs w:val="6"/>
                <w:color w:val="auto"/>
              </w:rPr>
            </w:pPr>
          </w:p>
        </w:tc>
        <w:tc>
          <w:tcPr>
            <w:tcW w:w="134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 w:type="dxa"/>
            <w:vAlign w:val="bottom"/>
            <w:tcBorders>
              <w:bottom w:val="single" w:sz="8" w:color="auto"/>
            </w:tcBorders>
            <w:shd w:val="clear" w:color="auto" w:fill="CCEEFF"/>
          </w:tcPr>
          <w:p>
            <w:pPr>
              <w:spacing w:after="0"/>
              <w:rPr>
                <w:sz w:val="6"/>
                <w:szCs w:val="6"/>
                <w:color w:val="auto"/>
              </w:rPr>
            </w:pPr>
          </w:p>
        </w:tc>
        <w:tc>
          <w:tcPr>
            <w:tcW w:w="1220" w:type="dxa"/>
            <w:vAlign w:val="bottom"/>
            <w:tcBorders>
              <w:bottom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1"/>
        </w:trPr>
        <w:tc>
          <w:tcPr>
            <w:tcW w:w="8460" w:type="dxa"/>
            <w:vAlign w:val="bottom"/>
          </w:tcPr>
          <w:p>
            <w:pPr>
              <w:ind w:left="40"/>
              <w:spacing w:after="0"/>
              <w:rPr>
                <w:sz w:val="20"/>
                <w:szCs w:val="20"/>
                <w:color w:val="auto"/>
              </w:rPr>
            </w:pPr>
            <w:r>
              <w:rPr>
                <w:rFonts w:ascii="Arial" w:cs="Arial" w:eastAsia="Arial" w:hAnsi="Arial"/>
                <w:sz w:val="14"/>
                <w:szCs w:val="14"/>
                <w:b w:val="1"/>
                <w:bCs w:val="1"/>
                <w:color w:val="auto"/>
              </w:rPr>
              <w:t>Contingencies, Commitments and Guarantees (Note 11)</w:t>
            </w:r>
          </w:p>
        </w:tc>
        <w:tc>
          <w:tcPr>
            <w:tcW w:w="1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8460" w:type="dxa"/>
            <w:vAlign w:val="bottom"/>
          </w:tcPr>
          <w:p>
            <w:pPr>
              <w:spacing w:after="0"/>
              <w:rPr>
                <w:sz w:val="6"/>
                <w:szCs w:val="6"/>
                <w:color w:val="auto"/>
              </w:rPr>
            </w:pPr>
          </w:p>
        </w:tc>
        <w:tc>
          <w:tcPr>
            <w:tcW w:w="160" w:type="dxa"/>
            <w:vAlign w:val="bottom"/>
          </w:tcPr>
          <w:p>
            <w:pPr>
              <w:spacing w:after="0"/>
              <w:rPr>
                <w:sz w:val="6"/>
                <w:szCs w:val="6"/>
                <w:color w:val="auto"/>
              </w:rPr>
            </w:pPr>
          </w:p>
        </w:tc>
        <w:tc>
          <w:tcPr>
            <w:tcW w:w="13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2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846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Equity</w:t>
            </w:r>
          </w:p>
        </w:tc>
        <w:tc>
          <w:tcPr>
            <w:tcW w:w="16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846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3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22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8460" w:type="dxa"/>
            <w:vAlign w:val="bottom"/>
          </w:tcPr>
          <w:p>
            <w:pPr>
              <w:ind w:left="40"/>
              <w:spacing w:after="0"/>
              <w:rPr>
                <w:sz w:val="20"/>
                <w:szCs w:val="20"/>
                <w:color w:val="auto"/>
              </w:rPr>
            </w:pPr>
            <w:r>
              <w:rPr>
                <w:rFonts w:ascii="Arial" w:cs="Arial" w:eastAsia="Arial" w:hAnsi="Arial"/>
                <w:sz w:val="14"/>
                <w:szCs w:val="14"/>
                <w:color w:val="auto"/>
              </w:rPr>
              <w:t>Brighthouse Financial, Inc. stockholders’ equity:</w:t>
            </w:r>
          </w:p>
        </w:tc>
        <w:tc>
          <w:tcPr>
            <w:tcW w:w="16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8460" w:type="dxa"/>
            <w:vAlign w:val="bottom"/>
          </w:tcPr>
          <w:p>
            <w:pPr>
              <w:spacing w:after="0"/>
              <w:rPr>
                <w:sz w:val="6"/>
                <w:szCs w:val="6"/>
                <w:color w:val="auto"/>
              </w:rPr>
            </w:pPr>
          </w:p>
        </w:tc>
        <w:tc>
          <w:tcPr>
            <w:tcW w:w="160" w:type="dxa"/>
            <w:vAlign w:val="bottom"/>
          </w:tcPr>
          <w:p>
            <w:pPr>
              <w:spacing w:after="0"/>
              <w:rPr>
                <w:sz w:val="6"/>
                <w:szCs w:val="6"/>
                <w:color w:val="auto"/>
              </w:rPr>
            </w:pPr>
          </w:p>
        </w:tc>
        <w:tc>
          <w:tcPr>
            <w:tcW w:w="13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2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70"/>
        </w:trPr>
        <w:tc>
          <w:tcPr>
            <w:tcW w:w="8460" w:type="dxa"/>
            <w:vAlign w:val="bottom"/>
            <w:shd w:val="clear" w:color="auto" w:fill="CCEEFF"/>
          </w:tcPr>
          <w:p>
            <w:pPr>
              <w:ind w:left="40"/>
              <w:spacing w:after="0"/>
              <w:rPr>
                <w:sz w:val="20"/>
                <w:szCs w:val="20"/>
                <w:color w:val="auto"/>
              </w:rPr>
            </w:pPr>
            <w:r>
              <w:rPr>
                <w:rFonts w:ascii="Arial" w:cs="Arial" w:eastAsia="Arial" w:hAnsi="Arial"/>
                <w:sz w:val="14"/>
                <w:szCs w:val="14"/>
                <w:color w:val="auto"/>
              </w:rPr>
              <w:t>Common stock par value $0.01 per share; 1,000,000,000 shares authorized; 119,773,106 shares issued and outstanding</w:t>
            </w:r>
          </w:p>
        </w:tc>
        <w:tc>
          <w:tcPr>
            <w:tcW w:w="160" w:type="dxa"/>
            <w:vAlign w:val="bottom"/>
            <w:shd w:val="clear" w:color="auto" w:fill="CCEEFF"/>
          </w:tcPr>
          <w:p>
            <w:pPr>
              <w:spacing w:after="0"/>
              <w:rPr>
                <w:sz w:val="23"/>
                <w:szCs w:val="23"/>
                <w:color w:val="auto"/>
              </w:rPr>
            </w:pPr>
          </w:p>
        </w:tc>
        <w:tc>
          <w:tcPr>
            <w:tcW w:w="13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1"/>
        </w:trPr>
        <w:tc>
          <w:tcPr>
            <w:tcW w:w="8460" w:type="dxa"/>
            <w:vAlign w:val="bottom"/>
          </w:tcPr>
          <w:p>
            <w:pPr>
              <w:ind w:left="40"/>
              <w:spacing w:after="0"/>
              <w:rPr>
                <w:sz w:val="20"/>
                <w:szCs w:val="20"/>
                <w:color w:val="auto"/>
              </w:rPr>
            </w:pPr>
            <w:r>
              <w:rPr>
                <w:rFonts w:ascii="Arial" w:cs="Arial" w:eastAsia="Arial" w:hAnsi="Arial"/>
                <w:sz w:val="14"/>
                <w:szCs w:val="14"/>
                <w:color w:val="auto"/>
              </w:rPr>
              <w:t>Additional paid-in capital</w:t>
            </w:r>
          </w:p>
        </w:tc>
        <w:tc>
          <w:tcPr>
            <w:tcW w:w="160" w:type="dxa"/>
            <w:vAlign w:val="bottom"/>
          </w:tcPr>
          <w:p>
            <w:pPr>
              <w:spacing w:after="0"/>
              <w:rPr>
                <w:sz w:val="16"/>
                <w:szCs w:val="16"/>
                <w:color w:val="auto"/>
              </w:rPr>
            </w:pPr>
          </w:p>
        </w:tc>
        <w:tc>
          <w:tcPr>
            <w:tcW w:w="1340" w:type="dxa"/>
            <w:vAlign w:val="bottom"/>
            <w:vMerge w:val="restart"/>
          </w:tcPr>
          <w:p>
            <w:pPr>
              <w:jc w:val="right"/>
              <w:ind w:right="48"/>
              <w:spacing w:after="0"/>
              <w:rPr>
                <w:sz w:val="20"/>
                <w:szCs w:val="20"/>
                <w:color w:val="auto"/>
              </w:rPr>
            </w:pPr>
            <w:r>
              <w:rPr>
                <w:rFonts w:ascii="Arial" w:cs="Arial" w:eastAsia="Arial" w:hAnsi="Arial"/>
                <w:sz w:val="14"/>
                <w:szCs w:val="14"/>
                <w:color w:val="auto"/>
              </w:rPr>
              <w:t>12,418</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74"/>
        </w:trPr>
        <w:tc>
          <w:tcPr>
            <w:tcW w:w="8460" w:type="dxa"/>
            <w:vAlign w:val="bottom"/>
          </w:tcPr>
          <w:p>
            <w:pPr>
              <w:spacing w:after="0"/>
              <w:rPr>
                <w:sz w:val="6"/>
                <w:szCs w:val="6"/>
                <w:color w:val="auto"/>
              </w:rPr>
            </w:pPr>
          </w:p>
        </w:tc>
        <w:tc>
          <w:tcPr>
            <w:tcW w:w="160" w:type="dxa"/>
            <w:vAlign w:val="bottom"/>
          </w:tcPr>
          <w:p>
            <w:pPr>
              <w:spacing w:after="0"/>
              <w:rPr>
                <w:sz w:val="6"/>
                <w:szCs w:val="6"/>
                <w:color w:val="auto"/>
              </w:rPr>
            </w:pPr>
          </w:p>
        </w:tc>
        <w:tc>
          <w:tcPr>
            <w:tcW w:w="134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2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8460" w:type="dxa"/>
            <w:vAlign w:val="bottom"/>
            <w:shd w:val="clear" w:color="auto" w:fill="CCEEFF"/>
          </w:tcPr>
          <w:p>
            <w:pPr>
              <w:ind w:left="40"/>
              <w:spacing w:after="0"/>
              <w:rPr>
                <w:sz w:val="20"/>
                <w:szCs w:val="20"/>
                <w:color w:val="auto"/>
              </w:rPr>
            </w:pPr>
            <w:r>
              <w:rPr>
                <w:rFonts w:ascii="Arial" w:cs="Arial" w:eastAsia="Arial" w:hAnsi="Arial"/>
                <w:sz w:val="14"/>
                <w:szCs w:val="14"/>
                <w:color w:val="auto"/>
              </w:rPr>
              <w:t>Retained earnings (deficit)</w:t>
            </w:r>
          </w:p>
        </w:tc>
        <w:tc>
          <w:tcPr>
            <w:tcW w:w="160" w:type="dxa"/>
            <w:vAlign w:val="bottom"/>
            <w:shd w:val="clear" w:color="auto" w:fill="CCEEFF"/>
          </w:tcPr>
          <w:p>
            <w:pPr>
              <w:spacing w:after="0"/>
              <w:rPr>
                <w:sz w:val="17"/>
                <w:szCs w:val="17"/>
                <w:color w:val="auto"/>
              </w:rPr>
            </w:pPr>
          </w:p>
        </w:tc>
        <w:tc>
          <w:tcPr>
            <w:tcW w:w="134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39</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2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80"/>
        </w:trPr>
        <w:tc>
          <w:tcPr>
            <w:tcW w:w="846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34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22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8460" w:type="dxa"/>
            <w:vAlign w:val="bottom"/>
          </w:tcPr>
          <w:p>
            <w:pPr>
              <w:ind w:left="40"/>
              <w:spacing w:after="0"/>
              <w:rPr>
                <w:sz w:val="20"/>
                <w:szCs w:val="20"/>
                <w:color w:val="auto"/>
              </w:rPr>
            </w:pPr>
            <w:r>
              <w:rPr>
                <w:rFonts w:ascii="Arial" w:cs="Arial" w:eastAsia="Arial" w:hAnsi="Arial"/>
                <w:sz w:val="14"/>
                <w:szCs w:val="14"/>
                <w:color w:val="auto"/>
              </w:rPr>
              <w:t>Shareholder’s net investment</w:t>
            </w:r>
          </w:p>
        </w:tc>
        <w:tc>
          <w:tcPr>
            <w:tcW w:w="160" w:type="dxa"/>
            <w:vAlign w:val="bottom"/>
          </w:tcPr>
          <w:p>
            <w:pPr>
              <w:spacing w:after="0"/>
              <w:rPr>
                <w:sz w:val="16"/>
                <w:szCs w:val="16"/>
                <w:color w:val="auto"/>
              </w:rPr>
            </w:pPr>
          </w:p>
        </w:tc>
        <w:tc>
          <w:tcPr>
            <w:tcW w:w="144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220" w:type="dxa"/>
            <w:vAlign w:val="bottom"/>
            <w:vMerge w:val="restart"/>
          </w:tcPr>
          <w:p>
            <w:pPr>
              <w:jc w:val="right"/>
              <w:ind w:right="28"/>
              <w:spacing w:after="0"/>
              <w:rPr>
                <w:sz w:val="20"/>
                <w:szCs w:val="20"/>
                <w:color w:val="auto"/>
              </w:rPr>
            </w:pPr>
            <w:r>
              <w:rPr>
                <w:rFonts w:ascii="Arial" w:cs="Arial" w:eastAsia="Arial" w:hAnsi="Arial"/>
                <w:sz w:val="14"/>
                <w:szCs w:val="14"/>
                <w:color w:val="auto"/>
              </w:rPr>
              <w:t>13,597</w:t>
            </w:r>
          </w:p>
        </w:tc>
        <w:tc>
          <w:tcPr>
            <w:tcW w:w="0" w:type="dxa"/>
            <w:vAlign w:val="bottom"/>
          </w:tcPr>
          <w:p>
            <w:pPr>
              <w:spacing w:after="0"/>
              <w:rPr>
                <w:sz w:val="1"/>
                <w:szCs w:val="1"/>
                <w:color w:val="auto"/>
              </w:rPr>
            </w:pPr>
          </w:p>
        </w:tc>
      </w:tr>
      <w:tr>
        <w:trPr>
          <w:trHeight w:val="74"/>
        </w:trPr>
        <w:tc>
          <w:tcPr>
            <w:tcW w:w="8460" w:type="dxa"/>
            <w:vAlign w:val="bottom"/>
          </w:tcPr>
          <w:p>
            <w:pPr>
              <w:spacing w:after="0"/>
              <w:rPr>
                <w:sz w:val="6"/>
                <w:szCs w:val="6"/>
                <w:color w:val="auto"/>
              </w:rPr>
            </w:pPr>
          </w:p>
        </w:tc>
        <w:tc>
          <w:tcPr>
            <w:tcW w:w="160" w:type="dxa"/>
            <w:vAlign w:val="bottom"/>
          </w:tcPr>
          <w:p>
            <w:pPr>
              <w:spacing w:after="0"/>
              <w:rPr>
                <w:sz w:val="6"/>
                <w:szCs w:val="6"/>
                <w:color w:val="auto"/>
              </w:rPr>
            </w:pPr>
          </w:p>
        </w:tc>
        <w:tc>
          <w:tcPr>
            <w:tcW w:w="144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12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8460" w:type="dxa"/>
            <w:vAlign w:val="bottom"/>
            <w:shd w:val="clear" w:color="auto" w:fill="CCEEFF"/>
          </w:tcPr>
          <w:p>
            <w:pPr>
              <w:ind w:left="40"/>
              <w:spacing w:after="0"/>
              <w:rPr>
                <w:sz w:val="20"/>
                <w:szCs w:val="20"/>
                <w:color w:val="auto"/>
              </w:rPr>
            </w:pPr>
            <w:r>
              <w:rPr>
                <w:rFonts w:ascii="Arial" w:cs="Arial" w:eastAsia="Arial" w:hAnsi="Arial"/>
                <w:sz w:val="14"/>
                <w:szCs w:val="14"/>
                <w:color w:val="auto"/>
              </w:rPr>
              <w:t>Accumulated other comprehensive income (loss)</w:t>
            </w:r>
          </w:p>
        </w:tc>
        <w:tc>
          <w:tcPr>
            <w:tcW w:w="160" w:type="dxa"/>
            <w:vAlign w:val="bottom"/>
            <w:shd w:val="clear" w:color="auto" w:fill="CCEEFF"/>
          </w:tcPr>
          <w:p>
            <w:pPr>
              <w:spacing w:after="0"/>
              <w:rPr>
                <w:sz w:val="17"/>
                <w:szCs w:val="17"/>
                <w:color w:val="auto"/>
              </w:rPr>
            </w:pPr>
          </w:p>
        </w:tc>
        <w:tc>
          <w:tcPr>
            <w:tcW w:w="134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1,308</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2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1,265</w:t>
            </w:r>
          </w:p>
        </w:tc>
        <w:tc>
          <w:tcPr>
            <w:tcW w:w="0" w:type="dxa"/>
            <w:vAlign w:val="bottom"/>
          </w:tcPr>
          <w:p>
            <w:pPr>
              <w:spacing w:after="0"/>
              <w:rPr>
                <w:sz w:val="1"/>
                <w:szCs w:val="1"/>
                <w:color w:val="auto"/>
              </w:rPr>
            </w:pPr>
          </w:p>
        </w:tc>
      </w:tr>
      <w:tr>
        <w:trPr>
          <w:trHeight w:val="80"/>
        </w:trPr>
        <w:tc>
          <w:tcPr>
            <w:tcW w:w="8460" w:type="dxa"/>
            <w:vAlign w:val="bottom"/>
            <w:shd w:val="clear" w:color="auto" w:fill="CCEEFF"/>
          </w:tcPr>
          <w:p>
            <w:pPr>
              <w:spacing w:after="0"/>
              <w:rPr>
                <w:sz w:val="6"/>
                <w:szCs w:val="6"/>
                <w:color w:val="auto"/>
              </w:rPr>
            </w:pPr>
          </w:p>
        </w:tc>
        <w:tc>
          <w:tcPr>
            <w:tcW w:w="160" w:type="dxa"/>
            <w:vAlign w:val="bottom"/>
            <w:tcBorders>
              <w:bottom w:val="single" w:sz="8" w:color="auto"/>
            </w:tcBorders>
            <w:shd w:val="clear" w:color="auto" w:fill="CCEEFF"/>
          </w:tcPr>
          <w:p>
            <w:pPr>
              <w:spacing w:after="0"/>
              <w:rPr>
                <w:sz w:val="6"/>
                <w:szCs w:val="6"/>
                <w:color w:val="auto"/>
              </w:rPr>
            </w:pPr>
          </w:p>
        </w:tc>
        <w:tc>
          <w:tcPr>
            <w:tcW w:w="134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 w:type="dxa"/>
            <w:vAlign w:val="bottom"/>
            <w:tcBorders>
              <w:bottom w:val="single" w:sz="8" w:color="auto"/>
            </w:tcBorders>
            <w:shd w:val="clear" w:color="auto" w:fill="CCEEFF"/>
          </w:tcPr>
          <w:p>
            <w:pPr>
              <w:spacing w:after="0"/>
              <w:rPr>
                <w:sz w:val="6"/>
                <w:szCs w:val="6"/>
                <w:color w:val="auto"/>
              </w:rPr>
            </w:pPr>
          </w:p>
        </w:tc>
        <w:tc>
          <w:tcPr>
            <w:tcW w:w="1220" w:type="dxa"/>
            <w:vAlign w:val="bottom"/>
            <w:tcBorders>
              <w:bottom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1"/>
        </w:trPr>
        <w:tc>
          <w:tcPr>
            <w:tcW w:w="8460" w:type="dxa"/>
            <w:vAlign w:val="bottom"/>
          </w:tcPr>
          <w:p>
            <w:pPr>
              <w:ind w:left="200"/>
              <w:spacing w:after="0"/>
              <w:rPr>
                <w:sz w:val="20"/>
                <w:szCs w:val="20"/>
                <w:color w:val="auto"/>
              </w:rPr>
            </w:pPr>
            <w:r>
              <w:rPr>
                <w:rFonts w:ascii="Arial" w:cs="Arial" w:eastAsia="Arial" w:hAnsi="Arial"/>
                <w:sz w:val="14"/>
                <w:szCs w:val="14"/>
                <w:color w:val="auto"/>
              </w:rPr>
              <w:t>Total Brighthouse Financial, Inc.’s stockholders’ equity</w:t>
            </w:r>
          </w:p>
        </w:tc>
        <w:tc>
          <w:tcPr>
            <w:tcW w:w="160" w:type="dxa"/>
            <w:vAlign w:val="bottom"/>
          </w:tcPr>
          <w:p>
            <w:pPr>
              <w:spacing w:after="0"/>
              <w:rPr>
                <w:sz w:val="14"/>
                <w:szCs w:val="14"/>
                <w:color w:val="auto"/>
              </w:rPr>
            </w:pPr>
          </w:p>
        </w:tc>
        <w:tc>
          <w:tcPr>
            <w:tcW w:w="1340" w:type="dxa"/>
            <w:vAlign w:val="bottom"/>
            <w:vMerge w:val="restart"/>
          </w:tcPr>
          <w:p>
            <w:pPr>
              <w:jc w:val="right"/>
              <w:ind w:right="48"/>
              <w:spacing w:after="0"/>
              <w:rPr>
                <w:sz w:val="20"/>
                <w:szCs w:val="20"/>
                <w:color w:val="auto"/>
              </w:rPr>
            </w:pPr>
            <w:r>
              <w:rPr>
                <w:rFonts w:ascii="Arial" w:cs="Arial" w:eastAsia="Arial" w:hAnsi="Arial"/>
                <w:sz w:val="14"/>
                <w:szCs w:val="14"/>
                <w:color w:val="auto"/>
              </w:rPr>
              <w:t>13,766</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vMerge w:val="restart"/>
          </w:tcPr>
          <w:p>
            <w:pPr>
              <w:jc w:val="right"/>
              <w:ind w:right="28"/>
              <w:spacing w:after="0"/>
              <w:rPr>
                <w:sz w:val="20"/>
                <w:szCs w:val="20"/>
                <w:color w:val="auto"/>
              </w:rPr>
            </w:pPr>
            <w:r>
              <w:rPr>
                <w:rFonts w:ascii="Arial" w:cs="Arial" w:eastAsia="Arial" w:hAnsi="Arial"/>
                <w:sz w:val="14"/>
                <w:szCs w:val="14"/>
                <w:color w:val="auto"/>
              </w:rPr>
              <w:t>14,862</w:t>
            </w:r>
          </w:p>
        </w:tc>
        <w:tc>
          <w:tcPr>
            <w:tcW w:w="0" w:type="dxa"/>
            <w:vAlign w:val="bottom"/>
          </w:tcPr>
          <w:p>
            <w:pPr>
              <w:spacing w:after="0"/>
              <w:rPr>
                <w:sz w:val="1"/>
                <w:szCs w:val="1"/>
                <w:color w:val="auto"/>
              </w:rPr>
            </w:pPr>
          </w:p>
        </w:tc>
      </w:tr>
      <w:tr>
        <w:trPr>
          <w:trHeight w:val="74"/>
        </w:trPr>
        <w:tc>
          <w:tcPr>
            <w:tcW w:w="8460" w:type="dxa"/>
            <w:vAlign w:val="bottom"/>
          </w:tcPr>
          <w:p>
            <w:pPr>
              <w:spacing w:after="0"/>
              <w:rPr>
                <w:sz w:val="6"/>
                <w:szCs w:val="6"/>
                <w:color w:val="auto"/>
              </w:rPr>
            </w:pPr>
          </w:p>
        </w:tc>
        <w:tc>
          <w:tcPr>
            <w:tcW w:w="160" w:type="dxa"/>
            <w:vAlign w:val="bottom"/>
          </w:tcPr>
          <w:p>
            <w:pPr>
              <w:spacing w:after="0"/>
              <w:rPr>
                <w:sz w:val="6"/>
                <w:szCs w:val="6"/>
                <w:color w:val="auto"/>
              </w:rPr>
            </w:pPr>
          </w:p>
        </w:tc>
        <w:tc>
          <w:tcPr>
            <w:tcW w:w="134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2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8460" w:type="dxa"/>
            <w:vAlign w:val="bottom"/>
            <w:shd w:val="clear" w:color="auto" w:fill="CCEEFF"/>
          </w:tcPr>
          <w:p>
            <w:pPr>
              <w:ind w:left="40"/>
              <w:spacing w:after="0"/>
              <w:rPr>
                <w:sz w:val="20"/>
                <w:szCs w:val="20"/>
                <w:color w:val="auto"/>
              </w:rPr>
            </w:pPr>
            <w:r>
              <w:rPr>
                <w:rFonts w:ascii="Arial" w:cs="Arial" w:eastAsia="Arial" w:hAnsi="Arial"/>
                <w:sz w:val="14"/>
                <w:szCs w:val="14"/>
                <w:color w:val="auto"/>
              </w:rPr>
              <w:t>Noncontrolling interests</w:t>
            </w:r>
          </w:p>
        </w:tc>
        <w:tc>
          <w:tcPr>
            <w:tcW w:w="160" w:type="dxa"/>
            <w:vAlign w:val="bottom"/>
            <w:shd w:val="clear" w:color="auto" w:fill="CCEEFF"/>
          </w:tcPr>
          <w:p>
            <w:pPr>
              <w:spacing w:after="0"/>
              <w:rPr>
                <w:sz w:val="17"/>
                <w:szCs w:val="17"/>
                <w:color w:val="auto"/>
              </w:rPr>
            </w:pPr>
          </w:p>
        </w:tc>
        <w:tc>
          <w:tcPr>
            <w:tcW w:w="134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65</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2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80"/>
        </w:trPr>
        <w:tc>
          <w:tcPr>
            <w:tcW w:w="8460" w:type="dxa"/>
            <w:vAlign w:val="bottom"/>
            <w:shd w:val="clear" w:color="auto" w:fill="CCEEFF"/>
          </w:tcPr>
          <w:p>
            <w:pPr>
              <w:spacing w:after="0"/>
              <w:rPr>
                <w:sz w:val="6"/>
                <w:szCs w:val="6"/>
                <w:color w:val="auto"/>
              </w:rPr>
            </w:pPr>
          </w:p>
        </w:tc>
        <w:tc>
          <w:tcPr>
            <w:tcW w:w="160" w:type="dxa"/>
            <w:vAlign w:val="bottom"/>
            <w:tcBorders>
              <w:bottom w:val="single" w:sz="8" w:color="auto"/>
            </w:tcBorders>
            <w:shd w:val="clear" w:color="auto" w:fill="CCEEFF"/>
          </w:tcPr>
          <w:p>
            <w:pPr>
              <w:spacing w:after="0"/>
              <w:rPr>
                <w:sz w:val="6"/>
                <w:szCs w:val="6"/>
                <w:color w:val="auto"/>
              </w:rPr>
            </w:pPr>
          </w:p>
        </w:tc>
        <w:tc>
          <w:tcPr>
            <w:tcW w:w="134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 w:type="dxa"/>
            <w:vAlign w:val="bottom"/>
            <w:tcBorders>
              <w:bottom w:val="single" w:sz="8" w:color="auto"/>
            </w:tcBorders>
            <w:shd w:val="clear" w:color="auto" w:fill="CCEEFF"/>
          </w:tcPr>
          <w:p>
            <w:pPr>
              <w:spacing w:after="0"/>
              <w:rPr>
                <w:sz w:val="6"/>
                <w:szCs w:val="6"/>
                <w:color w:val="auto"/>
              </w:rPr>
            </w:pPr>
          </w:p>
        </w:tc>
        <w:tc>
          <w:tcPr>
            <w:tcW w:w="1220" w:type="dxa"/>
            <w:vAlign w:val="bottom"/>
            <w:tcBorders>
              <w:bottom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1"/>
        </w:trPr>
        <w:tc>
          <w:tcPr>
            <w:tcW w:w="8460" w:type="dxa"/>
            <w:vAlign w:val="bottom"/>
          </w:tcPr>
          <w:p>
            <w:pPr>
              <w:ind w:left="200"/>
              <w:spacing w:after="0"/>
              <w:rPr>
                <w:sz w:val="20"/>
                <w:szCs w:val="20"/>
                <w:color w:val="auto"/>
              </w:rPr>
            </w:pPr>
            <w:r>
              <w:rPr>
                <w:rFonts w:ascii="Arial" w:cs="Arial" w:eastAsia="Arial" w:hAnsi="Arial"/>
                <w:sz w:val="14"/>
                <w:szCs w:val="14"/>
                <w:color w:val="auto"/>
              </w:rPr>
              <w:t>Total equity</w:t>
            </w:r>
          </w:p>
        </w:tc>
        <w:tc>
          <w:tcPr>
            <w:tcW w:w="160" w:type="dxa"/>
            <w:vAlign w:val="bottom"/>
          </w:tcPr>
          <w:p>
            <w:pPr>
              <w:spacing w:after="0"/>
              <w:rPr>
                <w:sz w:val="14"/>
                <w:szCs w:val="14"/>
                <w:color w:val="auto"/>
              </w:rPr>
            </w:pPr>
          </w:p>
        </w:tc>
        <w:tc>
          <w:tcPr>
            <w:tcW w:w="1340" w:type="dxa"/>
            <w:vAlign w:val="bottom"/>
            <w:vMerge w:val="restart"/>
          </w:tcPr>
          <w:p>
            <w:pPr>
              <w:jc w:val="right"/>
              <w:ind w:right="48"/>
              <w:spacing w:after="0"/>
              <w:rPr>
                <w:sz w:val="20"/>
                <w:szCs w:val="20"/>
                <w:color w:val="auto"/>
              </w:rPr>
            </w:pPr>
            <w:r>
              <w:rPr>
                <w:rFonts w:ascii="Arial" w:cs="Arial" w:eastAsia="Arial" w:hAnsi="Arial"/>
                <w:sz w:val="14"/>
                <w:szCs w:val="14"/>
                <w:color w:val="auto"/>
              </w:rPr>
              <w:t>13,831</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vMerge w:val="restart"/>
          </w:tcPr>
          <w:p>
            <w:pPr>
              <w:jc w:val="right"/>
              <w:ind w:right="28"/>
              <w:spacing w:after="0"/>
              <w:rPr>
                <w:sz w:val="20"/>
                <w:szCs w:val="20"/>
                <w:color w:val="auto"/>
              </w:rPr>
            </w:pPr>
            <w:r>
              <w:rPr>
                <w:rFonts w:ascii="Arial" w:cs="Arial" w:eastAsia="Arial" w:hAnsi="Arial"/>
                <w:sz w:val="14"/>
                <w:szCs w:val="14"/>
                <w:color w:val="auto"/>
              </w:rPr>
              <w:t>14,862</w:t>
            </w:r>
          </w:p>
        </w:tc>
        <w:tc>
          <w:tcPr>
            <w:tcW w:w="0" w:type="dxa"/>
            <w:vAlign w:val="bottom"/>
          </w:tcPr>
          <w:p>
            <w:pPr>
              <w:spacing w:after="0"/>
              <w:rPr>
                <w:sz w:val="1"/>
                <w:szCs w:val="1"/>
                <w:color w:val="auto"/>
              </w:rPr>
            </w:pPr>
          </w:p>
        </w:tc>
      </w:tr>
      <w:tr>
        <w:trPr>
          <w:trHeight w:val="74"/>
        </w:trPr>
        <w:tc>
          <w:tcPr>
            <w:tcW w:w="8460" w:type="dxa"/>
            <w:vAlign w:val="bottom"/>
            <w:tcBorders>
              <w:bottom w:val="single" w:sz="8" w:color="CCEEFF"/>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134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122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8460" w:type="dxa"/>
            <w:vAlign w:val="bottom"/>
            <w:shd w:val="clear" w:color="auto" w:fill="CCEEFF"/>
          </w:tcPr>
          <w:p>
            <w:pPr>
              <w:ind w:left="200"/>
              <w:spacing w:after="0"/>
              <w:rPr>
                <w:sz w:val="20"/>
                <w:szCs w:val="20"/>
                <w:color w:val="auto"/>
              </w:rPr>
            </w:pPr>
            <w:r>
              <w:rPr>
                <w:rFonts w:ascii="Arial" w:cs="Arial" w:eastAsia="Arial" w:hAnsi="Arial"/>
                <w:sz w:val="14"/>
                <w:szCs w:val="14"/>
                <w:color w:val="auto"/>
              </w:rPr>
              <w:t>Total liabilities and equity</w:t>
            </w: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4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223,279</w:t>
            </w:r>
          </w:p>
        </w:tc>
        <w:tc>
          <w:tcPr>
            <w:tcW w:w="100" w:type="dxa"/>
            <w:vAlign w:val="bottom"/>
            <w:shd w:val="clear" w:color="auto" w:fill="CCEEFF"/>
          </w:tcPr>
          <w:p>
            <w:pPr>
              <w:spacing w:after="0"/>
              <w:rPr>
                <w:sz w:val="15"/>
                <w:szCs w:val="15"/>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2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221,930</w:t>
            </w:r>
          </w:p>
        </w:tc>
        <w:tc>
          <w:tcPr>
            <w:tcW w:w="0" w:type="dxa"/>
            <w:vAlign w:val="bottom"/>
          </w:tcPr>
          <w:p>
            <w:pPr>
              <w:spacing w:after="0"/>
              <w:rPr>
                <w:sz w:val="1"/>
                <w:szCs w:val="1"/>
                <w:color w:val="auto"/>
              </w:rPr>
            </w:pPr>
          </w:p>
        </w:tc>
      </w:tr>
      <w:tr>
        <w:trPr>
          <w:trHeight w:val="60"/>
        </w:trPr>
        <w:tc>
          <w:tcPr>
            <w:tcW w:w="8460" w:type="dxa"/>
            <w:vAlign w:val="bottom"/>
            <w:tcBorders>
              <w:bottom w:val="single" w:sz="8" w:color="CCEEFF"/>
            </w:tcBorders>
            <w:shd w:val="clear" w:color="auto" w:fill="CCEEFF"/>
          </w:tcPr>
          <w:p>
            <w:pPr>
              <w:spacing w:after="0"/>
              <w:rPr>
                <w:sz w:val="5"/>
                <w:szCs w:val="5"/>
                <w:color w:val="auto"/>
              </w:rPr>
            </w:pPr>
          </w:p>
        </w:tc>
        <w:tc>
          <w:tcPr>
            <w:tcW w:w="160" w:type="dxa"/>
            <w:vAlign w:val="bottom"/>
            <w:tcBorders>
              <w:bottom w:val="single" w:sz="8" w:color="auto"/>
            </w:tcBorders>
            <w:vMerge w:val="continue"/>
            <w:shd w:val="clear" w:color="auto" w:fill="CCEEFF"/>
          </w:tcPr>
          <w:p>
            <w:pPr>
              <w:spacing w:after="0"/>
              <w:rPr>
                <w:sz w:val="5"/>
                <w:szCs w:val="5"/>
                <w:color w:val="auto"/>
              </w:rPr>
            </w:pPr>
          </w:p>
        </w:tc>
        <w:tc>
          <w:tcPr>
            <w:tcW w:w="1340" w:type="dxa"/>
            <w:vAlign w:val="bottom"/>
            <w:tcBorders>
              <w:bottom w:val="single" w:sz="8" w:color="auto"/>
            </w:tcBorders>
            <w:vMerge w:val="continue"/>
            <w:shd w:val="clear" w:color="auto" w:fill="CCEEFF"/>
          </w:tcPr>
          <w:p>
            <w:pPr>
              <w:spacing w:after="0"/>
              <w:rPr>
                <w:sz w:val="5"/>
                <w:szCs w:val="5"/>
                <w:color w:val="auto"/>
              </w:rPr>
            </w:pPr>
          </w:p>
        </w:tc>
        <w:tc>
          <w:tcPr>
            <w:tcW w:w="100" w:type="dxa"/>
            <w:vAlign w:val="bottom"/>
            <w:tcBorders>
              <w:bottom w:val="single" w:sz="8" w:color="CCEEFF"/>
            </w:tcBorders>
            <w:shd w:val="clear" w:color="auto" w:fill="CCEEFF"/>
          </w:tcPr>
          <w:p>
            <w:pPr>
              <w:spacing w:after="0"/>
              <w:rPr>
                <w:sz w:val="5"/>
                <w:szCs w:val="5"/>
                <w:color w:val="auto"/>
              </w:rPr>
            </w:pPr>
          </w:p>
        </w:tc>
        <w:tc>
          <w:tcPr>
            <w:tcW w:w="140" w:type="dxa"/>
            <w:vAlign w:val="bottom"/>
            <w:tcBorders>
              <w:bottom w:val="single" w:sz="8" w:color="auto"/>
            </w:tcBorders>
            <w:vMerge w:val="continue"/>
            <w:shd w:val="clear" w:color="auto" w:fill="CCEEFF"/>
          </w:tcPr>
          <w:p>
            <w:pPr>
              <w:spacing w:after="0"/>
              <w:rPr>
                <w:sz w:val="5"/>
                <w:szCs w:val="5"/>
                <w:color w:val="auto"/>
              </w:rPr>
            </w:pPr>
          </w:p>
        </w:tc>
        <w:tc>
          <w:tcPr>
            <w:tcW w:w="1220" w:type="dxa"/>
            <w:vAlign w:val="bottom"/>
            <w:tcBorders>
              <w:bottom w:val="single" w:sz="8" w:color="auto"/>
            </w:tcBorders>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84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2100"/>
        <w:spacing w:after="0"/>
        <w:rPr>
          <w:sz w:val="20"/>
          <w:szCs w:val="20"/>
          <w:color w:val="auto"/>
        </w:rPr>
      </w:pPr>
      <w:r>
        <w:rPr>
          <w:rFonts w:ascii="Arial" w:cs="Arial" w:eastAsia="Arial" w:hAnsi="Arial"/>
          <w:sz w:val="18"/>
          <w:szCs w:val="18"/>
          <w:b w:val="1"/>
          <w:bCs w:val="1"/>
          <w:color w:val="auto"/>
        </w:rPr>
        <w:t>See accompanying notes to the interim condensed consolidated and combined financial statements.</w:t>
      </w:r>
    </w:p>
    <w:p>
      <w:pPr>
        <w:sectPr>
          <w:pgSz w:w="11900" w:h="16838" w:orient="portrait"/>
          <w:cols w:equalWidth="0" w:num="1">
            <w:col w:w="11420"/>
          </w:cols>
          <w:pgMar w:left="240" w:top="126" w:right="239" w:bottom="408" w:gutter="0" w:footer="0" w:header="0"/>
        </w:sect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1420"/>
          </w:cols>
          <w:pgMar w:left="240" w:top="126" w:right="239" w:bottom="408" w:gutter="0" w:footer="0" w:header="0"/>
          <w:type w:val="continuous"/>
        </w:sectPr>
      </w:pPr>
    </w:p>
    <w:bookmarkStart w:id="3" w:name="page4"/>
    <w:bookmarkEnd w:id="3"/>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left="4840"/>
        <w:spacing w:after="0"/>
        <w:rPr>
          <w:sz w:val="20"/>
          <w:szCs w:val="20"/>
          <w:color w:val="auto"/>
        </w:rPr>
      </w:pPr>
      <w:r>
        <w:rPr>
          <w:rFonts w:ascii="Arial" w:cs="Arial" w:eastAsia="Arial" w:hAnsi="Arial"/>
          <w:sz w:val="18"/>
          <w:szCs w:val="18"/>
          <w:b w:val="1"/>
          <w:bCs w:val="1"/>
          <w:color w:val="auto"/>
        </w:rPr>
        <w:t>Brighthouse Financial, Inc.</w:t>
      </w:r>
    </w:p>
    <w:p>
      <w:pPr>
        <w:spacing w:after="0" w:line="117" w:lineRule="exact"/>
        <w:rPr>
          <w:sz w:val="20"/>
          <w:szCs w:val="20"/>
          <w:color w:val="auto"/>
        </w:rPr>
      </w:pPr>
    </w:p>
    <w:p>
      <w:pPr>
        <w:ind w:left="1660"/>
        <w:spacing w:after="0"/>
        <w:rPr>
          <w:sz w:val="20"/>
          <w:szCs w:val="20"/>
          <w:color w:val="auto"/>
        </w:rPr>
      </w:pPr>
      <w:r>
        <w:rPr>
          <w:rFonts w:ascii="Arial" w:cs="Arial" w:eastAsia="Arial" w:hAnsi="Arial"/>
          <w:sz w:val="18"/>
          <w:szCs w:val="18"/>
          <w:b w:val="1"/>
          <w:bCs w:val="1"/>
          <w:color w:val="auto"/>
        </w:rPr>
        <w:t>Interim Condensed Consolidated and Combined Statements of Operations and Comprehensive Income (Loss)</w:t>
      </w:r>
    </w:p>
    <w:p>
      <w:pPr>
        <w:spacing w:after="0" w:line="27" w:lineRule="exact"/>
        <w:rPr>
          <w:sz w:val="20"/>
          <w:szCs w:val="20"/>
          <w:color w:val="auto"/>
        </w:rPr>
      </w:pPr>
    </w:p>
    <w:p>
      <w:pPr>
        <w:ind w:left="2440"/>
        <w:spacing w:after="0"/>
        <w:rPr>
          <w:sz w:val="20"/>
          <w:szCs w:val="20"/>
          <w:color w:val="auto"/>
        </w:rPr>
      </w:pPr>
      <w:r>
        <w:rPr>
          <w:rFonts w:ascii="Arial" w:cs="Arial" w:eastAsia="Arial" w:hAnsi="Arial"/>
          <w:sz w:val="18"/>
          <w:szCs w:val="18"/>
          <w:b w:val="1"/>
          <w:bCs w:val="1"/>
          <w:color w:val="auto"/>
        </w:rPr>
        <w:t>For the Three Months and Nine Months Ended September 30, 2017 and 2016 (Unaudited)</w:t>
      </w:r>
    </w:p>
    <w:p>
      <w:pPr>
        <w:spacing w:after="0" w:line="153" w:lineRule="exact"/>
        <w:rPr>
          <w:sz w:val="20"/>
          <w:szCs w:val="20"/>
          <w:color w:val="auto"/>
        </w:rPr>
      </w:pPr>
    </w:p>
    <w:p>
      <w:pPr>
        <w:ind w:left="3980"/>
        <w:spacing w:after="0"/>
        <w:rPr>
          <w:sz w:val="20"/>
          <w:szCs w:val="20"/>
          <w:color w:val="auto"/>
        </w:rPr>
      </w:pPr>
      <w:r>
        <w:rPr>
          <w:rFonts w:ascii="Arial" w:cs="Arial" w:eastAsia="Arial" w:hAnsi="Arial"/>
          <w:sz w:val="18"/>
          <w:szCs w:val="18"/>
          <w:b w:val="1"/>
          <w:bCs w:val="1"/>
          <w:color w:val="auto"/>
        </w:rPr>
        <w:t>(In millions, except share and per share data)</w:t>
      </w:r>
    </w:p>
    <w:p>
      <w:pPr>
        <w:spacing w:after="0" w:line="176" w:lineRule="exact"/>
        <w:rPr>
          <w:sz w:val="20"/>
          <w:szCs w:val="20"/>
          <w:color w:val="auto"/>
        </w:rPr>
      </w:pPr>
    </w:p>
    <w:tbl>
      <w:tblPr>
        <w:tblLayout w:type="fixed"/>
        <w:tblInd w:w="220" w:type="dxa"/>
        <w:tblCellMar>
          <w:top w:w="0" w:type="dxa"/>
          <w:left w:w="0" w:type="dxa"/>
          <w:bottom w:w="0" w:type="dxa"/>
          <w:right w:w="0" w:type="dxa"/>
        </w:tblCellMar>
      </w:tblPr>
      <w:tr>
        <w:trPr>
          <w:trHeight w:val="203"/>
        </w:trPr>
        <w:tc>
          <w:tcPr>
            <w:tcW w:w="6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0" w:type="dxa"/>
            <w:vAlign w:val="bottom"/>
            <w:gridSpan w:val="5"/>
          </w:tcPr>
          <w:p>
            <w:pPr>
              <w:jc w:val="center"/>
              <w:ind w:right="360"/>
              <w:spacing w:after="0"/>
              <w:rPr>
                <w:sz w:val="20"/>
                <w:szCs w:val="20"/>
                <w:color w:val="auto"/>
              </w:rPr>
            </w:pPr>
            <w:r>
              <w:rPr>
                <w:rFonts w:ascii="Arial" w:cs="Arial" w:eastAsia="Arial" w:hAnsi="Arial"/>
                <w:sz w:val="16"/>
                <w:szCs w:val="16"/>
                <w:b w:val="1"/>
                <w:bCs w:val="1"/>
                <w:color w:val="auto"/>
                <w:w w:val="95"/>
              </w:rPr>
              <w:t>Three Months</w:t>
            </w:r>
          </w:p>
        </w:tc>
        <w:tc>
          <w:tcPr>
            <w:tcW w:w="240" w:type="dxa"/>
            <w:vAlign w:val="bottom"/>
          </w:tcPr>
          <w:p>
            <w:pPr>
              <w:spacing w:after="0"/>
              <w:rPr>
                <w:sz w:val="17"/>
                <w:szCs w:val="17"/>
                <w:color w:val="auto"/>
              </w:rPr>
            </w:pPr>
          </w:p>
        </w:tc>
        <w:tc>
          <w:tcPr>
            <w:tcW w:w="1300" w:type="dxa"/>
            <w:vAlign w:val="bottom"/>
            <w:gridSpan w:val="3"/>
          </w:tcPr>
          <w:p>
            <w:pPr>
              <w:ind w:left="400"/>
              <w:spacing w:after="0"/>
              <w:rPr>
                <w:sz w:val="20"/>
                <w:szCs w:val="20"/>
                <w:color w:val="auto"/>
              </w:rPr>
            </w:pPr>
            <w:r>
              <w:rPr>
                <w:rFonts w:ascii="Arial" w:cs="Arial" w:eastAsia="Arial" w:hAnsi="Arial"/>
                <w:sz w:val="16"/>
                <w:szCs w:val="16"/>
                <w:b w:val="1"/>
                <w:bCs w:val="1"/>
                <w:color w:val="auto"/>
                <w:w w:val="91"/>
              </w:rPr>
              <w:t>Nine Months</w:t>
            </w: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gridSpan w:val="3"/>
          </w:tcPr>
          <w:p>
            <w:pPr>
              <w:jc w:val="center"/>
              <w:ind w:left="451"/>
              <w:spacing w:after="0"/>
              <w:rPr>
                <w:sz w:val="20"/>
                <w:szCs w:val="20"/>
                <w:color w:val="auto"/>
              </w:rPr>
            </w:pPr>
            <w:r>
              <w:rPr>
                <w:rFonts w:ascii="Arial" w:cs="Arial" w:eastAsia="Arial" w:hAnsi="Arial"/>
                <w:sz w:val="16"/>
                <w:szCs w:val="16"/>
                <w:b w:val="1"/>
                <w:bCs w:val="1"/>
                <w:color w:val="auto"/>
                <w:w w:val="89"/>
              </w:rPr>
              <w:t>Ended</w:t>
            </w: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00" w:type="dxa"/>
            <w:vAlign w:val="bottom"/>
            <w:gridSpan w:val="3"/>
          </w:tcPr>
          <w:p>
            <w:pPr>
              <w:jc w:val="right"/>
              <w:ind w:right="110"/>
              <w:spacing w:after="0"/>
              <w:rPr>
                <w:sz w:val="20"/>
                <w:szCs w:val="20"/>
                <w:color w:val="auto"/>
              </w:rPr>
            </w:pPr>
            <w:r>
              <w:rPr>
                <w:rFonts w:ascii="Arial" w:cs="Arial" w:eastAsia="Arial" w:hAnsi="Arial"/>
                <w:sz w:val="16"/>
                <w:szCs w:val="16"/>
                <w:b w:val="1"/>
                <w:bCs w:val="1"/>
                <w:color w:val="auto"/>
              </w:rPr>
              <w:t>Ended</w:t>
            </w: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6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0" w:type="dxa"/>
            <w:vAlign w:val="bottom"/>
            <w:gridSpan w:val="5"/>
          </w:tcPr>
          <w:p>
            <w:pPr>
              <w:jc w:val="center"/>
              <w:ind w:right="320"/>
              <w:spacing w:after="0"/>
              <w:rPr>
                <w:sz w:val="20"/>
                <w:szCs w:val="20"/>
                <w:color w:val="auto"/>
              </w:rPr>
            </w:pPr>
            <w:r>
              <w:rPr>
                <w:rFonts w:ascii="Arial" w:cs="Arial" w:eastAsia="Arial" w:hAnsi="Arial"/>
                <w:sz w:val="16"/>
                <w:szCs w:val="16"/>
                <w:b w:val="1"/>
                <w:bCs w:val="1"/>
                <w:color w:val="auto"/>
                <w:w w:val="91"/>
              </w:rPr>
              <w:t>September 30,</w:t>
            </w:r>
          </w:p>
        </w:tc>
        <w:tc>
          <w:tcPr>
            <w:tcW w:w="240" w:type="dxa"/>
            <w:vAlign w:val="bottom"/>
          </w:tcPr>
          <w:p>
            <w:pPr>
              <w:spacing w:after="0"/>
              <w:rPr>
                <w:sz w:val="18"/>
                <w:szCs w:val="18"/>
                <w:color w:val="auto"/>
              </w:rPr>
            </w:pPr>
          </w:p>
        </w:tc>
        <w:tc>
          <w:tcPr>
            <w:tcW w:w="1980" w:type="dxa"/>
            <w:vAlign w:val="bottom"/>
            <w:gridSpan w:val="4"/>
          </w:tcPr>
          <w:p>
            <w:pPr>
              <w:ind w:left="400"/>
              <w:spacing w:after="0"/>
              <w:rPr>
                <w:sz w:val="20"/>
                <w:szCs w:val="20"/>
                <w:color w:val="auto"/>
              </w:rPr>
            </w:pPr>
            <w:r>
              <w:rPr>
                <w:rFonts w:ascii="Arial" w:cs="Arial" w:eastAsia="Arial" w:hAnsi="Arial"/>
                <w:sz w:val="16"/>
                <w:szCs w:val="16"/>
                <w:b w:val="1"/>
                <w:bCs w:val="1"/>
                <w:color w:val="auto"/>
              </w:rPr>
              <w:t>September 30,</w:t>
            </w:r>
          </w:p>
        </w:tc>
        <w:tc>
          <w:tcPr>
            <w:tcW w:w="0" w:type="dxa"/>
            <w:vAlign w:val="bottom"/>
          </w:tcPr>
          <w:p>
            <w:pPr>
              <w:spacing w:after="0"/>
              <w:rPr>
                <w:sz w:val="1"/>
                <w:szCs w:val="1"/>
                <w:color w:val="auto"/>
              </w:rPr>
            </w:pPr>
          </w:p>
        </w:tc>
      </w:tr>
      <w:tr>
        <w:trPr>
          <w:trHeight w:val="33"/>
        </w:trPr>
        <w:tc>
          <w:tcPr>
            <w:tcW w:w="65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65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jc w:val="right"/>
              <w:ind w:right="251"/>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40" w:type="dxa"/>
            <w:vAlign w:val="bottom"/>
          </w:tcPr>
          <w:p>
            <w:pPr>
              <w:jc w:val="right"/>
              <w:ind w:right="250"/>
              <w:spacing w:after="0"/>
              <w:rPr>
                <w:sz w:val="20"/>
                <w:szCs w:val="20"/>
                <w:color w:val="auto"/>
              </w:rPr>
            </w:pPr>
            <w:r>
              <w:rPr>
                <w:rFonts w:ascii="Arial" w:cs="Arial" w:eastAsia="Arial" w:hAnsi="Arial"/>
                <w:sz w:val="16"/>
                <w:szCs w:val="16"/>
                <w:b w:val="1"/>
                <w:bCs w:val="1"/>
                <w:color w:val="auto"/>
              </w:rPr>
              <w:t>2016</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ind w:right="311"/>
              <w:spacing w:after="0"/>
              <w:rPr>
                <w:sz w:val="20"/>
                <w:szCs w:val="20"/>
                <w:color w:val="auto"/>
              </w:rPr>
            </w:pPr>
            <w:r>
              <w:rPr>
                <w:rFonts w:ascii="Arial" w:cs="Arial" w:eastAsia="Arial" w:hAnsi="Arial"/>
                <w:sz w:val="16"/>
                <w:szCs w:val="16"/>
                <w:b w:val="1"/>
                <w:bCs w:val="1"/>
                <w:color w:val="auto"/>
              </w:rPr>
              <w:t>2017</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80" w:type="dxa"/>
            <w:vAlign w:val="bottom"/>
          </w:tcPr>
          <w:p>
            <w:pPr>
              <w:jc w:val="right"/>
              <w:ind w:right="270"/>
              <w:spacing w:after="0"/>
              <w:rPr>
                <w:sz w:val="20"/>
                <w:szCs w:val="20"/>
                <w:color w:val="auto"/>
              </w:rPr>
            </w:pPr>
            <w:r>
              <w:rPr>
                <w:rFonts w:ascii="Arial" w:cs="Arial" w:eastAsia="Arial" w:hAnsi="Arial"/>
                <w:sz w:val="16"/>
                <w:szCs w:val="16"/>
                <w:b w:val="1"/>
                <w:bCs w:val="1"/>
                <w:color w:val="auto"/>
                <w:w w:val="84"/>
              </w:rPr>
              <w:t>2016</w:t>
            </w:r>
          </w:p>
        </w:tc>
        <w:tc>
          <w:tcPr>
            <w:tcW w:w="0" w:type="dxa"/>
            <w:vAlign w:val="bottom"/>
          </w:tcPr>
          <w:p>
            <w:pPr>
              <w:spacing w:after="0"/>
              <w:rPr>
                <w:sz w:val="1"/>
                <w:szCs w:val="1"/>
                <w:color w:val="auto"/>
              </w:rPr>
            </w:pPr>
          </w:p>
        </w:tc>
      </w:tr>
      <w:tr>
        <w:trPr>
          <w:trHeight w:val="33"/>
        </w:trPr>
        <w:tc>
          <w:tcPr>
            <w:tcW w:w="65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Revenues</w:t>
            </w: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580" w:type="dxa"/>
            <w:vAlign w:val="bottom"/>
          </w:tcPr>
          <w:p>
            <w:pPr>
              <w:ind w:left="20"/>
              <w:spacing w:after="0"/>
              <w:rPr>
                <w:sz w:val="20"/>
                <w:szCs w:val="20"/>
                <w:color w:val="auto"/>
              </w:rPr>
            </w:pPr>
            <w:r>
              <w:rPr>
                <w:rFonts w:ascii="Arial" w:cs="Arial" w:eastAsia="Arial" w:hAnsi="Arial"/>
                <w:sz w:val="18"/>
                <w:szCs w:val="18"/>
                <w:color w:val="auto"/>
              </w:rPr>
              <w:t>Premiums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31"/>
              <w:spacing w:after="0"/>
              <w:rPr>
                <w:sz w:val="20"/>
                <w:szCs w:val="20"/>
                <w:color w:val="auto"/>
              </w:rPr>
            </w:pPr>
            <w:r>
              <w:rPr>
                <w:rFonts w:ascii="Arial" w:cs="Arial" w:eastAsia="Arial" w:hAnsi="Arial"/>
                <w:sz w:val="18"/>
                <w:szCs w:val="18"/>
                <w:color w:val="auto"/>
              </w:rPr>
              <w:t>236</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347</w:t>
            </w:r>
          </w:p>
        </w:tc>
        <w:tc>
          <w:tcPr>
            <w:tcW w:w="12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630</w:t>
            </w:r>
          </w:p>
        </w:tc>
        <w:tc>
          <w:tcPr>
            <w:tcW w:w="12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ind w:right="30"/>
              <w:spacing w:after="0"/>
              <w:rPr>
                <w:sz w:val="20"/>
                <w:szCs w:val="20"/>
                <w:color w:val="auto"/>
              </w:rPr>
            </w:pPr>
            <w:r>
              <w:rPr>
                <w:rFonts w:ascii="Arial" w:cs="Arial" w:eastAsia="Arial" w:hAnsi="Arial"/>
                <w:sz w:val="18"/>
                <w:szCs w:val="18"/>
                <w:color w:val="auto"/>
              </w:rPr>
              <w:t>1,021</w:t>
            </w:r>
          </w:p>
        </w:tc>
        <w:tc>
          <w:tcPr>
            <w:tcW w:w="0" w:type="dxa"/>
            <w:vAlign w:val="bottom"/>
          </w:tcPr>
          <w:p>
            <w:pPr>
              <w:spacing w:after="0"/>
              <w:rPr>
                <w:sz w:val="1"/>
                <w:szCs w:val="1"/>
                <w:color w:val="auto"/>
              </w:rPr>
            </w:pPr>
          </w:p>
        </w:tc>
      </w:tr>
      <w:tr>
        <w:trPr>
          <w:trHeight w:val="27"/>
        </w:trPr>
        <w:tc>
          <w:tcPr>
            <w:tcW w:w="6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Universal life and investment-type product policy fees</w:t>
            </w: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1,025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976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2,935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2,843</w:t>
            </w:r>
          </w:p>
        </w:tc>
        <w:tc>
          <w:tcPr>
            <w:tcW w:w="0" w:type="dxa"/>
            <w:vAlign w:val="bottom"/>
          </w:tcPr>
          <w:p>
            <w:pPr>
              <w:spacing w:after="0"/>
              <w:rPr>
                <w:sz w:val="1"/>
                <w:szCs w:val="1"/>
                <w:color w:val="auto"/>
              </w:rPr>
            </w:pPr>
          </w:p>
        </w:tc>
      </w:tr>
      <w:tr>
        <w:trPr>
          <w:trHeight w:val="243"/>
        </w:trPr>
        <w:tc>
          <w:tcPr>
            <w:tcW w:w="6580" w:type="dxa"/>
            <w:vAlign w:val="bottom"/>
          </w:tcPr>
          <w:p>
            <w:pPr>
              <w:ind w:left="20"/>
              <w:spacing w:after="0"/>
              <w:rPr>
                <w:sz w:val="20"/>
                <w:szCs w:val="20"/>
                <w:color w:val="auto"/>
              </w:rPr>
            </w:pPr>
            <w:r>
              <w:rPr>
                <w:rFonts w:ascii="Arial" w:cs="Arial" w:eastAsia="Arial" w:hAnsi="Arial"/>
                <w:sz w:val="18"/>
                <w:szCs w:val="18"/>
                <w:color w:val="auto"/>
              </w:rPr>
              <w:t>Net investment income</w:t>
            </w:r>
          </w:p>
        </w:tc>
        <w:tc>
          <w:tcPr>
            <w:tcW w:w="220" w:type="dxa"/>
            <w:vAlign w:val="bottom"/>
          </w:tcPr>
          <w:p>
            <w:pPr>
              <w:spacing w:after="0"/>
              <w:rPr>
                <w:sz w:val="21"/>
                <w:szCs w:val="21"/>
                <w:color w:val="auto"/>
              </w:rPr>
            </w:pPr>
          </w:p>
        </w:tc>
        <w:tc>
          <w:tcPr>
            <w:tcW w:w="780" w:type="dxa"/>
            <w:vAlign w:val="bottom"/>
          </w:tcPr>
          <w:p>
            <w:pPr>
              <w:jc w:val="right"/>
              <w:ind w:right="31"/>
              <w:spacing w:after="0"/>
              <w:rPr>
                <w:sz w:val="20"/>
                <w:szCs w:val="20"/>
                <w:color w:val="auto"/>
              </w:rPr>
            </w:pPr>
            <w:r>
              <w:rPr>
                <w:rFonts w:ascii="Arial" w:cs="Arial" w:eastAsia="Arial" w:hAnsi="Arial"/>
                <w:sz w:val="18"/>
                <w:szCs w:val="18"/>
                <w:color w:val="auto"/>
              </w:rPr>
              <w:t>761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869</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2,309</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80" w:type="dxa"/>
            <w:vAlign w:val="bottom"/>
          </w:tcPr>
          <w:p>
            <w:pPr>
              <w:jc w:val="right"/>
              <w:ind w:right="30"/>
              <w:spacing w:after="0"/>
              <w:rPr>
                <w:sz w:val="20"/>
                <w:szCs w:val="20"/>
                <w:color w:val="auto"/>
              </w:rPr>
            </w:pPr>
            <w:r>
              <w:rPr>
                <w:rFonts w:ascii="Arial" w:cs="Arial" w:eastAsia="Arial" w:hAnsi="Arial"/>
                <w:sz w:val="18"/>
                <w:szCs w:val="18"/>
                <w:color w:val="auto"/>
              </w:rPr>
              <w:t>2,422</w:t>
            </w:r>
          </w:p>
        </w:tc>
        <w:tc>
          <w:tcPr>
            <w:tcW w:w="0" w:type="dxa"/>
            <w:vAlign w:val="bottom"/>
          </w:tcPr>
          <w:p>
            <w:pPr>
              <w:spacing w:after="0"/>
              <w:rPr>
                <w:sz w:val="1"/>
                <w:szCs w:val="1"/>
                <w:color w:val="auto"/>
              </w:rPr>
            </w:pPr>
          </w:p>
        </w:tc>
      </w:tr>
      <w:tr>
        <w:trPr>
          <w:trHeight w:val="27"/>
        </w:trPr>
        <w:tc>
          <w:tcPr>
            <w:tcW w:w="6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revenues</w:t>
            </w: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329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481</w:t>
            </w:r>
          </w:p>
        </w:tc>
        <w:tc>
          <w:tcPr>
            <w:tcW w:w="0" w:type="dxa"/>
            <w:vAlign w:val="bottom"/>
          </w:tcPr>
          <w:p>
            <w:pPr>
              <w:spacing w:after="0"/>
              <w:rPr>
                <w:sz w:val="1"/>
                <w:szCs w:val="1"/>
                <w:color w:val="auto"/>
              </w:rPr>
            </w:pPr>
          </w:p>
        </w:tc>
      </w:tr>
      <w:tr>
        <w:trPr>
          <w:trHeight w:val="243"/>
        </w:trPr>
        <w:tc>
          <w:tcPr>
            <w:tcW w:w="6580" w:type="dxa"/>
            <w:vAlign w:val="bottom"/>
          </w:tcPr>
          <w:p>
            <w:pPr>
              <w:ind w:left="20"/>
              <w:spacing w:after="0"/>
              <w:rPr>
                <w:sz w:val="20"/>
                <w:szCs w:val="20"/>
                <w:color w:val="auto"/>
              </w:rPr>
            </w:pPr>
            <w:r>
              <w:rPr>
                <w:rFonts w:ascii="Arial" w:cs="Arial" w:eastAsia="Arial" w:hAnsi="Arial"/>
                <w:sz w:val="18"/>
                <w:szCs w:val="18"/>
                <w:color w:val="auto"/>
              </w:rPr>
              <w:t>Net investment gains (losses):</w:t>
            </w:r>
          </w:p>
        </w:tc>
        <w:tc>
          <w:tcPr>
            <w:tcW w:w="2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Other-than-temporary impairments on fixed maturity securities</w:t>
            </w:r>
          </w:p>
        </w:tc>
        <w:tc>
          <w:tcPr>
            <w:tcW w:w="2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29"/>
        </w:trPr>
        <w:tc>
          <w:tcPr>
            <w:tcW w:w="6580" w:type="dxa"/>
            <w:vAlign w:val="bottom"/>
          </w:tcPr>
          <w:p>
            <w:pPr>
              <w:ind w:left="180"/>
              <w:spacing w:after="0"/>
              <w:rPr>
                <w:sz w:val="20"/>
                <w:szCs w:val="20"/>
                <w:color w:val="auto"/>
              </w:rPr>
            </w:pPr>
            <w:r>
              <w:rPr>
                <w:rFonts w:ascii="Arial" w:cs="Arial" w:eastAsia="Arial" w:hAnsi="Arial"/>
                <w:sz w:val="18"/>
                <w:szCs w:val="18"/>
                <w:color w:val="auto"/>
                <w:w w:val="97"/>
              </w:rPr>
              <w:t>Other-than-temporary impairments on fixed maturity securities transferred to other</w:t>
            </w: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580" w:type="dxa"/>
            <w:vAlign w:val="bottom"/>
          </w:tcPr>
          <w:p>
            <w:pPr>
              <w:ind w:left="340"/>
              <w:spacing w:after="0"/>
              <w:rPr>
                <w:sz w:val="20"/>
                <w:szCs w:val="20"/>
                <w:color w:val="auto"/>
              </w:rPr>
            </w:pPr>
            <w:r>
              <w:rPr>
                <w:rFonts w:ascii="Arial" w:cs="Arial" w:eastAsia="Arial" w:hAnsi="Arial"/>
                <w:sz w:val="18"/>
                <w:szCs w:val="18"/>
                <w:color w:val="auto"/>
              </w:rPr>
              <w:t>comprehensive income (loss)</w:t>
            </w:r>
          </w:p>
        </w:tc>
        <w:tc>
          <w:tcPr>
            <w:tcW w:w="220" w:type="dxa"/>
            <w:vAlign w:val="bottom"/>
          </w:tcPr>
          <w:p>
            <w:pPr>
              <w:spacing w:after="0"/>
              <w:rPr>
                <w:sz w:val="20"/>
                <w:szCs w:val="20"/>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7"/>
        </w:trPr>
        <w:tc>
          <w:tcPr>
            <w:tcW w:w="6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net investment gains (losses)</w:t>
            </w:r>
          </w:p>
        </w:tc>
        <w:tc>
          <w:tcPr>
            <w:tcW w:w="2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21</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37"/>
        </w:trPr>
        <w:tc>
          <w:tcPr>
            <w:tcW w:w="6580" w:type="dxa"/>
            <w:vAlign w:val="bottom"/>
          </w:tcPr>
          <w:p>
            <w:pPr>
              <w:ind w:left="340"/>
              <w:spacing w:after="0"/>
              <w:rPr>
                <w:sz w:val="20"/>
                <w:szCs w:val="20"/>
                <w:color w:val="auto"/>
              </w:rPr>
            </w:pPr>
            <w:r>
              <w:rPr>
                <w:rFonts w:ascii="Arial" w:cs="Arial" w:eastAsia="Arial" w:hAnsi="Arial"/>
                <w:sz w:val="18"/>
                <w:szCs w:val="18"/>
                <w:color w:val="auto"/>
              </w:rPr>
              <w:t>Total net investment gains (losses)</w:t>
            </w:r>
          </w:p>
        </w:tc>
        <w:tc>
          <w:tcPr>
            <w:tcW w:w="22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26</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7"/>
        </w:trPr>
        <w:tc>
          <w:tcPr>
            <w:tcW w:w="6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derivative gains (losses)</w:t>
            </w:r>
          </w:p>
        </w:tc>
        <w:tc>
          <w:tcPr>
            <w:tcW w:w="2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(164)</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(501)</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(1,207)</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(3,181)</w:t>
            </w:r>
          </w:p>
        </w:tc>
        <w:tc>
          <w:tcPr>
            <w:tcW w:w="0" w:type="dxa"/>
            <w:vAlign w:val="bottom"/>
          </w:tcPr>
          <w:p>
            <w:pPr>
              <w:spacing w:after="0"/>
              <w:rPr>
                <w:sz w:val="1"/>
                <w:szCs w:val="1"/>
                <w:color w:val="auto"/>
              </w:rPr>
            </w:pPr>
          </w:p>
        </w:tc>
      </w:tr>
      <w:tr>
        <w:trPr>
          <w:trHeight w:val="237"/>
        </w:trPr>
        <w:tc>
          <w:tcPr>
            <w:tcW w:w="6580" w:type="dxa"/>
            <w:vAlign w:val="bottom"/>
          </w:tcPr>
          <w:p>
            <w:pPr>
              <w:ind w:left="500"/>
              <w:spacing w:after="0"/>
              <w:rPr>
                <w:sz w:val="20"/>
                <w:szCs w:val="20"/>
                <w:color w:val="auto"/>
              </w:rPr>
            </w:pPr>
            <w:r>
              <w:rPr>
                <w:rFonts w:ascii="Arial" w:cs="Arial" w:eastAsia="Arial" w:hAnsi="Arial"/>
                <w:sz w:val="18"/>
                <w:szCs w:val="18"/>
                <w:color w:val="auto"/>
              </w:rPr>
              <w:t>Total revenues</w:t>
            </w:r>
          </w:p>
        </w:tc>
        <w:tc>
          <w:tcPr>
            <w:tcW w:w="22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1,972</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1,766</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4,962</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3,571</w:t>
            </w:r>
          </w:p>
        </w:tc>
        <w:tc>
          <w:tcPr>
            <w:tcW w:w="0" w:type="dxa"/>
            <w:vAlign w:val="bottom"/>
          </w:tcPr>
          <w:p>
            <w:pPr>
              <w:spacing w:after="0"/>
              <w:rPr>
                <w:sz w:val="1"/>
                <w:szCs w:val="1"/>
                <w:color w:val="auto"/>
              </w:rPr>
            </w:pPr>
          </w:p>
        </w:tc>
      </w:tr>
      <w:tr>
        <w:trPr>
          <w:trHeight w:val="27"/>
        </w:trPr>
        <w:tc>
          <w:tcPr>
            <w:tcW w:w="65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Expenses</w:t>
            </w: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580" w:type="dxa"/>
            <w:vAlign w:val="bottom"/>
          </w:tcPr>
          <w:p>
            <w:pPr>
              <w:ind w:left="20"/>
              <w:spacing w:after="0"/>
              <w:rPr>
                <w:sz w:val="20"/>
                <w:szCs w:val="20"/>
                <w:color w:val="auto"/>
              </w:rPr>
            </w:pPr>
            <w:r>
              <w:rPr>
                <w:rFonts w:ascii="Arial" w:cs="Arial" w:eastAsia="Arial" w:hAnsi="Arial"/>
                <w:sz w:val="18"/>
                <w:szCs w:val="18"/>
                <w:color w:val="auto"/>
              </w:rPr>
              <w:t>Policyholder benefits and claims</w:t>
            </w:r>
          </w:p>
        </w:tc>
        <w:tc>
          <w:tcPr>
            <w:tcW w:w="220" w:type="dxa"/>
            <w:vAlign w:val="bottom"/>
          </w:tcPr>
          <w:p>
            <w:pPr>
              <w:spacing w:after="0"/>
              <w:rPr>
                <w:sz w:val="21"/>
                <w:szCs w:val="21"/>
                <w:color w:val="auto"/>
              </w:rPr>
            </w:pPr>
          </w:p>
        </w:tc>
        <w:tc>
          <w:tcPr>
            <w:tcW w:w="780" w:type="dxa"/>
            <w:vAlign w:val="bottom"/>
          </w:tcPr>
          <w:p>
            <w:pPr>
              <w:jc w:val="right"/>
              <w:ind w:right="31"/>
              <w:spacing w:after="0"/>
              <w:rPr>
                <w:sz w:val="20"/>
                <w:szCs w:val="20"/>
                <w:color w:val="auto"/>
              </w:rPr>
            </w:pPr>
            <w:r>
              <w:rPr>
                <w:rFonts w:ascii="Arial" w:cs="Arial" w:eastAsia="Arial" w:hAnsi="Arial"/>
                <w:sz w:val="18"/>
                <w:szCs w:val="18"/>
                <w:color w:val="auto"/>
              </w:rPr>
              <w:t>1,083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1,058</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2,732</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80" w:type="dxa"/>
            <w:vAlign w:val="bottom"/>
          </w:tcPr>
          <w:p>
            <w:pPr>
              <w:jc w:val="right"/>
              <w:ind w:right="30"/>
              <w:spacing w:after="0"/>
              <w:rPr>
                <w:sz w:val="20"/>
                <w:szCs w:val="20"/>
                <w:color w:val="auto"/>
              </w:rPr>
            </w:pPr>
            <w:r>
              <w:rPr>
                <w:rFonts w:ascii="Arial" w:cs="Arial" w:eastAsia="Arial" w:hAnsi="Arial"/>
                <w:sz w:val="18"/>
                <w:szCs w:val="18"/>
                <w:color w:val="auto"/>
              </w:rPr>
              <w:t>2,948</w:t>
            </w:r>
          </w:p>
        </w:tc>
        <w:tc>
          <w:tcPr>
            <w:tcW w:w="0" w:type="dxa"/>
            <w:vAlign w:val="bottom"/>
          </w:tcPr>
          <w:p>
            <w:pPr>
              <w:spacing w:after="0"/>
              <w:rPr>
                <w:sz w:val="1"/>
                <w:szCs w:val="1"/>
                <w:color w:val="auto"/>
              </w:rPr>
            </w:pPr>
          </w:p>
        </w:tc>
      </w:tr>
      <w:tr>
        <w:trPr>
          <w:trHeight w:val="27"/>
        </w:trPr>
        <w:tc>
          <w:tcPr>
            <w:tcW w:w="6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Interest credited to policyholder account balances</w:t>
            </w: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279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838</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871</w:t>
            </w:r>
          </w:p>
        </w:tc>
        <w:tc>
          <w:tcPr>
            <w:tcW w:w="0" w:type="dxa"/>
            <w:vAlign w:val="bottom"/>
          </w:tcPr>
          <w:p>
            <w:pPr>
              <w:spacing w:after="0"/>
              <w:rPr>
                <w:sz w:val="1"/>
                <w:szCs w:val="1"/>
                <w:color w:val="auto"/>
              </w:rPr>
            </w:pPr>
          </w:p>
        </w:tc>
      </w:tr>
      <w:tr>
        <w:trPr>
          <w:trHeight w:val="243"/>
        </w:trPr>
        <w:tc>
          <w:tcPr>
            <w:tcW w:w="6580" w:type="dxa"/>
            <w:vAlign w:val="bottom"/>
          </w:tcPr>
          <w:p>
            <w:pPr>
              <w:ind w:left="20"/>
              <w:spacing w:after="0"/>
              <w:rPr>
                <w:sz w:val="20"/>
                <w:szCs w:val="20"/>
                <w:color w:val="auto"/>
              </w:rPr>
            </w:pPr>
            <w:r>
              <w:rPr>
                <w:rFonts w:ascii="Arial" w:cs="Arial" w:eastAsia="Arial" w:hAnsi="Arial"/>
                <w:sz w:val="18"/>
                <w:szCs w:val="18"/>
                <w:color w:val="auto"/>
              </w:rPr>
              <w:t>Goodwill impairment</w:t>
            </w:r>
          </w:p>
        </w:tc>
        <w:tc>
          <w:tcPr>
            <w:tcW w:w="220" w:type="dxa"/>
            <w:vAlign w:val="bottom"/>
          </w:tcPr>
          <w:p>
            <w:pPr>
              <w:spacing w:after="0"/>
              <w:rPr>
                <w:sz w:val="21"/>
                <w:szCs w:val="21"/>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161</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680" w:type="dxa"/>
            <w:vAlign w:val="bottom"/>
          </w:tcPr>
          <w:p>
            <w:pPr>
              <w:jc w:val="right"/>
              <w:ind w:right="30"/>
              <w:spacing w:after="0"/>
              <w:rPr>
                <w:sz w:val="20"/>
                <w:szCs w:val="20"/>
                <w:color w:val="auto"/>
              </w:rPr>
            </w:pPr>
            <w:r>
              <w:rPr>
                <w:rFonts w:ascii="Arial" w:cs="Arial" w:eastAsia="Arial" w:hAnsi="Arial"/>
                <w:sz w:val="18"/>
                <w:szCs w:val="18"/>
                <w:color w:val="auto"/>
              </w:rPr>
              <w:t>161</w:t>
            </w:r>
          </w:p>
        </w:tc>
        <w:tc>
          <w:tcPr>
            <w:tcW w:w="0" w:type="dxa"/>
            <w:vAlign w:val="bottom"/>
          </w:tcPr>
          <w:p>
            <w:pPr>
              <w:spacing w:after="0"/>
              <w:rPr>
                <w:sz w:val="1"/>
                <w:szCs w:val="1"/>
                <w:color w:val="auto"/>
              </w:rPr>
            </w:pPr>
          </w:p>
        </w:tc>
      </w:tr>
      <w:tr>
        <w:trPr>
          <w:trHeight w:val="27"/>
        </w:trPr>
        <w:tc>
          <w:tcPr>
            <w:tcW w:w="6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Amortization of deferred policy acquisition costs and value of business acquired</w:t>
            </w: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43"/>
        </w:trPr>
        <w:tc>
          <w:tcPr>
            <w:tcW w:w="6580" w:type="dxa"/>
            <w:vAlign w:val="bottom"/>
          </w:tcPr>
          <w:p>
            <w:pPr>
              <w:ind w:left="20"/>
              <w:spacing w:after="0"/>
              <w:rPr>
                <w:sz w:val="20"/>
                <w:szCs w:val="20"/>
                <w:color w:val="auto"/>
              </w:rPr>
            </w:pPr>
            <w:r>
              <w:rPr>
                <w:rFonts w:ascii="Arial" w:cs="Arial" w:eastAsia="Arial" w:hAnsi="Arial"/>
                <w:sz w:val="18"/>
                <w:szCs w:val="18"/>
                <w:color w:val="auto"/>
              </w:rPr>
              <w:t>Other expenses</w:t>
            </w:r>
          </w:p>
        </w:tc>
        <w:tc>
          <w:tcPr>
            <w:tcW w:w="220" w:type="dxa"/>
            <w:vAlign w:val="bottom"/>
          </w:tcPr>
          <w:p>
            <w:pPr>
              <w:spacing w:after="0"/>
              <w:rPr>
                <w:sz w:val="21"/>
                <w:szCs w:val="21"/>
                <w:color w:val="auto"/>
              </w:rPr>
            </w:pPr>
          </w:p>
        </w:tc>
        <w:tc>
          <w:tcPr>
            <w:tcW w:w="780" w:type="dxa"/>
            <w:vAlign w:val="bottom"/>
          </w:tcPr>
          <w:p>
            <w:pPr>
              <w:jc w:val="right"/>
              <w:ind w:right="31"/>
              <w:spacing w:after="0"/>
              <w:rPr>
                <w:sz w:val="20"/>
                <w:szCs w:val="20"/>
                <w:color w:val="auto"/>
              </w:rPr>
            </w:pPr>
            <w:r>
              <w:rPr>
                <w:rFonts w:ascii="Arial" w:cs="Arial" w:eastAsia="Arial" w:hAnsi="Arial"/>
                <w:sz w:val="18"/>
                <w:szCs w:val="18"/>
                <w:color w:val="auto"/>
              </w:rPr>
              <w:t>611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519</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1,789</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80" w:type="dxa"/>
            <w:vAlign w:val="bottom"/>
          </w:tcPr>
          <w:p>
            <w:pPr>
              <w:jc w:val="right"/>
              <w:ind w:right="30"/>
              <w:spacing w:after="0"/>
              <w:rPr>
                <w:sz w:val="20"/>
                <w:szCs w:val="20"/>
                <w:color w:val="auto"/>
              </w:rPr>
            </w:pPr>
            <w:r>
              <w:rPr>
                <w:rFonts w:ascii="Arial" w:cs="Arial" w:eastAsia="Arial" w:hAnsi="Arial"/>
                <w:sz w:val="18"/>
                <w:szCs w:val="18"/>
                <w:color w:val="auto"/>
              </w:rPr>
              <w:t>1,564</w:t>
            </w:r>
          </w:p>
        </w:tc>
        <w:tc>
          <w:tcPr>
            <w:tcW w:w="0" w:type="dxa"/>
            <w:vAlign w:val="bottom"/>
          </w:tcPr>
          <w:p>
            <w:pPr>
              <w:spacing w:after="0"/>
              <w:rPr>
                <w:sz w:val="1"/>
                <w:szCs w:val="1"/>
                <w:color w:val="auto"/>
              </w:rPr>
            </w:pPr>
          </w:p>
        </w:tc>
      </w:tr>
      <w:tr>
        <w:trPr>
          <w:trHeight w:val="27"/>
        </w:trPr>
        <w:tc>
          <w:tcPr>
            <w:tcW w:w="65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65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expenses</w:t>
            </w:r>
          </w:p>
        </w:tc>
        <w:tc>
          <w:tcPr>
            <w:tcW w:w="22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2,096</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2,018</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5,355</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5,499</w:t>
            </w:r>
          </w:p>
        </w:tc>
        <w:tc>
          <w:tcPr>
            <w:tcW w:w="0" w:type="dxa"/>
            <w:vAlign w:val="bottom"/>
          </w:tcPr>
          <w:p>
            <w:pPr>
              <w:spacing w:after="0"/>
              <w:rPr>
                <w:sz w:val="1"/>
                <w:szCs w:val="1"/>
                <w:color w:val="auto"/>
              </w:rPr>
            </w:pPr>
          </w:p>
        </w:tc>
      </w:tr>
      <w:tr>
        <w:trPr>
          <w:trHeight w:val="237"/>
        </w:trPr>
        <w:tc>
          <w:tcPr>
            <w:tcW w:w="6580" w:type="dxa"/>
            <w:vAlign w:val="bottom"/>
          </w:tcPr>
          <w:p>
            <w:pPr>
              <w:ind w:left="20"/>
              <w:spacing w:after="0"/>
              <w:rPr>
                <w:sz w:val="20"/>
                <w:szCs w:val="20"/>
                <w:color w:val="auto"/>
              </w:rPr>
            </w:pPr>
            <w:r>
              <w:rPr>
                <w:rFonts w:ascii="Arial" w:cs="Arial" w:eastAsia="Arial" w:hAnsi="Arial"/>
                <w:sz w:val="18"/>
                <w:szCs w:val="18"/>
                <w:color w:val="auto"/>
              </w:rPr>
              <w:t>Income (loss) before provision for income tax</w:t>
            </w:r>
          </w:p>
        </w:tc>
        <w:tc>
          <w:tcPr>
            <w:tcW w:w="22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(124)</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(252)</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(393)</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(1,928)</w:t>
            </w:r>
          </w:p>
        </w:tc>
        <w:tc>
          <w:tcPr>
            <w:tcW w:w="0" w:type="dxa"/>
            <w:vAlign w:val="bottom"/>
          </w:tcPr>
          <w:p>
            <w:pPr>
              <w:spacing w:after="0"/>
              <w:rPr>
                <w:sz w:val="1"/>
                <w:szCs w:val="1"/>
                <w:color w:val="auto"/>
              </w:rPr>
            </w:pPr>
          </w:p>
        </w:tc>
      </w:tr>
      <w:tr>
        <w:trPr>
          <w:trHeight w:val="27"/>
        </w:trPr>
        <w:tc>
          <w:tcPr>
            <w:tcW w:w="6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Provision for income tax expense (benefit)</w:t>
            </w:r>
          </w:p>
        </w:tc>
        <w:tc>
          <w:tcPr>
            <w:tcW w:w="2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819</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653</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(754)</w:t>
            </w:r>
          </w:p>
        </w:tc>
        <w:tc>
          <w:tcPr>
            <w:tcW w:w="0" w:type="dxa"/>
            <w:vAlign w:val="bottom"/>
          </w:tcPr>
          <w:p>
            <w:pPr>
              <w:spacing w:after="0"/>
              <w:rPr>
                <w:sz w:val="1"/>
                <w:szCs w:val="1"/>
                <w:color w:val="auto"/>
              </w:rPr>
            </w:pPr>
          </w:p>
        </w:tc>
      </w:tr>
      <w:tr>
        <w:trPr>
          <w:trHeight w:val="237"/>
        </w:trPr>
        <w:tc>
          <w:tcPr>
            <w:tcW w:w="6580" w:type="dxa"/>
            <w:vAlign w:val="bottom"/>
          </w:tcPr>
          <w:p>
            <w:pPr>
              <w:ind w:left="20"/>
              <w:spacing w:after="0"/>
              <w:rPr>
                <w:sz w:val="20"/>
                <w:szCs w:val="20"/>
                <w:color w:val="auto"/>
              </w:rPr>
            </w:pPr>
            <w:r>
              <w:rPr>
                <w:rFonts w:ascii="Arial" w:cs="Arial" w:eastAsia="Arial" w:hAnsi="Arial"/>
                <w:sz w:val="18"/>
                <w:szCs w:val="18"/>
                <w:color w:val="auto"/>
              </w:rPr>
              <w:t>Net income (loss)</w:t>
            </w: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(943)</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(158)</w:t>
            </w:r>
          </w:p>
        </w:tc>
        <w:tc>
          <w:tcPr>
            <w:tcW w:w="120" w:type="dxa"/>
            <w:vAlign w:val="bottom"/>
          </w:tcPr>
          <w:p>
            <w:pPr>
              <w:spacing w:after="0"/>
              <w:rPr>
                <w:sz w:val="20"/>
                <w:szCs w:val="20"/>
                <w:color w:val="auto"/>
              </w:rPr>
            </w:pPr>
          </w:p>
        </w:tc>
        <w:tc>
          <w:tcPr>
            <w:tcW w:w="2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(1,046)</w:t>
            </w:r>
          </w:p>
        </w:tc>
        <w:tc>
          <w:tcPr>
            <w:tcW w:w="120" w:type="dxa"/>
            <w:vAlign w:val="bottom"/>
          </w:tcPr>
          <w:p>
            <w:pPr>
              <w:spacing w:after="0"/>
              <w:rPr>
                <w:sz w:val="20"/>
                <w:szCs w:val="20"/>
                <w:color w:val="auto"/>
              </w:rPr>
            </w:pPr>
          </w:p>
        </w:tc>
        <w:tc>
          <w:tcPr>
            <w:tcW w:w="32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(1,174)</w:t>
            </w:r>
          </w:p>
        </w:tc>
        <w:tc>
          <w:tcPr>
            <w:tcW w:w="0" w:type="dxa"/>
            <w:vAlign w:val="bottom"/>
          </w:tcPr>
          <w:p>
            <w:pPr>
              <w:spacing w:after="0"/>
              <w:rPr>
                <w:sz w:val="1"/>
                <w:szCs w:val="1"/>
                <w:color w:val="auto"/>
              </w:rPr>
            </w:pPr>
          </w:p>
        </w:tc>
      </w:tr>
      <w:tr>
        <w:trPr>
          <w:trHeight w:val="67"/>
        </w:trPr>
        <w:tc>
          <w:tcPr>
            <w:tcW w:w="658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6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6580" w:type="dxa"/>
            <w:vAlign w:val="bottom"/>
            <w:tcBorders>
              <w:bottom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Comprehensive income (loss)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(1,529)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(258)</w:t>
            </w:r>
          </w:p>
        </w:tc>
        <w:tc>
          <w:tcPr>
            <w:tcW w:w="0" w:type="dxa"/>
            <w:vAlign w:val="bottom"/>
          </w:tcPr>
          <w:p>
            <w:pPr>
              <w:spacing w:after="0"/>
              <w:rPr>
                <w:sz w:val="1"/>
                <w:szCs w:val="1"/>
                <w:color w:val="auto"/>
              </w:rPr>
            </w:pPr>
          </w:p>
        </w:tc>
      </w:tr>
      <w:tr>
        <w:trPr>
          <w:trHeight w:val="20"/>
        </w:trPr>
        <w:tc>
          <w:tcPr>
            <w:tcW w:w="65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b w:val="1"/>
                <w:bCs w:val="1"/>
                <w:color w:val="auto"/>
              </w:rPr>
              <w:t>Earnings per common share:</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6580" w:type="dxa"/>
            <w:vAlign w:val="bottom"/>
            <w:vMerge w:val="continue"/>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6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6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Basic</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(7.87)</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(8.73)</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(9.80)</w:t>
            </w:r>
          </w:p>
        </w:tc>
        <w:tc>
          <w:tcPr>
            <w:tcW w:w="0" w:type="dxa"/>
            <w:vAlign w:val="bottom"/>
          </w:tcPr>
          <w:p>
            <w:pPr>
              <w:spacing w:after="0"/>
              <w:rPr>
                <w:sz w:val="1"/>
                <w:szCs w:val="1"/>
                <w:color w:val="auto"/>
              </w:rPr>
            </w:pPr>
          </w:p>
        </w:tc>
      </w:tr>
      <w:tr>
        <w:trPr>
          <w:trHeight w:val="20"/>
        </w:trPr>
        <w:tc>
          <w:tcPr>
            <w:tcW w:w="65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See accompanying notes to the interim condensed consolidated and combined financial statements.</w:t>
      </w:r>
    </w:p>
    <w:p>
      <w:pPr>
        <w:spacing w:after="0" w:line="25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40"/>
          </w:cols>
          <w:pgMar w:left="240" w:top="126" w:right="419" w:bottom="1440" w:gutter="0" w:footer="0" w:header="0"/>
        </w:sectPr>
      </w:pPr>
    </w:p>
    <w:bookmarkStart w:id="4" w:name="page5"/>
    <w:bookmarkEnd w:id="4"/>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left="4840"/>
        <w:spacing w:after="0"/>
        <w:rPr>
          <w:sz w:val="20"/>
          <w:szCs w:val="20"/>
          <w:color w:val="auto"/>
        </w:rPr>
      </w:pPr>
      <w:r>
        <w:rPr>
          <w:rFonts w:ascii="Arial" w:cs="Arial" w:eastAsia="Arial" w:hAnsi="Arial"/>
          <w:sz w:val="18"/>
          <w:szCs w:val="18"/>
          <w:b w:val="1"/>
          <w:bCs w:val="1"/>
          <w:color w:val="auto"/>
        </w:rPr>
        <w:t>Brighthouse Financial, Inc.</w:t>
      </w:r>
    </w:p>
    <w:p>
      <w:pPr>
        <w:spacing w:after="0" w:line="117" w:lineRule="exact"/>
        <w:rPr>
          <w:sz w:val="20"/>
          <w:szCs w:val="20"/>
          <w:color w:val="auto"/>
        </w:rPr>
      </w:pPr>
    </w:p>
    <w:p>
      <w:pPr>
        <w:ind w:left="3180"/>
        <w:spacing w:after="0"/>
        <w:rPr>
          <w:sz w:val="20"/>
          <w:szCs w:val="20"/>
          <w:color w:val="auto"/>
        </w:rPr>
      </w:pPr>
      <w:r>
        <w:rPr>
          <w:rFonts w:ascii="Arial" w:cs="Arial" w:eastAsia="Arial" w:hAnsi="Arial"/>
          <w:sz w:val="18"/>
          <w:szCs w:val="18"/>
          <w:b w:val="1"/>
          <w:bCs w:val="1"/>
          <w:color w:val="auto"/>
        </w:rPr>
        <w:t>Interim Condensed Consolidated and Combined Statements of Equity</w:t>
      </w:r>
    </w:p>
    <w:p>
      <w:pPr>
        <w:spacing w:after="0" w:line="27"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For the Nine Months Ended September 30, 2017 and 2016 (Unaudited)</w:t>
      </w:r>
    </w:p>
    <w:p>
      <w:pPr>
        <w:spacing w:after="0" w:line="153"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(In millions)</w:t>
      </w:r>
    </w:p>
    <w:p>
      <w:pPr>
        <w:spacing w:after="0" w:line="31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85"/>
              </w:rPr>
              <w:t>Accumulated</w:t>
            </w:r>
          </w:p>
        </w:tc>
        <w:tc>
          <w:tcPr>
            <w:tcW w:w="120" w:type="dxa"/>
            <w:vAlign w:val="bottom"/>
          </w:tcPr>
          <w:p>
            <w:pPr>
              <w:spacing w:after="0"/>
              <w:rPr>
                <w:sz w:val="13"/>
                <w:szCs w:val="13"/>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3"/>
              </w:rPr>
              <w:t>Brighthouse</w:t>
            </w:r>
          </w:p>
        </w:tc>
        <w:tc>
          <w:tcPr>
            <w:tcW w:w="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r>
      <w:tr>
        <w:trPr>
          <w:trHeight w:val="135"/>
        </w:trPr>
        <w:tc>
          <w:tcPr>
            <w:tcW w:w="2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87"/>
              </w:rPr>
              <w:t>Retained</w:t>
            </w:r>
          </w:p>
        </w:tc>
        <w:tc>
          <w:tcPr>
            <w:tcW w:w="160" w:type="dxa"/>
            <w:vAlign w:val="bottom"/>
          </w:tcPr>
          <w:p>
            <w:pPr>
              <w:spacing w:after="0"/>
              <w:rPr>
                <w:sz w:val="11"/>
                <w:szCs w:val="11"/>
                <w:color w:val="auto"/>
              </w:rPr>
            </w:pPr>
          </w:p>
        </w:tc>
        <w:tc>
          <w:tcPr>
            <w:tcW w:w="1200" w:type="dxa"/>
            <w:vAlign w:val="bottom"/>
            <w:gridSpan w:val="2"/>
          </w:tcPr>
          <w:p>
            <w:pPr>
              <w:jc w:val="center"/>
              <w:ind w:right="260"/>
              <w:spacing w:after="0" w:line="135" w:lineRule="exact"/>
              <w:rPr>
                <w:sz w:val="20"/>
                <w:szCs w:val="20"/>
                <w:color w:val="auto"/>
              </w:rPr>
            </w:pPr>
            <w:r>
              <w:rPr>
                <w:rFonts w:ascii="Arial" w:cs="Arial" w:eastAsia="Arial" w:hAnsi="Arial"/>
                <w:sz w:val="13"/>
                <w:szCs w:val="13"/>
                <w:b w:val="1"/>
                <w:bCs w:val="1"/>
                <w:color w:val="auto"/>
                <w:w w:val="97"/>
              </w:rPr>
              <w:t>Other</w:t>
            </w:r>
          </w:p>
        </w:tc>
        <w:tc>
          <w:tcPr>
            <w:tcW w:w="120" w:type="dxa"/>
            <w:vAlign w:val="bottom"/>
          </w:tcPr>
          <w:p>
            <w:pPr>
              <w:spacing w:after="0"/>
              <w:rPr>
                <w:sz w:val="11"/>
                <w:szCs w:val="11"/>
                <w:color w:val="auto"/>
              </w:rPr>
            </w:pPr>
          </w:p>
        </w:tc>
        <w:tc>
          <w:tcPr>
            <w:tcW w:w="110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90"/>
              </w:rPr>
              <w:t>Financial, Inc’s</w:t>
            </w:r>
          </w:p>
        </w:tc>
        <w:tc>
          <w:tcPr>
            <w:tcW w:w="1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r>
      <w:tr>
        <w:trPr>
          <w:trHeight w:val="135"/>
        </w:trPr>
        <w:tc>
          <w:tcPr>
            <w:tcW w:w="2640" w:type="dxa"/>
            <w:vAlign w:val="bottom"/>
          </w:tcPr>
          <w:p>
            <w:pPr>
              <w:spacing w:after="0"/>
              <w:rPr>
                <w:sz w:val="11"/>
                <w:szCs w:val="11"/>
                <w:color w:val="auto"/>
              </w:rPr>
            </w:pPr>
          </w:p>
        </w:tc>
        <w:tc>
          <w:tcPr>
            <w:tcW w:w="1280" w:type="dxa"/>
            <w:vAlign w:val="bottom"/>
            <w:gridSpan w:val="3"/>
          </w:tcPr>
          <w:p>
            <w:pPr>
              <w:jc w:val="center"/>
              <w:ind w:right="120"/>
              <w:spacing w:after="0" w:line="135" w:lineRule="exact"/>
              <w:rPr>
                <w:sz w:val="20"/>
                <w:szCs w:val="20"/>
                <w:color w:val="auto"/>
              </w:rPr>
            </w:pPr>
            <w:r>
              <w:rPr>
                <w:rFonts w:ascii="Arial" w:cs="Arial" w:eastAsia="Arial" w:hAnsi="Arial"/>
                <w:sz w:val="13"/>
                <w:szCs w:val="13"/>
                <w:b w:val="1"/>
                <w:bCs w:val="1"/>
                <w:color w:val="auto"/>
                <w:w w:val="86"/>
              </w:rPr>
              <w:t>Shareholder’s Net</w:t>
            </w:r>
          </w:p>
        </w:tc>
        <w:tc>
          <w:tcPr>
            <w:tcW w:w="140" w:type="dxa"/>
            <w:vAlign w:val="bottom"/>
          </w:tcPr>
          <w:p>
            <w:pPr>
              <w:spacing w:after="0"/>
              <w:rPr>
                <w:sz w:val="11"/>
                <w:szCs w:val="11"/>
                <w:color w:val="auto"/>
              </w:rPr>
            </w:pPr>
          </w:p>
        </w:tc>
        <w:tc>
          <w:tcPr>
            <w:tcW w:w="800" w:type="dxa"/>
            <w:vAlign w:val="bottom"/>
            <w:gridSpan w:val="2"/>
          </w:tcPr>
          <w:p>
            <w:pPr>
              <w:jc w:val="center"/>
              <w:ind w:right="260"/>
              <w:spacing w:after="0" w:line="135" w:lineRule="exact"/>
              <w:rPr>
                <w:sz w:val="20"/>
                <w:szCs w:val="20"/>
                <w:color w:val="auto"/>
              </w:rPr>
            </w:pPr>
            <w:r>
              <w:rPr>
                <w:rFonts w:ascii="Arial" w:cs="Arial" w:eastAsia="Arial" w:hAnsi="Arial"/>
                <w:sz w:val="13"/>
                <w:szCs w:val="13"/>
                <w:b w:val="1"/>
                <w:bCs w:val="1"/>
                <w:color w:val="auto"/>
                <w:w w:val="88"/>
              </w:rPr>
              <w:t>Common</w:t>
            </w:r>
          </w:p>
        </w:tc>
        <w:tc>
          <w:tcPr>
            <w:tcW w:w="160" w:type="dxa"/>
            <w:vAlign w:val="bottom"/>
          </w:tcPr>
          <w:p>
            <w:pPr>
              <w:spacing w:after="0"/>
              <w:rPr>
                <w:sz w:val="11"/>
                <w:szCs w:val="11"/>
                <w:color w:val="auto"/>
              </w:rPr>
            </w:pPr>
          </w:p>
        </w:tc>
        <w:tc>
          <w:tcPr>
            <w:tcW w:w="900" w:type="dxa"/>
            <w:vAlign w:val="bottom"/>
            <w:gridSpan w:val="2"/>
          </w:tcPr>
          <w:p>
            <w:pPr>
              <w:jc w:val="center"/>
              <w:ind w:right="280"/>
              <w:spacing w:after="0" w:line="135" w:lineRule="exact"/>
              <w:rPr>
                <w:sz w:val="20"/>
                <w:szCs w:val="20"/>
                <w:color w:val="auto"/>
              </w:rPr>
            </w:pPr>
            <w:r>
              <w:rPr>
                <w:rFonts w:ascii="Arial" w:cs="Arial" w:eastAsia="Arial" w:hAnsi="Arial"/>
                <w:sz w:val="13"/>
                <w:szCs w:val="13"/>
                <w:b w:val="1"/>
                <w:bCs w:val="1"/>
                <w:color w:val="auto"/>
                <w:w w:val="91"/>
              </w:rPr>
              <w:t>Additional</w:t>
            </w:r>
          </w:p>
        </w:tc>
        <w:tc>
          <w:tcPr>
            <w:tcW w:w="140" w:type="dxa"/>
            <w:vAlign w:val="bottom"/>
          </w:tcPr>
          <w:p>
            <w:pPr>
              <w:spacing w:after="0"/>
              <w:rPr>
                <w:sz w:val="11"/>
                <w:szCs w:val="11"/>
                <w:color w:val="auto"/>
              </w:rPr>
            </w:pPr>
          </w:p>
        </w:tc>
        <w:tc>
          <w:tcPr>
            <w:tcW w:w="76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86"/>
              </w:rPr>
              <w:t>Earnings</w:t>
            </w:r>
          </w:p>
        </w:tc>
        <w:tc>
          <w:tcPr>
            <w:tcW w:w="160" w:type="dxa"/>
            <w:vAlign w:val="bottom"/>
          </w:tcPr>
          <w:p>
            <w:pPr>
              <w:spacing w:after="0"/>
              <w:rPr>
                <w:sz w:val="11"/>
                <w:szCs w:val="11"/>
                <w:color w:val="auto"/>
              </w:rPr>
            </w:pPr>
          </w:p>
        </w:tc>
        <w:tc>
          <w:tcPr>
            <w:tcW w:w="1200" w:type="dxa"/>
            <w:vAlign w:val="bottom"/>
            <w:gridSpan w:val="2"/>
          </w:tcPr>
          <w:p>
            <w:pPr>
              <w:jc w:val="center"/>
              <w:ind w:right="260"/>
              <w:spacing w:after="0" w:line="135" w:lineRule="exact"/>
              <w:rPr>
                <w:sz w:val="20"/>
                <w:szCs w:val="20"/>
                <w:color w:val="auto"/>
              </w:rPr>
            </w:pPr>
            <w:r>
              <w:rPr>
                <w:rFonts w:ascii="Arial" w:cs="Arial" w:eastAsia="Arial" w:hAnsi="Arial"/>
                <w:sz w:val="13"/>
                <w:szCs w:val="13"/>
                <w:b w:val="1"/>
                <w:bCs w:val="1"/>
                <w:color w:val="auto"/>
                <w:w w:val="84"/>
              </w:rPr>
              <w:t>Comprehensive</w:t>
            </w:r>
          </w:p>
        </w:tc>
        <w:tc>
          <w:tcPr>
            <w:tcW w:w="120" w:type="dxa"/>
            <w:vAlign w:val="bottom"/>
          </w:tcPr>
          <w:p>
            <w:pPr>
              <w:spacing w:after="0"/>
              <w:rPr>
                <w:sz w:val="11"/>
                <w:szCs w:val="11"/>
                <w:color w:val="auto"/>
              </w:rPr>
            </w:pPr>
          </w:p>
        </w:tc>
        <w:tc>
          <w:tcPr>
            <w:tcW w:w="110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88"/>
              </w:rPr>
              <w:t>Stockholders’</w:t>
            </w:r>
          </w:p>
        </w:tc>
        <w:tc>
          <w:tcPr>
            <w:tcW w:w="140" w:type="dxa"/>
            <w:vAlign w:val="bottom"/>
          </w:tcPr>
          <w:p>
            <w:pPr>
              <w:spacing w:after="0"/>
              <w:rPr>
                <w:sz w:val="11"/>
                <w:szCs w:val="11"/>
                <w:color w:val="auto"/>
              </w:rPr>
            </w:pPr>
          </w:p>
        </w:tc>
        <w:tc>
          <w:tcPr>
            <w:tcW w:w="110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88"/>
              </w:rPr>
              <w:t>Noncontrolling</w:t>
            </w: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r>
      <w:tr>
        <w:trPr>
          <w:trHeight w:val="174"/>
        </w:trPr>
        <w:tc>
          <w:tcPr>
            <w:tcW w:w="264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center"/>
              <w:ind w:right="122"/>
              <w:spacing w:after="0"/>
              <w:rPr>
                <w:sz w:val="20"/>
                <w:szCs w:val="20"/>
                <w:color w:val="auto"/>
              </w:rPr>
            </w:pPr>
            <w:r>
              <w:rPr>
                <w:rFonts w:ascii="Arial" w:cs="Arial" w:eastAsia="Arial" w:hAnsi="Arial"/>
                <w:sz w:val="13"/>
                <w:szCs w:val="13"/>
                <w:b w:val="1"/>
                <w:bCs w:val="1"/>
                <w:color w:val="auto"/>
                <w:w w:val="87"/>
              </w:rPr>
              <w:t>Investment</w:t>
            </w:r>
          </w:p>
        </w:tc>
        <w:tc>
          <w:tcPr>
            <w:tcW w:w="1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center"/>
              <w:ind w:right="67"/>
              <w:spacing w:after="0"/>
              <w:rPr>
                <w:sz w:val="20"/>
                <w:szCs w:val="20"/>
                <w:color w:val="auto"/>
              </w:rPr>
            </w:pPr>
            <w:r>
              <w:rPr>
                <w:rFonts w:ascii="Arial" w:cs="Arial" w:eastAsia="Arial" w:hAnsi="Arial"/>
                <w:sz w:val="13"/>
                <w:szCs w:val="13"/>
                <w:b w:val="1"/>
                <w:bCs w:val="1"/>
                <w:color w:val="auto"/>
                <w:w w:val="84"/>
              </w:rPr>
              <w:t>Stock</w:t>
            </w:r>
          </w:p>
        </w:tc>
        <w:tc>
          <w:tcPr>
            <w:tcW w:w="120" w:type="dxa"/>
            <w:vAlign w:val="bottom"/>
            <w:tcBorders>
              <w:bottom w:val="single" w:sz="8" w:color="CCEEFF"/>
            </w:tcBorders>
          </w:tcPr>
          <w:p>
            <w:pPr>
              <w:spacing w:after="0"/>
              <w:rPr>
                <w:sz w:val="15"/>
                <w:szCs w:val="15"/>
                <w:color w:val="auto"/>
              </w:rPr>
            </w:pPr>
          </w:p>
        </w:tc>
        <w:tc>
          <w:tcPr>
            <w:tcW w:w="940" w:type="dxa"/>
            <w:vAlign w:val="bottom"/>
            <w:tcBorders>
              <w:bottom w:val="single" w:sz="8" w:color="auto"/>
            </w:tcBorders>
            <w:gridSpan w:val="2"/>
          </w:tcPr>
          <w:p>
            <w:pPr>
              <w:jc w:val="center"/>
              <w:spacing w:after="0"/>
              <w:rPr>
                <w:sz w:val="20"/>
                <w:szCs w:val="20"/>
                <w:color w:val="auto"/>
              </w:rPr>
            </w:pPr>
            <w:r>
              <w:rPr>
                <w:rFonts w:ascii="Arial" w:cs="Arial" w:eastAsia="Arial" w:hAnsi="Arial"/>
                <w:sz w:val="13"/>
                <w:szCs w:val="13"/>
                <w:b w:val="1"/>
                <w:bCs w:val="1"/>
                <w:color w:val="auto"/>
                <w:w w:val="90"/>
              </w:rPr>
              <w:t>Paid-in Capital</w:t>
            </w:r>
          </w:p>
        </w:tc>
        <w:tc>
          <w:tcPr>
            <w:tcW w:w="1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center"/>
              <w:ind w:right="69"/>
              <w:spacing w:after="0"/>
              <w:rPr>
                <w:sz w:val="20"/>
                <w:szCs w:val="20"/>
                <w:color w:val="auto"/>
              </w:rPr>
            </w:pPr>
            <w:r>
              <w:rPr>
                <w:rFonts w:ascii="Arial" w:cs="Arial" w:eastAsia="Arial" w:hAnsi="Arial"/>
                <w:sz w:val="13"/>
                <w:szCs w:val="13"/>
                <w:b w:val="1"/>
                <w:bCs w:val="1"/>
                <w:color w:val="auto"/>
                <w:w w:val="90"/>
              </w:rPr>
              <w:t>(Deficit)</w:t>
            </w: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center"/>
              <w:ind w:right="109"/>
              <w:spacing w:after="0"/>
              <w:rPr>
                <w:sz w:val="20"/>
                <w:szCs w:val="20"/>
                <w:color w:val="auto"/>
              </w:rPr>
            </w:pPr>
            <w:r>
              <w:rPr>
                <w:rFonts w:ascii="Arial" w:cs="Arial" w:eastAsia="Arial" w:hAnsi="Arial"/>
                <w:sz w:val="13"/>
                <w:szCs w:val="13"/>
                <w:b w:val="1"/>
                <w:bCs w:val="1"/>
                <w:color w:val="auto"/>
                <w:w w:val="86"/>
              </w:rPr>
              <w:t>Income (Loss)</w:t>
            </w: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center"/>
              <w:ind w:right="46"/>
              <w:spacing w:after="0"/>
              <w:rPr>
                <w:sz w:val="20"/>
                <w:szCs w:val="20"/>
                <w:color w:val="auto"/>
              </w:rPr>
            </w:pPr>
            <w:r>
              <w:rPr>
                <w:rFonts w:ascii="Arial" w:cs="Arial" w:eastAsia="Arial" w:hAnsi="Arial"/>
                <w:sz w:val="13"/>
                <w:szCs w:val="13"/>
                <w:b w:val="1"/>
                <w:bCs w:val="1"/>
                <w:color w:val="auto"/>
                <w:w w:val="90"/>
              </w:rPr>
              <w:t>Equity</w:t>
            </w: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center"/>
              <w:ind w:right="46"/>
              <w:spacing w:after="0"/>
              <w:rPr>
                <w:sz w:val="20"/>
                <w:szCs w:val="20"/>
                <w:color w:val="auto"/>
              </w:rPr>
            </w:pPr>
            <w:r>
              <w:rPr>
                <w:rFonts w:ascii="Arial" w:cs="Arial" w:eastAsia="Arial" w:hAnsi="Arial"/>
                <w:sz w:val="13"/>
                <w:szCs w:val="13"/>
                <w:b w:val="1"/>
                <w:bCs w:val="1"/>
                <w:color w:val="auto"/>
                <w:w w:val="84"/>
              </w:rPr>
              <w:t>Interests</w:t>
            </w:r>
          </w:p>
        </w:tc>
        <w:tc>
          <w:tcPr>
            <w:tcW w:w="120" w:type="dxa"/>
            <w:vAlign w:val="bottom"/>
            <w:tcBorders>
              <w:bottom w:val="single" w:sz="8" w:color="CCEEFF"/>
            </w:tcBorders>
          </w:tcPr>
          <w:p>
            <w:pPr>
              <w:spacing w:after="0"/>
              <w:rPr>
                <w:sz w:val="15"/>
                <w:szCs w:val="15"/>
                <w:color w:val="auto"/>
              </w:rPr>
            </w:pPr>
          </w:p>
        </w:tc>
        <w:tc>
          <w:tcPr>
            <w:tcW w:w="78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w w:val="94"/>
              </w:rPr>
              <w:t>Total Equity</w:t>
            </w:r>
          </w:p>
        </w:tc>
      </w:tr>
      <w:tr>
        <w:trPr>
          <w:trHeight w:val="237"/>
        </w:trPr>
        <w:tc>
          <w:tcPr>
            <w:tcW w:w="2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Balance at December 31, 2016</w:t>
            </w:r>
          </w:p>
        </w:tc>
        <w:tc>
          <w:tcPr>
            <w:tcW w:w="200" w:type="dxa"/>
            <w:vAlign w:val="bottom"/>
            <w:tcBorders>
              <w:bottom w:val="single" w:sz="8" w:color="CCEEFF"/>
            </w:tcBorders>
            <w:shd w:val="clear" w:color="auto" w:fill="CCEEFF"/>
          </w:tcPr>
          <w:p>
            <w:pPr>
              <w:jc w:val="right"/>
              <w:ind w:right="25"/>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13,597</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CCEEFF"/>
            </w:tcBorders>
            <w:gridSpan w:val="2"/>
            <w:shd w:val="clear" w:color="auto" w:fill="CCEEFF"/>
          </w:tcPr>
          <w:p>
            <w:pPr>
              <w:ind w:left="4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shd w:val="clear" w:color="auto" w:fill="CCEEFF"/>
          </w:tcPr>
          <w:p>
            <w:pPr>
              <w:jc w:val="right"/>
              <w:ind w:right="49"/>
              <w:spacing w:after="0"/>
              <w:rPr>
                <w:sz w:val="20"/>
                <w:szCs w:val="20"/>
                <w:color w:val="auto"/>
              </w:rPr>
            </w:pPr>
            <w:r>
              <w:rPr>
                <w:rFonts w:ascii="Arial" w:cs="Arial" w:eastAsia="Arial" w:hAnsi="Arial"/>
                <w:sz w:val="16"/>
                <w:szCs w:val="16"/>
                <w:color w:val="auto"/>
              </w:rPr>
              <w:t>1,265</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6"/>
                <w:szCs w:val="16"/>
                <w:color w:val="auto"/>
              </w:rPr>
              <w:t>14,862</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14,862</w:t>
            </w:r>
          </w:p>
        </w:tc>
      </w:tr>
      <w:tr>
        <w:trPr>
          <w:trHeight w:val="220"/>
        </w:trPr>
        <w:tc>
          <w:tcPr>
            <w:tcW w:w="2640" w:type="dxa"/>
            <w:vAlign w:val="bottom"/>
          </w:tcPr>
          <w:p>
            <w:pPr>
              <w:ind w:left="40"/>
              <w:spacing w:after="0"/>
              <w:rPr>
                <w:sz w:val="20"/>
                <w:szCs w:val="20"/>
                <w:color w:val="auto"/>
              </w:rPr>
            </w:pPr>
            <w:r>
              <w:rPr>
                <w:rFonts w:ascii="Arial" w:cs="Arial" w:eastAsia="Arial" w:hAnsi="Arial"/>
                <w:sz w:val="16"/>
                <w:szCs w:val="16"/>
                <w:color w:val="auto"/>
              </w:rPr>
              <w:t>Issuance of Common Stock to</w:t>
            </w: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r>
      <w:tr>
        <w:trPr>
          <w:trHeight w:val="206"/>
        </w:trPr>
        <w:tc>
          <w:tcPr>
            <w:tcW w:w="2640" w:type="dxa"/>
            <w:vAlign w:val="bottom"/>
          </w:tcPr>
          <w:p>
            <w:pPr>
              <w:ind w:left="200"/>
              <w:spacing w:after="0"/>
              <w:rPr>
                <w:sz w:val="20"/>
                <w:szCs w:val="20"/>
                <w:color w:val="auto"/>
              </w:rPr>
            </w:pPr>
            <w:r>
              <w:rPr>
                <w:rFonts w:ascii="Arial" w:cs="Arial" w:eastAsia="Arial" w:hAnsi="Arial"/>
                <w:sz w:val="16"/>
                <w:szCs w:val="16"/>
                <w:color w:val="auto"/>
              </w:rPr>
              <w:t>MetLife, Inc. (Note 8)</w:t>
            </w:r>
          </w:p>
        </w:tc>
        <w:tc>
          <w:tcPr>
            <w:tcW w:w="200" w:type="dxa"/>
            <w:vAlign w:val="bottom"/>
          </w:tcPr>
          <w:p>
            <w:pPr>
              <w:spacing w:after="0"/>
              <w:rPr>
                <w:sz w:val="17"/>
                <w:szCs w:val="17"/>
                <w:color w:val="auto"/>
              </w:rPr>
            </w:pPr>
          </w:p>
        </w:tc>
        <w:tc>
          <w:tcPr>
            <w:tcW w:w="960" w:type="dxa"/>
            <w:vAlign w:val="bottom"/>
          </w:tcPr>
          <w:p>
            <w:pPr>
              <w:jc w:val="right"/>
              <w:ind w:right="42"/>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ind w:right="26"/>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jc w:val="right"/>
              <w:ind w:right="19"/>
              <w:spacing w:after="0"/>
              <w:rPr>
                <w:sz w:val="20"/>
                <w:szCs w:val="20"/>
                <w:color w:val="auto"/>
              </w:rPr>
            </w:pPr>
            <w:r>
              <w:rPr>
                <w:rFonts w:ascii="Arial" w:cs="Arial" w:eastAsia="Arial" w:hAnsi="Arial"/>
                <w:sz w:val="16"/>
                <w:szCs w:val="16"/>
                <w:color w:val="auto"/>
              </w:rPr>
              <w:t>1</w:t>
            </w:r>
          </w:p>
        </w:tc>
      </w:tr>
      <w:tr>
        <w:trPr>
          <w:trHeight w:val="33"/>
        </w:trPr>
        <w:tc>
          <w:tcPr>
            <w:tcW w:w="264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250"/>
        </w:trPr>
        <w:tc>
          <w:tcPr>
            <w:tcW w:w="2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Distribution to MetLife, Inc. (Note 8)</w:t>
            </w: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(1,798)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(1,798)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(1,798)</w:t>
            </w:r>
          </w:p>
        </w:tc>
      </w:tr>
      <w:tr>
        <w:trPr>
          <w:trHeight w:val="220"/>
        </w:trPr>
        <w:tc>
          <w:tcPr>
            <w:tcW w:w="2640" w:type="dxa"/>
            <w:vAlign w:val="bottom"/>
          </w:tcPr>
          <w:p>
            <w:pPr>
              <w:ind w:left="40"/>
              <w:spacing w:after="0"/>
              <w:rPr>
                <w:sz w:val="20"/>
                <w:szCs w:val="20"/>
                <w:color w:val="auto"/>
              </w:rPr>
            </w:pPr>
            <w:r>
              <w:rPr>
                <w:rFonts w:ascii="Arial" w:cs="Arial" w:eastAsia="Arial" w:hAnsi="Arial"/>
                <w:sz w:val="16"/>
                <w:szCs w:val="16"/>
                <w:color w:val="auto"/>
                <w:w w:val="97"/>
              </w:rPr>
              <w:t>Other separation related transactions</w:t>
            </w: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r>
      <w:tr>
        <w:trPr>
          <w:trHeight w:val="206"/>
        </w:trPr>
        <w:tc>
          <w:tcPr>
            <w:tcW w:w="2640" w:type="dxa"/>
            <w:vAlign w:val="bottom"/>
          </w:tcPr>
          <w:p>
            <w:pPr>
              <w:ind w:left="200"/>
              <w:spacing w:after="0"/>
              <w:rPr>
                <w:sz w:val="20"/>
                <w:szCs w:val="20"/>
                <w:color w:val="auto"/>
              </w:rPr>
            </w:pPr>
            <w:r>
              <w:rPr>
                <w:rFonts w:ascii="Arial" w:cs="Arial" w:eastAsia="Arial" w:hAnsi="Arial"/>
                <w:sz w:val="16"/>
                <w:szCs w:val="16"/>
                <w:color w:val="auto"/>
              </w:rPr>
              <w:t>(Note 8)</w:t>
            </w:r>
          </w:p>
        </w:tc>
        <w:tc>
          <w:tcPr>
            <w:tcW w:w="200" w:type="dxa"/>
            <w:vAlign w:val="bottom"/>
          </w:tcPr>
          <w:p>
            <w:pPr>
              <w:spacing w:after="0"/>
              <w:rPr>
                <w:sz w:val="17"/>
                <w:szCs w:val="17"/>
                <w:color w:val="auto"/>
              </w:rPr>
            </w:pPr>
          </w:p>
        </w:tc>
        <w:tc>
          <w:tcPr>
            <w:tcW w:w="960" w:type="dxa"/>
            <w:vAlign w:val="bottom"/>
          </w:tcPr>
          <w:p>
            <w:pPr>
              <w:jc w:val="right"/>
              <w:ind w:right="42"/>
              <w:spacing w:after="0"/>
              <w:rPr>
                <w:sz w:val="20"/>
                <w:szCs w:val="20"/>
                <w:color w:val="auto"/>
              </w:rPr>
            </w:pPr>
            <w:r>
              <w:rPr>
                <w:rFonts w:ascii="Arial" w:cs="Arial" w:eastAsia="Arial" w:hAnsi="Arial"/>
                <w:sz w:val="16"/>
                <w:szCs w:val="16"/>
                <w:color w:val="auto"/>
              </w:rPr>
              <w:t>1,704</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ind w:right="26"/>
              <w:spacing w:after="0"/>
              <w:rPr>
                <w:sz w:val="20"/>
                <w:szCs w:val="20"/>
                <w:color w:val="auto"/>
              </w:rPr>
            </w:pPr>
            <w:r>
              <w:rPr>
                <w:rFonts w:ascii="Arial" w:cs="Arial" w:eastAsia="Arial" w:hAnsi="Arial"/>
                <w:sz w:val="16"/>
                <w:szCs w:val="16"/>
                <w:color w:val="auto"/>
              </w:rPr>
              <w:t>1,704</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jc w:val="right"/>
              <w:ind w:right="19"/>
              <w:spacing w:after="0"/>
              <w:rPr>
                <w:sz w:val="20"/>
                <w:szCs w:val="20"/>
                <w:color w:val="auto"/>
              </w:rPr>
            </w:pPr>
            <w:r>
              <w:rPr>
                <w:rFonts w:ascii="Arial" w:cs="Arial" w:eastAsia="Arial" w:hAnsi="Arial"/>
                <w:sz w:val="16"/>
                <w:szCs w:val="16"/>
                <w:color w:val="auto"/>
              </w:rPr>
              <w:t>1,704</w:t>
            </w:r>
          </w:p>
        </w:tc>
      </w:tr>
      <w:tr>
        <w:trPr>
          <w:trHeight w:val="33"/>
        </w:trPr>
        <w:tc>
          <w:tcPr>
            <w:tcW w:w="264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250"/>
        </w:trPr>
        <w:tc>
          <w:tcPr>
            <w:tcW w:w="2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income (loss)</w:t>
            </w: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(1,085)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6"/>
                <w:szCs w:val="16"/>
                <w:color w:val="auto"/>
              </w:rPr>
              <w:t>39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(1,046)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(1,046)</w:t>
            </w:r>
          </w:p>
        </w:tc>
      </w:tr>
      <w:tr>
        <w:trPr>
          <w:trHeight w:val="237"/>
        </w:trPr>
        <w:tc>
          <w:tcPr>
            <w:tcW w:w="2640" w:type="dxa"/>
            <w:vAlign w:val="bottom"/>
          </w:tcPr>
          <w:p>
            <w:pPr>
              <w:ind w:left="40"/>
              <w:spacing w:after="0"/>
              <w:rPr>
                <w:sz w:val="20"/>
                <w:szCs w:val="20"/>
                <w:color w:val="auto"/>
              </w:rPr>
            </w:pPr>
            <w:r>
              <w:rPr>
                <w:rFonts w:ascii="Arial" w:cs="Arial" w:eastAsia="Arial" w:hAnsi="Arial"/>
                <w:sz w:val="16"/>
                <w:szCs w:val="16"/>
                <w:color w:val="auto"/>
              </w:rPr>
              <w:t>Separation from MetLife, Inc.</w:t>
            </w:r>
          </w:p>
        </w:tc>
        <w:tc>
          <w:tcPr>
            <w:tcW w:w="2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(12,419)</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jc w:val="right"/>
              <w:ind w:right="47"/>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jc w:val="right"/>
              <w:ind w:right="44"/>
              <w:spacing w:after="0"/>
              <w:rPr>
                <w:sz w:val="20"/>
                <w:szCs w:val="20"/>
                <w:color w:val="auto"/>
              </w:rPr>
            </w:pPr>
            <w:r>
              <w:rPr>
                <w:rFonts w:ascii="Arial" w:cs="Arial" w:eastAsia="Arial" w:hAnsi="Arial"/>
                <w:sz w:val="16"/>
                <w:szCs w:val="16"/>
                <w:color w:val="auto"/>
              </w:rPr>
              <w:t>12,418</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264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250"/>
        </w:trPr>
        <w:tc>
          <w:tcPr>
            <w:tcW w:w="2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Change in noncontrolling interests</w:t>
            </w: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65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65</w:t>
            </w:r>
          </w:p>
        </w:tc>
      </w:tr>
      <w:tr>
        <w:trPr>
          <w:trHeight w:val="220"/>
        </w:trPr>
        <w:tc>
          <w:tcPr>
            <w:tcW w:w="2640" w:type="dxa"/>
            <w:vAlign w:val="bottom"/>
          </w:tcPr>
          <w:p>
            <w:pPr>
              <w:ind w:left="40"/>
              <w:spacing w:after="0"/>
              <w:rPr>
                <w:sz w:val="20"/>
                <w:szCs w:val="20"/>
                <w:color w:val="auto"/>
              </w:rPr>
            </w:pPr>
            <w:r>
              <w:rPr>
                <w:rFonts w:ascii="Arial" w:cs="Arial" w:eastAsia="Arial" w:hAnsi="Arial"/>
                <w:sz w:val="16"/>
                <w:szCs w:val="16"/>
                <w:color w:val="auto"/>
              </w:rPr>
              <w:t>Other comprehensive income (loss),</w:t>
            </w: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r>
      <w:tr>
        <w:trPr>
          <w:trHeight w:val="206"/>
        </w:trPr>
        <w:tc>
          <w:tcPr>
            <w:tcW w:w="2640" w:type="dxa"/>
            <w:vAlign w:val="bottom"/>
          </w:tcPr>
          <w:p>
            <w:pPr>
              <w:ind w:left="200"/>
              <w:spacing w:after="0"/>
              <w:rPr>
                <w:sz w:val="20"/>
                <w:szCs w:val="20"/>
                <w:color w:val="auto"/>
              </w:rPr>
            </w:pPr>
            <w:r>
              <w:rPr>
                <w:rFonts w:ascii="Arial" w:cs="Arial" w:eastAsia="Arial" w:hAnsi="Arial"/>
                <w:sz w:val="16"/>
                <w:szCs w:val="16"/>
                <w:color w:val="auto"/>
              </w:rPr>
              <w:t>net of income tax</w:t>
            </w: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jc w:val="right"/>
              <w:ind w:right="49"/>
              <w:spacing w:after="0"/>
              <w:rPr>
                <w:sz w:val="20"/>
                <w:szCs w:val="20"/>
                <w:color w:val="auto"/>
              </w:rPr>
            </w:pPr>
            <w:r>
              <w:rPr>
                <w:rFonts w:ascii="Arial" w:cs="Arial" w:eastAsia="Arial" w:hAnsi="Arial"/>
                <w:sz w:val="16"/>
                <w:szCs w:val="16"/>
                <w:color w:val="auto"/>
              </w:rPr>
              <w:t>43</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ind w:right="26"/>
              <w:spacing w:after="0"/>
              <w:rPr>
                <w:sz w:val="20"/>
                <w:szCs w:val="20"/>
                <w:color w:val="auto"/>
              </w:rPr>
            </w:pPr>
            <w:r>
              <w:rPr>
                <w:rFonts w:ascii="Arial" w:cs="Arial" w:eastAsia="Arial" w:hAnsi="Arial"/>
                <w:sz w:val="16"/>
                <w:szCs w:val="16"/>
                <w:color w:val="auto"/>
              </w:rPr>
              <w:t>43</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jc w:val="right"/>
              <w:ind w:right="19"/>
              <w:spacing w:after="0"/>
              <w:rPr>
                <w:sz w:val="20"/>
                <w:szCs w:val="20"/>
                <w:color w:val="auto"/>
              </w:rPr>
            </w:pPr>
            <w:r>
              <w:rPr>
                <w:rFonts w:ascii="Arial" w:cs="Arial" w:eastAsia="Arial" w:hAnsi="Arial"/>
                <w:sz w:val="16"/>
                <w:szCs w:val="16"/>
                <w:color w:val="auto"/>
              </w:rPr>
              <w:t>43</w:t>
            </w:r>
          </w:p>
        </w:tc>
      </w:tr>
      <w:tr>
        <w:trPr>
          <w:trHeight w:val="33"/>
        </w:trPr>
        <w:tc>
          <w:tcPr>
            <w:tcW w:w="26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r>
      <w:tr>
        <w:trPr>
          <w:trHeight w:val="244"/>
        </w:trPr>
        <w:tc>
          <w:tcPr>
            <w:tcW w:w="2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Balance at September 30, 2017</w:t>
            </w:r>
          </w:p>
        </w:tc>
        <w:tc>
          <w:tcPr>
            <w:tcW w:w="200" w:type="dxa"/>
            <w:vAlign w:val="bottom"/>
            <w:tcBorders>
              <w:bottom w:val="single" w:sz="8" w:color="auto"/>
            </w:tcBorders>
            <w:shd w:val="clear" w:color="auto" w:fill="CCEEFF"/>
          </w:tcPr>
          <w:p>
            <w:pPr>
              <w:jc w:val="right"/>
              <w:ind w:right="25"/>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auto"/>
            </w:tcBorders>
            <w:shd w:val="clear" w:color="auto" w:fill="CCEEFF"/>
          </w:tcPr>
          <w:p>
            <w:pPr>
              <w:jc w:val="right"/>
              <w:ind w:right="47"/>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shd w:val="clear" w:color="auto" w:fill="CCEEFF"/>
          </w:tcPr>
          <w:p>
            <w:pPr>
              <w:jc w:val="right"/>
              <w:ind w:right="44"/>
              <w:spacing w:after="0"/>
              <w:rPr>
                <w:sz w:val="20"/>
                <w:szCs w:val="20"/>
                <w:color w:val="auto"/>
              </w:rPr>
            </w:pPr>
            <w:r>
              <w:rPr>
                <w:rFonts w:ascii="Arial" w:cs="Arial" w:eastAsia="Arial" w:hAnsi="Arial"/>
                <w:sz w:val="16"/>
                <w:szCs w:val="16"/>
                <w:color w:val="auto"/>
              </w:rPr>
              <w:t>12,418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auto"/>
            </w:tcBorders>
            <w:shd w:val="clear" w:color="auto" w:fill="CCEEFF"/>
          </w:tcPr>
          <w:p>
            <w:pPr>
              <w:ind w:left="400"/>
              <w:spacing w:after="0"/>
              <w:rPr>
                <w:sz w:val="20"/>
                <w:szCs w:val="20"/>
                <w:color w:val="auto"/>
              </w:rPr>
            </w:pPr>
            <w:r>
              <w:rPr>
                <w:rFonts w:ascii="Arial" w:cs="Arial" w:eastAsia="Arial" w:hAnsi="Arial"/>
                <w:sz w:val="16"/>
                <w:szCs w:val="16"/>
                <w:color w:val="auto"/>
              </w:rPr>
              <w:t>39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6"/>
                <w:szCs w:val="16"/>
                <w:color w:val="auto"/>
              </w:rPr>
              <w:t>1,308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shd w:val="clear" w:color="auto" w:fill="CCEEFF"/>
          </w:tcPr>
          <w:p>
            <w:pPr>
              <w:jc w:val="right"/>
              <w:ind w:right="26"/>
              <w:spacing w:after="0"/>
              <w:rPr>
                <w:sz w:val="20"/>
                <w:szCs w:val="20"/>
                <w:color w:val="auto"/>
              </w:rPr>
            </w:pPr>
            <w:r>
              <w:rPr>
                <w:rFonts w:ascii="Arial" w:cs="Arial" w:eastAsia="Arial" w:hAnsi="Arial"/>
                <w:sz w:val="16"/>
                <w:szCs w:val="16"/>
                <w:color w:val="auto"/>
              </w:rPr>
              <w:t>13,766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shd w:val="clear" w:color="auto" w:fill="CCEEFF"/>
          </w:tcPr>
          <w:p>
            <w:pPr>
              <w:ind w:left="720"/>
              <w:spacing w:after="0"/>
              <w:rPr>
                <w:sz w:val="20"/>
                <w:szCs w:val="20"/>
                <w:color w:val="auto"/>
              </w:rPr>
            </w:pPr>
            <w:r>
              <w:rPr>
                <w:rFonts w:ascii="Arial" w:cs="Arial" w:eastAsia="Arial" w:hAnsi="Arial"/>
                <w:sz w:val="16"/>
                <w:szCs w:val="16"/>
                <w:color w:val="auto"/>
              </w:rPr>
              <w:t>65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13,831</w:t>
            </w:r>
          </w:p>
        </w:tc>
      </w:tr>
      <w:tr>
        <w:trPr>
          <w:trHeight w:val="20"/>
        </w:trPr>
        <w:tc>
          <w:tcPr>
            <w:tcW w:w="26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r>
        <w:trPr>
          <w:trHeight w:val="455"/>
        </w:trPr>
        <w:tc>
          <w:tcPr>
            <w:tcW w:w="2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85"/>
              </w:rPr>
              <w:t>Accumulated</w:t>
            </w:r>
          </w:p>
        </w:tc>
        <w:tc>
          <w:tcPr>
            <w:tcW w:w="120" w:type="dxa"/>
            <w:vAlign w:val="bottom"/>
          </w:tcPr>
          <w:p>
            <w:pPr>
              <w:spacing w:after="0"/>
              <w:rPr>
                <w:sz w:val="24"/>
                <w:szCs w:val="24"/>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3"/>
              </w:rPr>
              <w:t>Brighthouse</w:t>
            </w: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135"/>
        </w:trPr>
        <w:tc>
          <w:tcPr>
            <w:tcW w:w="2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87"/>
              </w:rPr>
              <w:t>Retained</w:t>
            </w:r>
          </w:p>
        </w:tc>
        <w:tc>
          <w:tcPr>
            <w:tcW w:w="160" w:type="dxa"/>
            <w:vAlign w:val="bottom"/>
          </w:tcPr>
          <w:p>
            <w:pPr>
              <w:spacing w:after="0"/>
              <w:rPr>
                <w:sz w:val="11"/>
                <w:szCs w:val="11"/>
                <w:color w:val="auto"/>
              </w:rPr>
            </w:pPr>
          </w:p>
        </w:tc>
        <w:tc>
          <w:tcPr>
            <w:tcW w:w="1200" w:type="dxa"/>
            <w:vAlign w:val="bottom"/>
            <w:gridSpan w:val="2"/>
          </w:tcPr>
          <w:p>
            <w:pPr>
              <w:jc w:val="center"/>
              <w:ind w:right="260"/>
              <w:spacing w:after="0" w:line="135" w:lineRule="exact"/>
              <w:rPr>
                <w:sz w:val="20"/>
                <w:szCs w:val="20"/>
                <w:color w:val="auto"/>
              </w:rPr>
            </w:pPr>
            <w:r>
              <w:rPr>
                <w:rFonts w:ascii="Arial" w:cs="Arial" w:eastAsia="Arial" w:hAnsi="Arial"/>
                <w:sz w:val="13"/>
                <w:szCs w:val="13"/>
                <w:b w:val="1"/>
                <w:bCs w:val="1"/>
                <w:color w:val="auto"/>
                <w:w w:val="97"/>
              </w:rPr>
              <w:t>Other</w:t>
            </w:r>
          </w:p>
        </w:tc>
        <w:tc>
          <w:tcPr>
            <w:tcW w:w="120" w:type="dxa"/>
            <w:vAlign w:val="bottom"/>
          </w:tcPr>
          <w:p>
            <w:pPr>
              <w:spacing w:after="0"/>
              <w:rPr>
                <w:sz w:val="11"/>
                <w:szCs w:val="11"/>
                <w:color w:val="auto"/>
              </w:rPr>
            </w:pPr>
          </w:p>
        </w:tc>
        <w:tc>
          <w:tcPr>
            <w:tcW w:w="110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90"/>
              </w:rPr>
              <w:t>Financial, Inc’s</w:t>
            </w:r>
          </w:p>
        </w:tc>
        <w:tc>
          <w:tcPr>
            <w:tcW w:w="1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r>
      <w:tr>
        <w:trPr>
          <w:trHeight w:val="135"/>
        </w:trPr>
        <w:tc>
          <w:tcPr>
            <w:tcW w:w="2640" w:type="dxa"/>
            <w:vAlign w:val="bottom"/>
          </w:tcPr>
          <w:p>
            <w:pPr>
              <w:spacing w:after="0"/>
              <w:rPr>
                <w:sz w:val="11"/>
                <w:szCs w:val="11"/>
                <w:color w:val="auto"/>
              </w:rPr>
            </w:pPr>
          </w:p>
        </w:tc>
        <w:tc>
          <w:tcPr>
            <w:tcW w:w="1280" w:type="dxa"/>
            <w:vAlign w:val="bottom"/>
            <w:gridSpan w:val="3"/>
          </w:tcPr>
          <w:p>
            <w:pPr>
              <w:jc w:val="center"/>
              <w:ind w:right="120"/>
              <w:spacing w:after="0" w:line="135" w:lineRule="exact"/>
              <w:rPr>
                <w:sz w:val="20"/>
                <w:szCs w:val="20"/>
                <w:color w:val="auto"/>
              </w:rPr>
            </w:pPr>
            <w:r>
              <w:rPr>
                <w:rFonts w:ascii="Arial" w:cs="Arial" w:eastAsia="Arial" w:hAnsi="Arial"/>
                <w:sz w:val="13"/>
                <w:szCs w:val="13"/>
                <w:b w:val="1"/>
                <w:bCs w:val="1"/>
                <w:color w:val="auto"/>
                <w:w w:val="86"/>
              </w:rPr>
              <w:t>Shareholder’s Net</w:t>
            </w:r>
          </w:p>
        </w:tc>
        <w:tc>
          <w:tcPr>
            <w:tcW w:w="140" w:type="dxa"/>
            <w:vAlign w:val="bottom"/>
          </w:tcPr>
          <w:p>
            <w:pPr>
              <w:spacing w:after="0"/>
              <w:rPr>
                <w:sz w:val="11"/>
                <w:szCs w:val="11"/>
                <w:color w:val="auto"/>
              </w:rPr>
            </w:pPr>
          </w:p>
        </w:tc>
        <w:tc>
          <w:tcPr>
            <w:tcW w:w="800" w:type="dxa"/>
            <w:vAlign w:val="bottom"/>
            <w:gridSpan w:val="2"/>
          </w:tcPr>
          <w:p>
            <w:pPr>
              <w:jc w:val="center"/>
              <w:ind w:right="260"/>
              <w:spacing w:after="0" w:line="135" w:lineRule="exact"/>
              <w:rPr>
                <w:sz w:val="20"/>
                <w:szCs w:val="20"/>
                <w:color w:val="auto"/>
              </w:rPr>
            </w:pPr>
            <w:r>
              <w:rPr>
                <w:rFonts w:ascii="Arial" w:cs="Arial" w:eastAsia="Arial" w:hAnsi="Arial"/>
                <w:sz w:val="13"/>
                <w:szCs w:val="13"/>
                <w:b w:val="1"/>
                <w:bCs w:val="1"/>
                <w:color w:val="auto"/>
                <w:w w:val="88"/>
              </w:rPr>
              <w:t>Common</w:t>
            </w:r>
          </w:p>
        </w:tc>
        <w:tc>
          <w:tcPr>
            <w:tcW w:w="160" w:type="dxa"/>
            <w:vAlign w:val="bottom"/>
          </w:tcPr>
          <w:p>
            <w:pPr>
              <w:spacing w:after="0"/>
              <w:rPr>
                <w:sz w:val="11"/>
                <w:szCs w:val="11"/>
                <w:color w:val="auto"/>
              </w:rPr>
            </w:pPr>
          </w:p>
        </w:tc>
        <w:tc>
          <w:tcPr>
            <w:tcW w:w="900" w:type="dxa"/>
            <w:vAlign w:val="bottom"/>
            <w:gridSpan w:val="2"/>
          </w:tcPr>
          <w:p>
            <w:pPr>
              <w:jc w:val="center"/>
              <w:ind w:right="280"/>
              <w:spacing w:after="0" w:line="135" w:lineRule="exact"/>
              <w:rPr>
                <w:sz w:val="20"/>
                <w:szCs w:val="20"/>
                <w:color w:val="auto"/>
              </w:rPr>
            </w:pPr>
            <w:r>
              <w:rPr>
                <w:rFonts w:ascii="Arial" w:cs="Arial" w:eastAsia="Arial" w:hAnsi="Arial"/>
                <w:sz w:val="13"/>
                <w:szCs w:val="13"/>
                <w:b w:val="1"/>
                <w:bCs w:val="1"/>
                <w:color w:val="auto"/>
                <w:w w:val="91"/>
              </w:rPr>
              <w:t>Additional</w:t>
            </w:r>
          </w:p>
        </w:tc>
        <w:tc>
          <w:tcPr>
            <w:tcW w:w="140" w:type="dxa"/>
            <w:vAlign w:val="bottom"/>
          </w:tcPr>
          <w:p>
            <w:pPr>
              <w:spacing w:after="0"/>
              <w:rPr>
                <w:sz w:val="11"/>
                <w:szCs w:val="11"/>
                <w:color w:val="auto"/>
              </w:rPr>
            </w:pPr>
          </w:p>
        </w:tc>
        <w:tc>
          <w:tcPr>
            <w:tcW w:w="76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86"/>
              </w:rPr>
              <w:t>Earnings</w:t>
            </w:r>
          </w:p>
        </w:tc>
        <w:tc>
          <w:tcPr>
            <w:tcW w:w="160" w:type="dxa"/>
            <w:vAlign w:val="bottom"/>
          </w:tcPr>
          <w:p>
            <w:pPr>
              <w:spacing w:after="0"/>
              <w:rPr>
                <w:sz w:val="11"/>
                <w:szCs w:val="11"/>
                <w:color w:val="auto"/>
              </w:rPr>
            </w:pPr>
          </w:p>
        </w:tc>
        <w:tc>
          <w:tcPr>
            <w:tcW w:w="1200" w:type="dxa"/>
            <w:vAlign w:val="bottom"/>
            <w:gridSpan w:val="2"/>
          </w:tcPr>
          <w:p>
            <w:pPr>
              <w:jc w:val="center"/>
              <w:ind w:right="260"/>
              <w:spacing w:after="0" w:line="135" w:lineRule="exact"/>
              <w:rPr>
                <w:sz w:val="20"/>
                <w:szCs w:val="20"/>
                <w:color w:val="auto"/>
              </w:rPr>
            </w:pPr>
            <w:r>
              <w:rPr>
                <w:rFonts w:ascii="Arial" w:cs="Arial" w:eastAsia="Arial" w:hAnsi="Arial"/>
                <w:sz w:val="13"/>
                <w:szCs w:val="13"/>
                <w:b w:val="1"/>
                <w:bCs w:val="1"/>
                <w:color w:val="auto"/>
                <w:w w:val="84"/>
              </w:rPr>
              <w:t>Comprehensive</w:t>
            </w:r>
          </w:p>
        </w:tc>
        <w:tc>
          <w:tcPr>
            <w:tcW w:w="120" w:type="dxa"/>
            <w:vAlign w:val="bottom"/>
          </w:tcPr>
          <w:p>
            <w:pPr>
              <w:spacing w:after="0"/>
              <w:rPr>
                <w:sz w:val="11"/>
                <w:szCs w:val="11"/>
                <w:color w:val="auto"/>
              </w:rPr>
            </w:pPr>
          </w:p>
        </w:tc>
        <w:tc>
          <w:tcPr>
            <w:tcW w:w="110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88"/>
              </w:rPr>
              <w:t>Stockholders’</w:t>
            </w:r>
          </w:p>
        </w:tc>
        <w:tc>
          <w:tcPr>
            <w:tcW w:w="140" w:type="dxa"/>
            <w:vAlign w:val="bottom"/>
          </w:tcPr>
          <w:p>
            <w:pPr>
              <w:spacing w:after="0"/>
              <w:rPr>
                <w:sz w:val="11"/>
                <w:szCs w:val="11"/>
                <w:color w:val="auto"/>
              </w:rPr>
            </w:pPr>
          </w:p>
        </w:tc>
        <w:tc>
          <w:tcPr>
            <w:tcW w:w="110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88"/>
              </w:rPr>
              <w:t>Noncontrolling</w:t>
            </w: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r>
      <w:tr>
        <w:trPr>
          <w:trHeight w:val="174"/>
        </w:trPr>
        <w:tc>
          <w:tcPr>
            <w:tcW w:w="264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center"/>
              <w:ind w:right="122"/>
              <w:spacing w:after="0"/>
              <w:rPr>
                <w:sz w:val="20"/>
                <w:szCs w:val="20"/>
                <w:color w:val="auto"/>
              </w:rPr>
            </w:pPr>
            <w:r>
              <w:rPr>
                <w:rFonts w:ascii="Arial" w:cs="Arial" w:eastAsia="Arial" w:hAnsi="Arial"/>
                <w:sz w:val="13"/>
                <w:szCs w:val="13"/>
                <w:b w:val="1"/>
                <w:bCs w:val="1"/>
                <w:color w:val="auto"/>
                <w:w w:val="87"/>
              </w:rPr>
              <w:t>Investment</w:t>
            </w:r>
          </w:p>
        </w:tc>
        <w:tc>
          <w:tcPr>
            <w:tcW w:w="1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center"/>
              <w:ind w:right="67"/>
              <w:spacing w:after="0"/>
              <w:rPr>
                <w:sz w:val="20"/>
                <w:szCs w:val="20"/>
                <w:color w:val="auto"/>
              </w:rPr>
            </w:pPr>
            <w:r>
              <w:rPr>
                <w:rFonts w:ascii="Arial" w:cs="Arial" w:eastAsia="Arial" w:hAnsi="Arial"/>
                <w:sz w:val="13"/>
                <w:szCs w:val="13"/>
                <w:b w:val="1"/>
                <w:bCs w:val="1"/>
                <w:color w:val="auto"/>
                <w:w w:val="84"/>
              </w:rPr>
              <w:t>Stock</w:t>
            </w:r>
          </w:p>
        </w:tc>
        <w:tc>
          <w:tcPr>
            <w:tcW w:w="120" w:type="dxa"/>
            <w:vAlign w:val="bottom"/>
            <w:tcBorders>
              <w:bottom w:val="single" w:sz="8" w:color="CCEEFF"/>
            </w:tcBorders>
          </w:tcPr>
          <w:p>
            <w:pPr>
              <w:spacing w:after="0"/>
              <w:rPr>
                <w:sz w:val="15"/>
                <w:szCs w:val="15"/>
                <w:color w:val="auto"/>
              </w:rPr>
            </w:pPr>
          </w:p>
        </w:tc>
        <w:tc>
          <w:tcPr>
            <w:tcW w:w="940" w:type="dxa"/>
            <w:vAlign w:val="bottom"/>
            <w:tcBorders>
              <w:bottom w:val="single" w:sz="8" w:color="auto"/>
            </w:tcBorders>
            <w:gridSpan w:val="2"/>
          </w:tcPr>
          <w:p>
            <w:pPr>
              <w:jc w:val="center"/>
              <w:spacing w:after="0"/>
              <w:rPr>
                <w:sz w:val="20"/>
                <w:szCs w:val="20"/>
                <w:color w:val="auto"/>
              </w:rPr>
            </w:pPr>
            <w:r>
              <w:rPr>
                <w:rFonts w:ascii="Arial" w:cs="Arial" w:eastAsia="Arial" w:hAnsi="Arial"/>
                <w:sz w:val="13"/>
                <w:szCs w:val="13"/>
                <w:b w:val="1"/>
                <w:bCs w:val="1"/>
                <w:color w:val="auto"/>
                <w:w w:val="90"/>
              </w:rPr>
              <w:t>Paid-in Capital</w:t>
            </w:r>
          </w:p>
        </w:tc>
        <w:tc>
          <w:tcPr>
            <w:tcW w:w="1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center"/>
              <w:ind w:right="69"/>
              <w:spacing w:after="0"/>
              <w:rPr>
                <w:sz w:val="20"/>
                <w:szCs w:val="20"/>
                <w:color w:val="auto"/>
              </w:rPr>
            </w:pPr>
            <w:r>
              <w:rPr>
                <w:rFonts w:ascii="Arial" w:cs="Arial" w:eastAsia="Arial" w:hAnsi="Arial"/>
                <w:sz w:val="13"/>
                <w:szCs w:val="13"/>
                <w:b w:val="1"/>
                <w:bCs w:val="1"/>
                <w:color w:val="auto"/>
                <w:w w:val="90"/>
              </w:rPr>
              <w:t>(Deficit)</w:t>
            </w: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center"/>
              <w:ind w:right="109"/>
              <w:spacing w:after="0"/>
              <w:rPr>
                <w:sz w:val="20"/>
                <w:szCs w:val="20"/>
                <w:color w:val="auto"/>
              </w:rPr>
            </w:pPr>
            <w:r>
              <w:rPr>
                <w:rFonts w:ascii="Arial" w:cs="Arial" w:eastAsia="Arial" w:hAnsi="Arial"/>
                <w:sz w:val="13"/>
                <w:szCs w:val="13"/>
                <w:b w:val="1"/>
                <w:bCs w:val="1"/>
                <w:color w:val="auto"/>
                <w:w w:val="86"/>
              </w:rPr>
              <w:t>Income (Loss)</w:t>
            </w: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center"/>
              <w:ind w:right="46"/>
              <w:spacing w:after="0"/>
              <w:rPr>
                <w:sz w:val="20"/>
                <w:szCs w:val="20"/>
                <w:color w:val="auto"/>
              </w:rPr>
            </w:pPr>
            <w:r>
              <w:rPr>
                <w:rFonts w:ascii="Arial" w:cs="Arial" w:eastAsia="Arial" w:hAnsi="Arial"/>
                <w:sz w:val="13"/>
                <w:szCs w:val="13"/>
                <w:b w:val="1"/>
                <w:bCs w:val="1"/>
                <w:color w:val="auto"/>
                <w:w w:val="90"/>
              </w:rPr>
              <w:t>Equity</w:t>
            </w: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center"/>
              <w:ind w:right="46"/>
              <w:spacing w:after="0"/>
              <w:rPr>
                <w:sz w:val="20"/>
                <w:szCs w:val="20"/>
                <w:color w:val="auto"/>
              </w:rPr>
            </w:pPr>
            <w:r>
              <w:rPr>
                <w:rFonts w:ascii="Arial" w:cs="Arial" w:eastAsia="Arial" w:hAnsi="Arial"/>
                <w:sz w:val="13"/>
                <w:szCs w:val="13"/>
                <w:b w:val="1"/>
                <w:bCs w:val="1"/>
                <w:color w:val="auto"/>
                <w:w w:val="84"/>
              </w:rPr>
              <w:t>Interests</w:t>
            </w:r>
          </w:p>
        </w:tc>
        <w:tc>
          <w:tcPr>
            <w:tcW w:w="120" w:type="dxa"/>
            <w:vAlign w:val="bottom"/>
            <w:tcBorders>
              <w:bottom w:val="single" w:sz="8" w:color="CCEEFF"/>
            </w:tcBorders>
          </w:tcPr>
          <w:p>
            <w:pPr>
              <w:spacing w:after="0"/>
              <w:rPr>
                <w:sz w:val="15"/>
                <w:szCs w:val="15"/>
                <w:color w:val="auto"/>
              </w:rPr>
            </w:pPr>
          </w:p>
        </w:tc>
        <w:tc>
          <w:tcPr>
            <w:tcW w:w="78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w w:val="94"/>
              </w:rPr>
              <w:t>Total Equity</w:t>
            </w:r>
          </w:p>
        </w:tc>
      </w:tr>
      <w:tr>
        <w:trPr>
          <w:trHeight w:val="237"/>
        </w:trPr>
        <w:tc>
          <w:tcPr>
            <w:tcW w:w="2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Balance at December 31, 2015</w:t>
            </w:r>
          </w:p>
        </w:tc>
        <w:tc>
          <w:tcPr>
            <w:tcW w:w="200" w:type="dxa"/>
            <w:vAlign w:val="bottom"/>
            <w:tcBorders>
              <w:bottom w:val="single" w:sz="8" w:color="CCEEFF"/>
            </w:tcBorders>
            <w:shd w:val="clear" w:color="auto" w:fill="CCEEFF"/>
          </w:tcPr>
          <w:p>
            <w:pPr>
              <w:jc w:val="right"/>
              <w:ind w:right="25"/>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15,316</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CCEEFF"/>
            </w:tcBorders>
            <w:gridSpan w:val="2"/>
            <w:shd w:val="clear" w:color="auto" w:fill="CCEEFF"/>
          </w:tcPr>
          <w:p>
            <w:pPr>
              <w:ind w:left="4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shd w:val="clear" w:color="auto" w:fill="CCEEFF"/>
          </w:tcPr>
          <w:p>
            <w:pPr>
              <w:jc w:val="right"/>
              <w:ind w:right="49"/>
              <w:spacing w:after="0"/>
              <w:rPr>
                <w:sz w:val="20"/>
                <w:szCs w:val="20"/>
                <w:color w:val="auto"/>
              </w:rPr>
            </w:pPr>
            <w:r>
              <w:rPr>
                <w:rFonts w:ascii="Arial" w:cs="Arial" w:eastAsia="Arial" w:hAnsi="Arial"/>
                <w:sz w:val="16"/>
                <w:szCs w:val="16"/>
                <w:color w:val="auto"/>
              </w:rPr>
              <w:t>1,523</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6"/>
                <w:szCs w:val="16"/>
                <w:color w:val="auto"/>
              </w:rPr>
              <w:t>16,839</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16,839</w:t>
            </w:r>
          </w:p>
        </w:tc>
      </w:tr>
      <w:tr>
        <w:trPr>
          <w:trHeight w:val="237"/>
        </w:trPr>
        <w:tc>
          <w:tcPr>
            <w:tcW w:w="2640" w:type="dxa"/>
            <w:vAlign w:val="bottom"/>
          </w:tcPr>
          <w:p>
            <w:pPr>
              <w:ind w:left="40"/>
              <w:spacing w:after="0"/>
              <w:rPr>
                <w:sz w:val="20"/>
                <w:szCs w:val="20"/>
                <w:color w:val="auto"/>
              </w:rPr>
            </w:pPr>
            <w:r>
              <w:rPr>
                <w:rFonts w:ascii="Arial" w:cs="Arial" w:eastAsia="Arial" w:hAnsi="Arial"/>
                <w:sz w:val="16"/>
                <w:szCs w:val="16"/>
                <w:color w:val="auto"/>
              </w:rPr>
              <w:t>Change in net investment</w:t>
            </w:r>
          </w:p>
        </w:tc>
        <w:tc>
          <w:tcPr>
            <w:tcW w:w="200" w:type="dxa"/>
            <w:vAlign w:val="bottom"/>
          </w:tcPr>
          <w:p>
            <w:pPr>
              <w:spacing w:after="0"/>
              <w:rPr>
                <w:sz w:val="20"/>
                <w:szCs w:val="20"/>
                <w:color w:val="auto"/>
              </w:rPr>
            </w:pPr>
          </w:p>
        </w:tc>
        <w:tc>
          <w:tcPr>
            <w:tcW w:w="960" w:type="dxa"/>
            <w:vAlign w:val="bottom"/>
          </w:tcPr>
          <w:p>
            <w:pPr>
              <w:jc w:val="right"/>
              <w:ind w:right="42"/>
              <w:spacing w:after="0"/>
              <w:rPr>
                <w:sz w:val="20"/>
                <w:szCs w:val="20"/>
                <w:color w:val="auto"/>
              </w:rPr>
            </w:pPr>
            <w:r>
              <w:rPr>
                <w:rFonts w:ascii="Arial" w:cs="Arial" w:eastAsia="Arial" w:hAnsi="Arial"/>
                <w:sz w:val="16"/>
                <w:szCs w:val="16"/>
                <w:color w:val="auto"/>
              </w:rPr>
              <w:t>1,589</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ind w:right="26"/>
              <w:spacing w:after="0"/>
              <w:rPr>
                <w:sz w:val="20"/>
                <w:szCs w:val="20"/>
                <w:color w:val="auto"/>
              </w:rPr>
            </w:pPr>
            <w:r>
              <w:rPr>
                <w:rFonts w:ascii="Arial" w:cs="Arial" w:eastAsia="Arial" w:hAnsi="Arial"/>
                <w:sz w:val="16"/>
                <w:szCs w:val="16"/>
                <w:color w:val="auto"/>
              </w:rPr>
              <w:t>1,589</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jc w:val="right"/>
              <w:ind w:right="19"/>
              <w:spacing w:after="0"/>
              <w:rPr>
                <w:sz w:val="20"/>
                <w:szCs w:val="20"/>
                <w:color w:val="auto"/>
              </w:rPr>
            </w:pPr>
            <w:r>
              <w:rPr>
                <w:rFonts w:ascii="Arial" w:cs="Arial" w:eastAsia="Arial" w:hAnsi="Arial"/>
                <w:sz w:val="16"/>
                <w:szCs w:val="16"/>
                <w:color w:val="auto"/>
              </w:rPr>
              <w:t>1,589</w:t>
            </w:r>
          </w:p>
        </w:tc>
      </w:tr>
      <w:tr>
        <w:trPr>
          <w:trHeight w:val="33"/>
        </w:trPr>
        <w:tc>
          <w:tcPr>
            <w:tcW w:w="264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250"/>
        </w:trPr>
        <w:tc>
          <w:tcPr>
            <w:tcW w:w="2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income (loss)</w:t>
            </w: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(1,174)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(1,174)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(1,174)</w:t>
            </w:r>
          </w:p>
        </w:tc>
      </w:tr>
      <w:tr>
        <w:trPr>
          <w:trHeight w:val="220"/>
        </w:trPr>
        <w:tc>
          <w:tcPr>
            <w:tcW w:w="2640" w:type="dxa"/>
            <w:vAlign w:val="bottom"/>
          </w:tcPr>
          <w:p>
            <w:pPr>
              <w:ind w:left="40"/>
              <w:spacing w:after="0"/>
              <w:rPr>
                <w:sz w:val="20"/>
                <w:szCs w:val="20"/>
                <w:color w:val="auto"/>
              </w:rPr>
            </w:pPr>
            <w:r>
              <w:rPr>
                <w:rFonts w:ascii="Arial" w:cs="Arial" w:eastAsia="Arial" w:hAnsi="Arial"/>
                <w:sz w:val="16"/>
                <w:szCs w:val="16"/>
                <w:color w:val="auto"/>
              </w:rPr>
              <w:t>Other comprehensive income (loss),</w:t>
            </w: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r>
      <w:tr>
        <w:trPr>
          <w:trHeight w:val="206"/>
        </w:trPr>
        <w:tc>
          <w:tcPr>
            <w:tcW w:w="2640" w:type="dxa"/>
            <w:vAlign w:val="bottom"/>
          </w:tcPr>
          <w:p>
            <w:pPr>
              <w:ind w:left="200"/>
              <w:spacing w:after="0"/>
              <w:rPr>
                <w:sz w:val="20"/>
                <w:szCs w:val="20"/>
                <w:color w:val="auto"/>
              </w:rPr>
            </w:pPr>
            <w:r>
              <w:rPr>
                <w:rFonts w:ascii="Arial" w:cs="Arial" w:eastAsia="Arial" w:hAnsi="Arial"/>
                <w:sz w:val="16"/>
                <w:szCs w:val="16"/>
                <w:color w:val="auto"/>
              </w:rPr>
              <w:t>net of income tax</w:t>
            </w: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jc w:val="right"/>
              <w:ind w:right="49"/>
              <w:spacing w:after="0"/>
              <w:rPr>
                <w:sz w:val="20"/>
                <w:szCs w:val="20"/>
                <w:color w:val="auto"/>
              </w:rPr>
            </w:pPr>
            <w:r>
              <w:rPr>
                <w:rFonts w:ascii="Arial" w:cs="Arial" w:eastAsia="Arial" w:hAnsi="Arial"/>
                <w:sz w:val="16"/>
                <w:szCs w:val="16"/>
                <w:color w:val="auto"/>
              </w:rPr>
              <w:t>916</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ind w:right="26"/>
              <w:spacing w:after="0"/>
              <w:rPr>
                <w:sz w:val="20"/>
                <w:szCs w:val="20"/>
                <w:color w:val="auto"/>
              </w:rPr>
            </w:pPr>
            <w:r>
              <w:rPr>
                <w:rFonts w:ascii="Arial" w:cs="Arial" w:eastAsia="Arial" w:hAnsi="Arial"/>
                <w:sz w:val="16"/>
                <w:szCs w:val="16"/>
                <w:color w:val="auto"/>
              </w:rPr>
              <w:t>916</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jc w:val="right"/>
              <w:ind w:right="19"/>
              <w:spacing w:after="0"/>
              <w:rPr>
                <w:sz w:val="20"/>
                <w:szCs w:val="20"/>
                <w:color w:val="auto"/>
              </w:rPr>
            </w:pPr>
            <w:r>
              <w:rPr>
                <w:rFonts w:ascii="Arial" w:cs="Arial" w:eastAsia="Arial" w:hAnsi="Arial"/>
                <w:sz w:val="16"/>
                <w:szCs w:val="16"/>
                <w:color w:val="auto"/>
              </w:rPr>
              <w:t>916</w:t>
            </w:r>
          </w:p>
        </w:tc>
      </w:tr>
      <w:tr>
        <w:trPr>
          <w:trHeight w:val="33"/>
        </w:trPr>
        <w:tc>
          <w:tcPr>
            <w:tcW w:w="26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r>
      <w:tr>
        <w:trPr>
          <w:trHeight w:val="244"/>
        </w:trPr>
        <w:tc>
          <w:tcPr>
            <w:tcW w:w="2640" w:type="dxa"/>
            <w:vAlign w:val="bottom"/>
            <w:shd w:val="clear" w:color="auto" w:fill="CCEEFF"/>
          </w:tcPr>
          <w:p>
            <w:pPr>
              <w:ind w:left="40"/>
              <w:spacing w:after="0"/>
              <w:rPr>
                <w:sz w:val="20"/>
                <w:szCs w:val="20"/>
                <w:color w:val="auto"/>
              </w:rPr>
            </w:pPr>
            <w:r>
              <w:rPr>
                <w:rFonts w:ascii="Arial" w:cs="Arial" w:eastAsia="Arial" w:hAnsi="Arial"/>
                <w:sz w:val="16"/>
                <w:szCs w:val="16"/>
                <w:color w:val="auto"/>
              </w:rPr>
              <w:t>Balance at September 30, 2016</w:t>
            </w:r>
          </w:p>
        </w:tc>
        <w:tc>
          <w:tcPr>
            <w:tcW w:w="200" w:type="dxa"/>
            <w:vAlign w:val="bottom"/>
            <w:shd w:val="clear" w:color="auto" w:fill="CCEEFF"/>
          </w:tcPr>
          <w:p>
            <w:pPr>
              <w:jc w:val="right"/>
              <w:ind w:right="25"/>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15,731</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60" w:type="dxa"/>
            <w:vAlign w:val="bottom"/>
            <w:gridSpan w:val="2"/>
            <w:shd w:val="clear" w:color="auto" w:fill="CCEEFF"/>
          </w:tcPr>
          <w:p>
            <w:pPr>
              <w:ind w:left="40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ind w:right="49"/>
              <w:spacing w:after="0"/>
              <w:rPr>
                <w:sz w:val="20"/>
                <w:szCs w:val="20"/>
                <w:color w:val="auto"/>
              </w:rPr>
            </w:pPr>
            <w:r>
              <w:rPr>
                <w:rFonts w:ascii="Arial" w:cs="Arial" w:eastAsia="Arial" w:hAnsi="Arial"/>
                <w:sz w:val="16"/>
                <w:szCs w:val="16"/>
                <w:color w:val="auto"/>
              </w:rPr>
              <w:t>2,439</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jc w:val="right"/>
              <w:ind w:right="26"/>
              <w:spacing w:after="0"/>
              <w:rPr>
                <w:sz w:val="20"/>
                <w:szCs w:val="20"/>
                <w:color w:val="auto"/>
              </w:rPr>
            </w:pPr>
            <w:r>
              <w:rPr>
                <w:rFonts w:ascii="Arial" w:cs="Arial" w:eastAsia="Arial" w:hAnsi="Arial"/>
                <w:sz w:val="16"/>
                <w:szCs w:val="16"/>
                <w:color w:val="auto"/>
              </w:rPr>
              <w:t>18,170</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gridSpan w:val="2"/>
            <w:shd w:val="clear" w:color="auto" w:fill="CCEEFF"/>
          </w:tcPr>
          <w:p>
            <w:pPr>
              <w:ind w:left="7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18,170</w:t>
            </w:r>
          </w:p>
        </w:tc>
      </w:tr>
      <w:tr>
        <w:trPr>
          <w:trHeight w:val="20"/>
        </w:trPr>
        <w:tc>
          <w:tcPr>
            <w:tcW w:w="26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See accompanying notes to the interim condensed consolidated and combined financial statements.</w:t>
      </w: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126" w:right="239" w:bottom="1440" w:gutter="0" w:footer="0" w:header="0"/>
        </w:sectPr>
      </w:pPr>
    </w:p>
    <w:bookmarkStart w:id="5" w:name="page6"/>
    <w:bookmarkEnd w:id="5"/>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left="4840"/>
        <w:spacing w:after="0"/>
        <w:rPr>
          <w:sz w:val="20"/>
          <w:szCs w:val="20"/>
          <w:color w:val="auto"/>
        </w:rPr>
      </w:pPr>
      <w:r>
        <w:rPr>
          <w:rFonts w:ascii="Arial" w:cs="Arial" w:eastAsia="Arial" w:hAnsi="Arial"/>
          <w:sz w:val="18"/>
          <w:szCs w:val="18"/>
          <w:b w:val="1"/>
          <w:bCs w:val="1"/>
          <w:color w:val="auto"/>
        </w:rPr>
        <w:t>Brighthouse Financial, Inc.</w:t>
      </w:r>
    </w:p>
    <w:p>
      <w:pPr>
        <w:spacing w:after="0" w:line="171" w:lineRule="exact"/>
        <w:rPr>
          <w:sz w:val="20"/>
          <w:szCs w:val="20"/>
          <w:color w:val="auto"/>
        </w:rPr>
      </w:pPr>
    </w:p>
    <w:p>
      <w:pPr>
        <w:ind w:left="3000"/>
        <w:spacing w:after="0"/>
        <w:rPr>
          <w:sz w:val="20"/>
          <w:szCs w:val="20"/>
          <w:color w:val="auto"/>
        </w:rPr>
      </w:pPr>
      <w:r>
        <w:rPr>
          <w:rFonts w:ascii="Arial" w:cs="Arial" w:eastAsia="Arial" w:hAnsi="Arial"/>
          <w:sz w:val="18"/>
          <w:szCs w:val="18"/>
          <w:b w:val="1"/>
          <w:bCs w:val="1"/>
          <w:color w:val="auto"/>
        </w:rPr>
        <w:t>Interim Condensed Consolidated and Combined Statements of Cash Flows</w:t>
      </w:r>
    </w:p>
    <w:p>
      <w:pPr>
        <w:spacing w:after="0" w:line="27" w:lineRule="exact"/>
        <w:rPr>
          <w:sz w:val="20"/>
          <w:szCs w:val="20"/>
          <w:color w:val="auto"/>
        </w:rPr>
      </w:pPr>
    </w:p>
    <w:p>
      <w:pPr>
        <w:ind w:left="3180"/>
        <w:spacing w:after="0"/>
        <w:rPr>
          <w:sz w:val="20"/>
          <w:szCs w:val="20"/>
          <w:color w:val="auto"/>
        </w:rPr>
      </w:pPr>
      <w:r>
        <w:rPr>
          <w:rFonts w:ascii="Arial" w:cs="Arial" w:eastAsia="Arial" w:hAnsi="Arial"/>
          <w:sz w:val="18"/>
          <w:szCs w:val="18"/>
          <w:b w:val="1"/>
          <w:bCs w:val="1"/>
          <w:color w:val="auto"/>
        </w:rPr>
        <w:t>For the Nine Months Ended September 30, 2017 and 2016 (Unaudited)</w:t>
      </w:r>
    </w:p>
    <w:p>
      <w:pPr>
        <w:spacing w:after="0" w:line="99" w:lineRule="exact"/>
        <w:rPr>
          <w:sz w:val="20"/>
          <w:szCs w:val="20"/>
          <w:color w:val="auto"/>
        </w:rPr>
      </w:pPr>
    </w:p>
    <w:p>
      <w:pPr>
        <w:ind w:left="5240"/>
        <w:spacing w:after="0"/>
        <w:rPr>
          <w:sz w:val="20"/>
          <w:szCs w:val="20"/>
          <w:color w:val="auto"/>
        </w:rPr>
      </w:pPr>
      <w:r>
        <w:rPr>
          <w:rFonts w:ascii="Arial" w:cs="Arial" w:eastAsia="Arial" w:hAnsi="Arial"/>
          <w:sz w:val="18"/>
          <w:szCs w:val="18"/>
          <w:b w:val="1"/>
          <w:bCs w:val="1"/>
          <w:color w:val="auto"/>
        </w:rPr>
        <w:t>(In millions)</w:t>
      </w:r>
    </w:p>
    <w:p>
      <w:pPr>
        <w:spacing w:after="0" w:line="171" w:lineRule="exact"/>
        <w:rPr>
          <w:sz w:val="20"/>
          <w:szCs w:val="20"/>
          <w:color w:val="auto"/>
        </w:rPr>
      </w:pPr>
    </w:p>
    <w:p>
      <w:pPr>
        <w:ind w:left="9540"/>
        <w:spacing w:after="0"/>
        <w:rPr>
          <w:sz w:val="20"/>
          <w:szCs w:val="20"/>
          <w:color w:val="auto"/>
        </w:rPr>
      </w:pPr>
      <w:r>
        <w:rPr>
          <w:rFonts w:ascii="Arial" w:cs="Arial" w:eastAsia="Arial" w:hAnsi="Arial"/>
          <w:sz w:val="13"/>
          <w:szCs w:val="13"/>
          <w:b w:val="1"/>
          <w:bCs w:val="1"/>
          <w:color w:val="auto"/>
        </w:rPr>
        <w:t>Nine Months</w:t>
      </w:r>
    </w:p>
    <w:p>
      <w:pPr>
        <w:ind w:left="9700"/>
        <w:spacing w:after="0" w:line="216" w:lineRule="auto"/>
        <w:rPr>
          <w:sz w:val="20"/>
          <w:szCs w:val="20"/>
          <w:color w:val="auto"/>
        </w:rPr>
      </w:pPr>
      <w:r>
        <w:rPr>
          <w:rFonts w:ascii="Arial" w:cs="Arial" w:eastAsia="Arial" w:hAnsi="Arial"/>
          <w:sz w:val="13"/>
          <w:szCs w:val="13"/>
          <w:b w:val="1"/>
          <w:bCs w:val="1"/>
          <w:color w:val="auto"/>
        </w:rPr>
        <w:t>Ended</w:t>
      </w:r>
    </w:p>
    <w:p>
      <w:pPr>
        <w:spacing w:after="0" w:line="1" w:lineRule="exact"/>
        <w:rPr>
          <w:sz w:val="20"/>
          <w:szCs w:val="20"/>
          <w:color w:val="auto"/>
        </w:rPr>
      </w:pPr>
    </w:p>
    <w:p>
      <w:pPr>
        <w:ind w:left="9500"/>
        <w:spacing w:after="0"/>
        <w:rPr>
          <w:sz w:val="20"/>
          <w:szCs w:val="20"/>
          <w:color w:val="auto"/>
        </w:rPr>
      </w:pPr>
      <w:r>
        <w:rPr>
          <w:rFonts w:ascii="Arial" w:cs="Arial" w:eastAsia="Arial" w:hAnsi="Arial"/>
          <w:sz w:val="13"/>
          <w:szCs w:val="13"/>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5296535</wp:posOffset>
            </wp:positionH>
            <wp:positionV relativeFrom="paragraph">
              <wp:posOffset>10795</wp:posOffset>
            </wp:positionV>
            <wp:extent cx="195516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955165" cy="8890"/>
                    </a:xfrm>
                    <a:prstGeom prst="rect">
                      <a:avLst/>
                    </a:prstGeom>
                    <a:noFill/>
                  </pic:spPr>
                </pic:pic>
              </a:graphicData>
            </a:graphic>
          </wp:anchor>
        </w:drawing>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834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548"/>
              <w:spacing w:after="0"/>
              <w:rPr>
                <w:sz w:val="20"/>
                <w:szCs w:val="20"/>
                <w:color w:val="auto"/>
              </w:rPr>
            </w:pPr>
            <w:r>
              <w:rPr>
                <w:rFonts w:ascii="Arial" w:cs="Arial" w:eastAsia="Arial" w:hAnsi="Arial"/>
                <w:sz w:val="13"/>
                <w:szCs w:val="13"/>
                <w:b w:val="1"/>
                <w:bCs w:val="1"/>
                <w:color w:val="auto"/>
              </w:rPr>
              <w:t>2017</w:t>
            </w:r>
          </w:p>
        </w:tc>
        <w:tc>
          <w:tcPr>
            <w:tcW w:w="12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528"/>
              <w:spacing w:after="0"/>
              <w:rPr>
                <w:sz w:val="20"/>
                <w:szCs w:val="20"/>
                <w:color w:val="auto"/>
              </w:rPr>
            </w:pPr>
            <w:r>
              <w:rPr>
                <w:rFonts w:ascii="Arial" w:cs="Arial" w:eastAsia="Arial" w:hAnsi="Arial"/>
                <w:sz w:val="13"/>
                <w:szCs w:val="13"/>
                <w:b w:val="1"/>
                <w:bCs w:val="1"/>
                <w:color w:val="auto"/>
              </w:rPr>
              <w:t>2016</w:t>
            </w:r>
          </w:p>
        </w:tc>
        <w:tc>
          <w:tcPr>
            <w:tcW w:w="0" w:type="dxa"/>
            <w:vAlign w:val="bottom"/>
          </w:tcPr>
          <w:p>
            <w:pPr>
              <w:spacing w:after="0"/>
              <w:rPr>
                <w:sz w:val="1"/>
                <w:szCs w:val="1"/>
                <w:color w:val="auto"/>
              </w:rPr>
            </w:pPr>
          </w:p>
        </w:tc>
      </w:tr>
      <w:tr>
        <w:trPr>
          <w:trHeight w:val="177"/>
        </w:trPr>
        <w:tc>
          <w:tcPr>
            <w:tcW w:w="834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Net cash provided by (used in) operating activities</w:t>
            </w:r>
          </w:p>
        </w:tc>
        <w:tc>
          <w:tcPr>
            <w:tcW w:w="360" w:type="dxa"/>
            <w:vAlign w:val="bottom"/>
            <w:vMerge w:val="restart"/>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14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2,030</w:t>
            </w:r>
          </w:p>
        </w:tc>
        <w:tc>
          <w:tcPr>
            <w:tcW w:w="120" w:type="dxa"/>
            <w:vAlign w:val="bottom"/>
            <w:shd w:val="clear" w:color="auto" w:fill="CCEEFF"/>
          </w:tcPr>
          <w:p>
            <w:pPr>
              <w:spacing w:after="0"/>
              <w:rPr>
                <w:sz w:val="15"/>
                <w:szCs w:val="15"/>
                <w:color w:val="auto"/>
              </w:rPr>
            </w:pPr>
          </w:p>
        </w:tc>
        <w:tc>
          <w:tcPr>
            <w:tcW w:w="360" w:type="dxa"/>
            <w:vAlign w:val="bottom"/>
            <w:vMerge w:val="restart"/>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1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2,605</w:t>
            </w:r>
          </w:p>
        </w:tc>
        <w:tc>
          <w:tcPr>
            <w:tcW w:w="0" w:type="dxa"/>
            <w:vAlign w:val="bottom"/>
          </w:tcPr>
          <w:p>
            <w:pPr>
              <w:spacing w:after="0"/>
              <w:rPr>
                <w:sz w:val="1"/>
                <w:szCs w:val="1"/>
                <w:color w:val="auto"/>
              </w:rPr>
            </w:pPr>
          </w:p>
        </w:tc>
      </w:tr>
      <w:tr>
        <w:trPr>
          <w:trHeight w:val="85"/>
        </w:trPr>
        <w:tc>
          <w:tcPr>
            <w:tcW w:w="8340" w:type="dxa"/>
            <w:vAlign w:val="bottom"/>
            <w:shd w:val="clear" w:color="auto" w:fill="CCEEFF"/>
          </w:tcPr>
          <w:p>
            <w:pPr>
              <w:spacing w:after="0"/>
              <w:rPr>
                <w:sz w:val="6"/>
                <w:szCs w:val="6"/>
                <w:color w:val="auto"/>
              </w:rPr>
            </w:pPr>
          </w:p>
        </w:tc>
        <w:tc>
          <w:tcPr>
            <w:tcW w:w="360" w:type="dxa"/>
            <w:vAlign w:val="bottom"/>
            <w:tcBorders>
              <w:bottom w:val="single" w:sz="8" w:color="auto"/>
            </w:tcBorders>
            <w:vMerge w:val="continue"/>
            <w:shd w:val="clear" w:color="auto" w:fill="CCEEFF"/>
          </w:tcPr>
          <w:p>
            <w:pPr>
              <w:spacing w:after="0"/>
              <w:rPr>
                <w:sz w:val="6"/>
                <w:szCs w:val="6"/>
                <w:color w:val="auto"/>
              </w:rPr>
            </w:pPr>
          </w:p>
        </w:tc>
        <w:tc>
          <w:tcPr>
            <w:tcW w:w="114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60" w:type="dxa"/>
            <w:vAlign w:val="bottom"/>
            <w:tcBorders>
              <w:bottom w:val="single" w:sz="8" w:color="auto"/>
            </w:tcBorders>
            <w:vMerge w:val="continue"/>
            <w:shd w:val="clear" w:color="auto" w:fill="CCEEFF"/>
          </w:tcPr>
          <w:p>
            <w:pPr>
              <w:spacing w:after="0"/>
              <w:rPr>
                <w:sz w:val="6"/>
                <w:szCs w:val="6"/>
                <w:color w:val="auto"/>
              </w:rPr>
            </w:pPr>
          </w:p>
        </w:tc>
        <w:tc>
          <w:tcPr>
            <w:tcW w:w="1100" w:type="dxa"/>
            <w:vAlign w:val="bottom"/>
            <w:tcBorders>
              <w:bottom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1"/>
        </w:trPr>
        <w:tc>
          <w:tcPr>
            <w:tcW w:w="8340" w:type="dxa"/>
            <w:vAlign w:val="bottom"/>
          </w:tcPr>
          <w:p>
            <w:pPr>
              <w:ind w:left="40"/>
              <w:spacing w:after="0"/>
              <w:rPr>
                <w:sz w:val="20"/>
                <w:szCs w:val="20"/>
                <w:color w:val="auto"/>
              </w:rPr>
            </w:pPr>
            <w:r>
              <w:rPr>
                <w:rFonts w:ascii="Arial" w:cs="Arial" w:eastAsia="Arial" w:hAnsi="Arial"/>
                <w:sz w:val="14"/>
                <w:szCs w:val="14"/>
                <w:b w:val="1"/>
                <w:bCs w:val="1"/>
                <w:color w:val="auto"/>
              </w:rPr>
              <w:t>Cash flows from investing activities</w:t>
            </w:r>
          </w:p>
        </w:tc>
        <w:tc>
          <w:tcPr>
            <w:tcW w:w="3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3"/>
        </w:trPr>
        <w:tc>
          <w:tcPr>
            <w:tcW w:w="8340" w:type="dxa"/>
            <w:vAlign w:val="bottom"/>
          </w:tcPr>
          <w:p>
            <w:pPr>
              <w:spacing w:after="0"/>
              <w:rPr>
                <w:sz w:val="8"/>
                <w:szCs w:val="8"/>
                <w:color w:val="auto"/>
              </w:rPr>
            </w:pPr>
          </w:p>
        </w:tc>
        <w:tc>
          <w:tcPr>
            <w:tcW w:w="36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360" w:type="dxa"/>
            <w:vAlign w:val="bottom"/>
          </w:tcPr>
          <w:p>
            <w:pPr>
              <w:spacing w:after="0"/>
              <w:rPr>
                <w:sz w:val="8"/>
                <w:szCs w:val="8"/>
                <w:color w:val="auto"/>
              </w:rPr>
            </w:pPr>
          </w:p>
        </w:tc>
        <w:tc>
          <w:tcPr>
            <w:tcW w:w="1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1"/>
        </w:trPr>
        <w:tc>
          <w:tcPr>
            <w:tcW w:w="8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Sales, maturities and repayments of:</w:t>
            </w:r>
          </w:p>
        </w:tc>
        <w:tc>
          <w:tcPr>
            <w:tcW w:w="36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8340" w:type="dxa"/>
            <w:vAlign w:val="bottom"/>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114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110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8340" w:type="dxa"/>
            <w:vAlign w:val="bottom"/>
          </w:tcPr>
          <w:p>
            <w:pPr>
              <w:ind w:left="180"/>
              <w:spacing w:after="0"/>
              <w:rPr>
                <w:sz w:val="20"/>
                <w:szCs w:val="20"/>
                <w:color w:val="auto"/>
              </w:rPr>
            </w:pPr>
            <w:r>
              <w:rPr>
                <w:rFonts w:ascii="Arial" w:cs="Arial" w:eastAsia="Arial" w:hAnsi="Arial"/>
                <w:sz w:val="14"/>
                <w:szCs w:val="14"/>
                <w:color w:val="auto"/>
              </w:rPr>
              <w:t>Fixed maturity securities</w:t>
            </w:r>
          </w:p>
        </w:tc>
        <w:tc>
          <w:tcPr>
            <w:tcW w:w="360" w:type="dxa"/>
            <w:vAlign w:val="bottom"/>
          </w:tcPr>
          <w:p>
            <w:pPr>
              <w:spacing w:after="0"/>
              <w:rPr>
                <w:sz w:val="16"/>
                <w:szCs w:val="16"/>
                <w:color w:val="auto"/>
              </w:rPr>
            </w:pPr>
          </w:p>
        </w:tc>
        <w:tc>
          <w:tcPr>
            <w:tcW w:w="1140" w:type="dxa"/>
            <w:vAlign w:val="bottom"/>
            <w:vMerge w:val="restart"/>
          </w:tcPr>
          <w:p>
            <w:pPr>
              <w:jc w:val="right"/>
              <w:ind w:right="48"/>
              <w:spacing w:after="0"/>
              <w:rPr>
                <w:sz w:val="20"/>
                <w:szCs w:val="20"/>
                <w:color w:val="auto"/>
              </w:rPr>
            </w:pPr>
            <w:r>
              <w:rPr>
                <w:rFonts w:ascii="Arial" w:cs="Arial" w:eastAsia="Arial" w:hAnsi="Arial"/>
                <w:sz w:val="14"/>
                <w:szCs w:val="14"/>
                <w:color w:val="auto"/>
              </w:rPr>
              <w:t>12,784</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00" w:type="dxa"/>
            <w:vAlign w:val="bottom"/>
            <w:vMerge w:val="restart"/>
          </w:tcPr>
          <w:p>
            <w:pPr>
              <w:jc w:val="right"/>
              <w:ind w:right="28"/>
              <w:spacing w:after="0"/>
              <w:rPr>
                <w:sz w:val="20"/>
                <w:szCs w:val="20"/>
                <w:color w:val="auto"/>
              </w:rPr>
            </w:pPr>
            <w:r>
              <w:rPr>
                <w:rFonts w:ascii="Arial" w:cs="Arial" w:eastAsia="Arial" w:hAnsi="Arial"/>
                <w:sz w:val="14"/>
                <w:szCs w:val="14"/>
                <w:color w:val="auto"/>
              </w:rPr>
              <w:t>27,696</w:t>
            </w:r>
          </w:p>
        </w:tc>
        <w:tc>
          <w:tcPr>
            <w:tcW w:w="0" w:type="dxa"/>
            <w:vAlign w:val="bottom"/>
          </w:tcPr>
          <w:p>
            <w:pPr>
              <w:spacing w:after="0"/>
              <w:rPr>
                <w:sz w:val="1"/>
                <w:szCs w:val="1"/>
                <w:color w:val="auto"/>
              </w:rPr>
            </w:pPr>
          </w:p>
        </w:tc>
      </w:tr>
      <w:tr>
        <w:trPr>
          <w:trHeight w:val="74"/>
        </w:trPr>
        <w:tc>
          <w:tcPr>
            <w:tcW w:w="8340" w:type="dxa"/>
            <w:vAlign w:val="bottom"/>
          </w:tcPr>
          <w:p>
            <w:pPr>
              <w:spacing w:after="0"/>
              <w:rPr>
                <w:sz w:val="6"/>
                <w:szCs w:val="6"/>
                <w:color w:val="auto"/>
              </w:rPr>
            </w:pPr>
          </w:p>
        </w:tc>
        <w:tc>
          <w:tcPr>
            <w:tcW w:w="360" w:type="dxa"/>
            <w:vAlign w:val="bottom"/>
          </w:tcPr>
          <w:p>
            <w:pPr>
              <w:spacing w:after="0"/>
              <w:rPr>
                <w:sz w:val="6"/>
                <w:szCs w:val="6"/>
                <w:color w:val="auto"/>
              </w:rPr>
            </w:pPr>
          </w:p>
        </w:tc>
        <w:tc>
          <w:tcPr>
            <w:tcW w:w="11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360" w:type="dxa"/>
            <w:vAlign w:val="bottom"/>
          </w:tcPr>
          <w:p>
            <w:pPr>
              <w:spacing w:after="0"/>
              <w:rPr>
                <w:sz w:val="6"/>
                <w:szCs w:val="6"/>
                <w:color w:val="auto"/>
              </w:rPr>
            </w:pPr>
          </w:p>
        </w:tc>
        <w:tc>
          <w:tcPr>
            <w:tcW w:w="11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83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Equity securities</w:t>
            </w:r>
          </w:p>
        </w:tc>
        <w:tc>
          <w:tcPr>
            <w:tcW w:w="360" w:type="dxa"/>
            <w:vAlign w:val="bottom"/>
            <w:shd w:val="clear" w:color="auto" w:fill="CCEEFF"/>
          </w:tcPr>
          <w:p>
            <w:pPr>
              <w:spacing w:after="0"/>
              <w:rPr>
                <w:sz w:val="17"/>
                <w:szCs w:val="17"/>
                <w:color w:val="auto"/>
              </w:rPr>
            </w:pPr>
          </w:p>
        </w:tc>
        <w:tc>
          <w:tcPr>
            <w:tcW w:w="114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58</w:t>
            </w: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166</w:t>
            </w:r>
          </w:p>
        </w:tc>
        <w:tc>
          <w:tcPr>
            <w:tcW w:w="0" w:type="dxa"/>
            <w:vAlign w:val="bottom"/>
          </w:tcPr>
          <w:p>
            <w:pPr>
              <w:spacing w:after="0"/>
              <w:rPr>
                <w:sz w:val="1"/>
                <w:szCs w:val="1"/>
                <w:color w:val="auto"/>
              </w:rPr>
            </w:pPr>
          </w:p>
        </w:tc>
      </w:tr>
      <w:tr>
        <w:trPr>
          <w:trHeight w:val="80"/>
        </w:trPr>
        <w:tc>
          <w:tcPr>
            <w:tcW w:w="8340" w:type="dxa"/>
            <w:vAlign w:val="bottom"/>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114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11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8340" w:type="dxa"/>
            <w:vAlign w:val="bottom"/>
          </w:tcPr>
          <w:p>
            <w:pPr>
              <w:ind w:left="180"/>
              <w:spacing w:after="0"/>
              <w:rPr>
                <w:sz w:val="20"/>
                <w:szCs w:val="20"/>
                <w:color w:val="auto"/>
              </w:rPr>
            </w:pPr>
            <w:r>
              <w:rPr>
                <w:rFonts w:ascii="Arial" w:cs="Arial" w:eastAsia="Arial" w:hAnsi="Arial"/>
                <w:sz w:val="14"/>
                <w:szCs w:val="14"/>
                <w:color w:val="auto"/>
              </w:rPr>
              <w:t>Mortgage loans</w:t>
            </w:r>
          </w:p>
        </w:tc>
        <w:tc>
          <w:tcPr>
            <w:tcW w:w="360" w:type="dxa"/>
            <w:vAlign w:val="bottom"/>
          </w:tcPr>
          <w:p>
            <w:pPr>
              <w:spacing w:after="0"/>
              <w:rPr>
                <w:sz w:val="16"/>
                <w:szCs w:val="16"/>
                <w:color w:val="auto"/>
              </w:rPr>
            </w:pPr>
          </w:p>
        </w:tc>
        <w:tc>
          <w:tcPr>
            <w:tcW w:w="1140" w:type="dxa"/>
            <w:vAlign w:val="bottom"/>
            <w:vMerge w:val="restart"/>
          </w:tcPr>
          <w:p>
            <w:pPr>
              <w:jc w:val="right"/>
              <w:ind w:right="48"/>
              <w:spacing w:after="0"/>
              <w:rPr>
                <w:sz w:val="20"/>
                <w:szCs w:val="20"/>
                <w:color w:val="auto"/>
              </w:rPr>
            </w:pPr>
            <w:r>
              <w:rPr>
                <w:rFonts w:ascii="Arial" w:cs="Arial" w:eastAsia="Arial" w:hAnsi="Arial"/>
                <w:sz w:val="14"/>
                <w:szCs w:val="14"/>
                <w:color w:val="auto"/>
              </w:rPr>
              <w:t>565</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00" w:type="dxa"/>
            <w:vAlign w:val="bottom"/>
            <w:vMerge w:val="restart"/>
          </w:tcPr>
          <w:p>
            <w:pPr>
              <w:jc w:val="right"/>
              <w:ind w:right="28"/>
              <w:spacing w:after="0"/>
              <w:rPr>
                <w:sz w:val="20"/>
                <w:szCs w:val="20"/>
                <w:color w:val="auto"/>
              </w:rPr>
            </w:pPr>
            <w:r>
              <w:rPr>
                <w:rFonts w:ascii="Arial" w:cs="Arial" w:eastAsia="Arial" w:hAnsi="Arial"/>
                <w:sz w:val="14"/>
                <w:szCs w:val="14"/>
                <w:color w:val="auto"/>
              </w:rPr>
              <w:t>1,429</w:t>
            </w:r>
          </w:p>
        </w:tc>
        <w:tc>
          <w:tcPr>
            <w:tcW w:w="0" w:type="dxa"/>
            <w:vAlign w:val="bottom"/>
          </w:tcPr>
          <w:p>
            <w:pPr>
              <w:spacing w:after="0"/>
              <w:rPr>
                <w:sz w:val="1"/>
                <w:szCs w:val="1"/>
                <w:color w:val="auto"/>
              </w:rPr>
            </w:pPr>
          </w:p>
        </w:tc>
      </w:tr>
      <w:tr>
        <w:trPr>
          <w:trHeight w:val="74"/>
        </w:trPr>
        <w:tc>
          <w:tcPr>
            <w:tcW w:w="8340" w:type="dxa"/>
            <w:vAlign w:val="bottom"/>
          </w:tcPr>
          <w:p>
            <w:pPr>
              <w:spacing w:after="0"/>
              <w:rPr>
                <w:sz w:val="6"/>
                <w:szCs w:val="6"/>
                <w:color w:val="auto"/>
              </w:rPr>
            </w:pPr>
          </w:p>
        </w:tc>
        <w:tc>
          <w:tcPr>
            <w:tcW w:w="360" w:type="dxa"/>
            <w:vAlign w:val="bottom"/>
          </w:tcPr>
          <w:p>
            <w:pPr>
              <w:spacing w:after="0"/>
              <w:rPr>
                <w:sz w:val="6"/>
                <w:szCs w:val="6"/>
                <w:color w:val="auto"/>
              </w:rPr>
            </w:pPr>
          </w:p>
        </w:tc>
        <w:tc>
          <w:tcPr>
            <w:tcW w:w="11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360" w:type="dxa"/>
            <w:vAlign w:val="bottom"/>
          </w:tcPr>
          <w:p>
            <w:pPr>
              <w:spacing w:after="0"/>
              <w:rPr>
                <w:sz w:val="6"/>
                <w:szCs w:val="6"/>
                <w:color w:val="auto"/>
              </w:rPr>
            </w:pPr>
          </w:p>
        </w:tc>
        <w:tc>
          <w:tcPr>
            <w:tcW w:w="11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83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Real estate and real estate joint ventures</w:t>
            </w:r>
          </w:p>
        </w:tc>
        <w:tc>
          <w:tcPr>
            <w:tcW w:w="360" w:type="dxa"/>
            <w:vAlign w:val="bottom"/>
            <w:shd w:val="clear" w:color="auto" w:fill="CCEEFF"/>
          </w:tcPr>
          <w:p>
            <w:pPr>
              <w:spacing w:after="0"/>
              <w:rPr>
                <w:sz w:val="17"/>
                <w:szCs w:val="17"/>
                <w:color w:val="auto"/>
              </w:rPr>
            </w:pPr>
          </w:p>
        </w:tc>
        <w:tc>
          <w:tcPr>
            <w:tcW w:w="114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47</w:t>
            </w: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430</w:t>
            </w:r>
          </w:p>
        </w:tc>
        <w:tc>
          <w:tcPr>
            <w:tcW w:w="0" w:type="dxa"/>
            <w:vAlign w:val="bottom"/>
          </w:tcPr>
          <w:p>
            <w:pPr>
              <w:spacing w:after="0"/>
              <w:rPr>
                <w:sz w:val="1"/>
                <w:szCs w:val="1"/>
                <w:color w:val="auto"/>
              </w:rPr>
            </w:pPr>
          </w:p>
        </w:tc>
      </w:tr>
      <w:tr>
        <w:trPr>
          <w:trHeight w:val="80"/>
        </w:trPr>
        <w:tc>
          <w:tcPr>
            <w:tcW w:w="8340" w:type="dxa"/>
            <w:vAlign w:val="bottom"/>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114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11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8340" w:type="dxa"/>
            <w:vAlign w:val="bottom"/>
          </w:tcPr>
          <w:p>
            <w:pPr>
              <w:ind w:left="180"/>
              <w:spacing w:after="0"/>
              <w:rPr>
                <w:sz w:val="20"/>
                <w:szCs w:val="20"/>
                <w:color w:val="auto"/>
              </w:rPr>
            </w:pPr>
            <w:r>
              <w:rPr>
                <w:rFonts w:ascii="Arial" w:cs="Arial" w:eastAsia="Arial" w:hAnsi="Arial"/>
                <w:sz w:val="14"/>
                <w:szCs w:val="14"/>
                <w:color w:val="auto"/>
              </w:rPr>
              <w:t>Other limited partnership interests</w:t>
            </w:r>
          </w:p>
        </w:tc>
        <w:tc>
          <w:tcPr>
            <w:tcW w:w="360" w:type="dxa"/>
            <w:vAlign w:val="bottom"/>
          </w:tcPr>
          <w:p>
            <w:pPr>
              <w:spacing w:after="0"/>
              <w:rPr>
                <w:sz w:val="16"/>
                <w:szCs w:val="16"/>
                <w:color w:val="auto"/>
              </w:rPr>
            </w:pPr>
          </w:p>
        </w:tc>
        <w:tc>
          <w:tcPr>
            <w:tcW w:w="1140" w:type="dxa"/>
            <w:vAlign w:val="bottom"/>
            <w:vMerge w:val="restart"/>
          </w:tcPr>
          <w:p>
            <w:pPr>
              <w:jc w:val="right"/>
              <w:ind w:right="48"/>
              <w:spacing w:after="0"/>
              <w:rPr>
                <w:sz w:val="20"/>
                <w:szCs w:val="20"/>
                <w:color w:val="auto"/>
              </w:rPr>
            </w:pPr>
            <w:r>
              <w:rPr>
                <w:rFonts w:ascii="Arial" w:cs="Arial" w:eastAsia="Arial" w:hAnsi="Arial"/>
                <w:sz w:val="14"/>
                <w:szCs w:val="14"/>
                <w:color w:val="auto"/>
              </w:rPr>
              <w:t>195</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00" w:type="dxa"/>
            <w:vAlign w:val="bottom"/>
            <w:vMerge w:val="restart"/>
          </w:tcPr>
          <w:p>
            <w:pPr>
              <w:jc w:val="right"/>
              <w:ind w:right="28"/>
              <w:spacing w:after="0"/>
              <w:rPr>
                <w:sz w:val="20"/>
                <w:szCs w:val="20"/>
                <w:color w:val="auto"/>
              </w:rPr>
            </w:pPr>
            <w:r>
              <w:rPr>
                <w:rFonts w:ascii="Arial" w:cs="Arial" w:eastAsia="Arial" w:hAnsi="Arial"/>
                <w:sz w:val="14"/>
                <w:szCs w:val="14"/>
                <w:color w:val="auto"/>
              </w:rPr>
              <w:t>289</w:t>
            </w:r>
          </w:p>
        </w:tc>
        <w:tc>
          <w:tcPr>
            <w:tcW w:w="0" w:type="dxa"/>
            <w:vAlign w:val="bottom"/>
          </w:tcPr>
          <w:p>
            <w:pPr>
              <w:spacing w:after="0"/>
              <w:rPr>
                <w:sz w:val="1"/>
                <w:szCs w:val="1"/>
                <w:color w:val="auto"/>
              </w:rPr>
            </w:pPr>
          </w:p>
        </w:tc>
      </w:tr>
      <w:tr>
        <w:trPr>
          <w:trHeight w:val="74"/>
        </w:trPr>
        <w:tc>
          <w:tcPr>
            <w:tcW w:w="8340" w:type="dxa"/>
            <w:vAlign w:val="bottom"/>
          </w:tcPr>
          <w:p>
            <w:pPr>
              <w:spacing w:after="0"/>
              <w:rPr>
                <w:sz w:val="6"/>
                <w:szCs w:val="6"/>
                <w:color w:val="auto"/>
              </w:rPr>
            </w:pPr>
          </w:p>
        </w:tc>
        <w:tc>
          <w:tcPr>
            <w:tcW w:w="360" w:type="dxa"/>
            <w:vAlign w:val="bottom"/>
          </w:tcPr>
          <w:p>
            <w:pPr>
              <w:spacing w:after="0"/>
              <w:rPr>
                <w:sz w:val="6"/>
                <w:szCs w:val="6"/>
                <w:color w:val="auto"/>
              </w:rPr>
            </w:pPr>
          </w:p>
        </w:tc>
        <w:tc>
          <w:tcPr>
            <w:tcW w:w="11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360" w:type="dxa"/>
            <w:vAlign w:val="bottom"/>
          </w:tcPr>
          <w:p>
            <w:pPr>
              <w:spacing w:after="0"/>
              <w:rPr>
                <w:sz w:val="6"/>
                <w:szCs w:val="6"/>
                <w:color w:val="auto"/>
              </w:rPr>
            </w:pPr>
          </w:p>
        </w:tc>
        <w:tc>
          <w:tcPr>
            <w:tcW w:w="11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8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Purchases of:</w:t>
            </w:r>
          </w:p>
        </w:tc>
        <w:tc>
          <w:tcPr>
            <w:tcW w:w="3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80"/>
        </w:trPr>
        <w:tc>
          <w:tcPr>
            <w:tcW w:w="8340" w:type="dxa"/>
            <w:vAlign w:val="bottom"/>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114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110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8340" w:type="dxa"/>
            <w:vAlign w:val="bottom"/>
          </w:tcPr>
          <w:p>
            <w:pPr>
              <w:ind w:left="180"/>
              <w:spacing w:after="0"/>
              <w:rPr>
                <w:sz w:val="20"/>
                <w:szCs w:val="20"/>
                <w:color w:val="auto"/>
              </w:rPr>
            </w:pPr>
            <w:r>
              <w:rPr>
                <w:rFonts w:ascii="Arial" w:cs="Arial" w:eastAsia="Arial" w:hAnsi="Arial"/>
                <w:sz w:val="14"/>
                <w:szCs w:val="14"/>
                <w:color w:val="auto"/>
              </w:rPr>
              <w:t>Fixed maturity securities</w:t>
            </w:r>
          </w:p>
        </w:tc>
        <w:tc>
          <w:tcPr>
            <w:tcW w:w="360" w:type="dxa"/>
            <w:vAlign w:val="bottom"/>
          </w:tcPr>
          <w:p>
            <w:pPr>
              <w:spacing w:after="0"/>
              <w:rPr>
                <w:sz w:val="16"/>
                <w:szCs w:val="16"/>
                <w:color w:val="auto"/>
              </w:rPr>
            </w:pPr>
          </w:p>
        </w:tc>
        <w:tc>
          <w:tcPr>
            <w:tcW w:w="1140" w:type="dxa"/>
            <w:vAlign w:val="bottom"/>
            <w:vMerge w:val="restart"/>
          </w:tcPr>
          <w:p>
            <w:pPr>
              <w:jc w:val="right"/>
              <w:ind w:right="8"/>
              <w:spacing w:after="0"/>
              <w:rPr>
                <w:sz w:val="20"/>
                <w:szCs w:val="20"/>
                <w:color w:val="auto"/>
              </w:rPr>
            </w:pPr>
            <w:r>
              <w:rPr>
                <w:rFonts w:ascii="Arial" w:cs="Arial" w:eastAsia="Arial" w:hAnsi="Arial"/>
                <w:sz w:val="14"/>
                <w:szCs w:val="14"/>
                <w:color w:val="auto"/>
              </w:rPr>
              <w:t>(12,888)</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00" w:type="dxa"/>
            <w:vAlign w:val="bottom"/>
            <w:vMerge w:val="restart"/>
          </w:tcPr>
          <w:p>
            <w:pPr>
              <w:jc w:val="right"/>
              <w:spacing w:after="0"/>
              <w:rPr>
                <w:sz w:val="20"/>
                <w:szCs w:val="20"/>
                <w:color w:val="auto"/>
              </w:rPr>
            </w:pPr>
            <w:r>
              <w:rPr>
                <w:rFonts w:ascii="Arial" w:cs="Arial" w:eastAsia="Arial" w:hAnsi="Arial"/>
                <w:sz w:val="14"/>
                <w:szCs w:val="14"/>
                <w:color w:val="auto"/>
              </w:rPr>
              <w:t>(29,992)</w:t>
            </w:r>
          </w:p>
        </w:tc>
        <w:tc>
          <w:tcPr>
            <w:tcW w:w="0" w:type="dxa"/>
            <w:vAlign w:val="bottom"/>
          </w:tcPr>
          <w:p>
            <w:pPr>
              <w:spacing w:after="0"/>
              <w:rPr>
                <w:sz w:val="1"/>
                <w:szCs w:val="1"/>
                <w:color w:val="auto"/>
              </w:rPr>
            </w:pPr>
          </w:p>
        </w:tc>
      </w:tr>
      <w:tr>
        <w:trPr>
          <w:trHeight w:val="74"/>
        </w:trPr>
        <w:tc>
          <w:tcPr>
            <w:tcW w:w="8340" w:type="dxa"/>
            <w:vAlign w:val="bottom"/>
          </w:tcPr>
          <w:p>
            <w:pPr>
              <w:spacing w:after="0"/>
              <w:rPr>
                <w:sz w:val="6"/>
                <w:szCs w:val="6"/>
                <w:color w:val="auto"/>
              </w:rPr>
            </w:pPr>
          </w:p>
        </w:tc>
        <w:tc>
          <w:tcPr>
            <w:tcW w:w="360" w:type="dxa"/>
            <w:vAlign w:val="bottom"/>
          </w:tcPr>
          <w:p>
            <w:pPr>
              <w:spacing w:after="0"/>
              <w:rPr>
                <w:sz w:val="6"/>
                <w:szCs w:val="6"/>
                <w:color w:val="auto"/>
              </w:rPr>
            </w:pPr>
          </w:p>
        </w:tc>
        <w:tc>
          <w:tcPr>
            <w:tcW w:w="11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360" w:type="dxa"/>
            <w:vAlign w:val="bottom"/>
          </w:tcPr>
          <w:p>
            <w:pPr>
              <w:spacing w:after="0"/>
              <w:rPr>
                <w:sz w:val="6"/>
                <w:szCs w:val="6"/>
                <w:color w:val="auto"/>
              </w:rPr>
            </w:pPr>
          </w:p>
        </w:tc>
        <w:tc>
          <w:tcPr>
            <w:tcW w:w="11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83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Equity securities</w:t>
            </w:r>
          </w:p>
        </w:tc>
        <w:tc>
          <w:tcPr>
            <w:tcW w:w="360" w:type="dxa"/>
            <w:vAlign w:val="bottom"/>
            <w:shd w:val="clear" w:color="auto" w:fill="CCEEFF"/>
          </w:tcPr>
          <w:p>
            <w:pPr>
              <w:spacing w:after="0"/>
              <w:rPr>
                <w:sz w:val="17"/>
                <w:szCs w:val="17"/>
                <w:color w:val="auto"/>
              </w:rPr>
            </w:pPr>
          </w:p>
        </w:tc>
        <w:tc>
          <w:tcPr>
            <w:tcW w:w="114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(2)</w:t>
            </w: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(57)</w:t>
            </w:r>
          </w:p>
        </w:tc>
        <w:tc>
          <w:tcPr>
            <w:tcW w:w="0" w:type="dxa"/>
            <w:vAlign w:val="bottom"/>
          </w:tcPr>
          <w:p>
            <w:pPr>
              <w:spacing w:after="0"/>
              <w:rPr>
                <w:sz w:val="1"/>
                <w:szCs w:val="1"/>
                <w:color w:val="auto"/>
              </w:rPr>
            </w:pPr>
          </w:p>
        </w:tc>
      </w:tr>
      <w:tr>
        <w:trPr>
          <w:trHeight w:val="80"/>
        </w:trPr>
        <w:tc>
          <w:tcPr>
            <w:tcW w:w="8340" w:type="dxa"/>
            <w:vAlign w:val="bottom"/>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114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11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8340" w:type="dxa"/>
            <w:vAlign w:val="bottom"/>
          </w:tcPr>
          <w:p>
            <w:pPr>
              <w:ind w:left="180"/>
              <w:spacing w:after="0"/>
              <w:rPr>
                <w:sz w:val="20"/>
                <w:szCs w:val="20"/>
                <w:color w:val="auto"/>
              </w:rPr>
            </w:pPr>
            <w:r>
              <w:rPr>
                <w:rFonts w:ascii="Arial" w:cs="Arial" w:eastAsia="Arial" w:hAnsi="Arial"/>
                <w:sz w:val="14"/>
                <w:szCs w:val="14"/>
                <w:color w:val="auto"/>
              </w:rPr>
              <w:t>Mortgage loans</w:t>
            </w:r>
          </w:p>
        </w:tc>
        <w:tc>
          <w:tcPr>
            <w:tcW w:w="360" w:type="dxa"/>
            <w:vAlign w:val="bottom"/>
          </w:tcPr>
          <w:p>
            <w:pPr>
              <w:spacing w:after="0"/>
              <w:rPr>
                <w:sz w:val="16"/>
                <w:szCs w:val="16"/>
                <w:color w:val="auto"/>
              </w:rPr>
            </w:pPr>
          </w:p>
        </w:tc>
        <w:tc>
          <w:tcPr>
            <w:tcW w:w="1140" w:type="dxa"/>
            <w:vAlign w:val="bottom"/>
            <w:vMerge w:val="restart"/>
          </w:tcPr>
          <w:p>
            <w:pPr>
              <w:jc w:val="right"/>
              <w:ind w:right="8"/>
              <w:spacing w:after="0"/>
              <w:rPr>
                <w:sz w:val="20"/>
                <w:szCs w:val="20"/>
                <w:color w:val="auto"/>
              </w:rPr>
            </w:pPr>
            <w:r>
              <w:rPr>
                <w:rFonts w:ascii="Arial" w:cs="Arial" w:eastAsia="Arial" w:hAnsi="Arial"/>
                <w:sz w:val="14"/>
                <w:szCs w:val="14"/>
                <w:color w:val="auto"/>
              </w:rPr>
              <w:t>(1,554)</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00" w:type="dxa"/>
            <w:vAlign w:val="bottom"/>
            <w:vMerge w:val="restart"/>
          </w:tcPr>
          <w:p>
            <w:pPr>
              <w:jc w:val="right"/>
              <w:spacing w:after="0"/>
              <w:rPr>
                <w:sz w:val="20"/>
                <w:szCs w:val="20"/>
                <w:color w:val="auto"/>
              </w:rPr>
            </w:pPr>
            <w:r>
              <w:rPr>
                <w:rFonts w:ascii="Arial" w:cs="Arial" w:eastAsia="Arial" w:hAnsi="Arial"/>
                <w:sz w:val="14"/>
                <w:szCs w:val="14"/>
                <w:color w:val="auto"/>
              </w:rPr>
              <w:t>(2,097)</w:t>
            </w:r>
          </w:p>
        </w:tc>
        <w:tc>
          <w:tcPr>
            <w:tcW w:w="0" w:type="dxa"/>
            <w:vAlign w:val="bottom"/>
          </w:tcPr>
          <w:p>
            <w:pPr>
              <w:spacing w:after="0"/>
              <w:rPr>
                <w:sz w:val="1"/>
                <w:szCs w:val="1"/>
                <w:color w:val="auto"/>
              </w:rPr>
            </w:pPr>
          </w:p>
        </w:tc>
      </w:tr>
      <w:tr>
        <w:trPr>
          <w:trHeight w:val="74"/>
        </w:trPr>
        <w:tc>
          <w:tcPr>
            <w:tcW w:w="8340" w:type="dxa"/>
            <w:vAlign w:val="bottom"/>
          </w:tcPr>
          <w:p>
            <w:pPr>
              <w:spacing w:after="0"/>
              <w:rPr>
                <w:sz w:val="6"/>
                <w:szCs w:val="6"/>
                <w:color w:val="auto"/>
              </w:rPr>
            </w:pPr>
          </w:p>
        </w:tc>
        <w:tc>
          <w:tcPr>
            <w:tcW w:w="360" w:type="dxa"/>
            <w:vAlign w:val="bottom"/>
          </w:tcPr>
          <w:p>
            <w:pPr>
              <w:spacing w:after="0"/>
              <w:rPr>
                <w:sz w:val="6"/>
                <w:szCs w:val="6"/>
                <w:color w:val="auto"/>
              </w:rPr>
            </w:pPr>
          </w:p>
        </w:tc>
        <w:tc>
          <w:tcPr>
            <w:tcW w:w="11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360" w:type="dxa"/>
            <w:vAlign w:val="bottom"/>
          </w:tcPr>
          <w:p>
            <w:pPr>
              <w:spacing w:after="0"/>
              <w:rPr>
                <w:sz w:val="6"/>
                <w:szCs w:val="6"/>
                <w:color w:val="auto"/>
              </w:rPr>
            </w:pPr>
          </w:p>
        </w:tc>
        <w:tc>
          <w:tcPr>
            <w:tcW w:w="11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83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Real estate and real estate joint ventures</w:t>
            </w:r>
          </w:p>
        </w:tc>
        <w:tc>
          <w:tcPr>
            <w:tcW w:w="360" w:type="dxa"/>
            <w:vAlign w:val="bottom"/>
            <w:shd w:val="clear" w:color="auto" w:fill="CCEEFF"/>
          </w:tcPr>
          <w:p>
            <w:pPr>
              <w:spacing w:after="0"/>
              <w:rPr>
                <w:sz w:val="17"/>
                <w:szCs w:val="17"/>
                <w:color w:val="auto"/>
              </w:rPr>
            </w:pPr>
          </w:p>
        </w:tc>
        <w:tc>
          <w:tcPr>
            <w:tcW w:w="114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(224)</w:t>
            </w: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(51)</w:t>
            </w:r>
          </w:p>
        </w:tc>
        <w:tc>
          <w:tcPr>
            <w:tcW w:w="0" w:type="dxa"/>
            <w:vAlign w:val="bottom"/>
          </w:tcPr>
          <w:p>
            <w:pPr>
              <w:spacing w:after="0"/>
              <w:rPr>
                <w:sz w:val="1"/>
                <w:szCs w:val="1"/>
                <w:color w:val="auto"/>
              </w:rPr>
            </w:pPr>
          </w:p>
        </w:tc>
      </w:tr>
      <w:tr>
        <w:trPr>
          <w:trHeight w:val="80"/>
        </w:trPr>
        <w:tc>
          <w:tcPr>
            <w:tcW w:w="8340" w:type="dxa"/>
            <w:vAlign w:val="bottom"/>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114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11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8340" w:type="dxa"/>
            <w:vAlign w:val="bottom"/>
          </w:tcPr>
          <w:p>
            <w:pPr>
              <w:ind w:left="180"/>
              <w:spacing w:after="0"/>
              <w:rPr>
                <w:sz w:val="20"/>
                <w:szCs w:val="20"/>
                <w:color w:val="auto"/>
              </w:rPr>
            </w:pPr>
            <w:r>
              <w:rPr>
                <w:rFonts w:ascii="Arial" w:cs="Arial" w:eastAsia="Arial" w:hAnsi="Arial"/>
                <w:sz w:val="14"/>
                <w:szCs w:val="14"/>
                <w:color w:val="auto"/>
              </w:rPr>
              <w:t>Other limited partnership interests</w:t>
            </w:r>
          </w:p>
        </w:tc>
        <w:tc>
          <w:tcPr>
            <w:tcW w:w="360" w:type="dxa"/>
            <w:vAlign w:val="bottom"/>
          </w:tcPr>
          <w:p>
            <w:pPr>
              <w:spacing w:after="0"/>
              <w:rPr>
                <w:sz w:val="16"/>
                <w:szCs w:val="16"/>
                <w:color w:val="auto"/>
              </w:rPr>
            </w:pPr>
          </w:p>
        </w:tc>
        <w:tc>
          <w:tcPr>
            <w:tcW w:w="1140" w:type="dxa"/>
            <w:vAlign w:val="bottom"/>
            <w:vMerge w:val="restart"/>
          </w:tcPr>
          <w:p>
            <w:pPr>
              <w:jc w:val="right"/>
              <w:ind w:right="8"/>
              <w:spacing w:after="0"/>
              <w:rPr>
                <w:sz w:val="20"/>
                <w:szCs w:val="20"/>
                <w:color w:val="auto"/>
              </w:rPr>
            </w:pPr>
            <w:r>
              <w:rPr>
                <w:rFonts w:ascii="Arial" w:cs="Arial" w:eastAsia="Arial" w:hAnsi="Arial"/>
                <w:sz w:val="14"/>
                <w:szCs w:val="14"/>
                <w:color w:val="auto"/>
              </w:rPr>
              <w:t>(174)</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00" w:type="dxa"/>
            <w:vAlign w:val="bottom"/>
            <w:vMerge w:val="restart"/>
          </w:tcPr>
          <w:p>
            <w:pPr>
              <w:jc w:val="right"/>
              <w:spacing w:after="0"/>
              <w:rPr>
                <w:sz w:val="20"/>
                <w:szCs w:val="20"/>
                <w:color w:val="auto"/>
              </w:rPr>
            </w:pPr>
            <w:r>
              <w:rPr>
                <w:rFonts w:ascii="Arial" w:cs="Arial" w:eastAsia="Arial" w:hAnsi="Arial"/>
                <w:sz w:val="14"/>
                <w:szCs w:val="14"/>
                <w:color w:val="auto"/>
              </w:rPr>
              <w:t>(134)</w:t>
            </w:r>
          </w:p>
        </w:tc>
        <w:tc>
          <w:tcPr>
            <w:tcW w:w="0" w:type="dxa"/>
            <w:vAlign w:val="bottom"/>
          </w:tcPr>
          <w:p>
            <w:pPr>
              <w:spacing w:after="0"/>
              <w:rPr>
                <w:sz w:val="1"/>
                <w:szCs w:val="1"/>
                <w:color w:val="auto"/>
              </w:rPr>
            </w:pPr>
          </w:p>
        </w:tc>
      </w:tr>
      <w:tr>
        <w:trPr>
          <w:trHeight w:val="74"/>
        </w:trPr>
        <w:tc>
          <w:tcPr>
            <w:tcW w:w="8340" w:type="dxa"/>
            <w:vAlign w:val="bottom"/>
          </w:tcPr>
          <w:p>
            <w:pPr>
              <w:spacing w:after="0"/>
              <w:rPr>
                <w:sz w:val="6"/>
                <w:szCs w:val="6"/>
                <w:color w:val="auto"/>
              </w:rPr>
            </w:pPr>
          </w:p>
        </w:tc>
        <w:tc>
          <w:tcPr>
            <w:tcW w:w="360" w:type="dxa"/>
            <w:vAlign w:val="bottom"/>
          </w:tcPr>
          <w:p>
            <w:pPr>
              <w:spacing w:after="0"/>
              <w:rPr>
                <w:sz w:val="6"/>
                <w:szCs w:val="6"/>
                <w:color w:val="auto"/>
              </w:rPr>
            </w:pPr>
          </w:p>
        </w:tc>
        <w:tc>
          <w:tcPr>
            <w:tcW w:w="11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360" w:type="dxa"/>
            <w:vAlign w:val="bottom"/>
          </w:tcPr>
          <w:p>
            <w:pPr>
              <w:spacing w:after="0"/>
              <w:rPr>
                <w:sz w:val="6"/>
                <w:szCs w:val="6"/>
                <w:color w:val="auto"/>
              </w:rPr>
            </w:pPr>
          </w:p>
        </w:tc>
        <w:tc>
          <w:tcPr>
            <w:tcW w:w="11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8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Cash received in connection with freestanding derivatives</w:t>
            </w:r>
          </w:p>
        </w:tc>
        <w:tc>
          <w:tcPr>
            <w:tcW w:w="360" w:type="dxa"/>
            <w:vAlign w:val="bottom"/>
            <w:shd w:val="clear" w:color="auto" w:fill="CCEEFF"/>
          </w:tcPr>
          <w:p>
            <w:pPr>
              <w:spacing w:after="0"/>
              <w:rPr>
                <w:sz w:val="17"/>
                <w:szCs w:val="17"/>
                <w:color w:val="auto"/>
              </w:rPr>
            </w:pPr>
          </w:p>
        </w:tc>
        <w:tc>
          <w:tcPr>
            <w:tcW w:w="114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1,811</w:t>
            </w: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460</w:t>
            </w:r>
          </w:p>
        </w:tc>
        <w:tc>
          <w:tcPr>
            <w:tcW w:w="0" w:type="dxa"/>
            <w:vAlign w:val="bottom"/>
          </w:tcPr>
          <w:p>
            <w:pPr>
              <w:spacing w:after="0"/>
              <w:rPr>
                <w:sz w:val="1"/>
                <w:szCs w:val="1"/>
                <w:color w:val="auto"/>
              </w:rPr>
            </w:pPr>
          </w:p>
        </w:tc>
      </w:tr>
      <w:tr>
        <w:trPr>
          <w:trHeight w:val="80"/>
        </w:trPr>
        <w:tc>
          <w:tcPr>
            <w:tcW w:w="8340" w:type="dxa"/>
            <w:vAlign w:val="bottom"/>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114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11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8340" w:type="dxa"/>
            <w:vAlign w:val="bottom"/>
          </w:tcPr>
          <w:p>
            <w:pPr>
              <w:ind w:left="40"/>
              <w:spacing w:after="0"/>
              <w:rPr>
                <w:sz w:val="20"/>
                <w:szCs w:val="20"/>
                <w:color w:val="auto"/>
              </w:rPr>
            </w:pPr>
            <w:r>
              <w:rPr>
                <w:rFonts w:ascii="Arial" w:cs="Arial" w:eastAsia="Arial" w:hAnsi="Arial"/>
                <w:sz w:val="14"/>
                <w:szCs w:val="14"/>
                <w:color w:val="auto"/>
              </w:rPr>
              <w:t>Cash paid in connection with freestanding derivatives</w:t>
            </w:r>
          </w:p>
        </w:tc>
        <w:tc>
          <w:tcPr>
            <w:tcW w:w="360" w:type="dxa"/>
            <w:vAlign w:val="bottom"/>
          </w:tcPr>
          <w:p>
            <w:pPr>
              <w:spacing w:after="0"/>
              <w:rPr>
                <w:sz w:val="16"/>
                <w:szCs w:val="16"/>
                <w:color w:val="auto"/>
              </w:rPr>
            </w:pPr>
          </w:p>
        </w:tc>
        <w:tc>
          <w:tcPr>
            <w:tcW w:w="1140" w:type="dxa"/>
            <w:vAlign w:val="bottom"/>
            <w:vMerge w:val="restart"/>
          </w:tcPr>
          <w:p>
            <w:pPr>
              <w:jc w:val="right"/>
              <w:ind w:right="8"/>
              <w:spacing w:after="0"/>
              <w:rPr>
                <w:sz w:val="20"/>
                <w:szCs w:val="20"/>
                <w:color w:val="auto"/>
              </w:rPr>
            </w:pPr>
            <w:r>
              <w:rPr>
                <w:rFonts w:ascii="Arial" w:cs="Arial" w:eastAsia="Arial" w:hAnsi="Arial"/>
                <w:sz w:val="14"/>
                <w:szCs w:val="14"/>
                <w:color w:val="auto"/>
              </w:rPr>
              <w:t>(3,382)</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00" w:type="dxa"/>
            <w:vAlign w:val="bottom"/>
            <w:vMerge w:val="restart"/>
          </w:tcPr>
          <w:p>
            <w:pPr>
              <w:jc w:val="right"/>
              <w:spacing w:after="0"/>
              <w:rPr>
                <w:sz w:val="20"/>
                <w:szCs w:val="20"/>
                <w:color w:val="auto"/>
              </w:rPr>
            </w:pPr>
            <w:r>
              <w:rPr>
                <w:rFonts w:ascii="Arial" w:cs="Arial" w:eastAsia="Arial" w:hAnsi="Arial"/>
                <w:sz w:val="14"/>
                <w:szCs w:val="14"/>
                <w:color w:val="auto"/>
              </w:rPr>
              <w:t>(1,659)</w:t>
            </w:r>
          </w:p>
        </w:tc>
        <w:tc>
          <w:tcPr>
            <w:tcW w:w="0" w:type="dxa"/>
            <w:vAlign w:val="bottom"/>
          </w:tcPr>
          <w:p>
            <w:pPr>
              <w:spacing w:after="0"/>
              <w:rPr>
                <w:sz w:val="1"/>
                <w:szCs w:val="1"/>
                <w:color w:val="auto"/>
              </w:rPr>
            </w:pPr>
          </w:p>
        </w:tc>
      </w:tr>
      <w:tr>
        <w:trPr>
          <w:trHeight w:val="74"/>
        </w:trPr>
        <w:tc>
          <w:tcPr>
            <w:tcW w:w="8340" w:type="dxa"/>
            <w:vAlign w:val="bottom"/>
          </w:tcPr>
          <w:p>
            <w:pPr>
              <w:spacing w:after="0"/>
              <w:rPr>
                <w:sz w:val="6"/>
                <w:szCs w:val="6"/>
                <w:color w:val="auto"/>
              </w:rPr>
            </w:pPr>
          </w:p>
        </w:tc>
        <w:tc>
          <w:tcPr>
            <w:tcW w:w="360" w:type="dxa"/>
            <w:vAlign w:val="bottom"/>
          </w:tcPr>
          <w:p>
            <w:pPr>
              <w:spacing w:after="0"/>
              <w:rPr>
                <w:sz w:val="6"/>
                <w:szCs w:val="6"/>
                <w:color w:val="auto"/>
              </w:rPr>
            </w:pPr>
          </w:p>
        </w:tc>
        <w:tc>
          <w:tcPr>
            <w:tcW w:w="11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360" w:type="dxa"/>
            <w:vAlign w:val="bottom"/>
          </w:tcPr>
          <w:p>
            <w:pPr>
              <w:spacing w:after="0"/>
              <w:rPr>
                <w:sz w:val="6"/>
                <w:szCs w:val="6"/>
                <w:color w:val="auto"/>
              </w:rPr>
            </w:pPr>
          </w:p>
        </w:tc>
        <w:tc>
          <w:tcPr>
            <w:tcW w:w="11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8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Receipts on loans to MetLife, Inc.</w:t>
            </w:r>
          </w:p>
        </w:tc>
        <w:tc>
          <w:tcPr>
            <w:tcW w:w="360" w:type="dxa"/>
            <w:vAlign w:val="bottom"/>
            <w:shd w:val="clear" w:color="auto" w:fill="CCEEFF"/>
          </w:tcPr>
          <w:p>
            <w:pPr>
              <w:spacing w:after="0"/>
              <w:rPr>
                <w:sz w:val="17"/>
                <w:szCs w:val="17"/>
                <w:color w:val="auto"/>
              </w:rPr>
            </w:pPr>
          </w:p>
        </w:tc>
        <w:tc>
          <w:tcPr>
            <w:tcW w:w="126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17"/>
                <w:szCs w:val="17"/>
                <w:color w:val="auto"/>
              </w:rPr>
            </w:pPr>
          </w:p>
        </w:tc>
        <w:tc>
          <w:tcPr>
            <w:tcW w:w="11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50</w:t>
            </w:r>
          </w:p>
        </w:tc>
        <w:tc>
          <w:tcPr>
            <w:tcW w:w="0" w:type="dxa"/>
            <w:vAlign w:val="bottom"/>
          </w:tcPr>
          <w:p>
            <w:pPr>
              <w:spacing w:after="0"/>
              <w:rPr>
                <w:sz w:val="1"/>
                <w:szCs w:val="1"/>
                <w:color w:val="auto"/>
              </w:rPr>
            </w:pPr>
          </w:p>
        </w:tc>
      </w:tr>
      <w:tr>
        <w:trPr>
          <w:trHeight w:val="80"/>
        </w:trPr>
        <w:tc>
          <w:tcPr>
            <w:tcW w:w="8340" w:type="dxa"/>
            <w:vAlign w:val="bottom"/>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1260" w:type="dxa"/>
            <w:vAlign w:val="bottom"/>
            <w:gridSpan w:val="2"/>
            <w:vMerge w:val="continue"/>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11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8340" w:type="dxa"/>
            <w:vAlign w:val="bottom"/>
          </w:tcPr>
          <w:p>
            <w:pPr>
              <w:ind w:left="40"/>
              <w:spacing w:after="0"/>
              <w:rPr>
                <w:sz w:val="20"/>
                <w:szCs w:val="20"/>
                <w:color w:val="auto"/>
              </w:rPr>
            </w:pPr>
            <w:r>
              <w:rPr>
                <w:rFonts w:ascii="Arial" w:cs="Arial" w:eastAsia="Arial" w:hAnsi="Arial"/>
                <w:sz w:val="14"/>
                <w:szCs w:val="14"/>
                <w:color w:val="auto"/>
              </w:rPr>
              <w:t>Net change in policy loans</w:t>
            </w:r>
          </w:p>
        </w:tc>
        <w:tc>
          <w:tcPr>
            <w:tcW w:w="360" w:type="dxa"/>
            <w:vAlign w:val="bottom"/>
          </w:tcPr>
          <w:p>
            <w:pPr>
              <w:spacing w:after="0"/>
              <w:rPr>
                <w:sz w:val="16"/>
                <w:szCs w:val="16"/>
                <w:color w:val="auto"/>
              </w:rPr>
            </w:pPr>
          </w:p>
        </w:tc>
        <w:tc>
          <w:tcPr>
            <w:tcW w:w="1140" w:type="dxa"/>
            <w:vAlign w:val="bottom"/>
            <w:vMerge w:val="restart"/>
          </w:tcPr>
          <w:p>
            <w:pPr>
              <w:jc w:val="right"/>
              <w:ind w:right="8"/>
              <w:spacing w:after="0"/>
              <w:rPr>
                <w:sz w:val="20"/>
                <w:szCs w:val="20"/>
                <w:color w:val="auto"/>
              </w:rPr>
            </w:pPr>
            <w:r>
              <w:rPr>
                <w:rFonts w:ascii="Arial" w:cs="Arial" w:eastAsia="Arial" w:hAnsi="Arial"/>
                <w:sz w:val="14"/>
                <w:szCs w:val="14"/>
                <w:color w:val="auto"/>
              </w:rPr>
              <w:t>(5)</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00" w:type="dxa"/>
            <w:vAlign w:val="bottom"/>
            <w:vMerge w:val="restart"/>
          </w:tcPr>
          <w:p>
            <w:pPr>
              <w:jc w:val="right"/>
              <w:ind w:right="28"/>
              <w:spacing w:after="0"/>
              <w:rPr>
                <w:sz w:val="20"/>
                <w:szCs w:val="20"/>
                <w:color w:val="auto"/>
              </w:rPr>
            </w:pPr>
            <w:r>
              <w:rPr>
                <w:rFonts w:ascii="Arial" w:cs="Arial" w:eastAsia="Arial" w:hAnsi="Arial"/>
                <w:sz w:val="14"/>
                <w:szCs w:val="14"/>
                <w:color w:val="auto"/>
              </w:rPr>
              <w:t>111</w:t>
            </w:r>
          </w:p>
        </w:tc>
        <w:tc>
          <w:tcPr>
            <w:tcW w:w="0" w:type="dxa"/>
            <w:vAlign w:val="bottom"/>
          </w:tcPr>
          <w:p>
            <w:pPr>
              <w:spacing w:after="0"/>
              <w:rPr>
                <w:sz w:val="1"/>
                <w:szCs w:val="1"/>
                <w:color w:val="auto"/>
              </w:rPr>
            </w:pPr>
          </w:p>
        </w:tc>
      </w:tr>
      <w:tr>
        <w:trPr>
          <w:trHeight w:val="74"/>
        </w:trPr>
        <w:tc>
          <w:tcPr>
            <w:tcW w:w="8340" w:type="dxa"/>
            <w:vAlign w:val="bottom"/>
          </w:tcPr>
          <w:p>
            <w:pPr>
              <w:spacing w:after="0"/>
              <w:rPr>
                <w:sz w:val="6"/>
                <w:szCs w:val="6"/>
                <w:color w:val="auto"/>
              </w:rPr>
            </w:pPr>
          </w:p>
        </w:tc>
        <w:tc>
          <w:tcPr>
            <w:tcW w:w="360" w:type="dxa"/>
            <w:vAlign w:val="bottom"/>
          </w:tcPr>
          <w:p>
            <w:pPr>
              <w:spacing w:after="0"/>
              <w:rPr>
                <w:sz w:val="6"/>
                <w:szCs w:val="6"/>
                <w:color w:val="auto"/>
              </w:rPr>
            </w:pPr>
          </w:p>
        </w:tc>
        <w:tc>
          <w:tcPr>
            <w:tcW w:w="11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360" w:type="dxa"/>
            <w:vAlign w:val="bottom"/>
          </w:tcPr>
          <w:p>
            <w:pPr>
              <w:spacing w:after="0"/>
              <w:rPr>
                <w:sz w:val="6"/>
                <w:szCs w:val="6"/>
                <w:color w:val="auto"/>
              </w:rPr>
            </w:pPr>
          </w:p>
        </w:tc>
        <w:tc>
          <w:tcPr>
            <w:tcW w:w="11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8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change in short-term investments</w:t>
            </w:r>
          </w:p>
        </w:tc>
        <w:tc>
          <w:tcPr>
            <w:tcW w:w="360" w:type="dxa"/>
            <w:vAlign w:val="bottom"/>
            <w:shd w:val="clear" w:color="auto" w:fill="CCEEFF"/>
          </w:tcPr>
          <w:p>
            <w:pPr>
              <w:spacing w:after="0"/>
              <w:rPr>
                <w:sz w:val="17"/>
                <w:szCs w:val="17"/>
                <w:color w:val="auto"/>
              </w:rPr>
            </w:pPr>
          </w:p>
        </w:tc>
        <w:tc>
          <w:tcPr>
            <w:tcW w:w="114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180</w:t>
            </w: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(1,740)</w:t>
            </w:r>
          </w:p>
        </w:tc>
        <w:tc>
          <w:tcPr>
            <w:tcW w:w="0" w:type="dxa"/>
            <w:vAlign w:val="bottom"/>
          </w:tcPr>
          <w:p>
            <w:pPr>
              <w:spacing w:after="0"/>
              <w:rPr>
                <w:sz w:val="1"/>
                <w:szCs w:val="1"/>
                <w:color w:val="auto"/>
              </w:rPr>
            </w:pPr>
          </w:p>
        </w:tc>
      </w:tr>
      <w:tr>
        <w:trPr>
          <w:trHeight w:val="80"/>
        </w:trPr>
        <w:tc>
          <w:tcPr>
            <w:tcW w:w="8340" w:type="dxa"/>
            <w:vAlign w:val="bottom"/>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114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11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8340" w:type="dxa"/>
            <w:vAlign w:val="bottom"/>
          </w:tcPr>
          <w:p>
            <w:pPr>
              <w:ind w:left="40"/>
              <w:spacing w:after="0"/>
              <w:rPr>
                <w:sz w:val="20"/>
                <w:szCs w:val="20"/>
                <w:color w:val="auto"/>
              </w:rPr>
            </w:pPr>
            <w:r>
              <w:rPr>
                <w:rFonts w:ascii="Arial" w:cs="Arial" w:eastAsia="Arial" w:hAnsi="Arial"/>
                <w:sz w:val="14"/>
                <w:szCs w:val="14"/>
                <w:color w:val="auto"/>
              </w:rPr>
              <w:t>Net change in other invested assets</w:t>
            </w:r>
          </w:p>
        </w:tc>
        <w:tc>
          <w:tcPr>
            <w:tcW w:w="360" w:type="dxa"/>
            <w:vAlign w:val="bottom"/>
          </w:tcPr>
          <w:p>
            <w:pPr>
              <w:spacing w:after="0"/>
              <w:rPr>
                <w:sz w:val="16"/>
                <w:szCs w:val="16"/>
                <w:color w:val="auto"/>
              </w:rPr>
            </w:pPr>
          </w:p>
        </w:tc>
        <w:tc>
          <w:tcPr>
            <w:tcW w:w="1140" w:type="dxa"/>
            <w:vAlign w:val="bottom"/>
            <w:vMerge w:val="restart"/>
          </w:tcPr>
          <w:p>
            <w:pPr>
              <w:jc w:val="right"/>
              <w:ind w:right="48"/>
              <w:spacing w:after="0"/>
              <w:rPr>
                <w:sz w:val="20"/>
                <w:szCs w:val="20"/>
                <w:color w:val="auto"/>
              </w:rPr>
            </w:pPr>
            <w:r>
              <w:rPr>
                <w:rFonts w:ascii="Arial" w:cs="Arial" w:eastAsia="Arial" w:hAnsi="Arial"/>
                <w:sz w:val="14"/>
                <w:szCs w:val="14"/>
                <w:color w:val="auto"/>
              </w:rPr>
              <w:t>33</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00" w:type="dxa"/>
            <w:vAlign w:val="bottom"/>
            <w:vMerge w:val="restart"/>
          </w:tcPr>
          <w:p>
            <w:pPr>
              <w:jc w:val="right"/>
              <w:ind w:right="28"/>
              <w:spacing w:after="0"/>
              <w:rPr>
                <w:sz w:val="20"/>
                <w:szCs w:val="20"/>
                <w:color w:val="auto"/>
              </w:rPr>
            </w:pPr>
            <w:r>
              <w:rPr>
                <w:rFonts w:ascii="Arial" w:cs="Arial" w:eastAsia="Arial" w:hAnsi="Arial"/>
                <w:sz w:val="14"/>
                <w:szCs w:val="14"/>
                <w:color w:val="auto"/>
              </w:rPr>
              <w:t>25</w:t>
            </w:r>
          </w:p>
        </w:tc>
        <w:tc>
          <w:tcPr>
            <w:tcW w:w="0" w:type="dxa"/>
            <w:vAlign w:val="bottom"/>
          </w:tcPr>
          <w:p>
            <w:pPr>
              <w:spacing w:after="0"/>
              <w:rPr>
                <w:sz w:val="1"/>
                <w:szCs w:val="1"/>
                <w:color w:val="auto"/>
              </w:rPr>
            </w:pPr>
          </w:p>
        </w:tc>
      </w:tr>
      <w:tr>
        <w:trPr>
          <w:trHeight w:val="74"/>
        </w:trPr>
        <w:tc>
          <w:tcPr>
            <w:tcW w:w="8340" w:type="dxa"/>
            <w:vAlign w:val="bottom"/>
          </w:tcPr>
          <w:p>
            <w:pPr>
              <w:spacing w:after="0"/>
              <w:rPr>
                <w:sz w:val="6"/>
                <w:szCs w:val="6"/>
                <w:color w:val="auto"/>
              </w:rPr>
            </w:pPr>
          </w:p>
        </w:tc>
        <w:tc>
          <w:tcPr>
            <w:tcW w:w="360" w:type="dxa"/>
            <w:vAlign w:val="bottom"/>
          </w:tcPr>
          <w:p>
            <w:pPr>
              <w:spacing w:after="0"/>
              <w:rPr>
                <w:sz w:val="6"/>
                <w:szCs w:val="6"/>
                <w:color w:val="auto"/>
              </w:rPr>
            </w:pPr>
          </w:p>
        </w:tc>
        <w:tc>
          <w:tcPr>
            <w:tcW w:w="11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360" w:type="dxa"/>
            <w:vAlign w:val="bottom"/>
          </w:tcPr>
          <w:p>
            <w:pPr>
              <w:spacing w:after="0"/>
              <w:rPr>
                <w:sz w:val="6"/>
                <w:szCs w:val="6"/>
                <w:color w:val="auto"/>
              </w:rPr>
            </w:pPr>
          </w:p>
        </w:tc>
        <w:tc>
          <w:tcPr>
            <w:tcW w:w="11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8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Other, net</w:t>
            </w:r>
          </w:p>
        </w:tc>
        <w:tc>
          <w:tcPr>
            <w:tcW w:w="360" w:type="dxa"/>
            <w:vAlign w:val="bottom"/>
            <w:shd w:val="clear" w:color="auto" w:fill="CCEEFF"/>
          </w:tcPr>
          <w:p>
            <w:pPr>
              <w:spacing w:after="0"/>
              <w:rPr>
                <w:sz w:val="17"/>
                <w:szCs w:val="17"/>
                <w:color w:val="auto"/>
              </w:rPr>
            </w:pPr>
          </w:p>
        </w:tc>
        <w:tc>
          <w:tcPr>
            <w:tcW w:w="114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2</w:t>
            </w: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80"/>
        </w:trPr>
        <w:tc>
          <w:tcPr>
            <w:tcW w:w="8340" w:type="dxa"/>
            <w:vAlign w:val="bottom"/>
            <w:shd w:val="clear" w:color="auto" w:fill="CCEEFF"/>
          </w:tcPr>
          <w:p>
            <w:pPr>
              <w:spacing w:after="0"/>
              <w:rPr>
                <w:sz w:val="6"/>
                <w:szCs w:val="6"/>
                <w:color w:val="auto"/>
              </w:rPr>
            </w:pPr>
          </w:p>
        </w:tc>
        <w:tc>
          <w:tcPr>
            <w:tcW w:w="360" w:type="dxa"/>
            <w:vAlign w:val="bottom"/>
            <w:tcBorders>
              <w:bottom w:val="single" w:sz="8" w:color="auto"/>
            </w:tcBorders>
            <w:shd w:val="clear" w:color="auto" w:fill="CCEEFF"/>
          </w:tcPr>
          <w:p>
            <w:pPr>
              <w:spacing w:after="0"/>
              <w:rPr>
                <w:sz w:val="6"/>
                <w:szCs w:val="6"/>
                <w:color w:val="auto"/>
              </w:rPr>
            </w:pPr>
          </w:p>
        </w:tc>
        <w:tc>
          <w:tcPr>
            <w:tcW w:w="114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60" w:type="dxa"/>
            <w:vAlign w:val="bottom"/>
            <w:tcBorders>
              <w:bottom w:val="single" w:sz="8" w:color="auto"/>
            </w:tcBorders>
            <w:shd w:val="clear" w:color="auto" w:fill="CCEEFF"/>
          </w:tcPr>
          <w:p>
            <w:pPr>
              <w:spacing w:after="0"/>
              <w:rPr>
                <w:sz w:val="6"/>
                <w:szCs w:val="6"/>
                <w:color w:val="auto"/>
              </w:rPr>
            </w:pPr>
          </w:p>
        </w:tc>
        <w:tc>
          <w:tcPr>
            <w:tcW w:w="1100" w:type="dxa"/>
            <w:vAlign w:val="bottom"/>
            <w:tcBorders>
              <w:bottom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1"/>
        </w:trPr>
        <w:tc>
          <w:tcPr>
            <w:tcW w:w="8340" w:type="dxa"/>
            <w:vAlign w:val="bottom"/>
          </w:tcPr>
          <w:p>
            <w:pPr>
              <w:ind w:left="40"/>
              <w:spacing w:after="0"/>
              <w:rPr>
                <w:sz w:val="20"/>
                <w:szCs w:val="20"/>
                <w:color w:val="auto"/>
              </w:rPr>
            </w:pPr>
            <w:r>
              <w:rPr>
                <w:rFonts w:ascii="Arial" w:cs="Arial" w:eastAsia="Arial" w:hAnsi="Arial"/>
                <w:sz w:val="14"/>
                <w:szCs w:val="14"/>
                <w:color w:val="auto"/>
              </w:rPr>
              <w:t>Net cash provided by (used in) investing activities</w:t>
            </w:r>
          </w:p>
        </w:tc>
        <w:tc>
          <w:tcPr>
            <w:tcW w:w="360" w:type="dxa"/>
            <w:vAlign w:val="bottom"/>
          </w:tcPr>
          <w:p>
            <w:pPr>
              <w:spacing w:after="0"/>
              <w:rPr>
                <w:sz w:val="14"/>
                <w:szCs w:val="14"/>
                <w:color w:val="auto"/>
              </w:rPr>
            </w:pPr>
          </w:p>
        </w:tc>
        <w:tc>
          <w:tcPr>
            <w:tcW w:w="1140" w:type="dxa"/>
            <w:vAlign w:val="bottom"/>
            <w:vMerge w:val="restart"/>
          </w:tcPr>
          <w:p>
            <w:pPr>
              <w:jc w:val="right"/>
              <w:ind w:right="8"/>
              <w:spacing w:after="0"/>
              <w:rPr>
                <w:sz w:val="20"/>
                <w:szCs w:val="20"/>
                <w:color w:val="auto"/>
              </w:rPr>
            </w:pPr>
            <w:r>
              <w:rPr>
                <w:rFonts w:ascii="Arial" w:cs="Arial" w:eastAsia="Arial" w:hAnsi="Arial"/>
                <w:sz w:val="14"/>
                <w:szCs w:val="14"/>
                <w:color w:val="auto"/>
              </w:rPr>
              <w:t>(2,554)</w:t>
            </w: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00" w:type="dxa"/>
            <w:vAlign w:val="bottom"/>
            <w:vMerge w:val="restart"/>
          </w:tcPr>
          <w:p>
            <w:pPr>
              <w:jc w:val="right"/>
              <w:spacing w:after="0"/>
              <w:rPr>
                <w:sz w:val="20"/>
                <w:szCs w:val="20"/>
                <w:color w:val="auto"/>
              </w:rPr>
            </w:pPr>
            <w:r>
              <w:rPr>
                <w:rFonts w:ascii="Arial" w:cs="Arial" w:eastAsia="Arial" w:hAnsi="Arial"/>
                <w:sz w:val="14"/>
                <w:szCs w:val="14"/>
                <w:color w:val="auto"/>
              </w:rPr>
              <w:t>(5,074)</w:t>
            </w:r>
          </w:p>
        </w:tc>
        <w:tc>
          <w:tcPr>
            <w:tcW w:w="0" w:type="dxa"/>
            <w:vAlign w:val="bottom"/>
          </w:tcPr>
          <w:p>
            <w:pPr>
              <w:spacing w:after="0"/>
              <w:rPr>
                <w:sz w:val="1"/>
                <w:szCs w:val="1"/>
                <w:color w:val="auto"/>
              </w:rPr>
            </w:pPr>
          </w:p>
        </w:tc>
      </w:tr>
      <w:tr>
        <w:trPr>
          <w:trHeight w:val="74"/>
        </w:trPr>
        <w:tc>
          <w:tcPr>
            <w:tcW w:w="8340" w:type="dxa"/>
            <w:vAlign w:val="bottom"/>
            <w:tcBorders>
              <w:bottom w:val="single" w:sz="8" w:color="CCEEFF"/>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114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110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834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Cash flows from financing activities</w:t>
            </w:r>
          </w:p>
        </w:tc>
        <w:tc>
          <w:tcPr>
            <w:tcW w:w="36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834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114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110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91"/>
        </w:trPr>
        <w:tc>
          <w:tcPr>
            <w:tcW w:w="8340" w:type="dxa"/>
            <w:vAlign w:val="bottom"/>
          </w:tcPr>
          <w:p>
            <w:pPr>
              <w:ind w:left="40"/>
              <w:spacing w:after="0"/>
              <w:rPr>
                <w:sz w:val="20"/>
                <w:szCs w:val="20"/>
                <w:color w:val="auto"/>
              </w:rPr>
            </w:pPr>
            <w:r>
              <w:rPr>
                <w:rFonts w:ascii="Arial" w:cs="Arial" w:eastAsia="Arial" w:hAnsi="Arial"/>
                <w:sz w:val="14"/>
                <w:szCs w:val="14"/>
                <w:color w:val="auto"/>
              </w:rPr>
              <w:t>Policyholder account balances:</w:t>
            </w:r>
          </w:p>
        </w:tc>
        <w:tc>
          <w:tcPr>
            <w:tcW w:w="3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8340" w:type="dxa"/>
            <w:vAlign w:val="bottom"/>
          </w:tcPr>
          <w:p>
            <w:pPr>
              <w:spacing w:after="0"/>
              <w:rPr>
                <w:sz w:val="6"/>
                <w:szCs w:val="6"/>
                <w:color w:val="auto"/>
              </w:rPr>
            </w:pPr>
          </w:p>
        </w:tc>
        <w:tc>
          <w:tcPr>
            <w:tcW w:w="36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20" w:type="dxa"/>
            <w:vAlign w:val="bottom"/>
          </w:tcPr>
          <w:p>
            <w:pPr>
              <w:spacing w:after="0"/>
              <w:rPr>
                <w:sz w:val="6"/>
                <w:szCs w:val="6"/>
                <w:color w:val="auto"/>
              </w:rPr>
            </w:pPr>
          </w:p>
        </w:tc>
        <w:tc>
          <w:tcPr>
            <w:tcW w:w="3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83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Deposits</w:t>
            </w:r>
          </w:p>
        </w:tc>
        <w:tc>
          <w:tcPr>
            <w:tcW w:w="360" w:type="dxa"/>
            <w:vAlign w:val="bottom"/>
            <w:shd w:val="clear" w:color="auto" w:fill="CCEEFF"/>
          </w:tcPr>
          <w:p>
            <w:pPr>
              <w:spacing w:after="0"/>
              <w:rPr>
                <w:sz w:val="16"/>
                <w:szCs w:val="16"/>
                <w:color w:val="auto"/>
              </w:rPr>
            </w:pPr>
          </w:p>
        </w:tc>
        <w:tc>
          <w:tcPr>
            <w:tcW w:w="114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3,464</w:t>
            </w:r>
          </w:p>
        </w:tc>
        <w:tc>
          <w:tcPr>
            <w:tcW w:w="1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9,071</w:t>
            </w:r>
          </w:p>
        </w:tc>
        <w:tc>
          <w:tcPr>
            <w:tcW w:w="0" w:type="dxa"/>
            <w:vAlign w:val="bottom"/>
          </w:tcPr>
          <w:p>
            <w:pPr>
              <w:spacing w:after="0"/>
              <w:rPr>
                <w:sz w:val="1"/>
                <w:szCs w:val="1"/>
                <w:color w:val="auto"/>
              </w:rPr>
            </w:pPr>
          </w:p>
        </w:tc>
      </w:tr>
      <w:tr>
        <w:trPr>
          <w:trHeight w:val="80"/>
        </w:trPr>
        <w:tc>
          <w:tcPr>
            <w:tcW w:w="8340" w:type="dxa"/>
            <w:vAlign w:val="bottom"/>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114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11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8340" w:type="dxa"/>
            <w:vAlign w:val="bottom"/>
          </w:tcPr>
          <w:p>
            <w:pPr>
              <w:ind w:left="180"/>
              <w:spacing w:after="0"/>
              <w:rPr>
                <w:sz w:val="20"/>
                <w:szCs w:val="20"/>
                <w:color w:val="auto"/>
              </w:rPr>
            </w:pPr>
            <w:r>
              <w:rPr>
                <w:rFonts w:ascii="Arial" w:cs="Arial" w:eastAsia="Arial" w:hAnsi="Arial"/>
                <w:sz w:val="14"/>
                <w:szCs w:val="14"/>
                <w:color w:val="auto"/>
              </w:rPr>
              <w:t>Withdrawals</w:t>
            </w:r>
          </w:p>
        </w:tc>
        <w:tc>
          <w:tcPr>
            <w:tcW w:w="360" w:type="dxa"/>
            <w:vAlign w:val="bottom"/>
          </w:tcPr>
          <w:p>
            <w:pPr>
              <w:spacing w:after="0"/>
              <w:rPr>
                <w:sz w:val="16"/>
                <w:szCs w:val="16"/>
                <w:color w:val="auto"/>
              </w:rPr>
            </w:pPr>
          </w:p>
        </w:tc>
        <w:tc>
          <w:tcPr>
            <w:tcW w:w="1140" w:type="dxa"/>
            <w:vAlign w:val="bottom"/>
            <w:vMerge w:val="restart"/>
          </w:tcPr>
          <w:p>
            <w:pPr>
              <w:jc w:val="right"/>
              <w:ind w:right="8"/>
              <w:spacing w:after="0"/>
              <w:rPr>
                <w:sz w:val="20"/>
                <w:szCs w:val="20"/>
                <w:color w:val="auto"/>
              </w:rPr>
            </w:pPr>
            <w:r>
              <w:rPr>
                <w:rFonts w:ascii="Arial" w:cs="Arial" w:eastAsia="Arial" w:hAnsi="Arial"/>
                <w:sz w:val="14"/>
                <w:szCs w:val="14"/>
                <w:color w:val="auto"/>
              </w:rPr>
              <w:t>(2,269)</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00" w:type="dxa"/>
            <w:vAlign w:val="bottom"/>
            <w:vMerge w:val="restart"/>
          </w:tcPr>
          <w:p>
            <w:pPr>
              <w:jc w:val="right"/>
              <w:spacing w:after="0"/>
              <w:rPr>
                <w:sz w:val="20"/>
                <w:szCs w:val="20"/>
                <w:color w:val="auto"/>
              </w:rPr>
            </w:pPr>
            <w:r>
              <w:rPr>
                <w:rFonts w:ascii="Arial" w:cs="Arial" w:eastAsia="Arial" w:hAnsi="Arial"/>
                <w:sz w:val="14"/>
                <w:szCs w:val="14"/>
                <w:color w:val="auto"/>
              </w:rPr>
              <w:t>(9,825)</w:t>
            </w:r>
          </w:p>
        </w:tc>
        <w:tc>
          <w:tcPr>
            <w:tcW w:w="0" w:type="dxa"/>
            <w:vAlign w:val="bottom"/>
          </w:tcPr>
          <w:p>
            <w:pPr>
              <w:spacing w:after="0"/>
              <w:rPr>
                <w:sz w:val="1"/>
                <w:szCs w:val="1"/>
                <w:color w:val="auto"/>
              </w:rPr>
            </w:pPr>
          </w:p>
        </w:tc>
      </w:tr>
      <w:tr>
        <w:trPr>
          <w:trHeight w:val="74"/>
        </w:trPr>
        <w:tc>
          <w:tcPr>
            <w:tcW w:w="8340" w:type="dxa"/>
            <w:vAlign w:val="bottom"/>
          </w:tcPr>
          <w:p>
            <w:pPr>
              <w:spacing w:after="0"/>
              <w:rPr>
                <w:sz w:val="6"/>
                <w:szCs w:val="6"/>
                <w:color w:val="auto"/>
              </w:rPr>
            </w:pPr>
          </w:p>
        </w:tc>
        <w:tc>
          <w:tcPr>
            <w:tcW w:w="360" w:type="dxa"/>
            <w:vAlign w:val="bottom"/>
          </w:tcPr>
          <w:p>
            <w:pPr>
              <w:spacing w:after="0"/>
              <w:rPr>
                <w:sz w:val="6"/>
                <w:szCs w:val="6"/>
                <w:color w:val="auto"/>
              </w:rPr>
            </w:pPr>
          </w:p>
        </w:tc>
        <w:tc>
          <w:tcPr>
            <w:tcW w:w="11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360" w:type="dxa"/>
            <w:vAlign w:val="bottom"/>
          </w:tcPr>
          <w:p>
            <w:pPr>
              <w:spacing w:after="0"/>
              <w:rPr>
                <w:sz w:val="6"/>
                <w:szCs w:val="6"/>
                <w:color w:val="auto"/>
              </w:rPr>
            </w:pPr>
          </w:p>
        </w:tc>
        <w:tc>
          <w:tcPr>
            <w:tcW w:w="11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8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change in payables for collateral under securities loaned and other transactions</w:t>
            </w:r>
          </w:p>
        </w:tc>
        <w:tc>
          <w:tcPr>
            <w:tcW w:w="360" w:type="dxa"/>
            <w:vAlign w:val="bottom"/>
            <w:shd w:val="clear" w:color="auto" w:fill="CCEEFF"/>
          </w:tcPr>
          <w:p>
            <w:pPr>
              <w:spacing w:after="0"/>
              <w:rPr>
                <w:sz w:val="17"/>
                <w:szCs w:val="17"/>
                <w:color w:val="auto"/>
              </w:rPr>
            </w:pPr>
          </w:p>
        </w:tc>
        <w:tc>
          <w:tcPr>
            <w:tcW w:w="114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(2,747)</w:t>
            </w: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3,059</w:t>
            </w:r>
          </w:p>
        </w:tc>
        <w:tc>
          <w:tcPr>
            <w:tcW w:w="0" w:type="dxa"/>
            <w:vAlign w:val="bottom"/>
          </w:tcPr>
          <w:p>
            <w:pPr>
              <w:spacing w:after="0"/>
              <w:rPr>
                <w:sz w:val="1"/>
                <w:szCs w:val="1"/>
                <w:color w:val="auto"/>
              </w:rPr>
            </w:pPr>
          </w:p>
        </w:tc>
      </w:tr>
      <w:tr>
        <w:trPr>
          <w:trHeight w:val="80"/>
        </w:trPr>
        <w:tc>
          <w:tcPr>
            <w:tcW w:w="8340" w:type="dxa"/>
            <w:vAlign w:val="bottom"/>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114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11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8340" w:type="dxa"/>
            <w:vAlign w:val="bottom"/>
          </w:tcPr>
          <w:p>
            <w:pPr>
              <w:ind w:left="40"/>
              <w:spacing w:after="0"/>
              <w:rPr>
                <w:sz w:val="20"/>
                <w:szCs w:val="20"/>
                <w:color w:val="auto"/>
              </w:rPr>
            </w:pPr>
            <w:r>
              <w:rPr>
                <w:rFonts w:ascii="Arial" w:cs="Arial" w:eastAsia="Arial" w:hAnsi="Arial"/>
                <w:sz w:val="14"/>
                <w:szCs w:val="14"/>
                <w:color w:val="auto"/>
              </w:rPr>
              <w:t>Long-term debt issued</w:t>
            </w:r>
          </w:p>
        </w:tc>
        <w:tc>
          <w:tcPr>
            <w:tcW w:w="360" w:type="dxa"/>
            <w:vAlign w:val="bottom"/>
          </w:tcPr>
          <w:p>
            <w:pPr>
              <w:spacing w:after="0"/>
              <w:rPr>
                <w:sz w:val="16"/>
                <w:szCs w:val="16"/>
                <w:color w:val="auto"/>
              </w:rPr>
            </w:pPr>
          </w:p>
        </w:tc>
        <w:tc>
          <w:tcPr>
            <w:tcW w:w="1140" w:type="dxa"/>
            <w:vAlign w:val="bottom"/>
            <w:vMerge w:val="restart"/>
          </w:tcPr>
          <w:p>
            <w:pPr>
              <w:jc w:val="right"/>
              <w:ind w:right="48"/>
              <w:spacing w:after="0"/>
              <w:rPr>
                <w:sz w:val="20"/>
                <w:szCs w:val="20"/>
                <w:color w:val="auto"/>
              </w:rPr>
            </w:pPr>
            <w:r>
              <w:rPr>
                <w:rFonts w:ascii="Arial" w:cs="Arial" w:eastAsia="Arial" w:hAnsi="Arial"/>
                <w:sz w:val="14"/>
                <w:szCs w:val="14"/>
                <w:color w:val="auto"/>
              </w:rPr>
              <w:t>3,589</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0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74"/>
        </w:trPr>
        <w:tc>
          <w:tcPr>
            <w:tcW w:w="8340" w:type="dxa"/>
            <w:vAlign w:val="bottom"/>
          </w:tcPr>
          <w:p>
            <w:pPr>
              <w:spacing w:after="0"/>
              <w:rPr>
                <w:sz w:val="6"/>
                <w:szCs w:val="6"/>
                <w:color w:val="auto"/>
              </w:rPr>
            </w:pPr>
          </w:p>
        </w:tc>
        <w:tc>
          <w:tcPr>
            <w:tcW w:w="360" w:type="dxa"/>
            <w:vAlign w:val="bottom"/>
          </w:tcPr>
          <w:p>
            <w:pPr>
              <w:spacing w:after="0"/>
              <w:rPr>
                <w:sz w:val="6"/>
                <w:szCs w:val="6"/>
                <w:color w:val="auto"/>
              </w:rPr>
            </w:pPr>
          </w:p>
        </w:tc>
        <w:tc>
          <w:tcPr>
            <w:tcW w:w="11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360" w:type="dxa"/>
            <w:vAlign w:val="bottom"/>
          </w:tcPr>
          <w:p>
            <w:pPr>
              <w:spacing w:after="0"/>
              <w:rPr>
                <w:sz w:val="6"/>
                <w:szCs w:val="6"/>
                <w:color w:val="auto"/>
              </w:rPr>
            </w:pPr>
          </w:p>
        </w:tc>
        <w:tc>
          <w:tcPr>
            <w:tcW w:w="11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8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Long-term debt repaid</w:t>
            </w:r>
          </w:p>
        </w:tc>
        <w:tc>
          <w:tcPr>
            <w:tcW w:w="360" w:type="dxa"/>
            <w:vAlign w:val="bottom"/>
            <w:shd w:val="clear" w:color="auto" w:fill="CCEEFF"/>
          </w:tcPr>
          <w:p>
            <w:pPr>
              <w:spacing w:after="0"/>
              <w:rPr>
                <w:sz w:val="17"/>
                <w:szCs w:val="17"/>
                <w:color w:val="auto"/>
              </w:rPr>
            </w:pPr>
          </w:p>
        </w:tc>
        <w:tc>
          <w:tcPr>
            <w:tcW w:w="114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(10)</w:t>
            </w: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(21)</w:t>
            </w:r>
          </w:p>
        </w:tc>
        <w:tc>
          <w:tcPr>
            <w:tcW w:w="0" w:type="dxa"/>
            <w:vAlign w:val="bottom"/>
          </w:tcPr>
          <w:p>
            <w:pPr>
              <w:spacing w:after="0"/>
              <w:rPr>
                <w:sz w:val="1"/>
                <w:szCs w:val="1"/>
                <w:color w:val="auto"/>
              </w:rPr>
            </w:pPr>
          </w:p>
        </w:tc>
      </w:tr>
      <w:tr>
        <w:trPr>
          <w:trHeight w:val="80"/>
        </w:trPr>
        <w:tc>
          <w:tcPr>
            <w:tcW w:w="8340" w:type="dxa"/>
            <w:vAlign w:val="bottom"/>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114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11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8340" w:type="dxa"/>
            <w:vAlign w:val="bottom"/>
          </w:tcPr>
          <w:p>
            <w:pPr>
              <w:ind w:left="40"/>
              <w:spacing w:after="0"/>
              <w:rPr>
                <w:sz w:val="20"/>
                <w:szCs w:val="20"/>
                <w:color w:val="auto"/>
              </w:rPr>
            </w:pPr>
            <w:r>
              <w:rPr>
                <w:rFonts w:ascii="Arial" w:cs="Arial" w:eastAsia="Arial" w:hAnsi="Arial"/>
                <w:sz w:val="14"/>
                <w:szCs w:val="14"/>
                <w:color w:val="auto"/>
              </w:rPr>
              <w:t>Collateral financing arrangements repaid</w:t>
            </w:r>
          </w:p>
        </w:tc>
        <w:tc>
          <w:tcPr>
            <w:tcW w:w="360" w:type="dxa"/>
            <w:vAlign w:val="bottom"/>
          </w:tcPr>
          <w:p>
            <w:pPr>
              <w:spacing w:after="0"/>
              <w:rPr>
                <w:sz w:val="16"/>
                <w:szCs w:val="16"/>
                <w:color w:val="auto"/>
              </w:rPr>
            </w:pPr>
          </w:p>
        </w:tc>
        <w:tc>
          <w:tcPr>
            <w:tcW w:w="1140" w:type="dxa"/>
            <w:vAlign w:val="bottom"/>
            <w:vMerge w:val="restart"/>
          </w:tcPr>
          <w:p>
            <w:pPr>
              <w:jc w:val="right"/>
              <w:ind w:right="8"/>
              <w:spacing w:after="0"/>
              <w:rPr>
                <w:sz w:val="20"/>
                <w:szCs w:val="20"/>
                <w:color w:val="auto"/>
              </w:rPr>
            </w:pPr>
            <w:r>
              <w:rPr>
                <w:rFonts w:ascii="Arial" w:cs="Arial" w:eastAsia="Arial" w:hAnsi="Arial"/>
                <w:sz w:val="14"/>
                <w:szCs w:val="14"/>
                <w:color w:val="auto"/>
              </w:rPr>
              <w:t>(2,797)</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0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74"/>
        </w:trPr>
        <w:tc>
          <w:tcPr>
            <w:tcW w:w="8340" w:type="dxa"/>
            <w:vAlign w:val="bottom"/>
          </w:tcPr>
          <w:p>
            <w:pPr>
              <w:spacing w:after="0"/>
              <w:rPr>
                <w:sz w:val="6"/>
                <w:szCs w:val="6"/>
                <w:color w:val="auto"/>
              </w:rPr>
            </w:pPr>
          </w:p>
        </w:tc>
        <w:tc>
          <w:tcPr>
            <w:tcW w:w="360" w:type="dxa"/>
            <w:vAlign w:val="bottom"/>
          </w:tcPr>
          <w:p>
            <w:pPr>
              <w:spacing w:after="0"/>
              <w:rPr>
                <w:sz w:val="6"/>
                <w:szCs w:val="6"/>
                <w:color w:val="auto"/>
              </w:rPr>
            </w:pPr>
          </w:p>
        </w:tc>
        <w:tc>
          <w:tcPr>
            <w:tcW w:w="11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360" w:type="dxa"/>
            <w:vAlign w:val="bottom"/>
          </w:tcPr>
          <w:p>
            <w:pPr>
              <w:spacing w:after="0"/>
              <w:rPr>
                <w:sz w:val="6"/>
                <w:szCs w:val="6"/>
                <w:color w:val="auto"/>
              </w:rPr>
            </w:pPr>
          </w:p>
        </w:tc>
        <w:tc>
          <w:tcPr>
            <w:tcW w:w="11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8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Financing element on certain derivative instruments and other derivative related transactions, net</w:t>
            </w:r>
          </w:p>
        </w:tc>
        <w:tc>
          <w:tcPr>
            <w:tcW w:w="360" w:type="dxa"/>
            <w:vAlign w:val="bottom"/>
            <w:shd w:val="clear" w:color="auto" w:fill="CCEEFF"/>
          </w:tcPr>
          <w:p>
            <w:pPr>
              <w:spacing w:after="0"/>
              <w:rPr>
                <w:sz w:val="17"/>
                <w:szCs w:val="17"/>
                <w:color w:val="auto"/>
              </w:rPr>
            </w:pPr>
          </w:p>
        </w:tc>
        <w:tc>
          <w:tcPr>
            <w:tcW w:w="114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(37)</w:t>
            </w: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(228)</w:t>
            </w:r>
          </w:p>
        </w:tc>
        <w:tc>
          <w:tcPr>
            <w:tcW w:w="0" w:type="dxa"/>
            <w:vAlign w:val="bottom"/>
          </w:tcPr>
          <w:p>
            <w:pPr>
              <w:spacing w:after="0"/>
              <w:rPr>
                <w:sz w:val="1"/>
                <w:szCs w:val="1"/>
                <w:color w:val="auto"/>
              </w:rPr>
            </w:pPr>
          </w:p>
        </w:tc>
      </w:tr>
      <w:tr>
        <w:trPr>
          <w:trHeight w:val="80"/>
        </w:trPr>
        <w:tc>
          <w:tcPr>
            <w:tcW w:w="8340" w:type="dxa"/>
            <w:vAlign w:val="bottom"/>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114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11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8340" w:type="dxa"/>
            <w:vAlign w:val="bottom"/>
          </w:tcPr>
          <w:p>
            <w:pPr>
              <w:ind w:left="40"/>
              <w:spacing w:after="0"/>
              <w:rPr>
                <w:sz w:val="20"/>
                <w:szCs w:val="20"/>
                <w:color w:val="auto"/>
              </w:rPr>
            </w:pPr>
            <w:r>
              <w:rPr>
                <w:rFonts w:ascii="Arial" w:cs="Arial" w:eastAsia="Arial" w:hAnsi="Arial"/>
                <w:sz w:val="14"/>
                <w:szCs w:val="14"/>
                <w:color w:val="auto"/>
              </w:rPr>
              <w:t>Distribution to MetLife, Inc.</w:t>
            </w:r>
          </w:p>
        </w:tc>
        <w:tc>
          <w:tcPr>
            <w:tcW w:w="360" w:type="dxa"/>
            <w:vAlign w:val="bottom"/>
          </w:tcPr>
          <w:p>
            <w:pPr>
              <w:spacing w:after="0"/>
              <w:rPr>
                <w:sz w:val="16"/>
                <w:szCs w:val="16"/>
                <w:color w:val="auto"/>
              </w:rPr>
            </w:pPr>
          </w:p>
        </w:tc>
        <w:tc>
          <w:tcPr>
            <w:tcW w:w="1140" w:type="dxa"/>
            <w:vAlign w:val="bottom"/>
            <w:vMerge w:val="restart"/>
          </w:tcPr>
          <w:p>
            <w:pPr>
              <w:jc w:val="right"/>
              <w:ind w:right="8"/>
              <w:spacing w:after="0"/>
              <w:rPr>
                <w:sz w:val="20"/>
                <w:szCs w:val="20"/>
                <w:color w:val="auto"/>
              </w:rPr>
            </w:pPr>
            <w:r>
              <w:rPr>
                <w:rFonts w:ascii="Arial" w:cs="Arial" w:eastAsia="Arial" w:hAnsi="Arial"/>
                <w:sz w:val="14"/>
                <w:szCs w:val="14"/>
                <w:color w:val="auto"/>
              </w:rPr>
              <w:t>(1,798)</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0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74"/>
        </w:trPr>
        <w:tc>
          <w:tcPr>
            <w:tcW w:w="8340" w:type="dxa"/>
            <w:vAlign w:val="bottom"/>
          </w:tcPr>
          <w:p>
            <w:pPr>
              <w:spacing w:after="0"/>
              <w:rPr>
                <w:sz w:val="6"/>
                <w:szCs w:val="6"/>
                <w:color w:val="auto"/>
              </w:rPr>
            </w:pPr>
          </w:p>
        </w:tc>
        <w:tc>
          <w:tcPr>
            <w:tcW w:w="360" w:type="dxa"/>
            <w:vAlign w:val="bottom"/>
          </w:tcPr>
          <w:p>
            <w:pPr>
              <w:spacing w:after="0"/>
              <w:rPr>
                <w:sz w:val="6"/>
                <w:szCs w:val="6"/>
                <w:color w:val="auto"/>
              </w:rPr>
            </w:pPr>
          </w:p>
        </w:tc>
        <w:tc>
          <w:tcPr>
            <w:tcW w:w="11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360" w:type="dxa"/>
            <w:vAlign w:val="bottom"/>
          </w:tcPr>
          <w:p>
            <w:pPr>
              <w:spacing w:after="0"/>
              <w:rPr>
                <w:sz w:val="6"/>
                <w:szCs w:val="6"/>
                <w:color w:val="auto"/>
              </w:rPr>
            </w:pPr>
          </w:p>
        </w:tc>
        <w:tc>
          <w:tcPr>
            <w:tcW w:w="11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8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Cash received from MetLife in connection with shareholder's net investment</w:t>
            </w:r>
          </w:p>
        </w:tc>
        <w:tc>
          <w:tcPr>
            <w:tcW w:w="360" w:type="dxa"/>
            <w:vAlign w:val="bottom"/>
            <w:shd w:val="clear" w:color="auto" w:fill="CCEEFF"/>
          </w:tcPr>
          <w:p>
            <w:pPr>
              <w:spacing w:after="0"/>
              <w:rPr>
                <w:sz w:val="17"/>
                <w:szCs w:val="17"/>
                <w:color w:val="auto"/>
              </w:rPr>
            </w:pPr>
          </w:p>
        </w:tc>
        <w:tc>
          <w:tcPr>
            <w:tcW w:w="114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293</w:t>
            </w: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1,726</w:t>
            </w:r>
          </w:p>
        </w:tc>
        <w:tc>
          <w:tcPr>
            <w:tcW w:w="0" w:type="dxa"/>
            <w:vAlign w:val="bottom"/>
          </w:tcPr>
          <w:p>
            <w:pPr>
              <w:spacing w:after="0"/>
              <w:rPr>
                <w:sz w:val="1"/>
                <w:szCs w:val="1"/>
                <w:color w:val="auto"/>
              </w:rPr>
            </w:pPr>
          </w:p>
        </w:tc>
      </w:tr>
      <w:tr>
        <w:trPr>
          <w:trHeight w:val="80"/>
        </w:trPr>
        <w:tc>
          <w:tcPr>
            <w:tcW w:w="8340" w:type="dxa"/>
            <w:vAlign w:val="bottom"/>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114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11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8340" w:type="dxa"/>
            <w:vAlign w:val="bottom"/>
          </w:tcPr>
          <w:p>
            <w:pPr>
              <w:ind w:left="40"/>
              <w:spacing w:after="0"/>
              <w:rPr>
                <w:sz w:val="20"/>
                <w:szCs w:val="20"/>
                <w:color w:val="auto"/>
              </w:rPr>
            </w:pPr>
            <w:r>
              <w:rPr>
                <w:rFonts w:ascii="Arial" w:cs="Arial" w:eastAsia="Arial" w:hAnsi="Arial"/>
                <w:sz w:val="14"/>
                <w:szCs w:val="14"/>
                <w:color w:val="auto"/>
              </w:rPr>
              <w:t>Cash paid to MetLife in connection with shareholder's net investment</w:t>
            </w:r>
          </w:p>
        </w:tc>
        <w:tc>
          <w:tcPr>
            <w:tcW w:w="360" w:type="dxa"/>
            <w:vAlign w:val="bottom"/>
          </w:tcPr>
          <w:p>
            <w:pPr>
              <w:spacing w:after="0"/>
              <w:rPr>
                <w:sz w:val="16"/>
                <w:szCs w:val="16"/>
                <w:color w:val="auto"/>
              </w:rPr>
            </w:pPr>
          </w:p>
        </w:tc>
        <w:tc>
          <w:tcPr>
            <w:tcW w:w="1140" w:type="dxa"/>
            <w:vAlign w:val="bottom"/>
            <w:vMerge w:val="restart"/>
          </w:tcPr>
          <w:p>
            <w:pPr>
              <w:jc w:val="right"/>
              <w:ind w:right="8"/>
              <w:spacing w:after="0"/>
              <w:rPr>
                <w:sz w:val="20"/>
                <w:szCs w:val="20"/>
                <w:color w:val="auto"/>
              </w:rPr>
            </w:pPr>
            <w:r>
              <w:rPr>
                <w:rFonts w:ascii="Arial" w:cs="Arial" w:eastAsia="Arial" w:hAnsi="Arial"/>
                <w:sz w:val="14"/>
                <w:szCs w:val="14"/>
                <w:color w:val="auto"/>
              </w:rPr>
              <w:t>(668)</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00" w:type="dxa"/>
            <w:vAlign w:val="bottom"/>
            <w:vMerge w:val="restart"/>
          </w:tcPr>
          <w:p>
            <w:pPr>
              <w:jc w:val="right"/>
              <w:spacing w:after="0"/>
              <w:rPr>
                <w:sz w:val="20"/>
                <w:szCs w:val="20"/>
                <w:color w:val="auto"/>
              </w:rPr>
            </w:pPr>
            <w:r>
              <w:rPr>
                <w:rFonts w:ascii="Arial" w:cs="Arial" w:eastAsia="Arial" w:hAnsi="Arial"/>
                <w:sz w:val="14"/>
                <w:szCs w:val="14"/>
                <w:color w:val="auto"/>
              </w:rPr>
              <w:t>(58)</w:t>
            </w:r>
          </w:p>
        </w:tc>
        <w:tc>
          <w:tcPr>
            <w:tcW w:w="0" w:type="dxa"/>
            <w:vAlign w:val="bottom"/>
          </w:tcPr>
          <w:p>
            <w:pPr>
              <w:spacing w:after="0"/>
              <w:rPr>
                <w:sz w:val="1"/>
                <w:szCs w:val="1"/>
                <w:color w:val="auto"/>
              </w:rPr>
            </w:pPr>
          </w:p>
        </w:tc>
      </w:tr>
      <w:tr>
        <w:trPr>
          <w:trHeight w:val="74"/>
        </w:trPr>
        <w:tc>
          <w:tcPr>
            <w:tcW w:w="8340" w:type="dxa"/>
            <w:vAlign w:val="bottom"/>
          </w:tcPr>
          <w:p>
            <w:pPr>
              <w:spacing w:after="0"/>
              <w:rPr>
                <w:sz w:val="6"/>
                <w:szCs w:val="6"/>
                <w:color w:val="auto"/>
              </w:rPr>
            </w:pPr>
          </w:p>
        </w:tc>
        <w:tc>
          <w:tcPr>
            <w:tcW w:w="360" w:type="dxa"/>
            <w:vAlign w:val="bottom"/>
          </w:tcPr>
          <w:p>
            <w:pPr>
              <w:spacing w:after="0"/>
              <w:rPr>
                <w:sz w:val="6"/>
                <w:szCs w:val="6"/>
                <w:color w:val="auto"/>
              </w:rPr>
            </w:pPr>
          </w:p>
        </w:tc>
        <w:tc>
          <w:tcPr>
            <w:tcW w:w="11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360" w:type="dxa"/>
            <w:vAlign w:val="bottom"/>
          </w:tcPr>
          <w:p>
            <w:pPr>
              <w:spacing w:after="0"/>
              <w:rPr>
                <w:sz w:val="6"/>
                <w:szCs w:val="6"/>
                <w:color w:val="auto"/>
              </w:rPr>
            </w:pPr>
          </w:p>
        </w:tc>
        <w:tc>
          <w:tcPr>
            <w:tcW w:w="11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8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Other, net</w:t>
            </w:r>
          </w:p>
        </w:tc>
        <w:tc>
          <w:tcPr>
            <w:tcW w:w="360" w:type="dxa"/>
            <w:vAlign w:val="bottom"/>
            <w:shd w:val="clear" w:color="auto" w:fill="CCEEFF"/>
          </w:tcPr>
          <w:p>
            <w:pPr>
              <w:spacing w:after="0"/>
              <w:rPr>
                <w:sz w:val="17"/>
                <w:szCs w:val="17"/>
                <w:color w:val="auto"/>
              </w:rPr>
            </w:pPr>
          </w:p>
        </w:tc>
        <w:tc>
          <w:tcPr>
            <w:tcW w:w="114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(26)</w:t>
            </w: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80"/>
        </w:trPr>
        <w:tc>
          <w:tcPr>
            <w:tcW w:w="8340" w:type="dxa"/>
            <w:vAlign w:val="bottom"/>
            <w:shd w:val="clear" w:color="auto" w:fill="CCEEFF"/>
          </w:tcPr>
          <w:p>
            <w:pPr>
              <w:spacing w:after="0"/>
              <w:rPr>
                <w:sz w:val="6"/>
                <w:szCs w:val="6"/>
                <w:color w:val="auto"/>
              </w:rPr>
            </w:pPr>
          </w:p>
        </w:tc>
        <w:tc>
          <w:tcPr>
            <w:tcW w:w="360" w:type="dxa"/>
            <w:vAlign w:val="bottom"/>
            <w:tcBorders>
              <w:bottom w:val="single" w:sz="8" w:color="auto"/>
            </w:tcBorders>
            <w:shd w:val="clear" w:color="auto" w:fill="CCEEFF"/>
          </w:tcPr>
          <w:p>
            <w:pPr>
              <w:spacing w:after="0"/>
              <w:rPr>
                <w:sz w:val="6"/>
                <w:szCs w:val="6"/>
                <w:color w:val="auto"/>
              </w:rPr>
            </w:pPr>
          </w:p>
        </w:tc>
        <w:tc>
          <w:tcPr>
            <w:tcW w:w="114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60" w:type="dxa"/>
            <w:vAlign w:val="bottom"/>
            <w:tcBorders>
              <w:bottom w:val="single" w:sz="8" w:color="auto"/>
            </w:tcBorders>
            <w:shd w:val="clear" w:color="auto" w:fill="CCEEFF"/>
          </w:tcPr>
          <w:p>
            <w:pPr>
              <w:spacing w:after="0"/>
              <w:rPr>
                <w:sz w:val="6"/>
                <w:szCs w:val="6"/>
                <w:color w:val="auto"/>
              </w:rPr>
            </w:pPr>
          </w:p>
        </w:tc>
        <w:tc>
          <w:tcPr>
            <w:tcW w:w="1100" w:type="dxa"/>
            <w:vAlign w:val="bottom"/>
            <w:tcBorders>
              <w:bottom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1"/>
        </w:trPr>
        <w:tc>
          <w:tcPr>
            <w:tcW w:w="8340" w:type="dxa"/>
            <w:vAlign w:val="bottom"/>
          </w:tcPr>
          <w:p>
            <w:pPr>
              <w:ind w:left="40"/>
              <w:spacing w:after="0"/>
              <w:rPr>
                <w:sz w:val="20"/>
                <w:szCs w:val="20"/>
                <w:color w:val="auto"/>
              </w:rPr>
            </w:pPr>
            <w:r>
              <w:rPr>
                <w:rFonts w:ascii="Arial" w:cs="Arial" w:eastAsia="Arial" w:hAnsi="Arial"/>
                <w:sz w:val="14"/>
                <w:szCs w:val="14"/>
                <w:color w:val="auto"/>
              </w:rPr>
              <w:t>Net cash provided by (used in) financing activities</w:t>
            </w:r>
          </w:p>
        </w:tc>
        <w:tc>
          <w:tcPr>
            <w:tcW w:w="360" w:type="dxa"/>
            <w:vAlign w:val="bottom"/>
          </w:tcPr>
          <w:p>
            <w:pPr>
              <w:spacing w:after="0"/>
              <w:rPr>
                <w:sz w:val="14"/>
                <w:szCs w:val="14"/>
                <w:color w:val="auto"/>
              </w:rPr>
            </w:pPr>
          </w:p>
        </w:tc>
        <w:tc>
          <w:tcPr>
            <w:tcW w:w="1140" w:type="dxa"/>
            <w:vAlign w:val="bottom"/>
            <w:vMerge w:val="restart"/>
          </w:tcPr>
          <w:p>
            <w:pPr>
              <w:jc w:val="right"/>
              <w:ind w:right="8"/>
              <w:spacing w:after="0"/>
              <w:rPr>
                <w:sz w:val="20"/>
                <w:szCs w:val="20"/>
                <w:color w:val="auto"/>
              </w:rPr>
            </w:pPr>
            <w:r>
              <w:rPr>
                <w:rFonts w:ascii="Arial" w:cs="Arial" w:eastAsia="Arial" w:hAnsi="Arial"/>
                <w:sz w:val="14"/>
                <w:szCs w:val="14"/>
                <w:color w:val="auto"/>
              </w:rPr>
              <w:t>(3,006)</w:t>
            </w: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00" w:type="dxa"/>
            <w:vAlign w:val="bottom"/>
            <w:vMerge w:val="restart"/>
          </w:tcPr>
          <w:p>
            <w:pPr>
              <w:jc w:val="right"/>
              <w:ind w:right="28"/>
              <w:spacing w:after="0"/>
              <w:rPr>
                <w:sz w:val="20"/>
                <w:szCs w:val="20"/>
                <w:color w:val="auto"/>
              </w:rPr>
            </w:pPr>
            <w:r>
              <w:rPr>
                <w:rFonts w:ascii="Arial" w:cs="Arial" w:eastAsia="Arial" w:hAnsi="Arial"/>
                <w:sz w:val="14"/>
                <w:szCs w:val="14"/>
                <w:color w:val="auto"/>
              </w:rPr>
              <w:t>3,724</w:t>
            </w:r>
          </w:p>
        </w:tc>
        <w:tc>
          <w:tcPr>
            <w:tcW w:w="0" w:type="dxa"/>
            <w:vAlign w:val="bottom"/>
          </w:tcPr>
          <w:p>
            <w:pPr>
              <w:spacing w:after="0"/>
              <w:rPr>
                <w:sz w:val="1"/>
                <w:szCs w:val="1"/>
                <w:color w:val="auto"/>
              </w:rPr>
            </w:pPr>
          </w:p>
        </w:tc>
      </w:tr>
      <w:tr>
        <w:trPr>
          <w:trHeight w:val="74"/>
        </w:trPr>
        <w:tc>
          <w:tcPr>
            <w:tcW w:w="8340" w:type="dxa"/>
            <w:vAlign w:val="bottom"/>
            <w:tcBorders>
              <w:bottom w:val="single" w:sz="8" w:color="CCEEFF"/>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114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110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8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Change in cash and cash equivalents</w:t>
            </w:r>
          </w:p>
        </w:tc>
        <w:tc>
          <w:tcPr>
            <w:tcW w:w="360" w:type="dxa"/>
            <w:vAlign w:val="bottom"/>
            <w:shd w:val="clear" w:color="auto" w:fill="CCEEFF"/>
          </w:tcPr>
          <w:p>
            <w:pPr>
              <w:spacing w:after="0"/>
              <w:rPr>
                <w:sz w:val="15"/>
                <w:szCs w:val="15"/>
                <w:color w:val="auto"/>
              </w:rPr>
            </w:pPr>
          </w:p>
        </w:tc>
        <w:tc>
          <w:tcPr>
            <w:tcW w:w="114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(3,530)</w:t>
            </w:r>
          </w:p>
        </w:tc>
        <w:tc>
          <w:tcPr>
            <w:tcW w:w="1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1,255</w:t>
            </w:r>
          </w:p>
        </w:tc>
        <w:tc>
          <w:tcPr>
            <w:tcW w:w="0" w:type="dxa"/>
            <w:vAlign w:val="bottom"/>
          </w:tcPr>
          <w:p>
            <w:pPr>
              <w:spacing w:after="0"/>
              <w:rPr>
                <w:sz w:val="1"/>
                <w:szCs w:val="1"/>
                <w:color w:val="auto"/>
              </w:rPr>
            </w:pPr>
          </w:p>
        </w:tc>
      </w:tr>
      <w:tr>
        <w:trPr>
          <w:trHeight w:val="80"/>
        </w:trPr>
        <w:tc>
          <w:tcPr>
            <w:tcW w:w="8340" w:type="dxa"/>
            <w:vAlign w:val="bottom"/>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114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11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8340" w:type="dxa"/>
            <w:vAlign w:val="bottom"/>
          </w:tcPr>
          <w:p>
            <w:pPr>
              <w:ind w:left="40"/>
              <w:spacing w:after="0"/>
              <w:rPr>
                <w:sz w:val="20"/>
                <w:szCs w:val="20"/>
                <w:color w:val="auto"/>
              </w:rPr>
            </w:pPr>
            <w:r>
              <w:rPr>
                <w:rFonts w:ascii="Arial" w:cs="Arial" w:eastAsia="Arial" w:hAnsi="Arial"/>
                <w:sz w:val="14"/>
                <w:szCs w:val="14"/>
                <w:color w:val="auto"/>
              </w:rPr>
              <w:t>Cash and cash equivalents, beginning of period</w:t>
            </w:r>
          </w:p>
        </w:tc>
        <w:tc>
          <w:tcPr>
            <w:tcW w:w="360" w:type="dxa"/>
            <w:vAlign w:val="bottom"/>
          </w:tcPr>
          <w:p>
            <w:pPr>
              <w:spacing w:after="0"/>
              <w:rPr>
                <w:sz w:val="16"/>
                <w:szCs w:val="16"/>
                <w:color w:val="auto"/>
              </w:rPr>
            </w:pPr>
          </w:p>
        </w:tc>
        <w:tc>
          <w:tcPr>
            <w:tcW w:w="1140" w:type="dxa"/>
            <w:vAlign w:val="bottom"/>
            <w:vMerge w:val="restart"/>
          </w:tcPr>
          <w:p>
            <w:pPr>
              <w:jc w:val="right"/>
              <w:ind w:right="48"/>
              <w:spacing w:after="0"/>
              <w:rPr>
                <w:sz w:val="20"/>
                <w:szCs w:val="20"/>
                <w:color w:val="auto"/>
              </w:rPr>
            </w:pPr>
            <w:r>
              <w:rPr>
                <w:rFonts w:ascii="Arial" w:cs="Arial" w:eastAsia="Arial" w:hAnsi="Arial"/>
                <w:sz w:val="14"/>
                <w:szCs w:val="14"/>
                <w:color w:val="auto"/>
              </w:rPr>
              <w:t>5,228</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00" w:type="dxa"/>
            <w:vAlign w:val="bottom"/>
            <w:vMerge w:val="restart"/>
          </w:tcPr>
          <w:p>
            <w:pPr>
              <w:jc w:val="right"/>
              <w:ind w:right="28"/>
              <w:spacing w:after="0"/>
              <w:rPr>
                <w:sz w:val="20"/>
                <w:szCs w:val="20"/>
                <w:color w:val="auto"/>
              </w:rPr>
            </w:pPr>
            <w:r>
              <w:rPr>
                <w:rFonts w:ascii="Arial" w:cs="Arial" w:eastAsia="Arial" w:hAnsi="Arial"/>
                <w:sz w:val="14"/>
                <w:szCs w:val="14"/>
                <w:color w:val="auto"/>
              </w:rPr>
              <w:t>1,570</w:t>
            </w:r>
          </w:p>
        </w:tc>
        <w:tc>
          <w:tcPr>
            <w:tcW w:w="0" w:type="dxa"/>
            <w:vAlign w:val="bottom"/>
          </w:tcPr>
          <w:p>
            <w:pPr>
              <w:spacing w:after="0"/>
              <w:rPr>
                <w:sz w:val="1"/>
                <w:szCs w:val="1"/>
                <w:color w:val="auto"/>
              </w:rPr>
            </w:pPr>
          </w:p>
        </w:tc>
      </w:tr>
      <w:tr>
        <w:trPr>
          <w:trHeight w:val="74"/>
        </w:trPr>
        <w:tc>
          <w:tcPr>
            <w:tcW w:w="8340" w:type="dxa"/>
            <w:vAlign w:val="bottom"/>
            <w:tcBorders>
              <w:bottom w:val="single" w:sz="8" w:color="CCEEFF"/>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114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110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834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Cash and cash equivalents, end of period</w:t>
            </w:r>
          </w:p>
        </w:tc>
        <w:tc>
          <w:tcPr>
            <w:tcW w:w="360" w:type="dxa"/>
            <w:vAlign w:val="bottom"/>
            <w:vMerge w:val="restart"/>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14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1,698</w:t>
            </w:r>
          </w:p>
        </w:tc>
        <w:tc>
          <w:tcPr>
            <w:tcW w:w="120" w:type="dxa"/>
            <w:vAlign w:val="bottom"/>
            <w:shd w:val="clear" w:color="auto" w:fill="CCEEFF"/>
          </w:tcPr>
          <w:p>
            <w:pPr>
              <w:spacing w:after="0"/>
              <w:rPr>
                <w:sz w:val="15"/>
                <w:szCs w:val="15"/>
                <w:color w:val="auto"/>
              </w:rPr>
            </w:pPr>
          </w:p>
        </w:tc>
        <w:tc>
          <w:tcPr>
            <w:tcW w:w="360" w:type="dxa"/>
            <w:vAlign w:val="bottom"/>
            <w:vMerge w:val="restart"/>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1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2,825</w:t>
            </w:r>
          </w:p>
        </w:tc>
        <w:tc>
          <w:tcPr>
            <w:tcW w:w="0" w:type="dxa"/>
            <w:vAlign w:val="bottom"/>
          </w:tcPr>
          <w:p>
            <w:pPr>
              <w:spacing w:after="0"/>
              <w:rPr>
                <w:sz w:val="1"/>
                <w:szCs w:val="1"/>
                <w:color w:val="auto"/>
              </w:rPr>
            </w:pPr>
          </w:p>
        </w:tc>
      </w:tr>
      <w:tr>
        <w:trPr>
          <w:trHeight w:val="60"/>
        </w:trPr>
        <w:tc>
          <w:tcPr>
            <w:tcW w:w="8340" w:type="dxa"/>
            <w:vAlign w:val="bottom"/>
            <w:tcBorders>
              <w:bottom w:val="single" w:sz="8" w:color="CCEEFF"/>
            </w:tcBorders>
            <w:shd w:val="clear" w:color="auto" w:fill="CCEEFF"/>
          </w:tcPr>
          <w:p>
            <w:pPr>
              <w:spacing w:after="0"/>
              <w:rPr>
                <w:sz w:val="5"/>
                <w:szCs w:val="5"/>
                <w:color w:val="auto"/>
              </w:rPr>
            </w:pPr>
          </w:p>
        </w:tc>
        <w:tc>
          <w:tcPr>
            <w:tcW w:w="360" w:type="dxa"/>
            <w:vAlign w:val="bottom"/>
            <w:tcBorders>
              <w:bottom w:val="single" w:sz="8" w:color="auto"/>
            </w:tcBorders>
            <w:vMerge w:val="continue"/>
            <w:shd w:val="clear" w:color="auto" w:fill="CCEEFF"/>
          </w:tcPr>
          <w:p>
            <w:pPr>
              <w:spacing w:after="0"/>
              <w:rPr>
                <w:sz w:val="5"/>
                <w:szCs w:val="5"/>
                <w:color w:val="auto"/>
              </w:rPr>
            </w:pPr>
          </w:p>
        </w:tc>
        <w:tc>
          <w:tcPr>
            <w:tcW w:w="1140" w:type="dxa"/>
            <w:vAlign w:val="bottom"/>
            <w:tcBorders>
              <w:bottom w:val="single" w:sz="8" w:color="auto"/>
            </w:tcBorders>
            <w:vMerge w:val="continue"/>
            <w:shd w:val="clear" w:color="auto" w:fill="CCEEFF"/>
          </w:tcPr>
          <w:p>
            <w:pPr>
              <w:spacing w:after="0"/>
              <w:rPr>
                <w:sz w:val="5"/>
                <w:szCs w:val="5"/>
                <w:color w:val="auto"/>
              </w:rPr>
            </w:pPr>
          </w:p>
        </w:tc>
        <w:tc>
          <w:tcPr>
            <w:tcW w:w="120" w:type="dxa"/>
            <w:vAlign w:val="bottom"/>
            <w:tcBorders>
              <w:bottom w:val="single" w:sz="8" w:color="CCEEFF"/>
            </w:tcBorders>
            <w:shd w:val="clear" w:color="auto" w:fill="CCEEFF"/>
          </w:tcPr>
          <w:p>
            <w:pPr>
              <w:spacing w:after="0"/>
              <w:rPr>
                <w:sz w:val="5"/>
                <w:szCs w:val="5"/>
                <w:color w:val="auto"/>
              </w:rPr>
            </w:pPr>
          </w:p>
        </w:tc>
        <w:tc>
          <w:tcPr>
            <w:tcW w:w="360" w:type="dxa"/>
            <w:vAlign w:val="bottom"/>
            <w:tcBorders>
              <w:bottom w:val="single" w:sz="8" w:color="auto"/>
            </w:tcBorders>
            <w:vMerge w:val="continue"/>
            <w:shd w:val="clear" w:color="auto" w:fill="CCEEFF"/>
          </w:tcPr>
          <w:p>
            <w:pPr>
              <w:spacing w:after="0"/>
              <w:rPr>
                <w:sz w:val="5"/>
                <w:szCs w:val="5"/>
                <w:color w:val="auto"/>
              </w:rPr>
            </w:pPr>
          </w:p>
        </w:tc>
        <w:tc>
          <w:tcPr>
            <w:tcW w:w="1100" w:type="dxa"/>
            <w:vAlign w:val="bottom"/>
            <w:tcBorders>
              <w:bottom w:val="single" w:sz="8" w:color="auto"/>
            </w:tcBorders>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83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Supplemental disclosures of cash flow information</w:t>
            </w: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8340" w:type="dxa"/>
            <w:vAlign w:val="bottom"/>
            <w:vMerge w:val="continue"/>
          </w:tcPr>
          <w:p>
            <w:pPr>
              <w:spacing w:after="0"/>
              <w:rPr>
                <w:sz w:val="13"/>
                <w:szCs w:val="13"/>
                <w:color w:val="auto"/>
              </w:rPr>
            </w:pPr>
          </w:p>
        </w:tc>
        <w:tc>
          <w:tcPr>
            <w:tcW w:w="3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8340" w:type="dxa"/>
            <w:vAlign w:val="bottom"/>
          </w:tcPr>
          <w:p>
            <w:pPr>
              <w:spacing w:after="0"/>
              <w:rPr>
                <w:sz w:val="9"/>
                <w:szCs w:val="9"/>
                <w:color w:val="auto"/>
              </w:rPr>
            </w:pPr>
          </w:p>
        </w:tc>
        <w:tc>
          <w:tcPr>
            <w:tcW w:w="36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360" w:type="dxa"/>
            <w:vAlign w:val="bottom"/>
          </w:tcPr>
          <w:p>
            <w:pPr>
              <w:spacing w:after="0"/>
              <w:rPr>
                <w:sz w:val="9"/>
                <w:szCs w:val="9"/>
                <w:color w:val="auto"/>
              </w:rPr>
            </w:pPr>
          </w:p>
        </w:tc>
        <w:tc>
          <w:tcPr>
            <w:tcW w:w="1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91"/>
        </w:trPr>
        <w:tc>
          <w:tcPr>
            <w:tcW w:w="8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cash paid (received) for:</w:t>
            </w:r>
          </w:p>
        </w:tc>
        <w:tc>
          <w:tcPr>
            <w:tcW w:w="36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8340" w:type="dxa"/>
            <w:vAlign w:val="bottom"/>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114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110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8340" w:type="dxa"/>
            <w:vAlign w:val="bottom"/>
          </w:tcPr>
          <w:p>
            <w:pPr>
              <w:ind w:left="180"/>
              <w:spacing w:after="0"/>
              <w:rPr>
                <w:sz w:val="20"/>
                <w:szCs w:val="20"/>
                <w:color w:val="auto"/>
              </w:rPr>
            </w:pPr>
            <w:r>
              <w:rPr>
                <w:rFonts w:ascii="Arial" w:cs="Arial" w:eastAsia="Arial" w:hAnsi="Arial"/>
                <w:sz w:val="14"/>
                <w:szCs w:val="14"/>
                <w:color w:val="auto"/>
              </w:rPr>
              <w:t>Interest</w:t>
            </w:r>
          </w:p>
        </w:tc>
        <w:tc>
          <w:tcPr>
            <w:tcW w:w="360" w:type="dxa"/>
            <w:vAlign w:val="bottom"/>
            <w:vMerge w:val="restart"/>
          </w:tcPr>
          <w:p>
            <w:pPr>
              <w:jc w:val="right"/>
              <w:ind w:right="188"/>
              <w:spacing w:after="0"/>
              <w:rPr>
                <w:sz w:val="20"/>
                <w:szCs w:val="20"/>
                <w:color w:val="auto"/>
              </w:rPr>
            </w:pPr>
            <w:r>
              <w:rPr>
                <w:rFonts w:ascii="Arial" w:cs="Arial" w:eastAsia="Arial" w:hAnsi="Arial"/>
                <w:sz w:val="14"/>
                <w:szCs w:val="14"/>
                <w:color w:val="auto"/>
              </w:rPr>
              <w:t>$</w:t>
            </w:r>
          </w:p>
        </w:tc>
        <w:tc>
          <w:tcPr>
            <w:tcW w:w="1140" w:type="dxa"/>
            <w:vAlign w:val="bottom"/>
            <w:vMerge w:val="restart"/>
          </w:tcPr>
          <w:p>
            <w:pPr>
              <w:jc w:val="right"/>
              <w:ind w:right="48"/>
              <w:spacing w:after="0"/>
              <w:rPr>
                <w:sz w:val="20"/>
                <w:szCs w:val="20"/>
                <w:color w:val="auto"/>
              </w:rPr>
            </w:pPr>
            <w:r>
              <w:rPr>
                <w:rFonts w:ascii="Arial" w:cs="Arial" w:eastAsia="Arial" w:hAnsi="Arial"/>
                <w:sz w:val="14"/>
                <w:szCs w:val="14"/>
                <w:color w:val="auto"/>
              </w:rPr>
              <w:t>89</w:t>
            </w:r>
          </w:p>
        </w:tc>
        <w:tc>
          <w:tcPr>
            <w:tcW w:w="120" w:type="dxa"/>
            <w:vAlign w:val="bottom"/>
          </w:tcPr>
          <w:p>
            <w:pPr>
              <w:spacing w:after="0"/>
              <w:rPr>
                <w:sz w:val="16"/>
                <w:szCs w:val="16"/>
                <w:color w:val="auto"/>
              </w:rPr>
            </w:pPr>
          </w:p>
        </w:tc>
        <w:tc>
          <w:tcPr>
            <w:tcW w:w="360" w:type="dxa"/>
            <w:vAlign w:val="bottom"/>
            <w:vMerge w:val="restart"/>
          </w:tcPr>
          <w:p>
            <w:pPr>
              <w:jc w:val="right"/>
              <w:ind w:right="188"/>
              <w:spacing w:after="0"/>
              <w:rPr>
                <w:sz w:val="20"/>
                <w:szCs w:val="20"/>
                <w:color w:val="auto"/>
              </w:rPr>
            </w:pPr>
            <w:r>
              <w:rPr>
                <w:rFonts w:ascii="Arial" w:cs="Arial" w:eastAsia="Arial" w:hAnsi="Arial"/>
                <w:sz w:val="14"/>
                <w:szCs w:val="14"/>
                <w:color w:val="auto"/>
              </w:rPr>
              <w:t>$</w:t>
            </w:r>
          </w:p>
        </w:tc>
        <w:tc>
          <w:tcPr>
            <w:tcW w:w="1100" w:type="dxa"/>
            <w:vAlign w:val="bottom"/>
            <w:vMerge w:val="restart"/>
          </w:tcPr>
          <w:p>
            <w:pPr>
              <w:jc w:val="right"/>
              <w:ind w:right="28"/>
              <w:spacing w:after="0"/>
              <w:rPr>
                <w:sz w:val="20"/>
                <w:szCs w:val="20"/>
                <w:color w:val="auto"/>
              </w:rPr>
            </w:pPr>
            <w:r>
              <w:rPr>
                <w:rFonts w:ascii="Arial" w:cs="Arial" w:eastAsia="Arial" w:hAnsi="Arial"/>
                <w:sz w:val="14"/>
                <w:szCs w:val="14"/>
                <w:color w:val="auto"/>
              </w:rPr>
              <w:t>153</w:t>
            </w:r>
          </w:p>
        </w:tc>
        <w:tc>
          <w:tcPr>
            <w:tcW w:w="0" w:type="dxa"/>
            <w:vAlign w:val="bottom"/>
          </w:tcPr>
          <w:p>
            <w:pPr>
              <w:spacing w:after="0"/>
              <w:rPr>
                <w:sz w:val="1"/>
                <w:szCs w:val="1"/>
                <w:color w:val="auto"/>
              </w:rPr>
            </w:pPr>
          </w:p>
        </w:tc>
      </w:tr>
      <w:tr>
        <w:trPr>
          <w:trHeight w:val="100"/>
        </w:trPr>
        <w:tc>
          <w:tcPr>
            <w:tcW w:w="8340" w:type="dxa"/>
            <w:vAlign w:val="bottom"/>
            <w:tcBorders>
              <w:bottom w:val="single" w:sz="8" w:color="CCEEFF"/>
            </w:tcBorders>
          </w:tcPr>
          <w:p>
            <w:pPr>
              <w:spacing w:after="0"/>
              <w:rPr>
                <w:sz w:val="8"/>
                <w:szCs w:val="8"/>
                <w:color w:val="auto"/>
              </w:rPr>
            </w:pPr>
          </w:p>
        </w:tc>
        <w:tc>
          <w:tcPr>
            <w:tcW w:w="360" w:type="dxa"/>
            <w:vAlign w:val="bottom"/>
            <w:tcBorders>
              <w:bottom w:val="single" w:sz="8" w:color="auto"/>
            </w:tcBorders>
            <w:vMerge w:val="continue"/>
          </w:tcPr>
          <w:p>
            <w:pPr>
              <w:spacing w:after="0"/>
              <w:rPr>
                <w:sz w:val="8"/>
                <w:szCs w:val="8"/>
                <w:color w:val="auto"/>
              </w:rPr>
            </w:pPr>
          </w:p>
        </w:tc>
        <w:tc>
          <w:tcPr>
            <w:tcW w:w="1140" w:type="dxa"/>
            <w:vAlign w:val="bottom"/>
            <w:tcBorders>
              <w:bottom w:val="single" w:sz="8" w:color="auto"/>
            </w:tcBorders>
            <w:vMerge w:val="continue"/>
          </w:tcPr>
          <w:p>
            <w:pPr>
              <w:spacing w:after="0"/>
              <w:rPr>
                <w:sz w:val="8"/>
                <w:szCs w:val="8"/>
                <w:color w:val="auto"/>
              </w:rPr>
            </w:pPr>
          </w:p>
        </w:tc>
        <w:tc>
          <w:tcPr>
            <w:tcW w:w="120" w:type="dxa"/>
            <w:vAlign w:val="bottom"/>
            <w:tcBorders>
              <w:bottom w:val="single" w:sz="8" w:color="CCEEFF"/>
            </w:tcBorders>
          </w:tcPr>
          <w:p>
            <w:pPr>
              <w:spacing w:after="0"/>
              <w:rPr>
                <w:sz w:val="8"/>
                <w:szCs w:val="8"/>
                <w:color w:val="auto"/>
              </w:rPr>
            </w:pPr>
          </w:p>
        </w:tc>
        <w:tc>
          <w:tcPr>
            <w:tcW w:w="360" w:type="dxa"/>
            <w:vAlign w:val="bottom"/>
            <w:tcBorders>
              <w:bottom w:val="single" w:sz="8" w:color="auto"/>
            </w:tcBorders>
            <w:vMerge w:val="continue"/>
          </w:tcPr>
          <w:p>
            <w:pPr>
              <w:spacing w:after="0"/>
              <w:rPr>
                <w:sz w:val="8"/>
                <w:szCs w:val="8"/>
                <w:color w:val="auto"/>
              </w:rPr>
            </w:pPr>
          </w:p>
        </w:tc>
        <w:tc>
          <w:tcPr>
            <w:tcW w:w="11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50"/>
        </w:trPr>
        <w:tc>
          <w:tcPr>
            <w:tcW w:w="8340" w:type="dxa"/>
            <w:vAlign w:val="bottom"/>
            <w:shd w:val="clear" w:color="auto" w:fill="CCEEFF"/>
          </w:tcPr>
          <w:p>
            <w:pPr>
              <w:ind w:left="180"/>
              <w:spacing w:after="0" w:line="150" w:lineRule="exact"/>
              <w:rPr>
                <w:sz w:val="20"/>
                <w:szCs w:val="20"/>
                <w:color w:val="auto"/>
              </w:rPr>
            </w:pPr>
            <w:r>
              <w:rPr>
                <w:rFonts w:ascii="Arial" w:cs="Arial" w:eastAsia="Arial" w:hAnsi="Arial"/>
                <w:sz w:val="14"/>
                <w:szCs w:val="14"/>
                <w:color w:val="auto"/>
              </w:rPr>
              <w:t>Income tax</w:t>
            </w:r>
          </w:p>
        </w:tc>
        <w:tc>
          <w:tcPr>
            <w:tcW w:w="360" w:type="dxa"/>
            <w:vAlign w:val="bottom"/>
            <w:vMerge w:val="restart"/>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14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76</w:t>
            </w:r>
          </w:p>
        </w:tc>
        <w:tc>
          <w:tcPr>
            <w:tcW w:w="120" w:type="dxa"/>
            <w:vAlign w:val="bottom"/>
            <w:shd w:val="clear" w:color="auto" w:fill="CCEEFF"/>
          </w:tcPr>
          <w:p>
            <w:pPr>
              <w:spacing w:after="0"/>
              <w:rPr>
                <w:sz w:val="13"/>
                <w:szCs w:val="13"/>
                <w:color w:val="auto"/>
              </w:rPr>
            </w:pPr>
          </w:p>
        </w:tc>
        <w:tc>
          <w:tcPr>
            <w:tcW w:w="360" w:type="dxa"/>
            <w:vAlign w:val="bottom"/>
            <w:vMerge w:val="restart"/>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1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231</w:t>
            </w:r>
          </w:p>
        </w:tc>
        <w:tc>
          <w:tcPr>
            <w:tcW w:w="0" w:type="dxa"/>
            <w:vAlign w:val="bottom"/>
          </w:tcPr>
          <w:p>
            <w:pPr>
              <w:spacing w:after="0"/>
              <w:rPr>
                <w:sz w:val="1"/>
                <w:szCs w:val="1"/>
                <w:color w:val="auto"/>
              </w:rPr>
            </w:pPr>
          </w:p>
        </w:tc>
      </w:tr>
      <w:tr>
        <w:trPr>
          <w:trHeight w:val="60"/>
        </w:trPr>
        <w:tc>
          <w:tcPr>
            <w:tcW w:w="8340" w:type="dxa"/>
            <w:vAlign w:val="bottom"/>
            <w:tcBorders>
              <w:bottom w:val="single" w:sz="8" w:color="CCEEFF"/>
            </w:tcBorders>
            <w:shd w:val="clear" w:color="auto" w:fill="CCEEFF"/>
          </w:tcPr>
          <w:p>
            <w:pPr>
              <w:spacing w:after="0"/>
              <w:rPr>
                <w:sz w:val="5"/>
                <w:szCs w:val="5"/>
                <w:color w:val="auto"/>
              </w:rPr>
            </w:pPr>
          </w:p>
        </w:tc>
        <w:tc>
          <w:tcPr>
            <w:tcW w:w="360" w:type="dxa"/>
            <w:vAlign w:val="bottom"/>
            <w:tcBorders>
              <w:bottom w:val="single" w:sz="8" w:color="auto"/>
            </w:tcBorders>
            <w:vMerge w:val="continue"/>
            <w:shd w:val="clear" w:color="auto" w:fill="CCEEFF"/>
          </w:tcPr>
          <w:p>
            <w:pPr>
              <w:spacing w:after="0"/>
              <w:rPr>
                <w:sz w:val="5"/>
                <w:szCs w:val="5"/>
                <w:color w:val="auto"/>
              </w:rPr>
            </w:pPr>
          </w:p>
        </w:tc>
        <w:tc>
          <w:tcPr>
            <w:tcW w:w="1140" w:type="dxa"/>
            <w:vAlign w:val="bottom"/>
            <w:tcBorders>
              <w:bottom w:val="single" w:sz="8" w:color="auto"/>
            </w:tcBorders>
            <w:vMerge w:val="continue"/>
            <w:shd w:val="clear" w:color="auto" w:fill="CCEEFF"/>
          </w:tcPr>
          <w:p>
            <w:pPr>
              <w:spacing w:after="0"/>
              <w:rPr>
                <w:sz w:val="5"/>
                <w:szCs w:val="5"/>
                <w:color w:val="auto"/>
              </w:rPr>
            </w:pPr>
          </w:p>
        </w:tc>
        <w:tc>
          <w:tcPr>
            <w:tcW w:w="120" w:type="dxa"/>
            <w:vAlign w:val="bottom"/>
            <w:tcBorders>
              <w:bottom w:val="single" w:sz="8" w:color="CCEEFF"/>
            </w:tcBorders>
            <w:shd w:val="clear" w:color="auto" w:fill="CCEEFF"/>
          </w:tcPr>
          <w:p>
            <w:pPr>
              <w:spacing w:after="0"/>
              <w:rPr>
                <w:sz w:val="5"/>
                <w:szCs w:val="5"/>
                <w:color w:val="auto"/>
              </w:rPr>
            </w:pPr>
          </w:p>
        </w:tc>
        <w:tc>
          <w:tcPr>
            <w:tcW w:w="360" w:type="dxa"/>
            <w:vAlign w:val="bottom"/>
            <w:tcBorders>
              <w:bottom w:val="single" w:sz="8" w:color="auto"/>
            </w:tcBorders>
            <w:vMerge w:val="continue"/>
            <w:shd w:val="clear" w:color="auto" w:fill="CCEEFF"/>
          </w:tcPr>
          <w:p>
            <w:pPr>
              <w:spacing w:after="0"/>
              <w:rPr>
                <w:sz w:val="5"/>
                <w:szCs w:val="5"/>
                <w:color w:val="auto"/>
              </w:rPr>
            </w:pPr>
          </w:p>
        </w:tc>
        <w:tc>
          <w:tcPr>
            <w:tcW w:w="1100" w:type="dxa"/>
            <w:vAlign w:val="bottom"/>
            <w:tcBorders>
              <w:bottom w:val="single" w:sz="8" w:color="auto"/>
            </w:tcBorders>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8340" w:type="dxa"/>
            <w:vAlign w:val="bottom"/>
            <w:vMerge w:val="restart"/>
          </w:tcPr>
          <w:p>
            <w:pPr>
              <w:ind w:left="40"/>
              <w:spacing w:after="0"/>
              <w:rPr>
                <w:sz w:val="20"/>
                <w:szCs w:val="20"/>
                <w:color w:val="auto"/>
              </w:rPr>
            </w:pPr>
            <w:r>
              <w:rPr>
                <w:rFonts w:ascii="Arial" w:cs="Arial" w:eastAsia="Arial" w:hAnsi="Arial"/>
                <w:sz w:val="14"/>
                <w:szCs w:val="14"/>
                <w:color w:val="auto"/>
              </w:rPr>
              <w:t>Non-cash transactions:</w:t>
            </w: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8340" w:type="dxa"/>
            <w:vAlign w:val="bottom"/>
            <w:vMerge w:val="continue"/>
          </w:tcPr>
          <w:p>
            <w:pPr>
              <w:spacing w:after="0"/>
              <w:rPr>
                <w:sz w:val="13"/>
                <w:szCs w:val="13"/>
                <w:color w:val="auto"/>
              </w:rPr>
            </w:pPr>
          </w:p>
        </w:tc>
        <w:tc>
          <w:tcPr>
            <w:tcW w:w="3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8340" w:type="dxa"/>
            <w:vAlign w:val="bottom"/>
          </w:tcPr>
          <w:p>
            <w:pPr>
              <w:spacing w:after="0"/>
              <w:rPr>
                <w:sz w:val="9"/>
                <w:szCs w:val="9"/>
                <w:color w:val="auto"/>
              </w:rPr>
            </w:pPr>
          </w:p>
        </w:tc>
        <w:tc>
          <w:tcPr>
            <w:tcW w:w="36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360" w:type="dxa"/>
            <w:vAlign w:val="bottom"/>
          </w:tcPr>
          <w:p>
            <w:pPr>
              <w:spacing w:after="0"/>
              <w:rPr>
                <w:sz w:val="9"/>
                <w:szCs w:val="9"/>
                <w:color w:val="auto"/>
              </w:rPr>
            </w:pPr>
          </w:p>
        </w:tc>
        <w:tc>
          <w:tcPr>
            <w:tcW w:w="1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91"/>
        </w:trPr>
        <w:tc>
          <w:tcPr>
            <w:tcW w:w="83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Transfer of fixed maturity securities from former affiliates</w:t>
            </w:r>
          </w:p>
        </w:tc>
        <w:tc>
          <w:tcPr>
            <w:tcW w:w="360" w:type="dxa"/>
            <w:vAlign w:val="bottom"/>
            <w:vMerge w:val="restart"/>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26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360" w:type="dxa"/>
            <w:vAlign w:val="bottom"/>
            <w:vMerge w:val="restart"/>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1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3,478</w:t>
            </w:r>
          </w:p>
        </w:tc>
        <w:tc>
          <w:tcPr>
            <w:tcW w:w="0" w:type="dxa"/>
            <w:vAlign w:val="bottom"/>
          </w:tcPr>
          <w:p>
            <w:pPr>
              <w:spacing w:after="0"/>
              <w:rPr>
                <w:sz w:val="1"/>
                <w:szCs w:val="1"/>
                <w:color w:val="auto"/>
              </w:rPr>
            </w:pPr>
          </w:p>
        </w:tc>
      </w:tr>
      <w:tr>
        <w:trPr>
          <w:trHeight w:val="60"/>
        </w:trPr>
        <w:tc>
          <w:tcPr>
            <w:tcW w:w="8340" w:type="dxa"/>
            <w:vAlign w:val="bottom"/>
            <w:shd w:val="clear" w:color="auto" w:fill="CCEEFF"/>
          </w:tcPr>
          <w:p>
            <w:pPr>
              <w:spacing w:after="0"/>
              <w:rPr>
                <w:sz w:val="5"/>
                <w:szCs w:val="5"/>
                <w:color w:val="auto"/>
              </w:rPr>
            </w:pPr>
          </w:p>
        </w:tc>
        <w:tc>
          <w:tcPr>
            <w:tcW w:w="360" w:type="dxa"/>
            <w:vAlign w:val="bottom"/>
            <w:vMerge w:val="continue"/>
            <w:shd w:val="clear" w:color="auto" w:fill="CCEEFF"/>
          </w:tcPr>
          <w:p>
            <w:pPr>
              <w:spacing w:after="0"/>
              <w:rPr>
                <w:sz w:val="5"/>
                <w:szCs w:val="5"/>
                <w:color w:val="auto"/>
              </w:rPr>
            </w:pPr>
          </w:p>
        </w:tc>
        <w:tc>
          <w:tcPr>
            <w:tcW w:w="1260" w:type="dxa"/>
            <w:vAlign w:val="bottom"/>
            <w:gridSpan w:val="2"/>
            <w:vMerge w:val="continue"/>
            <w:shd w:val="clear" w:color="auto" w:fill="CCEEFF"/>
          </w:tcPr>
          <w:p>
            <w:pPr>
              <w:spacing w:after="0"/>
              <w:rPr>
                <w:sz w:val="5"/>
                <w:szCs w:val="5"/>
                <w:color w:val="auto"/>
              </w:rPr>
            </w:pPr>
          </w:p>
        </w:tc>
        <w:tc>
          <w:tcPr>
            <w:tcW w:w="360" w:type="dxa"/>
            <w:vAlign w:val="bottom"/>
            <w:vMerge w:val="continue"/>
            <w:shd w:val="clear" w:color="auto" w:fill="CCEEFF"/>
          </w:tcPr>
          <w:p>
            <w:pPr>
              <w:spacing w:after="0"/>
              <w:rPr>
                <w:sz w:val="5"/>
                <w:szCs w:val="5"/>
                <w:color w:val="auto"/>
              </w:rPr>
            </w:pPr>
          </w:p>
        </w:tc>
        <w:tc>
          <w:tcPr>
            <w:tcW w:w="110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8340" w:type="dxa"/>
            <w:vAlign w:val="bottom"/>
            <w:tcBorders>
              <w:top w:val="single" w:sz="8" w:color="CCEEFF"/>
              <w:bottom w:val="single" w:sz="8" w:color="CCEEFF"/>
            </w:tcBorders>
            <w:vMerge w:val="restart"/>
          </w:tcPr>
          <w:p>
            <w:pPr>
              <w:ind w:left="180"/>
              <w:spacing w:after="0"/>
              <w:rPr>
                <w:sz w:val="20"/>
                <w:szCs w:val="20"/>
                <w:color w:val="auto"/>
              </w:rPr>
            </w:pPr>
            <w:r>
              <w:rPr>
                <w:rFonts w:ascii="Arial" w:cs="Arial" w:eastAsia="Arial" w:hAnsi="Arial"/>
                <w:sz w:val="14"/>
                <w:szCs w:val="14"/>
                <w:color w:val="auto"/>
              </w:rPr>
              <w:t>Transfer of mortgage loans from former affiliates</w:t>
            </w: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8340" w:type="dxa"/>
            <w:vAlign w:val="bottom"/>
            <w:vMerge w:val="continue"/>
          </w:tcPr>
          <w:p>
            <w:pPr>
              <w:spacing w:after="0"/>
              <w:rPr>
                <w:sz w:val="13"/>
                <w:szCs w:val="13"/>
                <w:color w:val="auto"/>
              </w:rPr>
            </w:pPr>
          </w:p>
        </w:tc>
        <w:tc>
          <w:tcPr>
            <w:tcW w:w="360" w:type="dxa"/>
            <w:vAlign w:val="bottom"/>
            <w:vMerge w:val="restart"/>
          </w:tcPr>
          <w:p>
            <w:pPr>
              <w:jc w:val="right"/>
              <w:ind w:right="188"/>
              <w:spacing w:after="0"/>
              <w:rPr>
                <w:sz w:val="20"/>
                <w:szCs w:val="20"/>
                <w:color w:val="auto"/>
              </w:rPr>
            </w:pPr>
            <w:r>
              <w:rPr>
                <w:rFonts w:ascii="Arial" w:cs="Arial" w:eastAsia="Arial" w:hAnsi="Arial"/>
                <w:sz w:val="14"/>
                <w:szCs w:val="14"/>
                <w:color w:val="auto"/>
              </w:rPr>
              <w:t>$</w:t>
            </w:r>
          </w:p>
        </w:tc>
        <w:tc>
          <w:tcPr>
            <w:tcW w:w="1140" w:type="dxa"/>
            <w:vAlign w:val="bottom"/>
            <w:vMerge w:val="restart"/>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vMerge w:val="restart"/>
          </w:tcPr>
          <w:p>
            <w:pPr>
              <w:spacing w:after="0"/>
              <w:rPr>
                <w:sz w:val="13"/>
                <w:szCs w:val="13"/>
                <w:color w:val="auto"/>
              </w:rPr>
            </w:pPr>
          </w:p>
        </w:tc>
        <w:tc>
          <w:tcPr>
            <w:tcW w:w="360" w:type="dxa"/>
            <w:vAlign w:val="bottom"/>
            <w:vMerge w:val="restart"/>
          </w:tcPr>
          <w:p>
            <w:pPr>
              <w:jc w:val="right"/>
              <w:ind w:right="188"/>
              <w:spacing w:after="0"/>
              <w:rPr>
                <w:sz w:val="20"/>
                <w:szCs w:val="20"/>
                <w:color w:val="auto"/>
              </w:rPr>
            </w:pPr>
            <w:r>
              <w:rPr>
                <w:rFonts w:ascii="Arial" w:cs="Arial" w:eastAsia="Arial" w:hAnsi="Arial"/>
                <w:sz w:val="14"/>
                <w:szCs w:val="14"/>
                <w:color w:val="auto"/>
              </w:rPr>
              <w:t>$</w:t>
            </w:r>
          </w:p>
        </w:tc>
        <w:tc>
          <w:tcPr>
            <w:tcW w:w="1100" w:type="dxa"/>
            <w:vAlign w:val="bottom"/>
            <w:vMerge w:val="restart"/>
          </w:tcPr>
          <w:p>
            <w:pPr>
              <w:jc w:val="right"/>
              <w:ind w:right="28"/>
              <w:spacing w:after="0"/>
              <w:rPr>
                <w:sz w:val="20"/>
                <w:szCs w:val="20"/>
                <w:color w:val="auto"/>
              </w:rPr>
            </w:pPr>
            <w:r>
              <w:rPr>
                <w:rFonts w:ascii="Arial" w:cs="Arial" w:eastAsia="Arial" w:hAnsi="Arial"/>
                <w:sz w:val="14"/>
                <w:szCs w:val="14"/>
                <w:color w:val="auto"/>
              </w:rPr>
              <w:t>395</w:t>
            </w:r>
          </w:p>
        </w:tc>
        <w:tc>
          <w:tcPr>
            <w:tcW w:w="0" w:type="dxa"/>
            <w:vAlign w:val="bottom"/>
          </w:tcPr>
          <w:p>
            <w:pPr>
              <w:spacing w:after="0"/>
              <w:rPr>
                <w:sz w:val="1"/>
                <w:szCs w:val="1"/>
                <w:color w:val="auto"/>
              </w:rPr>
            </w:pPr>
          </w:p>
        </w:tc>
      </w:tr>
      <w:tr>
        <w:trPr>
          <w:trHeight w:val="100"/>
        </w:trPr>
        <w:tc>
          <w:tcPr>
            <w:tcW w:w="8340" w:type="dxa"/>
            <w:vAlign w:val="bottom"/>
            <w:tcBorders>
              <w:bottom w:val="single" w:sz="8" w:color="CCEEFF"/>
            </w:tcBorders>
          </w:tcPr>
          <w:p>
            <w:pPr>
              <w:spacing w:after="0"/>
              <w:rPr>
                <w:sz w:val="8"/>
                <w:szCs w:val="8"/>
                <w:color w:val="auto"/>
              </w:rPr>
            </w:pPr>
          </w:p>
        </w:tc>
        <w:tc>
          <w:tcPr>
            <w:tcW w:w="360" w:type="dxa"/>
            <w:vAlign w:val="bottom"/>
            <w:tcBorders>
              <w:bottom w:val="single" w:sz="8" w:color="auto"/>
            </w:tcBorders>
            <w:vMerge w:val="continue"/>
          </w:tcPr>
          <w:p>
            <w:pPr>
              <w:spacing w:after="0"/>
              <w:rPr>
                <w:sz w:val="8"/>
                <w:szCs w:val="8"/>
                <w:color w:val="auto"/>
              </w:rPr>
            </w:pPr>
          </w:p>
        </w:tc>
        <w:tc>
          <w:tcPr>
            <w:tcW w:w="1140" w:type="dxa"/>
            <w:vAlign w:val="bottom"/>
            <w:tcBorders>
              <w:bottom w:val="single" w:sz="8" w:color="auto"/>
            </w:tcBorders>
            <w:vMerge w:val="continue"/>
          </w:tcPr>
          <w:p>
            <w:pPr>
              <w:spacing w:after="0"/>
              <w:rPr>
                <w:sz w:val="8"/>
                <w:szCs w:val="8"/>
                <w:color w:val="auto"/>
              </w:rPr>
            </w:pPr>
          </w:p>
        </w:tc>
        <w:tc>
          <w:tcPr>
            <w:tcW w:w="120" w:type="dxa"/>
            <w:vAlign w:val="bottom"/>
            <w:tcBorders>
              <w:bottom w:val="single" w:sz="8" w:color="CCEEFF"/>
            </w:tcBorders>
            <w:vMerge w:val="continue"/>
          </w:tcPr>
          <w:p>
            <w:pPr>
              <w:spacing w:after="0"/>
              <w:rPr>
                <w:sz w:val="8"/>
                <w:szCs w:val="8"/>
                <w:color w:val="auto"/>
              </w:rPr>
            </w:pPr>
          </w:p>
        </w:tc>
        <w:tc>
          <w:tcPr>
            <w:tcW w:w="360" w:type="dxa"/>
            <w:vAlign w:val="bottom"/>
            <w:tcBorders>
              <w:bottom w:val="single" w:sz="8" w:color="auto"/>
            </w:tcBorders>
            <w:vMerge w:val="continue"/>
          </w:tcPr>
          <w:p>
            <w:pPr>
              <w:spacing w:after="0"/>
              <w:rPr>
                <w:sz w:val="8"/>
                <w:szCs w:val="8"/>
                <w:color w:val="auto"/>
              </w:rPr>
            </w:pPr>
          </w:p>
        </w:tc>
        <w:tc>
          <w:tcPr>
            <w:tcW w:w="11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50"/>
        </w:trPr>
        <w:tc>
          <w:tcPr>
            <w:tcW w:w="8340" w:type="dxa"/>
            <w:vAlign w:val="bottom"/>
            <w:shd w:val="clear" w:color="auto" w:fill="CCEEFF"/>
          </w:tcPr>
          <w:p>
            <w:pPr>
              <w:ind w:left="180"/>
              <w:spacing w:after="0" w:line="150" w:lineRule="exact"/>
              <w:rPr>
                <w:sz w:val="20"/>
                <w:szCs w:val="20"/>
                <w:color w:val="auto"/>
              </w:rPr>
            </w:pPr>
            <w:r>
              <w:rPr>
                <w:rFonts w:ascii="Arial" w:cs="Arial" w:eastAsia="Arial" w:hAnsi="Arial"/>
                <w:sz w:val="14"/>
                <w:szCs w:val="14"/>
                <w:color w:val="auto"/>
              </w:rPr>
              <w:t>Transfer of short-term investments from former affiliates</w:t>
            </w:r>
          </w:p>
        </w:tc>
        <w:tc>
          <w:tcPr>
            <w:tcW w:w="360" w:type="dxa"/>
            <w:vAlign w:val="bottom"/>
            <w:vMerge w:val="restart"/>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26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360" w:type="dxa"/>
            <w:vAlign w:val="bottom"/>
            <w:vMerge w:val="restart"/>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1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94</w:t>
            </w:r>
          </w:p>
        </w:tc>
        <w:tc>
          <w:tcPr>
            <w:tcW w:w="0" w:type="dxa"/>
            <w:vAlign w:val="bottom"/>
          </w:tcPr>
          <w:p>
            <w:pPr>
              <w:spacing w:after="0"/>
              <w:rPr>
                <w:sz w:val="1"/>
                <w:szCs w:val="1"/>
                <w:color w:val="auto"/>
              </w:rPr>
            </w:pPr>
          </w:p>
        </w:tc>
      </w:tr>
      <w:tr>
        <w:trPr>
          <w:trHeight w:val="60"/>
        </w:trPr>
        <w:tc>
          <w:tcPr>
            <w:tcW w:w="8340" w:type="dxa"/>
            <w:vAlign w:val="bottom"/>
            <w:shd w:val="clear" w:color="auto" w:fill="CCEEFF"/>
          </w:tcPr>
          <w:p>
            <w:pPr>
              <w:spacing w:after="0"/>
              <w:rPr>
                <w:sz w:val="5"/>
                <w:szCs w:val="5"/>
                <w:color w:val="auto"/>
              </w:rPr>
            </w:pPr>
          </w:p>
        </w:tc>
        <w:tc>
          <w:tcPr>
            <w:tcW w:w="360" w:type="dxa"/>
            <w:vAlign w:val="bottom"/>
            <w:vMerge w:val="continue"/>
            <w:shd w:val="clear" w:color="auto" w:fill="CCEEFF"/>
          </w:tcPr>
          <w:p>
            <w:pPr>
              <w:spacing w:after="0"/>
              <w:rPr>
                <w:sz w:val="5"/>
                <w:szCs w:val="5"/>
                <w:color w:val="auto"/>
              </w:rPr>
            </w:pPr>
          </w:p>
        </w:tc>
        <w:tc>
          <w:tcPr>
            <w:tcW w:w="1260" w:type="dxa"/>
            <w:vAlign w:val="bottom"/>
            <w:gridSpan w:val="2"/>
            <w:vMerge w:val="continue"/>
            <w:shd w:val="clear" w:color="auto" w:fill="CCEEFF"/>
          </w:tcPr>
          <w:p>
            <w:pPr>
              <w:spacing w:after="0"/>
              <w:rPr>
                <w:sz w:val="5"/>
                <w:szCs w:val="5"/>
                <w:color w:val="auto"/>
              </w:rPr>
            </w:pPr>
          </w:p>
        </w:tc>
        <w:tc>
          <w:tcPr>
            <w:tcW w:w="360" w:type="dxa"/>
            <w:vAlign w:val="bottom"/>
            <w:vMerge w:val="continue"/>
            <w:shd w:val="clear" w:color="auto" w:fill="CCEEFF"/>
          </w:tcPr>
          <w:p>
            <w:pPr>
              <w:spacing w:after="0"/>
              <w:rPr>
                <w:sz w:val="5"/>
                <w:szCs w:val="5"/>
                <w:color w:val="auto"/>
              </w:rPr>
            </w:pPr>
          </w:p>
        </w:tc>
        <w:tc>
          <w:tcPr>
            <w:tcW w:w="110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8340" w:type="dxa"/>
            <w:vAlign w:val="bottom"/>
            <w:tcBorders>
              <w:top w:val="single" w:sz="8" w:color="CCEEFF"/>
              <w:bottom w:val="single" w:sz="8" w:color="CCEEFF"/>
            </w:tcBorders>
            <w:vMerge w:val="restart"/>
          </w:tcPr>
          <w:p>
            <w:pPr>
              <w:ind w:left="180"/>
              <w:spacing w:after="0"/>
              <w:rPr>
                <w:sz w:val="20"/>
                <w:szCs w:val="20"/>
                <w:color w:val="auto"/>
              </w:rPr>
            </w:pPr>
            <w:r>
              <w:rPr>
                <w:rFonts w:ascii="Arial" w:cs="Arial" w:eastAsia="Arial" w:hAnsi="Arial"/>
                <w:sz w:val="14"/>
                <w:szCs w:val="14"/>
                <w:color w:val="auto"/>
              </w:rPr>
              <w:t>Transfer of fixed maturity securities to former affiliates</w:t>
            </w: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8340" w:type="dxa"/>
            <w:vAlign w:val="bottom"/>
            <w:vMerge w:val="continue"/>
          </w:tcPr>
          <w:p>
            <w:pPr>
              <w:spacing w:after="0"/>
              <w:rPr>
                <w:sz w:val="13"/>
                <w:szCs w:val="13"/>
                <w:color w:val="auto"/>
              </w:rPr>
            </w:pPr>
          </w:p>
        </w:tc>
        <w:tc>
          <w:tcPr>
            <w:tcW w:w="360" w:type="dxa"/>
            <w:vAlign w:val="bottom"/>
            <w:vMerge w:val="restart"/>
          </w:tcPr>
          <w:p>
            <w:pPr>
              <w:jc w:val="right"/>
              <w:ind w:right="188"/>
              <w:spacing w:after="0"/>
              <w:rPr>
                <w:sz w:val="20"/>
                <w:szCs w:val="20"/>
                <w:color w:val="auto"/>
              </w:rPr>
            </w:pPr>
            <w:r>
              <w:rPr>
                <w:rFonts w:ascii="Arial" w:cs="Arial" w:eastAsia="Arial" w:hAnsi="Arial"/>
                <w:sz w:val="14"/>
                <w:szCs w:val="14"/>
                <w:color w:val="auto"/>
              </w:rPr>
              <w:t>$</w:t>
            </w:r>
          </w:p>
        </w:tc>
        <w:tc>
          <w:tcPr>
            <w:tcW w:w="1140" w:type="dxa"/>
            <w:vAlign w:val="bottom"/>
            <w:vMerge w:val="restart"/>
          </w:tcPr>
          <w:p>
            <w:pPr>
              <w:jc w:val="right"/>
              <w:ind w:right="48"/>
              <w:spacing w:after="0"/>
              <w:rPr>
                <w:sz w:val="20"/>
                <w:szCs w:val="20"/>
                <w:color w:val="auto"/>
              </w:rPr>
            </w:pPr>
            <w:r>
              <w:rPr>
                <w:rFonts w:ascii="Arial" w:cs="Arial" w:eastAsia="Arial" w:hAnsi="Arial"/>
                <w:sz w:val="14"/>
                <w:szCs w:val="14"/>
                <w:color w:val="auto"/>
              </w:rPr>
              <w:t>293</w:t>
            </w:r>
          </w:p>
        </w:tc>
        <w:tc>
          <w:tcPr>
            <w:tcW w:w="120" w:type="dxa"/>
            <w:vAlign w:val="bottom"/>
          </w:tcPr>
          <w:p>
            <w:pPr>
              <w:spacing w:after="0"/>
              <w:rPr>
                <w:sz w:val="13"/>
                <w:szCs w:val="13"/>
                <w:color w:val="auto"/>
              </w:rPr>
            </w:pPr>
          </w:p>
        </w:tc>
        <w:tc>
          <w:tcPr>
            <w:tcW w:w="360" w:type="dxa"/>
            <w:vAlign w:val="bottom"/>
            <w:vMerge w:val="restart"/>
          </w:tcPr>
          <w:p>
            <w:pPr>
              <w:jc w:val="right"/>
              <w:ind w:right="188"/>
              <w:spacing w:after="0"/>
              <w:rPr>
                <w:sz w:val="20"/>
                <w:szCs w:val="20"/>
                <w:color w:val="auto"/>
              </w:rPr>
            </w:pPr>
            <w:r>
              <w:rPr>
                <w:rFonts w:ascii="Arial" w:cs="Arial" w:eastAsia="Arial" w:hAnsi="Arial"/>
                <w:sz w:val="14"/>
                <w:szCs w:val="14"/>
                <w:color w:val="auto"/>
              </w:rPr>
              <w:t>$</w:t>
            </w:r>
          </w:p>
        </w:tc>
        <w:tc>
          <w:tcPr>
            <w:tcW w:w="110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00"/>
        </w:trPr>
        <w:tc>
          <w:tcPr>
            <w:tcW w:w="8340" w:type="dxa"/>
            <w:vAlign w:val="bottom"/>
            <w:tcBorders>
              <w:bottom w:val="single" w:sz="8" w:color="CCEEFF"/>
            </w:tcBorders>
          </w:tcPr>
          <w:p>
            <w:pPr>
              <w:spacing w:after="0"/>
              <w:rPr>
                <w:sz w:val="8"/>
                <w:szCs w:val="8"/>
                <w:color w:val="auto"/>
              </w:rPr>
            </w:pPr>
          </w:p>
        </w:tc>
        <w:tc>
          <w:tcPr>
            <w:tcW w:w="360" w:type="dxa"/>
            <w:vAlign w:val="bottom"/>
            <w:tcBorders>
              <w:bottom w:val="single" w:sz="8" w:color="auto"/>
            </w:tcBorders>
            <w:vMerge w:val="continue"/>
          </w:tcPr>
          <w:p>
            <w:pPr>
              <w:spacing w:after="0"/>
              <w:rPr>
                <w:sz w:val="8"/>
                <w:szCs w:val="8"/>
                <w:color w:val="auto"/>
              </w:rPr>
            </w:pPr>
          </w:p>
        </w:tc>
        <w:tc>
          <w:tcPr>
            <w:tcW w:w="1140" w:type="dxa"/>
            <w:vAlign w:val="bottom"/>
            <w:tcBorders>
              <w:bottom w:val="single" w:sz="8" w:color="auto"/>
            </w:tcBorders>
            <w:vMerge w:val="continue"/>
          </w:tcPr>
          <w:p>
            <w:pPr>
              <w:spacing w:after="0"/>
              <w:rPr>
                <w:sz w:val="8"/>
                <w:szCs w:val="8"/>
                <w:color w:val="auto"/>
              </w:rPr>
            </w:pPr>
          </w:p>
        </w:tc>
        <w:tc>
          <w:tcPr>
            <w:tcW w:w="120" w:type="dxa"/>
            <w:vAlign w:val="bottom"/>
            <w:tcBorders>
              <w:bottom w:val="single" w:sz="8" w:color="CCEEFF"/>
            </w:tcBorders>
          </w:tcPr>
          <w:p>
            <w:pPr>
              <w:spacing w:after="0"/>
              <w:rPr>
                <w:sz w:val="8"/>
                <w:szCs w:val="8"/>
                <w:color w:val="auto"/>
              </w:rPr>
            </w:pPr>
          </w:p>
        </w:tc>
        <w:tc>
          <w:tcPr>
            <w:tcW w:w="360" w:type="dxa"/>
            <w:vAlign w:val="bottom"/>
            <w:tcBorders>
              <w:bottom w:val="single" w:sz="8" w:color="auto"/>
            </w:tcBorders>
            <w:vMerge w:val="continue"/>
          </w:tcPr>
          <w:p>
            <w:pPr>
              <w:spacing w:after="0"/>
              <w:rPr>
                <w:sz w:val="8"/>
                <w:szCs w:val="8"/>
                <w:color w:val="auto"/>
              </w:rPr>
            </w:pPr>
          </w:p>
        </w:tc>
        <w:tc>
          <w:tcPr>
            <w:tcW w:w="11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50"/>
        </w:trPr>
        <w:tc>
          <w:tcPr>
            <w:tcW w:w="8340" w:type="dxa"/>
            <w:vAlign w:val="bottom"/>
            <w:shd w:val="clear" w:color="auto" w:fill="CCEEFF"/>
          </w:tcPr>
          <w:p>
            <w:pPr>
              <w:ind w:left="180"/>
              <w:spacing w:after="0" w:line="150" w:lineRule="exact"/>
              <w:rPr>
                <w:sz w:val="20"/>
                <w:szCs w:val="20"/>
                <w:color w:val="auto"/>
              </w:rPr>
            </w:pPr>
            <w:r>
              <w:rPr>
                <w:rFonts w:ascii="Arial" w:cs="Arial" w:eastAsia="Arial" w:hAnsi="Arial"/>
                <w:sz w:val="14"/>
                <w:szCs w:val="14"/>
                <w:color w:val="auto"/>
              </w:rPr>
              <w:t>Reduction of policyholder account balances in connection with reinsurance transactions</w:t>
            </w:r>
          </w:p>
        </w:tc>
        <w:tc>
          <w:tcPr>
            <w:tcW w:w="360" w:type="dxa"/>
            <w:vAlign w:val="bottom"/>
            <w:vMerge w:val="restart"/>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14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293</w:t>
            </w:r>
          </w:p>
        </w:tc>
        <w:tc>
          <w:tcPr>
            <w:tcW w:w="120" w:type="dxa"/>
            <w:vAlign w:val="bottom"/>
            <w:shd w:val="clear" w:color="auto" w:fill="CCEEFF"/>
          </w:tcPr>
          <w:p>
            <w:pPr>
              <w:spacing w:after="0"/>
              <w:rPr>
                <w:sz w:val="13"/>
                <w:szCs w:val="13"/>
                <w:color w:val="auto"/>
              </w:rPr>
            </w:pPr>
          </w:p>
        </w:tc>
        <w:tc>
          <w:tcPr>
            <w:tcW w:w="360" w:type="dxa"/>
            <w:vAlign w:val="bottom"/>
            <w:vMerge w:val="restart"/>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1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60"/>
        </w:trPr>
        <w:tc>
          <w:tcPr>
            <w:tcW w:w="8340" w:type="dxa"/>
            <w:vAlign w:val="bottom"/>
            <w:tcBorders>
              <w:bottom w:val="single" w:sz="8" w:color="CCEEFF"/>
            </w:tcBorders>
            <w:shd w:val="clear" w:color="auto" w:fill="CCEEFF"/>
          </w:tcPr>
          <w:p>
            <w:pPr>
              <w:spacing w:after="0"/>
              <w:rPr>
                <w:sz w:val="5"/>
                <w:szCs w:val="5"/>
                <w:color w:val="auto"/>
              </w:rPr>
            </w:pPr>
          </w:p>
        </w:tc>
        <w:tc>
          <w:tcPr>
            <w:tcW w:w="360" w:type="dxa"/>
            <w:vAlign w:val="bottom"/>
            <w:tcBorders>
              <w:bottom w:val="single" w:sz="8" w:color="auto"/>
            </w:tcBorders>
            <w:vMerge w:val="continue"/>
            <w:shd w:val="clear" w:color="auto" w:fill="CCEEFF"/>
          </w:tcPr>
          <w:p>
            <w:pPr>
              <w:spacing w:after="0"/>
              <w:rPr>
                <w:sz w:val="5"/>
                <w:szCs w:val="5"/>
                <w:color w:val="auto"/>
              </w:rPr>
            </w:pPr>
          </w:p>
        </w:tc>
        <w:tc>
          <w:tcPr>
            <w:tcW w:w="1140" w:type="dxa"/>
            <w:vAlign w:val="bottom"/>
            <w:tcBorders>
              <w:bottom w:val="single" w:sz="8" w:color="auto"/>
            </w:tcBorders>
            <w:vMerge w:val="continue"/>
            <w:shd w:val="clear" w:color="auto" w:fill="CCEEFF"/>
          </w:tcPr>
          <w:p>
            <w:pPr>
              <w:spacing w:after="0"/>
              <w:rPr>
                <w:sz w:val="5"/>
                <w:szCs w:val="5"/>
                <w:color w:val="auto"/>
              </w:rPr>
            </w:pPr>
          </w:p>
        </w:tc>
        <w:tc>
          <w:tcPr>
            <w:tcW w:w="120" w:type="dxa"/>
            <w:vAlign w:val="bottom"/>
            <w:tcBorders>
              <w:bottom w:val="single" w:sz="8" w:color="CCEEFF"/>
            </w:tcBorders>
            <w:shd w:val="clear" w:color="auto" w:fill="CCEEFF"/>
          </w:tcPr>
          <w:p>
            <w:pPr>
              <w:spacing w:after="0"/>
              <w:rPr>
                <w:sz w:val="5"/>
                <w:szCs w:val="5"/>
                <w:color w:val="auto"/>
              </w:rPr>
            </w:pPr>
          </w:p>
        </w:tc>
        <w:tc>
          <w:tcPr>
            <w:tcW w:w="360" w:type="dxa"/>
            <w:vAlign w:val="bottom"/>
            <w:tcBorders>
              <w:bottom w:val="single" w:sz="8" w:color="auto"/>
            </w:tcBorders>
            <w:vMerge w:val="continue"/>
            <w:shd w:val="clear" w:color="auto" w:fill="CCEEFF"/>
          </w:tcPr>
          <w:p>
            <w:pPr>
              <w:spacing w:after="0"/>
              <w:rPr>
                <w:sz w:val="5"/>
                <w:szCs w:val="5"/>
                <w:color w:val="auto"/>
              </w:rPr>
            </w:pPr>
          </w:p>
        </w:tc>
        <w:tc>
          <w:tcPr>
            <w:tcW w:w="1100" w:type="dxa"/>
            <w:vAlign w:val="bottom"/>
            <w:tcBorders>
              <w:bottom w:val="single" w:sz="8" w:color="auto"/>
            </w:tcBorders>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83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20"/>
          </w:cols>
          <w:pgMar w:left="240" w:top="126" w:right="239" w:bottom="0" w:gutter="0" w:footer="0" w:header="0"/>
        </w:sectPr>
      </w:pPr>
    </w:p>
    <w:bookmarkStart w:id="6" w:name="page7"/>
    <w:bookmarkEnd w:id="6"/>
    <w:p>
      <w:pPr>
        <w:jc w:val="center"/>
        <w:ind w:right="-20"/>
        <w:spacing w:after="0"/>
        <w:rPr>
          <w:sz w:val="20"/>
          <w:szCs w:val="20"/>
          <w:color w:val="auto"/>
        </w:rPr>
      </w:pPr>
      <w:r>
        <w:rPr>
          <w:rFonts w:ascii="Arial" w:cs="Arial" w:eastAsia="Arial" w:hAnsi="Arial"/>
          <w:sz w:val="15"/>
          <w:szCs w:val="15"/>
          <w:b w:val="1"/>
          <w:bCs w:val="1"/>
          <w:color w:val="auto"/>
        </w:rPr>
        <w:t>See accompanying notes to the interim condensed consolidated and combined financial statements.</w:t>
      </w:r>
    </w:p>
    <w:p>
      <w:pPr>
        <w:sectPr>
          <w:pgSz w:w="11900" w:h="16838" w:orient="portrait"/>
          <w:cols w:equalWidth="0" w:num="1">
            <w:col w:w="9019"/>
          </w:cols>
          <w:pgMar w:left="1440" w:top="229" w:right="1440" w:bottom="1440" w:gutter="0" w:footer="0" w:header="0"/>
        </w:sect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9019"/>
          </w:cols>
          <w:pgMar w:left="1440" w:top="229" w:right="1440" w:bottom="1440" w:gutter="0" w:footer="0" w:header="0"/>
          <w:type w:val="continuous"/>
        </w:sectPr>
      </w:pPr>
    </w:p>
    <w:bookmarkStart w:id="7" w:name="page8"/>
    <w:bookmarkEnd w:id="7"/>
    <w:p>
      <w:pPr>
        <w:ind w:left="340"/>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Brighthouse Financial,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Interim Condensed Consolidated and Combined Financial Statements (Unaudited)</w:t>
      </w:r>
    </w:p>
    <w:p>
      <w:pPr>
        <w:spacing w:after="0" w:line="360" w:lineRule="exact"/>
        <w:rPr>
          <w:sz w:val="20"/>
          <w:szCs w:val="20"/>
          <w:color w:val="auto"/>
        </w:rPr>
      </w:pPr>
    </w:p>
    <w:p>
      <w:pPr>
        <w:ind w:right="5120"/>
        <w:spacing w:after="0" w:line="378" w:lineRule="auto"/>
        <w:rPr>
          <w:sz w:val="20"/>
          <w:szCs w:val="20"/>
          <w:color w:val="auto"/>
        </w:rPr>
      </w:pPr>
      <w:r>
        <w:rPr>
          <w:rFonts w:ascii="Arial" w:cs="Arial" w:eastAsia="Arial" w:hAnsi="Arial"/>
          <w:sz w:val="18"/>
          <w:szCs w:val="18"/>
          <w:b w:val="1"/>
          <w:bCs w:val="1"/>
          <w:color w:val="auto"/>
        </w:rPr>
        <w:t xml:space="preserve">1. Business, Basis of Presentation and Summary of Significant Accounting Policies </w:t>
      </w:r>
      <w:r>
        <w:rPr>
          <w:rFonts w:ascii="Arial" w:cs="Arial" w:eastAsia="Arial" w:hAnsi="Arial"/>
          <w:sz w:val="18"/>
          <w:szCs w:val="18"/>
          <w:b w:val="1"/>
          <w:bCs w:val="1"/>
          <w:i w:val="1"/>
          <w:iCs w:val="1"/>
          <w:color w:val="auto"/>
        </w:rPr>
        <w:t>Business</w:t>
      </w:r>
    </w:p>
    <w:p>
      <w:pPr>
        <w:jc w:val="both"/>
        <w:ind w:firstLine="324"/>
        <w:spacing w:after="0" w:line="257" w:lineRule="auto"/>
        <w:rPr>
          <w:sz w:val="20"/>
          <w:szCs w:val="20"/>
          <w:color w:val="auto"/>
        </w:rPr>
      </w:pPr>
      <w:r>
        <w:rPr>
          <w:rFonts w:ascii="Arial" w:cs="Arial" w:eastAsia="Arial" w:hAnsi="Arial"/>
          <w:sz w:val="18"/>
          <w:szCs w:val="18"/>
          <w:color w:val="auto"/>
        </w:rPr>
        <w:t>“Brighthouse” and the “Company” refer to Brighthouse Financial, Inc. and its subsidiaries (formerly, MetLife U.S. Retail Separation Business). Brighthouse Financial, Inc. is a holding company formed to own the legal entities that have historically operated a substantial portion of MetLife, Inc.’s former Retail segment. Brighthouse Financial, Inc. was incorporated in Delaware on August 1, 2016 in preparation for MetLife, Inc.’s separation of a substantial portion of its former Retail segment, as well as certain portions of its Corporate Benefit Funding segment (the “Separation”), which was completed on August 4, 2017.</w:t>
      </w:r>
    </w:p>
    <w:p>
      <w:pPr>
        <w:spacing w:after="0" w:line="80"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Company offers a range of individual annuities and individual life insurance products. The Company reports results through three segments: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Annuities, Life and Run-off. In addition, the Company reports certain of its results in Corporate &amp; Other.</w:t>
      </w:r>
    </w:p>
    <w:p>
      <w:pPr>
        <w:spacing w:after="0" w:line="103"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On January 12, 2016, MetLife, Inc. (MetLife, Inc., together with its subsidiaries and affiliates, “MetLife”) announced its plan to pursue the separation of a substantial portion of its former U.S. retail business. Additionally, on July 21, 2016, MetLife, Inc. announced that the separated business would be rebranded as “Brighthouse Financial.”</w:t>
      </w:r>
    </w:p>
    <w:p>
      <w:pPr>
        <w:spacing w:after="0" w:line="73" w:lineRule="exact"/>
        <w:rPr>
          <w:sz w:val="20"/>
          <w:szCs w:val="20"/>
          <w:color w:val="auto"/>
        </w:rPr>
      </w:pPr>
    </w:p>
    <w:p>
      <w:pPr>
        <w:jc w:val="both"/>
        <w:ind w:firstLine="324"/>
        <w:spacing w:after="0" w:line="288" w:lineRule="auto"/>
        <w:rPr>
          <w:sz w:val="20"/>
          <w:szCs w:val="20"/>
          <w:color w:val="auto"/>
        </w:rPr>
      </w:pPr>
      <w:r>
        <w:rPr>
          <w:rFonts w:ascii="Arial" w:cs="Arial" w:eastAsia="Arial" w:hAnsi="Arial"/>
          <w:sz w:val="16"/>
          <w:szCs w:val="16"/>
          <w:color w:val="auto"/>
        </w:rPr>
        <w:t>On October 5, 2016, Brighthouse Financial, Inc., which until the completion of the Separation on August 4, 2017, was a wholly-owned subsidiary of MetLife, Inc., filed a registration statement on Form 10 (as amended, the “Form 10”) with the U.S. Securities and Exchange Commission (“SEC”) that was declared effective by the SEC on July 6, 2017. The Form 10 disclosed MetLife, Inc.’s plans to undertake several actions, including an internal reorganization involving its U.S. retail business (the “Restructuring”) and include Brighthouse Life Insurance Company (“Brighthouse Insurance”), Brighthouse Life Insurance Company of NY (“Brighthouse NY”), New England Life Insurance Company (“NELICO”), Brighthouse Reinsurance Company of Delaware (“BRCD”) and Brighthouse Investment Advisers, LLC in the planned separated business and distribute at least 80.1% of the shares of Brighthouse Financial, Inc.’s common stock on a pro rata basis to the holders of MetLife, Inc. common stock. In connection with the Restructuring, effective April 2017, following receipt of applicable regulatory approvals, MetLife, Inc. contributed certain affiliated reinsurance companies and Brighthouse NY to Brighthouse Life Insurance Company. The affiliated reinsurance companies were then merged into BRCD, a licensed reinsurance subsidiary of Brighthouse Life Insurance Company. On July 28, 2017, MetLife, Inc. contributed Brighthouse Holdings, LLC to Brighthouse Financial, Inc. See Notes 8 and 10.</w:t>
      </w:r>
    </w:p>
    <w:p>
      <w:pPr>
        <w:spacing w:after="0" w:line="6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On August 4, 2017, Brighthouse Financial, Inc. entered into the Master Separation Agreement with MetLife and MetLife, Inc. completed the Separation through a distribution of 80.8% of MetLife, Inc.’s interest in Brighthouse Financial, Inc., to holders of MetLife, Inc.’s common stock and retained the remaining 19.2%. As a result, Brighthouse Financial, Inc., is now an independent, publicly traded company on the Nasdaq Stock Market under the symbol “BHF.”</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17"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The preparation of financial statements in conformity with accounting principles generally accepted in the United States of America (“GAAP”) requires management to adopt accounting policies and make estimates and assumptions that affect amounts reported on the interim condensed consolidated financial statements. In applying these policies and estimates, management makes subjective and complex judgments that frequently require assumptions about matters that are inherently uncertain. Many of these policies, estimates and related judgments are common in the insurance and financial services industries; others are specific to the Company’s business and operations. Actual results could differ from these estimates.</w:t>
      </w:r>
    </w:p>
    <w:p>
      <w:pPr>
        <w:spacing w:after="0" w:line="64"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Consolidation</w:t>
      </w:r>
    </w:p>
    <w:p>
      <w:pPr>
        <w:spacing w:after="0" w:line="117" w:lineRule="exact"/>
        <w:rPr>
          <w:sz w:val="20"/>
          <w:szCs w:val="20"/>
          <w:color w:val="auto"/>
        </w:rPr>
      </w:pPr>
    </w:p>
    <w:p>
      <w:pPr>
        <w:jc w:val="both"/>
        <w:ind w:left="180" w:firstLine="324"/>
        <w:spacing w:after="0" w:line="302" w:lineRule="auto"/>
        <w:rPr>
          <w:sz w:val="20"/>
          <w:szCs w:val="20"/>
          <w:color w:val="auto"/>
        </w:rPr>
      </w:pPr>
      <w:r>
        <w:rPr>
          <w:rFonts w:ascii="Arial" w:cs="Arial" w:eastAsia="Arial" w:hAnsi="Arial"/>
          <w:sz w:val="16"/>
          <w:szCs w:val="16"/>
          <w:color w:val="auto"/>
        </w:rPr>
        <w:t>The financial statements presented in this quarterly report for periods on or after the Separation are presented on a consolidated basis and include the financial position, results of operations and cash flows of the Company. The accompanying interim condensed consolidated financial statements include the accounts of Brighthouse Financial, Inc. and its subsidiaries, as well as partnerships and joint ventures in which the Company has control, and variable interest entities (“VIEs”) for which the Company is the primary beneficiary. Intercompany accounts and transactions have been eliminated.</w:t>
      </w:r>
    </w:p>
    <w:p>
      <w:pPr>
        <w:spacing w:after="0" w:line="46" w:lineRule="exact"/>
        <w:rPr>
          <w:sz w:val="20"/>
          <w:szCs w:val="20"/>
          <w:color w:val="auto"/>
        </w:rPr>
      </w:pPr>
    </w:p>
    <w:p>
      <w:pPr>
        <w:jc w:val="both"/>
        <w:ind w:left="180" w:firstLine="324"/>
        <w:spacing w:after="0" w:line="276" w:lineRule="auto"/>
        <w:rPr>
          <w:sz w:val="20"/>
          <w:szCs w:val="20"/>
          <w:color w:val="auto"/>
        </w:rPr>
      </w:pPr>
      <w:r>
        <w:rPr>
          <w:rFonts w:ascii="Arial" w:cs="Arial" w:eastAsia="Arial" w:hAnsi="Arial"/>
          <w:sz w:val="17"/>
          <w:szCs w:val="17"/>
          <w:color w:val="auto"/>
        </w:rPr>
        <w:t>The Company uses the equity method of accounting for equity securities when it has significant influence or at least 20% interest and for real estate joint ventures and other limited partnership interests (“investees”) when it has more than a minor ownership interest or more than a minor influence over the investee’s operations. The Company generally recognizes its share of the investee’s earnings on a three-month lag in instances where the investee’s financial information is not sufficiently timely or when the investee’s reporting period differs from the Company’s reporting period. The Company uses the cost method of accounting for investments in which it has virtually no influence over the investee’s operations.</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234" w:right="239" w:bottom="1440" w:gutter="0" w:footer="0" w:header="0"/>
        </w:sectPr>
      </w:pPr>
    </w:p>
    <w:bookmarkStart w:id="8" w:name="page9"/>
    <w:bookmarkEnd w:id="8"/>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Brighthouse Financial, Inc.</w:t>
      </w:r>
    </w:p>
    <w:p>
      <w:pPr>
        <w:spacing w:after="0" w:line="117" w:lineRule="exact"/>
        <w:rPr>
          <w:sz w:val="20"/>
          <w:szCs w:val="20"/>
          <w:color w:val="auto"/>
        </w:rPr>
      </w:pPr>
    </w:p>
    <w:p>
      <w:pPr>
        <w:ind w:left="1480"/>
        <w:spacing w:after="0"/>
        <w:rPr>
          <w:sz w:val="20"/>
          <w:szCs w:val="20"/>
          <w:color w:val="auto"/>
        </w:rPr>
      </w:pPr>
      <w:r>
        <w:rPr>
          <w:rFonts w:ascii="Arial" w:cs="Arial" w:eastAsia="Arial" w:hAnsi="Arial"/>
          <w:sz w:val="18"/>
          <w:szCs w:val="18"/>
          <w:b w:val="1"/>
          <w:bCs w:val="1"/>
          <w:color w:val="auto"/>
        </w:rPr>
        <w:t>Notes to the Interim Condensed Consolidated and Combined Financial Statements (Unaudited) — (continued)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Business, Basis of Presentation and Summary of Significant Accounting Policies (continued)</w:t>
      </w:r>
    </w:p>
    <w:p>
      <w:pPr>
        <w:spacing w:after="0" w:line="364"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Combination</w:t>
      </w:r>
    </w:p>
    <w:p>
      <w:pPr>
        <w:spacing w:after="0" w:line="117" w:lineRule="exact"/>
        <w:rPr>
          <w:sz w:val="20"/>
          <w:szCs w:val="20"/>
          <w:color w:val="auto"/>
        </w:rPr>
      </w:pPr>
    </w:p>
    <w:p>
      <w:pPr>
        <w:jc w:val="both"/>
        <w:ind w:left="180" w:firstLine="324"/>
        <w:spacing w:after="0" w:line="271" w:lineRule="auto"/>
        <w:rPr>
          <w:sz w:val="20"/>
          <w:szCs w:val="20"/>
          <w:color w:val="auto"/>
        </w:rPr>
      </w:pPr>
      <w:r>
        <w:rPr>
          <w:rFonts w:ascii="Arial" w:cs="Arial" w:eastAsia="Arial" w:hAnsi="Arial"/>
          <w:sz w:val="17"/>
          <w:szCs w:val="17"/>
          <w:color w:val="auto"/>
        </w:rPr>
        <w:t>The financial statements for the periods prior to the Separation are presented on a combined basis and reflect the historical combined financial position, results of operations and cash flows for the periods presented. The combined balance sheets include the attribution of certain assets and liabilities that have historically been held at the MetLife corporate level but which are specifically identifiable or attributable to the Company. Similarly, certain assets attributable to shared services managed at the MetLife corporate level have been excluded from the combined balance sheets. The combined statements of operations reflect certain corporate expenses allocated to the Company by MetLife for certain corporate functions and for shared services provided by MetLife. These expenses have been allocated to the Company based on direct usage or benefit where specifically identifiable, with the remainder allocated based upon other reasonable allocation measures. The Company considers the expense methodology and results to be reasonable for all periods presented. See Note 12 for further information on expenses allocated by MetLife.</w:t>
      </w:r>
    </w:p>
    <w:p>
      <w:pPr>
        <w:spacing w:after="0" w:line="71" w:lineRule="exact"/>
        <w:rPr>
          <w:sz w:val="20"/>
          <w:szCs w:val="20"/>
          <w:color w:val="auto"/>
        </w:rPr>
      </w:pPr>
    </w:p>
    <w:p>
      <w:pPr>
        <w:jc w:val="both"/>
        <w:ind w:left="180" w:firstLine="324"/>
        <w:spacing w:after="0" w:line="277" w:lineRule="auto"/>
        <w:rPr>
          <w:sz w:val="20"/>
          <w:szCs w:val="20"/>
          <w:color w:val="auto"/>
        </w:rPr>
      </w:pPr>
      <w:r>
        <w:rPr>
          <w:rFonts w:ascii="Arial" w:cs="Arial" w:eastAsia="Arial" w:hAnsi="Arial"/>
          <w:sz w:val="18"/>
          <w:szCs w:val="18"/>
          <w:color w:val="auto"/>
        </w:rPr>
        <w:t>The Company previously recorded affiliated transactions with certain MetLife subsidiaries which are not included in the combined financial statements of the Company.</w:t>
      </w:r>
    </w:p>
    <w:p>
      <w:pPr>
        <w:spacing w:after="0" w:line="62" w:lineRule="exact"/>
        <w:rPr>
          <w:sz w:val="20"/>
          <w:szCs w:val="20"/>
          <w:color w:val="auto"/>
        </w:rPr>
      </w:pPr>
    </w:p>
    <w:p>
      <w:pPr>
        <w:jc w:val="both"/>
        <w:ind w:left="180" w:firstLine="324"/>
        <w:spacing w:after="0" w:line="277" w:lineRule="auto"/>
        <w:rPr>
          <w:sz w:val="20"/>
          <w:szCs w:val="20"/>
          <w:color w:val="auto"/>
        </w:rPr>
      </w:pPr>
      <w:r>
        <w:rPr>
          <w:rFonts w:ascii="Arial" w:cs="Arial" w:eastAsia="Arial" w:hAnsi="Arial"/>
          <w:sz w:val="18"/>
          <w:szCs w:val="18"/>
          <w:color w:val="auto"/>
        </w:rPr>
        <w:t>The income tax amounts in these combined financial statements have been calculated based on a separate return methodology and presented as if each company was a separate taxpayer in its respective jurisdiction.</w:t>
      </w:r>
    </w:p>
    <w:p>
      <w:pPr>
        <w:spacing w:after="0" w:line="62" w:lineRule="exact"/>
        <w:rPr>
          <w:sz w:val="20"/>
          <w:szCs w:val="20"/>
          <w:color w:val="auto"/>
        </w:rPr>
      </w:pPr>
    </w:p>
    <w:p>
      <w:pPr>
        <w:jc w:val="both"/>
        <w:ind w:left="180" w:firstLine="324"/>
        <w:spacing w:after="0" w:line="279" w:lineRule="auto"/>
        <w:rPr>
          <w:sz w:val="20"/>
          <w:szCs w:val="20"/>
          <w:color w:val="auto"/>
        </w:rPr>
      </w:pPr>
      <w:r>
        <w:rPr>
          <w:rFonts w:ascii="Arial" w:cs="Arial" w:eastAsia="Arial" w:hAnsi="Arial"/>
          <w:sz w:val="17"/>
          <w:szCs w:val="17"/>
          <w:color w:val="auto"/>
        </w:rPr>
        <w:t>The historical financial results in the combined financial statements presented may not be indicative of the results that would have been achieved by the Company had it operated as a separate, stand-alone entity during the periods presented. The combined financial statements presented do not reflect any changes that may occur in the Company’s financing and operations in connection with or as a result of the Separation. Management believes that the combined financial statements include all adjustments necessary for a fair presentation of the business.</w:t>
      </w:r>
    </w:p>
    <w:p>
      <w:pPr>
        <w:spacing w:after="0" w:line="63"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Reclassifications</w:t>
      </w:r>
    </w:p>
    <w:p>
      <w:pPr>
        <w:spacing w:after="0" w:line="117" w:lineRule="exact"/>
        <w:rPr>
          <w:sz w:val="20"/>
          <w:szCs w:val="20"/>
          <w:color w:val="auto"/>
        </w:rPr>
      </w:pPr>
    </w:p>
    <w:p>
      <w:pPr>
        <w:jc w:val="both"/>
        <w:ind w:left="180" w:firstLine="324"/>
        <w:spacing w:after="0" w:line="264" w:lineRule="auto"/>
        <w:rPr>
          <w:sz w:val="20"/>
          <w:szCs w:val="20"/>
          <w:color w:val="auto"/>
        </w:rPr>
      </w:pPr>
      <w:r>
        <w:rPr>
          <w:rFonts w:ascii="Arial" w:cs="Arial" w:eastAsia="Arial" w:hAnsi="Arial"/>
          <w:sz w:val="18"/>
          <w:szCs w:val="18"/>
          <w:color w:val="auto"/>
        </w:rPr>
        <w:t>Certain amounts in the prior year periods’ interim condensed consolidated and combined financial statements and related footnotes thereto have been reclassified to conform to the 2017 presentation as discussed throughout the Notes to the Interim Condensed Consolidated and Combined Financial Statements.</w:t>
      </w:r>
    </w:p>
    <w:p>
      <w:pPr>
        <w:spacing w:after="0" w:line="73" w:lineRule="exact"/>
        <w:rPr>
          <w:sz w:val="20"/>
          <w:szCs w:val="20"/>
          <w:color w:val="auto"/>
        </w:rPr>
      </w:pPr>
    </w:p>
    <w:p>
      <w:pPr>
        <w:jc w:val="both"/>
        <w:ind w:left="180" w:firstLine="324"/>
        <w:spacing w:after="0" w:line="255" w:lineRule="auto"/>
        <w:rPr>
          <w:sz w:val="20"/>
          <w:szCs w:val="20"/>
          <w:color w:val="auto"/>
        </w:rPr>
      </w:pPr>
      <w:r>
        <w:rPr>
          <w:rFonts w:ascii="Arial" w:cs="Arial" w:eastAsia="Arial" w:hAnsi="Arial"/>
          <w:sz w:val="18"/>
          <w:szCs w:val="18"/>
          <w:color w:val="auto"/>
        </w:rPr>
        <w:t>The accompanying interim condensed consolidated financial statements are unaudited and reflect all adjustments (including normal recurring adjustments) necessary to present fairly the financial position, results of operations and cash flows for the interim periods presented in conformity with GAAP. Interim results are not necessarily indicative of full year performance. The December 31, 2016 combined balance sheet data was derived from audited combined financial statements for the year ended December 31, 2016 included in the Form 10, which include all disclosures required by GAAP. Therefore, these interim condensed consolidated financial statements should be read in conjunction with the combined financial statements included in the Form 10.</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Adoption of New Accounting Pronouncements</w:t>
      </w:r>
    </w:p>
    <w:p>
      <w:pPr>
        <w:spacing w:after="0" w:line="117"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Effective January 1, 2017, the Company early adopted guidance relating to business combinations. The new guidance clarifies the definition of a business and requires that an entity apply certain criteria in order to determine when a set of assets and activities qualifies as a business. The adoption of this standard will result in fewer acquisitions qualifying as businesses and, accordingly, acquisition costs for those acquisitions that do not qualify as businesses will be capitalized rather than expensed. The adoption did not have an impact on the Company’s financial statements.</w:t>
      </w:r>
    </w:p>
    <w:p>
      <w:pPr>
        <w:spacing w:after="0" w:line="63"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Effective January 1, 2017, the Company retrospectively adopted guidance relating to consolidation. The new guidance does not change the characteristics of a primary beneficiary under current GAAP. It changes how a reporting entity evaluates whether it is the primary beneficiary of a VIE by changing how a reporting entity that is a single decision maker of a VIE handles indirect interests in the entity held through related parties that are under common control with the reporting entity. The adoption of this new guidance did not have a material impact on the Company’s financial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234" w:right="239" w:bottom="1440" w:gutter="0" w:footer="0" w:header="0"/>
        </w:sectPr>
      </w:pPr>
    </w:p>
    <w:bookmarkStart w:id="9" w:name="page10"/>
    <w:bookmarkEnd w:id="9"/>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Brighthouse Financial, Inc.</w:t>
      </w:r>
    </w:p>
    <w:p>
      <w:pPr>
        <w:spacing w:after="0" w:line="117" w:lineRule="exact"/>
        <w:rPr>
          <w:sz w:val="20"/>
          <w:szCs w:val="20"/>
          <w:color w:val="auto"/>
        </w:rPr>
      </w:pPr>
    </w:p>
    <w:p>
      <w:pPr>
        <w:ind w:left="1480"/>
        <w:spacing w:after="0"/>
        <w:rPr>
          <w:sz w:val="20"/>
          <w:szCs w:val="20"/>
          <w:color w:val="auto"/>
        </w:rPr>
      </w:pPr>
      <w:r>
        <w:rPr>
          <w:rFonts w:ascii="Arial" w:cs="Arial" w:eastAsia="Arial" w:hAnsi="Arial"/>
          <w:sz w:val="18"/>
          <w:szCs w:val="18"/>
          <w:b w:val="1"/>
          <w:bCs w:val="1"/>
          <w:color w:val="auto"/>
        </w:rPr>
        <w:t>Notes to the Interim Condensed Consolidated and Combined Financial Statements (Unaudited) — (continued)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Business, Basis of Presentation and Summary of Significant Accounting Policies (continued)</w:t>
      </w:r>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w:t>
      </w:r>
    </w:p>
    <w:p>
      <w:pPr>
        <w:spacing w:after="0" w:line="117"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Effective January 3, 2017, the Chicago Mercantile Exchange (“CME”) amended its rulebook, resulting in the characterization of variation margin transfers as settlement payments, as opposed to adjustments to collateral. These amendments impacted the accounting treatment of the Company’s centrally cleared derivatives, for which the CME serves as the central clearing party. As of the effective date, the application of the amended rulebook, reduced gross derivative assets by $206 million, gross derivative liabilities by $927 million, accrued investment income by $30 million, collateral receivables recorded within premiums, reinsurance and other receivables of $765 million, and collateral payables recorded within payables for collateral under securities loaned and other transactions of $74 million.</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Future Adoption of New Accounting Pronouncements</w:t>
      </w:r>
    </w:p>
    <w:p>
      <w:pPr>
        <w:spacing w:after="0" w:line="117"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 xml:space="preserve">In August 2017, the Financial Accounting Standards Board (“FASB”) issued new guidance on accounting for hedging activities (Accounting Standards Update (“ASU”) 2017-12, </w:t>
      </w:r>
      <w:r>
        <w:rPr>
          <w:rFonts w:ascii="Arial" w:cs="Arial" w:eastAsia="Arial" w:hAnsi="Arial"/>
          <w:sz w:val="16"/>
          <w:szCs w:val="16"/>
          <w:i w:val="1"/>
          <w:iCs w:val="1"/>
          <w:color w:val="auto"/>
        </w:rPr>
        <w:t>Derivatives and Hedging (Topic 815): Targeted Improvements to Accounting for Hedging Activities</w:t>
      </w:r>
      <w:r>
        <w:rPr>
          <w:rFonts w:ascii="Arial" w:cs="Arial" w:eastAsia="Arial" w:hAnsi="Arial"/>
          <w:sz w:val="16"/>
          <w:szCs w:val="16"/>
          <w:color w:val="auto"/>
        </w:rPr>
        <w:t>). The new guidance is effective for fiscal years beginning after December 15, 2018 and interim periods within those years. Early adoption is permitted. The ASU (i) refines and expands the criteria for achieving hedge accounting on certain hedging strategies, (ii) requires an entity to present the earnings effect of the hedging instrument in the same income statement line item in which the earnings effect of the hedged item is reported, and (iii) eliminates the requirement to separately measure and report hedge ineffectiveness. The ASU also makes other changes to simplify the application of existing guidance related to the assessment of hedge effectiveness and creates new disclosure requirements. The Company is currently evaluating the impact of this guidance on its financial statements.</w:t>
      </w:r>
    </w:p>
    <w:p>
      <w:pPr>
        <w:spacing w:after="0" w:line="59"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 xml:space="preserve">In May 2017, the FASB issued new guidance on share-based payment awards (ASU 2017-09, </w:t>
      </w:r>
      <w:r>
        <w:rPr>
          <w:rFonts w:ascii="Arial" w:cs="Arial" w:eastAsia="Arial" w:hAnsi="Arial"/>
          <w:sz w:val="17"/>
          <w:szCs w:val="17"/>
          <w:i w:val="1"/>
          <w:iCs w:val="1"/>
          <w:color w:val="auto"/>
        </w:rPr>
        <w:t>Compensation — Stock Compensation (Topic 718) —</w:t>
      </w:r>
      <w:r>
        <w:rPr>
          <w:rFonts w:ascii="Arial" w:cs="Arial" w:eastAsia="Arial" w:hAnsi="Arial"/>
          <w:sz w:val="17"/>
          <w:szCs w:val="17"/>
          <w:color w:val="auto"/>
        </w:rPr>
        <w:t xml:space="preserve"> </w:t>
      </w:r>
      <w:r>
        <w:rPr>
          <w:rFonts w:ascii="Arial" w:cs="Arial" w:eastAsia="Arial" w:hAnsi="Arial"/>
          <w:sz w:val="17"/>
          <w:szCs w:val="17"/>
          <w:i w:val="1"/>
          <w:iCs w:val="1"/>
          <w:color w:val="auto"/>
        </w:rPr>
        <w:t>Scope of Modification Accounting</w:t>
      </w:r>
      <w:r>
        <w:rPr>
          <w:rFonts w:ascii="Arial" w:cs="Arial" w:eastAsia="Arial" w:hAnsi="Arial"/>
          <w:sz w:val="17"/>
          <w:szCs w:val="17"/>
          <w:color w:val="auto"/>
        </w:rPr>
        <w:t>). The new guidance is effective for fiscal years beginning after December 15, 2017 and interim periods within those fiscal</w:t>
      </w:r>
      <w:r>
        <w:rPr>
          <w:rFonts w:ascii="Arial" w:cs="Arial" w:eastAsia="Arial" w:hAnsi="Arial"/>
          <w:sz w:val="17"/>
          <w:szCs w:val="17"/>
          <w:i w:val="1"/>
          <w:iCs w:val="1"/>
          <w:color w:val="auto"/>
        </w:rPr>
        <w:t xml:space="preserve"> </w:t>
      </w:r>
      <w:r>
        <w:rPr>
          <w:rFonts w:ascii="Arial" w:cs="Arial" w:eastAsia="Arial" w:hAnsi="Arial"/>
          <w:sz w:val="17"/>
          <w:szCs w:val="17"/>
          <w:color w:val="auto"/>
        </w:rPr>
        <w:t>years and should be applied prospectively to an award modified on or after the adoption date. Early adoption is permitted. The ASU includes guidance on determining which changes to the terms and conditions of share-based payment awards require an entity to apply modification accounting under Topic 718. The adoption of this guidance will not have a material impact on the Company’s financial statements.</w:t>
      </w:r>
    </w:p>
    <w:p>
      <w:pPr>
        <w:spacing w:after="0" w:line="64"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 xml:space="preserve">In March 2017, the FASB issued new guidance on purchased callable debt securities (ASU 2017-08, </w:t>
      </w:r>
      <w:r>
        <w:rPr>
          <w:rFonts w:ascii="Arial" w:cs="Arial" w:eastAsia="Arial" w:hAnsi="Arial"/>
          <w:sz w:val="16"/>
          <w:szCs w:val="16"/>
          <w:i w:val="1"/>
          <w:iCs w:val="1"/>
          <w:color w:val="auto"/>
        </w:rPr>
        <w:t>Receivables-Nonrefundable Fees and Other Costs</w:t>
      </w:r>
      <w:r>
        <w:rPr>
          <w:rFonts w:ascii="Arial" w:cs="Arial" w:eastAsia="Arial" w:hAnsi="Arial"/>
          <w:sz w:val="16"/>
          <w:szCs w:val="16"/>
          <w:color w:val="auto"/>
        </w:rPr>
        <w:t xml:space="preserve"> </w:t>
      </w:r>
      <w:r>
        <w:rPr>
          <w:rFonts w:ascii="Arial" w:cs="Arial" w:eastAsia="Arial" w:hAnsi="Arial"/>
          <w:sz w:val="16"/>
          <w:szCs w:val="16"/>
          <w:i w:val="1"/>
          <w:iCs w:val="1"/>
          <w:color w:val="auto"/>
        </w:rPr>
        <w:t>(Subtopic 310-20), Premium Amortization on Purchased Callable Debt Securities</w:t>
      </w:r>
      <w:r>
        <w:rPr>
          <w:rFonts w:ascii="Arial" w:cs="Arial" w:eastAsia="Arial" w:hAnsi="Arial"/>
          <w:sz w:val="16"/>
          <w:szCs w:val="16"/>
          <w:color w:val="auto"/>
        </w:rPr>
        <w:t>). The new guidance is effective for fiscal years beginning after</w:t>
      </w:r>
      <w:r>
        <w:rPr>
          <w:rFonts w:ascii="Arial" w:cs="Arial" w:eastAsia="Arial" w:hAnsi="Arial"/>
          <w:sz w:val="16"/>
          <w:szCs w:val="16"/>
          <w:i w:val="1"/>
          <w:iCs w:val="1"/>
          <w:color w:val="auto"/>
        </w:rPr>
        <w:t xml:space="preserve"> </w:t>
      </w:r>
      <w:r>
        <w:rPr>
          <w:rFonts w:ascii="Arial" w:cs="Arial" w:eastAsia="Arial" w:hAnsi="Arial"/>
          <w:sz w:val="16"/>
          <w:szCs w:val="16"/>
          <w:color w:val="auto"/>
        </w:rPr>
        <w:t>December 15, 2018 and interim periods within those years and should be applied on a modified retrospective basis through a cumulative-effect adjustment directly to retained earnings. Early adoption is permitted. The ASU shortens the amortization period for certain callable debt securities held at a premium and requires the premium to be amortized to the earliest call date. However, the new guidance does not require an accounting change for securities held at a discount whose discount continues to be amortized to maturity. The Company is currently evaluating the impact of this guidance on its financial statements.</w:t>
      </w:r>
    </w:p>
    <w:p>
      <w:pPr>
        <w:spacing w:after="0" w:line="57"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 xml:space="preserve">In March 2017, the FASB issued new guidance on the presentation of net periodic pension cost and net periodic postretirement benefit cost (ASU 2017-07, </w:t>
      </w:r>
      <w:r>
        <w:rPr>
          <w:rFonts w:ascii="Arial" w:cs="Arial" w:eastAsia="Arial" w:hAnsi="Arial"/>
          <w:sz w:val="17"/>
          <w:szCs w:val="17"/>
          <w:i w:val="1"/>
          <w:iCs w:val="1"/>
          <w:color w:val="auto"/>
        </w:rPr>
        <w:t>Compensation — Retirement Benefits (Topic 715): Improving the Presentation of Net Periodic Pension Cost and Net Periodic Postretirement Benefit</w:t>
      </w:r>
      <w:r>
        <w:rPr>
          <w:rFonts w:ascii="Arial" w:cs="Arial" w:eastAsia="Arial" w:hAnsi="Arial"/>
          <w:sz w:val="17"/>
          <w:szCs w:val="17"/>
          <w:color w:val="auto"/>
        </w:rPr>
        <w:t xml:space="preserve"> </w:t>
      </w:r>
      <w:r>
        <w:rPr>
          <w:rFonts w:ascii="Arial" w:cs="Arial" w:eastAsia="Arial" w:hAnsi="Arial"/>
          <w:sz w:val="17"/>
          <w:szCs w:val="17"/>
          <w:i w:val="1"/>
          <w:iCs w:val="1"/>
          <w:color w:val="auto"/>
        </w:rPr>
        <w:t>Cost</w:t>
      </w:r>
      <w:r>
        <w:rPr>
          <w:rFonts w:ascii="Arial" w:cs="Arial" w:eastAsia="Arial" w:hAnsi="Arial"/>
          <w:sz w:val="17"/>
          <w:szCs w:val="17"/>
          <w:color w:val="auto"/>
        </w:rPr>
        <w:t>). The new guidance is effective for annual periods beginning after December 15, 2017 and interim periods within those annual periods and early</w:t>
      </w:r>
      <w:r>
        <w:rPr>
          <w:rFonts w:ascii="Arial" w:cs="Arial" w:eastAsia="Arial" w:hAnsi="Arial"/>
          <w:sz w:val="17"/>
          <w:szCs w:val="17"/>
          <w:i w:val="1"/>
          <w:iCs w:val="1"/>
          <w:color w:val="auto"/>
        </w:rPr>
        <w:t xml:space="preserve"> </w:t>
      </w:r>
      <w:r>
        <w:rPr>
          <w:rFonts w:ascii="Arial" w:cs="Arial" w:eastAsia="Arial" w:hAnsi="Arial"/>
          <w:sz w:val="17"/>
          <w:szCs w:val="17"/>
          <w:color w:val="auto"/>
        </w:rPr>
        <w:t>adoption is permitted. The guidance should be applied retrospectively for the presentation of the service cost component in the income statement and allows a practical expedient for the estimation basis for applying the retrospective presentation requirements. The ASU requires that an employer that offers to its employees defined benefit pension or other postretirement benefit plans report the service cost component in the same line item or items as other compensation costs arising from services rendered by the pertinent employees during the period. The other components of net benefit cost are required to be presented in the income statement separately from the service cost component and outside a subtotal of income from operations, if one is presented. The adoption of this guidance will not have a material impact on the Company’s financial statements.</w:t>
      </w:r>
    </w:p>
    <w:p>
      <w:pPr>
        <w:spacing w:after="0" w:line="74"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 xml:space="preserve">In February 2017, the FASB issued new guidance on derecognition of nonfinancial assets (ASU 2017- 05, </w:t>
      </w:r>
      <w:r>
        <w:rPr>
          <w:rFonts w:ascii="Arial" w:cs="Arial" w:eastAsia="Arial" w:hAnsi="Arial"/>
          <w:sz w:val="18"/>
          <w:szCs w:val="18"/>
          <w:i w:val="1"/>
          <w:iCs w:val="1"/>
          <w:color w:val="auto"/>
        </w:rPr>
        <w:t>Other Income-Gains and Losses from the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Derecognition of Nonfinancial Assets (Subtopic 610-20): Clarifying the Scope of Asset Derecognition Guidance and Accounting for Partial Sales of Nonfinancial Assets). </w:t>
      </w:r>
      <w:r>
        <w:rPr>
          <w:rFonts w:ascii="Arial" w:cs="Arial" w:eastAsia="Arial" w:hAnsi="Arial"/>
          <w:sz w:val="18"/>
          <w:szCs w:val="18"/>
          <w:color w:val="auto"/>
        </w:rPr>
        <w:t>The new guidance is effective for fiscal years beginning after December 15, 2017 and interim periods within those years. Early adoption</w:t>
      </w:r>
      <w:r>
        <w:rPr>
          <w:rFonts w:ascii="Arial" w:cs="Arial" w:eastAsia="Arial" w:hAnsi="Arial"/>
          <w:sz w:val="18"/>
          <w:szCs w:val="18"/>
          <w:i w:val="1"/>
          <w:iCs w:val="1"/>
          <w:color w:val="auto"/>
        </w:rPr>
        <w:t xml:space="preserve"> </w:t>
      </w:r>
      <w:r>
        <w:rPr>
          <w:rFonts w:ascii="Arial" w:cs="Arial" w:eastAsia="Arial" w:hAnsi="Arial"/>
          <w:sz w:val="18"/>
          <w:szCs w:val="18"/>
          <w:color w:val="auto"/>
        </w:rPr>
        <w:t>is permitted for interim or annual reporting periods beginning after December 15, 2017. The guidance may be applied retrospectively for all periods presented or retrospectively with a cumulative-effect adjustment at the date of adoption. The adoption of this guidance will not have a material impact on the Company’s financial statements.</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234" w:right="239" w:bottom="1440" w:gutter="0" w:footer="0" w:header="0"/>
        </w:sectPr>
      </w:pPr>
    </w:p>
    <w:bookmarkStart w:id="10" w:name="page11"/>
    <w:bookmarkEnd w:id="10"/>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Brighthouse Financial, Inc.</w:t>
      </w:r>
    </w:p>
    <w:p>
      <w:pPr>
        <w:spacing w:after="0" w:line="117" w:lineRule="exact"/>
        <w:rPr>
          <w:sz w:val="20"/>
          <w:szCs w:val="20"/>
          <w:color w:val="auto"/>
        </w:rPr>
      </w:pPr>
    </w:p>
    <w:p>
      <w:pPr>
        <w:ind w:left="1480"/>
        <w:spacing w:after="0"/>
        <w:rPr>
          <w:sz w:val="20"/>
          <w:szCs w:val="20"/>
          <w:color w:val="auto"/>
        </w:rPr>
      </w:pPr>
      <w:r>
        <w:rPr>
          <w:rFonts w:ascii="Arial" w:cs="Arial" w:eastAsia="Arial" w:hAnsi="Arial"/>
          <w:sz w:val="18"/>
          <w:szCs w:val="18"/>
          <w:b w:val="1"/>
          <w:bCs w:val="1"/>
          <w:color w:val="auto"/>
        </w:rPr>
        <w:t>Notes to the Interim Condensed Consolidated and Combined Financial Statements (Unaudited) — (continued)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Business, Basis of Presentation and Summary of Significant Accounting Policies (continued)</w:t>
      </w:r>
    </w:p>
    <w:p>
      <w:pPr>
        <w:spacing w:after="0" w:line="364"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 xml:space="preserve">In November 2016, the FASB issued new guidance on restricted cash (ASU 2016-18, </w:t>
      </w:r>
      <w:r>
        <w:rPr>
          <w:rFonts w:ascii="Arial" w:cs="Arial" w:eastAsia="Arial" w:hAnsi="Arial"/>
          <w:sz w:val="16"/>
          <w:szCs w:val="16"/>
          <w:i w:val="1"/>
          <w:iCs w:val="1"/>
          <w:color w:val="auto"/>
        </w:rPr>
        <w:t>Statement of Cash Flows (Topic 230): a consensus of the FASB</w:t>
      </w:r>
      <w:r>
        <w:rPr>
          <w:rFonts w:ascii="Arial" w:cs="Arial" w:eastAsia="Arial" w:hAnsi="Arial"/>
          <w:sz w:val="16"/>
          <w:szCs w:val="16"/>
          <w:color w:val="auto"/>
        </w:rPr>
        <w:t xml:space="preserve"> </w:t>
      </w:r>
      <w:r>
        <w:rPr>
          <w:rFonts w:ascii="Arial" w:cs="Arial" w:eastAsia="Arial" w:hAnsi="Arial"/>
          <w:sz w:val="16"/>
          <w:szCs w:val="16"/>
          <w:i w:val="1"/>
          <w:iCs w:val="1"/>
          <w:color w:val="auto"/>
        </w:rPr>
        <w:t>Emerging Issues Task Force)</w:t>
      </w:r>
      <w:r>
        <w:rPr>
          <w:rFonts w:ascii="Arial" w:cs="Arial" w:eastAsia="Arial" w:hAnsi="Arial"/>
          <w:sz w:val="16"/>
          <w:szCs w:val="16"/>
          <w:color w:val="auto"/>
        </w:rPr>
        <w:t>. The new guidance is effective for fiscal years beginning after December 15, 2017 and interim periods within those fiscal years,</w:t>
      </w:r>
      <w:r>
        <w:rPr>
          <w:rFonts w:ascii="Arial" w:cs="Arial" w:eastAsia="Arial" w:hAnsi="Arial"/>
          <w:sz w:val="16"/>
          <w:szCs w:val="16"/>
          <w:i w:val="1"/>
          <w:iCs w:val="1"/>
          <w:color w:val="auto"/>
        </w:rPr>
        <w:t xml:space="preserve"> </w:t>
      </w:r>
      <w:r>
        <w:rPr>
          <w:rFonts w:ascii="Arial" w:cs="Arial" w:eastAsia="Arial" w:hAnsi="Arial"/>
          <w:sz w:val="16"/>
          <w:szCs w:val="16"/>
          <w:color w:val="auto"/>
        </w:rPr>
        <w:t>and should be applied on a retrospective basis. Early adoption is permitted. The new guidance requires that a statement of cash flows explain the change during the period in the total of cash, cash equivalents, and amounts generally described as restricted cash or restricted cash equivalents. As a result, the new guidance requires that amounts generally described as restricted cash and restricted cash equivalents should be included with cash and cash equivalents when reconciling the beginning-of-period and end-of-period total amounts shown on the statement of cash flows. The new guidance does not provide a definition of restricted cash or restricted cash equivalents. The adoption of this guidance will not have a material impact on the Company’s financial statements.</w:t>
      </w:r>
    </w:p>
    <w:p>
      <w:pPr>
        <w:spacing w:after="0" w:line="59"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 xml:space="preserve">In October 2016, the FASB issued new guidance on tax accounting for intra-entity transfers of assets (ASU 2016-16, </w:t>
      </w:r>
      <w:r>
        <w:rPr>
          <w:rFonts w:ascii="Arial" w:cs="Arial" w:eastAsia="Arial" w:hAnsi="Arial"/>
          <w:sz w:val="17"/>
          <w:szCs w:val="17"/>
          <w:i w:val="1"/>
          <w:iCs w:val="1"/>
          <w:color w:val="auto"/>
        </w:rPr>
        <w:t>Income Taxes (Topic 740): Intra-Entity Transfers of Assets Other Than Inventory</w:t>
      </w:r>
      <w:r>
        <w:rPr>
          <w:rFonts w:ascii="Arial" w:cs="Arial" w:eastAsia="Arial" w:hAnsi="Arial"/>
          <w:sz w:val="17"/>
          <w:szCs w:val="17"/>
          <w:color w:val="auto"/>
        </w:rPr>
        <w:t>). The new guidance is effective for fiscal years beginning after December 15, 2017 and interim periods</w:t>
      </w:r>
      <w:r>
        <w:rPr>
          <w:rFonts w:ascii="Arial" w:cs="Arial" w:eastAsia="Arial" w:hAnsi="Arial"/>
          <w:sz w:val="17"/>
          <w:szCs w:val="17"/>
          <w:i w:val="1"/>
          <w:iCs w:val="1"/>
          <w:color w:val="auto"/>
        </w:rPr>
        <w:t xml:space="preserve"> </w:t>
      </w:r>
      <w:r>
        <w:rPr>
          <w:rFonts w:ascii="Arial" w:cs="Arial" w:eastAsia="Arial" w:hAnsi="Arial"/>
          <w:sz w:val="17"/>
          <w:szCs w:val="17"/>
          <w:color w:val="auto"/>
        </w:rPr>
        <w:t>within those fiscal years, and should be applied on a modified retrospective basis. Early adoption is permitted. The new guidance eliminates the prohibition on recognizing current or deferred income taxes related to inter-entity asset transfers other than inventory by requiring recognition when the transfer occurs. The adoption of this guidance will not have a material impact on the Company’s financial statements.</w:t>
      </w:r>
    </w:p>
    <w:p>
      <w:pPr>
        <w:spacing w:after="0" w:line="64"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 xml:space="preserve">In August 2016, the FASB issued new guidance on cash flow statement presentation (ASU 2016-15, </w:t>
      </w:r>
      <w:r>
        <w:rPr>
          <w:rFonts w:ascii="Arial" w:cs="Arial" w:eastAsia="Arial" w:hAnsi="Arial"/>
          <w:sz w:val="18"/>
          <w:szCs w:val="18"/>
          <w:i w:val="1"/>
          <w:iCs w:val="1"/>
          <w:color w:val="auto"/>
        </w:rPr>
        <w:t>Statement of Cash Flows (Topic 230): Classification</w:t>
      </w:r>
      <w:r>
        <w:rPr>
          <w:rFonts w:ascii="Arial" w:cs="Arial" w:eastAsia="Arial" w:hAnsi="Arial"/>
          <w:sz w:val="18"/>
          <w:szCs w:val="18"/>
          <w:color w:val="auto"/>
        </w:rPr>
        <w:t xml:space="preserve"> </w:t>
      </w:r>
      <w:r>
        <w:rPr>
          <w:rFonts w:ascii="Arial" w:cs="Arial" w:eastAsia="Arial" w:hAnsi="Arial"/>
          <w:sz w:val="18"/>
          <w:szCs w:val="18"/>
          <w:i w:val="1"/>
          <w:iCs w:val="1"/>
          <w:color w:val="auto"/>
        </w:rPr>
        <w:t>of Certain Cash Receipts and Cash Payments</w:t>
      </w:r>
      <w:r>
        <w:rPr>
          <w:rFonts w:ascii="Arial" w:cs="Arial" w:eastAsia="Arial" w:hAnsi="Arial"/>
          <w:sz w:val="18"/>
          <w:szCs w:val="18"/>
          <w:color w:val="auto"/>
        </w:rPr>
        <w:t>). The new guidance is effective for fiscal years beginning after December 15, 2017 and interim periods within</w:t>
      </w:r>
      <w:r>
        <w:rPr>
          <w:rFonts w:ascii="Arial" w:cs="Arial" w:eastAsia="Arial" w:hAnsi="Arial"/>
          <w:sz w:val="18"/>
          <w:szCs w:val="18"/>
          <w:i w:val="1"/>
          <w:iCs w:val="1"/>
          <w:color w:val="auto"/>
        </w:rPr>
        <w:t xml:space="preserve"> </w:t>
      </w:r>
      <w:r>
        <w:rPr>
          <w:rFonts w:ascii="Arial" w:cs="Arial" w:eastAsia="Arial" w:hAnsi="Arial"/>
          <w:sz w:val="18"/>
          <w:szCs w:val="18"/>
          <w:color w:val="auto"/>
        </w:rPr>
        <w:t>those fiscal years, and should be applied retrospectively to all periods presented. Early adoption is permitted. This ASU addresses diversity in how certain cash receipts and cash payments are presented and classified on the statement of cash flows. The adoption of this guidance will not have a material impact on the Company’s financial statements.</w:t>
      </w:r>
    </w:p>
    <w:p>
      <w:pPr>
        <w:spacing w:after="0" w:line="80" w:lineRule="exact"/>
        <w:rPr>
          <w:sz w:val="20"/>
          <w:szCs w:val="20"/>
          <w:color w:val="auto"/>
        </w:rPr>
      </w:pPr>
    </w:p>
    <w:p>
      <w:pPr>
        <w:jc w:val="both"/>
        <w:ind w:firstLine="324"/>
        <w:spacing w:after="0" w:line="288" w:lineRule="auto"/>
        <w:rPr>
          <w:sz w:val="20"/>
          <w:szCs w:val="20"/>
          <w:color w:val="auto"/>
        </w:rPr>
      </w:pPr>
      <w:r>
        <w:rPr>
          <w:rFonts w:ascii="Arial" w:cs="Arial" w:eastAsia="Arial" w:hAnsi="Arial"/>
          <w:sz w:val="16"/>
          <w:szCs w:val="16"/>
          <w:color w:val="auto"/>
        </w:rPr>
        <w:t xml:space="preserve">In June 2016, the FASB issued new guidance on measurement of credit losses on financial instruments (ASU 2016-13, </w:t>
      </w:r>
      <w:r>
        <w:rPr>
          <w:rFonts w:ascii="Arial" w:cs="Arial" w:eastAsia="Arial" w:hAnsi="Arial"/>
          <w:sz w:val="16"/>
          <w:szCs w:val="16"/>
          <w:i w:val="1"/>
          <w:iCs w:val="1"/>
          <w:color w:val="auto"/>
        </w:rPr>
        <w:t>Financial Instruments - Credit</w:t>
      </w:r>
      <w:r>
        <w:rPr>
          <w:rFonts w:ascii="Arial" w:cs="Arial" w:eastAsia="Arial" w:hAnsi="Arial"/>
          <w:sz w:val="16"/>
          <w:szCs w:val="16"/>
          <w:color w:val="auto"/>
        </w:rPr>
        <w:t xml:space="preserve"> </w:t>
      </w:r>
      <w:r>
        <w:rPr>
          <w:rFonts w:ascii="Arial" w:cs="Arial" w:eastAsia="Arial" w:hAnsi="Arial"/>
          <w:sz w:val="16"/>
          <w:szCs w:val="16"/>
          <w:i w:val="1"/>
          <w:iCs w:val="1"/>
          <w:color w:val="auto"/>
        </w:rPr>
        <w:t>Losses (Topic 326): Measurement of Credit Losses on Financial Instruments</w:t>
      </w:r>
      <w:r>
        <w:rPr>
          <w:rFonts w:ascii="Arial" w:cs="Arial" w:eastAsia="Arial" w:hAnsi="Arial"/>
          <w:sz w:val="16"/>
          <w:szCs w:val="16"/>
          <w:color w:val="auto"/>
        </w:rPr>
        <w:t>). The new guidance is effective for fiscal years beginning after December 15,</w:t>
      </w:r>
      <w:r>
        <w:rPr>
          <w:rFonts w:ascii="Arial" w:cs="Arial" w:eastAsia="Arial" w:hAnsi="Arial"/>
          <w:sz w:val="16"/>
          <w:szCs w:val="16"/>
          <w:i w:val="1"/>
          <w:iCs w:val="1"/>
          <w:color w:val="auto"/>
        </w:rPr>
        <w:t xml:space="preserve"> </w:t>
      </w:r>
      <w:r>
        <w:rPr>
          <w:rFonts w:ascii="Arial" w:cs="Arial" w:eastAsia="Arial" w:hAnsi="Arial"/>
          <w:sz w:val="16"/>
          <w:szCs w:val="16"/>
          <w:color w:val="auto"/>
        </w:rPr>
        <w:t>2019, including interim periods within those fiscal years. Early adoption is permitted for fiscal years, and interim periods within those fiscal years, beginning after December 15, 2018. This ASU replaces the incurred loss impairment methodology with one that reflects expected credit losses based on historical loss information, current conditions, and reasonable and supportable forecasts. The new guidance requires that an other-than-temporary impairment (“OTTI”) on a debt security will be recognized as an allowance going forward, such that improvements in expected future cash flows after an impairment will no longer be reflected as a prospective yield adjustment through net investment income, but rather a reversal of the previous impairment and recognized through realized investment gains and losses. The guidance also requires enhanced disclosures. The Company has assessed the asset classes impacted by the new guidance and has determined the most significant impacts will be to its mortgage loan investments. The Company is currently assessing the accounting and reporting system changes that will be required to comply with the new guidance along with the overall impacts to its financial statements.</w:t>
      </w:r>
    </w:p>
    <w:p>
      <w:pPr>
        <w:spacing w:after="0" w:line="61"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 xml:space="preserve">In February 2016, the FASB issued new guidance on leasing transactions (ASU 2016-02, </w:t>
      </w:r>
      <w:r>
        <w:rPr>
          <w:rFonts w:ascii="Arial" w:cs="Arial" w:eastAsia="Arial" w:hAnsi="Arial"/>
          <w:sz w:val="16"/>
          <w:szCs w:val="16"/>
          <w:i w:val="1"/>
          <w:iCs w:val="1"/>
          <w:color w:val="auto"/>
        </w:rPr>
        <w:t>Leases - Topic 842</w:t>
      </w:r>
      <w:r>
        <w:rPr>
          <w:rFonts w:ascii="Arial" w:cs="Arial" w:eastAsia="Arial" w:hAnsi="Arial"/>
          <w:sz w:val="16"/>
          <w:szCs w:val="16"/>
          <w:color w:val="auto"/>
        </w:rPr>
        <w:t>). The new guidance is effective for the fiscal years beginning after December 15, 2018, including interim periods within those fiscal years, and requires a modified retrospective transition approach. Early adoption is permitted. The new guidance requires a lessee to recognize assets and liabilities for leases with lease terms of more than 12 months. Leases would be classified as finance or operating leases and both types of leases will be recognized on the balance sheet. Lessor accounting will remain largely unchanged from current guidance except for certain targeted changes. The new guidance will also require new qualitative and quantitative disclosures. The Company’s implementation efforts are primarily focused on the review of its existing lease contracts as well as identification of other contracts that may fall under the scope of the new guidance. The Company is currently evaluating the impact of this guidance on its financial statements.</w:t>
      </w:r>
    </w:p>
    <w:p>
      <w:pPr>
        <w:spacing w:after="0" w:line="59"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 xml:space="preserve">In January 2016, the FASB issued new guidance (ASU 2016-01, </w:t>
      </w:r>
      <w:r>
        <w:rPr>
          <w:rFonts w:ascii="Arial" w:cs="Arial" w:eastAsia="Arial" w:hAnsi="Arial"/>
          <w:sz w:val="18"/>
          <w:szCs w:val="18"/>
          <w:i w:val="1"/>
          <w:iCs w:val="1"/>
          <w:color w:val="auto"/>
        </w:rPr>
        <w:t>Financial Instruments - Overall: Recognition and Measurement of Financial Assets and</w:t>
      </w:r>
      <w:r>
        <w:rPr>
          <w:rFonts w:ascii="Arial" w:cs="Arial" w:eastAsia="Arial" w:hAnsi="Arial"/>
          <w:sz w:val="18"/>
          <w:szCs w:val="18"/>
          <w:color w:val="auto"/>
        </w:rPr>
        <w:t xml:space="preserve"> </w:t>
      </w:r>
      <w:r>
        <w:rPr>
          <w:rFonts w:ascii="Arial" w:cs="Arial" w:eastAsia="Arial" w:hAnsi="Arial"/>
          <w:sz w:val="18"/>
          <w:szCs w:val="18"/>
          <w:i w:val="1"/>
          <w:iCs w:val="1"/>
          <w:color w:val="auto"/>
        </w:rPr>
        <w:t>Financial Liabilities</w:t>
      </w:r>
      <w:r>
        <w:rPr>
          <w:rFonts w:ascii="Arial" w:cs="Arial" w:eastAsia="Arial" w:hAnsi="Arial"/>
          <w:sz w:val="18"/>
          <w:szCs w:val="18"/>
          <w:color w:val="auto"/>
        </w:rPr>
        <w:t>) on the recognition and measurement of financial instruments. The new guidance is effective for fiscal years beginning after December</w:t>
      </w:r>
      <w:r>
        <w:rPr>
          <w:rFonts w:ascii="Arial" w:cs="Arial" w:eastAsia="Arial" w:hAnsi="Arial"/>
          <w:sz w:val="18"/>
          <w:szCs w:val="18"/>
          <w:i w:val="1"/>
          <w:iCs w:val="1"/>
          <w:color w:val="auto"/>
        </w:rPr>
        <w:t xml:space="preserve"> </w:t>
      </w:r>
      <w:r>
        <w:rPr>
          <w:rFonts w:ascii="Arial" w:cs="Arial" w:eastAsia="Arial" w:hAnsi="Arial"/>
          <w:sz w:val="18"/>
          <w:szCs w:val="18"/>
          <w:color w:val="auto"/>
        </w:rPr>
        <w:t>15, 2017, including interim periods within those fiscal years. Early adoption is permitted for the instrument-specific credit risk provision. The new guidance changes the current accounting guidance related to (i) the classification and measurement of certain equity investments, (ii) the presentation of changes in the fair value of financial liabilities measured under the fair value option (“FVO”) that are due to instrument-specific credit risk, and (iii) certain disclosures associated with the fair value of financial instruments. Additionally, there will no longer be a requirement to assess equity securities for impairment since such securities will be measured at fair value through net income. The Company has assessed the population of financial instruments that are subject to the new guidance and has determined that</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234" w:right="239" w:bottom="1440" w:gutter="0" w:footer="0" w:header="0"/>
        </w:sectPr>
      </w:pPr>
    </w:p>
    <w:bookmarkStart w:id="11" w:name="page12"/>
    <w:bookmarkEnd w:id="11"/>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Brighthouse Financial, Inc.</w:t>
      </w:r>
    </w:p>
    <w:p>
      <w:pPr>
        <w:spacing w:after="0" w:line="117" w:lineRule="exact"/>
        <w:rPr>
          <w:sz w:val="20"/>
          <w:szCs w:val="20"/>
          <w:color w:val="auto"/>
        </w:rPr>
      </w:pPr>
    </w:p>
    <w:p>
      <w:pPr>
        <w:ind w:left="1480"/>
        <w:spacing w:after="0"/>
        <w:rPr>
          <w:sz w:val="20"/>
          <w:szCs w:val="20"/>
          <w:color w:val="auto"/>
        </w:rPr>
      </w:pPr>
      <w:r>
        <w:rPr>
          <w:rFonts w:ascii="Arial" w:cs="Arial" w:eastAsia="Arial" w:hAnsi="Arial"/>
          <w:sz w:val="18"/>
          <w:szCs w:val="18"/>
          <w:b w:val="1"/>
          <w:bCs w:val="1"/>
          <w:color w:val="auto"/>
        </w:rPr>
        <w:t>Notes to the Interim Condensed Consolidated and Combined Financial Statements (Unaudited) — (continued)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Business, Basis of Presentation and Summary of Significant Accounting Policies (continued)</w:t>
      </w:r>
    </w:p>
    <w:p>
      <w:pPr>
        <w:spacing w:after="0" w:line="364"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the most significant impact will be the requirement to report changes in fair value in net income each reporting period for all equity securities currently classified as available-for-sale (“AFS”) and to a lesser extent, the elimination of the cost method of accounting for equity method investments. The Company had approximately $195 million of equity securities and $42 million of partnerships and joint ventures accounted for under the cost method as of September 30, 2017 that will be subject to the new guidance. The Company is continuing to evaluate the impact of this guidance on its financial statements.</w:t>
      </w:r>
    </w:p>
    <w:p>
      <w:pPr>
        <w:spacing w:after="0" w:line="46" w:lineRule="exact"/>
        <w:rPr>
          <w:sz w:val="20"/>
          <w:szCs w:val="20"/>
          <w:color w:val="auto"/>
        </w:rPr>
      </w:pPr>
    </w:p>
    <w:p>
      <w:pPr>
        <w:jc w:val="both"/>
        <w:ind w:firstLine="324"/>
        <w:spacing w:after="0" w:line="218" w:lineRule="exact"/>
        <w:rPr>
          <w:sz w:val="20"/>
          <w:szCs w:val="20"/>
          <w:color w:val="auto"/>
        </w:rPr>
      </w:pPr>
      <w:r>
        <w:rPr>
          <w:rFonts w:ascii="Arial" w:cs="Arial" w:eastAsia="Arial" w:hAnsi="Arial"/>
          <w:sz w:val="16"/>
          <w:szCs w:val="16"/>
          <w:color w:val="auto"/>
        </w:rPr>
        <w:t>In May 2014, the FASB issued a comprehensive new revenue recognition standard (ASU 2014</w:t>
      </w:r>
      <w:r>
        <w:rPr>
          <w:rFonts w:ascii="MS PGothic" w:cs="MS PGothic" w:eastAsia="MS PGothic" w:hAnsi="MS PGothic"/>
          <w:sz w:val="16"/>
          <w:szCs w:val="16"/>
          <w:color w:val="auto"/>
        </w:rPr>
        <w:t>‑</w:t>
      </w:r>
      <w:r>
        <w:rPr>
          <w:rFonts w:ascii="Arial" w:cs="Arial" w:eastAsia="Arial" w:hAnsi="Arial"/>
          <w:sz w:val="16"/>
          <w:szCs w:val="16"/>
          <w:color w:val="auto"/>
        </w:rPr>
        <w:t xml:space="preserve">09, </w:t>
      </w:r>
      <w:r>
        <w:rPr>
          <w:rFonts w:ascii="Arial" w:cs="Arial" w:eastAsia="Arial" w:hAnsi="Arial"/>
          <w:sz w:val="16"/>
          <w:szCs w:val="16"/>
          <w:i w:val="1"/>
          <w:iCs w:val="1"/>
          <w:color w:val="auto"/>
        </w:rPr>
        <w:t>Revenue from Contracts with Customers (Topic 606</w:t>
      </w:r>
      <w:r>
        <w:rPr>
          <w:rFonts w:ascii="Arial" w:cs="Arial" w:eastAsia="Arial" w:hAnsi="Arial"/>
          <w:sz w:val="16"/>
          <w:szCs w:val="16"/>
          <w:color w:val="auto"/>
        </w:rPr>
        <w:t>)), effective for fiscal years beginning after December 15, 2017 and interim periods within those years. The guidance may be applied retrospectively for all periods presented or retrospectively with a cumulative-effect adjustment at the date of adoption. The new guidance will supersede nearly all existing revenue recognition guidance under U.S. GAAP; however, it will not impact the accounting for insurance and investment contracts within the scope of Financial Services insurance (Topic 944), leases, financial instruments and guarantees. For those contracts that are impacted, the guidance will require an entity to recognize revenue upon the transfer of promised goods or services to customers in an amount that reflects the consideration to which the entity expects to be entitled, in exchange for those goods or services. The adoption of this guidance will not have a material impact on the Company’s financial statements.</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Segment Information</w:t>
      </w:r>
    </w:p>
    <w:p>
      <w:pPr>
        <w:spacing w:after="0" w:line="12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Company is organized into three segments: Annuities; Life; and Run-off. In addition, the Company reports certain of its results of operations in Corporate &amp; Other. Also, in the fourth quarter of 2016, the Company moved the universal life policies with secondary guarantees (“ULSG”) business from the Life segment to the Run-off segment. These and certain other presentation changes were applied retrospectively and did not have an impact on total consolidated and combined net income (loss) or operating earnings (loss) in the prior periods.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Annuities</w:t>
      </w:r>
    </w:p>
    <w:p>
      <w:pPr>
        <w:spacing w:after="0" w:line="11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Annuities segment offers a variety of variable, fixed, index-linked and income annuities designed to address contractholders’ needs for protected wealth accumulation on a tax-deferred basis, wealth transfer and income security.</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Life</w:t>
      </w:r>
    </w:p>
    <w:p>
      <w:pPr>
        <w:spacing w:after="0" w:line="11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Life segment offers insurance products and services, including term, whole, universal and variable life products designed to address policyholders’ needs for financial security and protected wealth transfer, which may be provided on a tax-advantaged basis.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Run-off</w:t>
      </w:r>
    </w:p>
    <w:p>
      <w:pPr>
        <w:spacing w:after="0" w:line="11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Run-off segment consists of products no longer actively sold and which are separately managed, including structured settlements, certain company-owned life insurance policies, bank-owned life insurance policies, funding agreements and ULSG.</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Corporate &amp; Other</w:t>
      </w:r>
    </w:p>
    <w:p>
      <w:pPr>
        <w:spacing w:after="0" w:line="117"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Corporate &amp; Other contains the excess capital not allocated to the segments and interest expense related to the majority of the Company’s outstanding debt, as well as expenses associated with certain legal proceedings and income tax audit issues. Corporate &amp; Other also includes the elimination of intersegment amounts and term life insurance sold direct to consumers, which is no longer being offered for new sales.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Measures and Segment Accounting Policies</w:t>
      </w:r>
    </w:p>
    <w:p>
      <w:pPr>
        <w:spacing w:after="0" w:line="117"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Operating earnings (loss) is used by management to evaluate performance, allocate resources and facilitate comparisons to industry results. The Company believes the presentation of operating earnings (loss), as the Company measures it for management purposes, enhances the understanding of its performance by highlighting the results of operations and the underlying profitability drivers of the business. Consistent with GAAP guidance for segment reporting, operating earnings (loss) is also the Company’s GAAP measure of segment performance and is reported below. Operating earnings (loss) should not be viewed as a substitute for net income (loss).</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234" w:right="239" w:bottom="1440" w:gutter="0" w:footer="0" w:header="0"/>
        </w:sectPr>
      </w:pPr>
    </w:p>
    <w:bookmarkStart w:id="12" w:name="page13"/>
    <w:bookmarkEnd w:id="12"/>
    <w:p>
      <w:pPr>
        <w:ind w:left="340"/>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109" w:lineRule="exact"/>
        <w:rPr>
          <w:sz w:val="20"/>
          <w:szCs w:val="20"/>
          <w:color w:val="auto"/>
        </w:rPr>
      </w:pPr>
    </w:p>
    <w:p>
      <w:pPr>
        <w:ind w:left="4840"/>
        <w:spacing w:after="0"/>
        <w:rPr>
          <w:sz w:val="20"/>
          <w:szCs w:val="20"/>
          <w:color w:val="auto"/>
        </w:rPr>
      </w:pPr>
      <w:r>
        <w:rPr>
          <w:rFonts w:ascii="Arial" w:cs="Arial" w:eastAsia="Arial" w:hAnsi="Arial"/>
          <w:sz w:val="18"/>
          <w:szCs w:val="18"/>
          <w:b w:val="1"/>
          <w:bCs w:val="1"/>
          <w:color w:val="auto"/>
        </w:rPr>
        <w:t>Brighthouse Financial, Inc.</w:t>
      </w:r>
    </w:p>
    <w:p>
      <w:pPr>
        <w:spacing w:after="0" w:line="117" w:lineRule="exact"/>
        <w:rPr>
          <w:sz w:val="20"/>
          <w:szCs w:val="20"/>
          <w:color w:val="auto"/>
        </w:rPr>
      </w:pPr>
    </w:p>
    <w:p>
      <w:pPr>
        <w:ind w:left="1640"/>
        <w:spacing w:after="0"/>
        <w:rPr>
          <w:sz w:val="20"/>
          <w:szCs w:val="20"/>
          <w:color w:val="auto"/>
        </w:rPr>
      </w:pPr>
      <w:r>
        <w:rPr>
          <w:rFonts w:ascii="Arial" w:cs="Arial" w:eastAsia="Arial" w:hAnsi="Arial"/>
          <w:sz w:val="18"/>
          <w:szCs w:val="18"/>
          <w:b w:val="1"/>
          <w:bCs w:val="1"/>
          <w:color w:val="auto"/>
        </w:rPr>
        <w:t>Notes to the Interim Condensed Consolidated and Combined Financial Statements (Unaudited) — (continued)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Segment Information (continued)</w:t>
      </w:r>
    </w:p>
    <w:p>
      <w:pPr>
        <w:spacing w:after="0" w:line="36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Operating earnings (loss) is a measure that focuses on the Company’s primary businesses principally by excluding the impact of market volatility, which could distort trends, and revenues and costs related to non-core products and businesses. Non-core businesses include discontinued operations and other businesses that have been or will be sold or exited by the Company, referred to as divested businesses and certain entities required to be consolidated under GAAP.</w:t>
      </w:r>
    </w:p>
    <w:p>
      <w:pPr>
        <w:spacing w:after="0" w:line="7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are excluded from total revenues in calculating operating earnings (loss):</w:t>
      </w:r>
    </w:p>
    <w:p>
      <w:pPr>
        <w:spacing w:after="0" w:line="117"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Net investment gains (losses);</w:t>
      </w:r>
    </w:p>
    <w:p>
      <w:pPr>
        <w:spacing w:after="0" w:line="117"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Net derivative gains (losses) except: (i) earned income on derivatives and amortization of premium on derivatives that are hedges of investments or that are used to replicate certain investments, but do not qualify for hedge accounting treatment and (ii) earned income on derivatives that are hedges of policyholder account balances but do not qualify for hedge accounting treatment;</w:t>
      </w:r>
    </w:p>
    <w:p>
      <w:pPr>
        <w:spacing w:after="0" w:line="73"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Amortization of unearned revenue related to net investment gains (losses) and net derivative gains (losses) and certain variable annuity guaranteed minimum income benefits (“GMIBs”) fees (“GMIB Fees”);</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Certain amounts related to securitization entities that are VIEs consolidated under GAAP;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Revenues from divested businesses.</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are excluded from total expenses in calculating operating earnings (loss):</w:t>
      </w:r>
    </w:p>
    <w:p>
      <w:pPr>
        <w:spacing w:after="0" w:line="117" w:lineRule="exact"/>
        <w:rPr>
          <w:sz w:val="20"/>
          <w:szCs w:val="20"/>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Amounts associated with benefits and hedging costs related to GMIBs (“GMIB Costs”);</w:t>
      </w:r>
    </w:p>
    <w:p>
      <w:pPr>
        <w:spacing w:after="0" w:line="117"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Amounts associated with periodic crediting rate adjustments based on the total return of a contractually referenced pool of assets and market value adjustments associated with surrenders or terminations of contracts (“Market Value Adjustments”);</w:t>
      </w:r>
    </w:p>
    <w:p>
      <w:pPr>
        <w:spacing w:after="0" w:line="62"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Amortization of deferred policy acquisition costs (“DAC”) and value of business acquired (“VOBA”) related to: (i) net investment gains (losses), (ii) net derivative gains (losses), (iii) GMIB Fees and GMIB Costs and (iv) Market Value Adjustments;</w:t>
      </w:r>
    </w:p>
    <w:p>
      <w:pPr>
        <w:spacing w:after="0" w:line="62" w:lineRule="exact"/>
        <w:rPr>
          <w:rFonts w:ascii="Arial" w:cs="Arial" w:eastAsia="Arial" w:hAnsi="Arial"/>
          <w:sz w:val="18"/>
          <w:szCs w:val="18"/>
          <w:color w:val="auto"/>
        </w:rPr>
      </w:pPr>
    </w:p>
    <w:p>
      <w:pPr>
        <w:ind w:left="620" w:hanging="274"/>
        <w:spacing w:after="0" w:line="277" w:lineRule="auto"/>
        <w:tabs>
          <w:tab w:leader="none" w:pos="620" w:val="left"/>
        </w:tabs>
        <w:numPr>
          <w:ilvl w:val="1"/>
          <w:numId w:val="4"/>
        </w:numPr>
        <w:rPr>
          <w:rFonts w:ascii="Arial" w:cs="Arial" w:eastAsia="Arial" w:hAnsi="Arial"/>
          <w:sz w:val="18"/>
          <w:szCs w:val="18"/>
          <w:color w:val="auto"/>
        </w:rPr>
      </w:pPr>
      <w:r>
        <w:rPr>
          <w:rFonts w:ascii="Arial" w:cs="Arial" w:eastAsia="Arial" w:hAnsi="Arial"/>
          <w:sz w:val="18"/>
          <w:szCs w:val="18"/>
          <w:color w:val="auto"/>
        </w:rPr>
        <w:t>Recognition of certain contingent assets and liabilities that could not be recognized at acquisition or adjusted for during the measurement period under GAAP business combination accounting guidance;</w:t>
      </w:r>
    </w:p>
    <w:p>
      <w:pPr>
        <w:spacing w:after="0" w:line="62" w:lineRule="exact"/>
        <w:rPr>
          <w:rFonts w:ascii="Arial" w:cs="Arial" w:eastAsia="Arial" w:hAnsi="Arial"/>
          <w:sz w:val="18"/>
          <w:szCs w:val="18"/>
          <w:color w:val="auto"/>
        </w:rPr>
      </w:pPr>
    </w:p>
    <w:p>
      <w:pPr>
        <w:ind w:left="620" w:hanging="274"/>
        <w:spacing w:after="0"/>
        <w:tabs>
          <w:tab w:leader="none" w:pos="620" w:val="left"/>
        </w:tabs>
        <w:numPr>
          <w:ilvl w:val="1"/>
          <w:numId w:val="4"/>
        </w:numPr>
        <w:rPr>
          <w:rFonts w:ascii="Arial" w:cs="Arial" w:eastAsia="Arial" w:hAnsi="Arial"/>
          <w:sz w:val="18"/>
          <w:szCs w:val="18"/>
          <w:color w:val="auto"/>
        </w:rPr>
      </w:pPr>
      <w:r>
        <w:rPr>
          <w:rFonts w:ascii="Arial" w:cs="Arial" w:eastAsia="Arial" w:hAnsi="Arial"/>
          <w:sz w:val="18"/>
          <w:szCs w:val="18"/>
          <w:color w:val="auto"/>
        </w:rPr>
        <w:t>Expenses of divested businesses;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Amounts related to securitization entities that are VIEs consolidated under GAAP;</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Goodwill impairment;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Costs related to: (i) implementation of new insurance regulatory requirements and (ii) acquisition and integration costs.</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tax impact of the adjustments mentioned above are calculated net of the U.S. statutory tax rate, which could differ from the Company’s effective tax</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rate.</w:t>
      </w:r>
    </w:p>
    <w:p>
      <w:pPr>
        <w:spacing w:after="0" w:line="103"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Set forth in the tables below is certain financial information with respect to the Company’s segments, as well as Corporate &amp; Other, for the three months and nine months ended September 30, 2017 and 2016. The segment accounting policies are the same as those used to prepare the Company’s consolidated and combined financial statements, except for operating earnings (loss) adjustments, as defined above. In addition, segment accounting policies include the method of capital allocation described below.</w:t>
      </w:r>
    </w:p>
    <w:p>
      <w:pPr>
        <w:spacing w:after="0" w:line="79"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internal capital model is a risk capital model that reflects management’s judgment and view of required capital to represent the measurement of the risk profile of the business, to meet the Company’s long term promises to clients, to service long-term obligations and to support the credit ratings of the Company. It accounts for the unique and specific nature of the risks inherent in the Company’s business. Management is responsible for the ongoing production and enhancement of the internal capital model and reviews its approach periodically to ensure that it remains consistent with emerging industry practice standards.</w:t>
      </w:r>
    </w:p>
    <w:p>
      <w:pPr>
        <w:spacing w:after="0" w:line="80"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Company allocates equity to the segments based on the internal capital model and aligns with emerging standards and consistent risk principles.</w:t>
      </w:r>
    </w:p>
    <w:p>
      <w:pPr>
        <w:spacing w:after="0" w:line="14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Segment net investment income is credited or charged based on the level of allocated equity; however, changes in allocated equity do not impact the Company’s consolidated and combined net investment income or net income (loss).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234" w:right="239" w:bottom="1440" w:gutter="0" w:footer="0" w:header="0"/>
        </w:sectPr>
      </w:pPr>
    </w:p>
    <w:bookmarkStart w:id="13" w:name="page14"/>
    <w:bookmarkEnd w:id="13"/>
    <w:p>
      <w:pPr>
        <w:ind w:left="340"/>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109" w:lineRule="exact"/>
        <w:rPr>
          <w:sz w:val="20"/>
          <w:szCs w:val="20"/>
          <w:color w:val="auto"/>
        </w:rPr>
      </w:pPr>
    </w:p>
    <w:p>
      <w:pPr>
        <w:ind w:left="4840"/>
        <w:spacing w:after="0"/>
        <w:rPr>
          <w:sz w:val="20"/>
          <w:szCs w:val="20"/>
          <w:color w:val="auto"/>
        </w:rPr>
      </w:pPr>
      <w:r>
        <w:rPr>
          <w:rFonts w:ascii="Arial" w:cs="Arial" w:eastAsia="Arial" w:hAnsi="Arial"/>
          <w:sz w:val="18"/>
          <w:szCs w:val="18"/>
          <w:b w:val="1"/>
          <w:bCs w:val="1"/>
          <w:color w:val="auto"/>
        </w:rPr>
        <w:t>Brighthouse Financial, Inc.</w:t>
      </w:r>
    </w:p>
    <w:p>
      <w:pPr>
        <w:spacing w:after="0" w:line="117" w:lineRule="exact"/>
        <w:rPr>
          <w:sz w:val="20"/>
          <w:szCs w:val="20"/>
          <w:color w:val="auto"/>
        </w:rPr>
      </w:pPr>
    </w:p>
    <w:p>
      <w:pPr>
        <w:ind w:left="1640"/>
        <w:spacing w:after="0"/>
        <w:rPr>
          <w:sz w:val="20"/>
          <w:szCs w:val="20"/>
          <w:color w:val="auto"/>
        </w:rPr>
      </w:pPr>
      <w:r>
        <w:rPr>
          <w:rFonts w:ascii="Arial" w:cs="Arial" w:eastAsia="Arial" w:hAnsi="Arial"/>
          <w:sz w:val="18"/>
          <w:szCs w:val="18"/>
          <w:b w:val="1"/>
          <w:bCs w:val="1"/>
          <w:color w:val="auto"/>
        </w:rPr>
        <w:t>Notes to the Interim Condensed Consolidated and Combined Financial Statements (Unaudited) — (continued)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Segment Information (continued)</w:t>
      </w:r>
    </w:p>
    <w:p>
      <w:pPr>
        <w:spacing w:after="0" w:line="364" w:lineRule="exact"/>
        <w:rPr>
          <w:sz w:val="20"/>
          <w:szCs w:val="20"/>
          <w:color w:val="auto"/>
        </w:rPr>
      </w:pPr>
    </w:p>
    <w:p>
      <w:pPr>
        <w:jc w:val="both"/>
        <w:ind w:right="20" w:firstLine="324"/>
        <w:spacing w:after="0" w:line="264" w:lineRule="auto"/>
        <w:rPr>
          <w:sz w:val="20"/>
          <w:szCs w:val="20"/>
          <w:color w:val="auto"/>
        </w:rPr>
      </w:pPr>
      <w:r>
        <w:rPr>
          <w:rFonts w:ascii="Arial" w:cs="Arial" w:eastAsia="Arial" w:hAnsi="Arial"/>
          <w:sz w:val="18"/>
          <w:szCs w:val="18"/>
          <w:color w:val="auto"/>
        </w:rPr>
        <w:t>Net investment income is based upon the actual results of each segment’s specifically identifiable investment portfolios adjusted for allocated equity. Other costs are allocated to each of the segments based upon: (i) a review of the nature of such costs; (ii) time studies analyzing the amount of employee time incurred by each segment; and (iii) cost estimates included in the Company’s product pricing.</w:t>
      </w: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6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gridSpan w:val="8"/>
          </w:tcPr>
          <w:p>
            <w:pPr>
              <w:jc w:val="center"/>
              <w:spacing w:after="0"/>
              <w:rPr>
                <w:sz w:val="20"/>
                <w:szCs w:val="20"/>
                <w:color w:val="auto"/>
              </w:rPr>
            </w:pPr>
            <w:r>
              <w:rPr>
                <w:rFonts w:ascii="Arial" w:cs="Arial" w:eastAsia="Arial" w:hAnsi="Arial"/>
                <w:sz w:val="14"/>
                <w:szCs w:val="14"/>
                <w:b w:val="1"/>
                <w:bCs w:val="1"/>
                <w:color w:val="auto"/>
                <w:w w:val="86"/>
              </w:rPr>
              <w:t>Operating Results</w:t>
            </w:r>
          </w:p>
        </w:tc>
        <w:tc>
          <w:tcPr>
            <w:tcW w:w="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63"/>
        </w:trPr>
        <w:tc>
          <w:tcPr>
            <w:tcW w:w="6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89"/>
              </w:rPr>
              <w:t>Corporate</w:t>
            </w:r>
          </w:p>
        </w:tc>
        <w:tc>
          <w:tcPr>
            <w:tcW w:w="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6360" w:type="dxa"/>
            <w:vAlign w:val="bottom"/>
            <w:gridSpan w:val="2"/>
          </w:tcPr>
          <w:p>
            <w:pPr>
              <w:ind w:left="40"/>
              <w:spacing w:after="0"/>
              <w:rPr>
                <w:sz w:val="20"/>
                <w:szCs w:val="20"/>
                <w:color w:val="auto"/>
              </w:rPr>
            </w:pPr>
            <w:r>
              <w:rPr>
                <w:rFonts w:ascii="Arial" w:cs="Arial" w:eastAsia="Arial" w:hAnsi="Arial"/>
                <w:sz w:val="14"/>
                <w:szCs w:val="14"/>
                <w:b w:val="1"/>
                <w:bCs w:val="1"/>
                <w:color w:val="auto"/>
              </w:rPr>
              <w:t>Three Months Ended September 30, 2017</w:t>
            </w:r>
          </w:p>
        </w:tc>
        <w:tc>
          <w:tcPr>
            <w:tcW w:w="100" w:type="dxa"/>
            <w:vAlign w:val="bottom"/>
          </w:tcPr>
          <w:p>
            <w:pPr>
              <w:spacing w:after="0"/>
              <w:rPr>
                <w:sz w:val="15"/>
                <w:szCs w:val="15"/>
                <w:color w:val="auto"/>
              </w:rPr>
            </w:pPr>
          </w:p>
        </w:tc>
        <w:tc>
          <w:tcPr>
            <w:tcW w:w="960" w:type="dxa"/>
            <w:vAlign w:val="bottom"/>
            <w:gridSpan w:val="3"/>
          </w:tcPr>
          <w:p>
            <w:pPr>
              <w:jc w:val="right"/>
              <w:ind w:right="300"/>
              <w:spacing w:after="0"/>
              <w:rPr>
                <w:sz w:val="20"/>
                <w:szCs w:val="20"/>
                <w:color w:val="auto"/>
              </w:rPr>
            </w:pPr>
            <w:r>
              <w:rPr>
                <w:rFonts w:ascii="Arial" w:cs="Arial" w:eastAsia="Arial" w:hAnsi="Arial"/>
                <w:sz w:val="14"/>
                <w:szCs w:val="14"/>
                <w:b w:val="1"/>
                <w:bCs w:val="1"/>
                <w:color w:val="auto"/>
              </w:rPr>
              <w:t>Annuities</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jc w:val="right"/>
              <w:ind w:right="285"/>
              <w:spacing w:after="0"/>
              <w:rPr>
                <w:sz w:val="20"/>
                <w:szCs w:val="20"/>
                <w:color w:val="auto"/>
              </w:rPr>
            </w:pPr>
            <w:r>
              <w:rPr>
                <w:rFonts w:ascii="Arial" w:cs="Arial" w:eastAsia="Arial" w:hAnsi="Arial"/>
                <w:sz w:val="14"/>
                <w:szCs w:val="14"/>
                <w:b w:val="1"/>
                <w:bCs w:val="1"/>
                <w:color w:val="auto"/>
              </w:rPr>
              <w:t>Life</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gridSpan w:val="4"/>
          </w:tcPr>
          <w:p>
            <w:pPr>
              <w:jc w:val="center"/>
              <w:ind w:right="300"/>
              <w:spacing w:after="0"/>
              <w:rPr>
                <w:sz w:val="20"/>
                <w:szCs w:val="20"/>
                <w:color w:val="auto"/>
              </w:rPr>
            </w:pPr>
            <w:r>
              <w:rPr>
                <w:rFonts w:ascii="Arial" w:cs="Arial" w:eastAsia="Arial" w:hAnsi="Arial"/>
                <w:sz w:val="14"/>
                <w:szCs w:val="14"/>
                <w:b w:val="1"/>
                <w:bCs w:val="1"/>
                <w:color w:val="auto"/>
                <w:w w:val="92"/>
              </w:rPr>
              <w:t>Run-off</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93"/>
              </w:rPr>
              <w:t>&amp; Other</w:t>
            </w:r>
          </w:p>
        </w:tc>
        <w:tc>
          <w:tcPr>
            <w:tcW w:w="200" w:type="dxa"/>
            <w:vAlign w:val="bottom"/>
          </w:tcPr>
          <w:p>
            <w:pPr>
              <w:spacing w:after="0"/>
              <w:rPr>
                <w:sz w:val="15"/>
                <w:szCs w:val="15"/>
                <w:color w:val="auto"/>
              </w:rPr>
            </w:pPr>
          </w:p>
        </w:tc>
        <w:tc>
          <w:tcPr>
            <w:tcW w:w="660" w:type="dxa"/>
            <w:vAlign w:val="bottom"/>
          </w:tcPr>
          <w:p>
            <w:pPr>
              <w:jc w:val="right"/>
              <w:ind w:right="204"/>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63"/>
        </w:trPr>
        <w:tc>
          <w:tcPr>
            <w:tcW w:w="624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700" w:type="dxa"/>
            <w:vAlign w:val="bottom"/>
            <w:tcBorders>
              <w:top w:val="single" w:sz="8" w:color="auto"/>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20" w:type="dxa"/>
            <w:vAlign w:val="bottom"/>
            <w:tcBorders>
              <w:top w:val="single" w:sz="8" w:color="auto"/>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660" w:type="dxa"/>
            <w:vAlign w:val="bottom"/>
            <w:tcBorders>
              <w:top w:val="single" w:sz="8" w:color="auto"/>
            </w:tcBorders>
          </w:tcPr>
          <w:p>
            <w:pPr>
              <w:spacing w:after="0"/>
              <w:rPr>
                <w:sz w:val="22"/>
                <w:szCs w:val="22"/>
                <w:color w:val="auto"/>
              </w:rPr>
            </w:pPr>
          </w:p>
        </w:tc>
        <w:tc>
          <w:tcPr>
            <w:tcW w:w="40" w:type="dxa"/>
            <w:vAlign w:val="bottom"/>
            <w:tcBorders>
              <w:top w:val="single" w:sz="8" w:color="auto"/>
            </w:tcBorders>
          </w:tcPr>
          <w:p>
            <w:pPr>
              <w:spacing w:after="0"/>
              <w:rPr>
                <w:sz w:val="22"/>
                <w:szCs w:val="22"/>
                <w:color w:val="auto"/>
              </w:rPr>
            </w:pPr>
          </w:p>
        </w:tc>
        <w:tc>
          <w:tcPr>
            <w:tcW w:w="60" w:type="dxa"/>
            <w:vAlign w:val="bottom"/>
            <w:tcBorders>
              <w:top w:val="single" w:sz="8" w:color="auto"/>
            </w:tcBorders>
          </w:tcPr>
          <w:p>
            <w:pPr>
              <w:spacing w:after="0"/>
              <w:rPr>
                <w:sz w:val="22"/>
                <w:szCs w:val="22"/>
                <w:color w:val="auto"/>
              </w:rPr>
            </w:pPr>
          </w:p>
        </w:tc>
        <w:tc>
          <w:tcPr>
            <w:tcW w:w="60" w:type="dxa"/>
            <w:vAlign w:val="bottom"/>
            <w:tcBorders>
              <w:top w:val="single" w:sz="8" w:color="auto"/>
            </w:tcBorders>
          </w:tcPr>
          <w:p>
            <w:pPr>
              <w:spacing w:after="0"/>
              <w:rPr>
                <w:sz w:val="22"/>
                <w:szCs w:val="22"/>
                <w:color w:val="auto"/>
              </w:rPr>
            </w:pPr>
          </w:p>
        </w:tc>
        <w:tc>
          <w:tcPr>
            <w:tcW w:w="920" w:type="dxa"/>
            <w:vAlign w:val="bottom"/>
            <w:tcBorders>
              <w:top w:val="single" w:sz="8" w:color="auto"/>
            </w:tcBorders>
            <w:gridSpan w:val="5"/>
          </w:tcPr>
          <w:p>
            <w:pPr>
              <w:ind w:left="20"/>
              <w:spacing w:after="0"/>
              <w:rPr>
                <w:sz w:val="20"/>
                <w:szCs w:val="20"/>
                <w:color w:val="auto"/>
              </w:rPr>
            </w:pPr>
            <w:r>
              <w:rPr>
                <w:rFonts w:ascii="Arial" w:cs="Arial" w:eastAsia="Arial" w:hAnsi="Arial"/>
                <w:sz w:val="14"/>
                <w:szCs w:val="14"/>
                <w:b w:val="1"/>
                <w:bCs w:val="1"/>
                <w:color w:val="auto"/>
              </w:rPr>
              <w:t>(In millions)</w:t>
            </w:r>
          </w:p>
        </w:tc>
        <w:tc>
          <w:tcPr>
            <w:tcW w:w="40" w:type="dxa"/>
            <w:vAlign w:val="bottom"/>
            <w:tcBorders>
              <w:top w:val="single" w:sz="8" w:color="auto"/>
            </w:tcBorders>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840" w:type="dxa"/>
            <w:vAlign w:val="bottom"/>
            <w:tcBorders>
              <w:top w:val="single" w:sz="8" w:color="auto"/>
            </w:tcBorders>
          </w:tcPr>
          <w:p>
            <w:pPr>
              <w:spacing w:after="0"/>
              <w:rPr>
                <w:sz w:val="22"/>
                <w:szCs w:val="22"/>
                <w:color w:val="auto"/>
              </w:rPr>
            </w:pPr>
          </w:p>
        </w:tc>
        <w:tc>
          <w:tcPr>
            <w:tcW w:w="20" w:type="dxa"/>
            <w:vAlign w:val="bottom"/>
            <w:tcBorders>
              <w:top w:val="single" w:sz="8" w:color="auto"/>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66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77"/>
        </w:trPr>
        <w:tc>
          <w:tcPr>
            <w:tcW w:w="6360" w:type="dxa"/>
            <w:vAlign w:val="bottom"/>
            <w:gridSpan w:val="2"/>
            <w:shd w:val="clear" w:color="auto" w:fill="CCEEFF"/>
          </w:tcPr>
          <w:p>
            <w:pPr>
              <w:ind w:left="40"/>
              <w:spacing w:after="0"/>
              <w:rPr>
                <w:sz w:val="20"/>
                <w:szCs w:val="20"/>
                <w:color w:val="auto"/>
              </w:rPr>
            </w:pPr>
            <w:r>
              <w:rPr>
                <w:rFonts w:ascii="Arial" w:cs="Arial" w:eastAsia="Arial" w:hAnsi="Arial"/>
                <w:sz w:val="15"/>
                <w:szCs w:val="15"/>
                <w:color w:val="auto"/>
              </w:rPr>
              <w:t>Pre-tax operating earnings (loss)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6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488</w:t>
            </w:r>
          </w:p>
        </w:tc>
        <w:tc>
          <w:tcPr>
            <w:tcW w:w="100" w:type="dxa"/>
            <w:vAlign w:val="bottom"/>
            <w:shd w:val="clear" w:color="auto" w:fill="CCEEFF"/>
          </w:tcPr>
          <w:p>
            <w:pPr>
              <w:spacing w:after="0"/>
              <w:rPr>
                <w:sz w:val="24"/>
                <w:szCs w:val="24"/>
                <w:color w:val="auto"/>
              </w:rPr>
            </w:pPr>
          </w:p>
        </w:tc>
        <w:tc>
          <w:tcPr>
            <w:tcW w:w="12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w w:val="95"/>
              </w:rPr>
              <w:t>$</w:t>
            </w:r>
          </w:p>
        </w:tc>
        <w:tc>
          <w:tcPr>
            <w:tcW w:w="16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rPr>
              <w:t>(8)</w:t>
            </w:r>
          </w:p>
        </w:tc>
        <w:tc>
          <w:tcPr>
            <w:tcW w:w="280" w:type="dxa"/>
            <w:vAlign w:val="bottom"/>
            <w:gridSpan w:val="4"/>
            <w:shd w:val="clear" w:color="auto" w:fill="CCEEFF"/>
          </w:tcPr>
          <w:p>
            <w:pPr>
              <w:jc w:val="right"/>
              <w:ind w:right="12"/>
              <w:spacing w:after="0"/>
              <w:rPr>
                <w:sz w:val="20"/>
                <w:szCs w:val="20"/>
                <w:color w:val="auto"/>
              </w:rPr>
            </w:pPr>
            <w:r>
              <w:rPr>
                <w:rFonts w:ascii="Arial" w:cs="Arial" w:eastAsia="Arial" w:hAnsi="Arial"/>
                <w:sz w:val="15"/>
                <w:szCs w:val="15"/>
                <w:color w:val="auto"/>
              </w:rPr>
              <w:t>$</w:t>
            </w:r>
          </w:p>
        </w:tc>
        <w:tc>
          <w:tcPr>
            <w:tcW w:w="68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rPr>
              <w:t>119</w:t>
            </w:r>
          </w:p>
        </w:tc>
        <w:tc>
          <w:tcPr>
            <w:tcW w:w="4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6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ind w:right="46"/>
              <w:spacing w:after="0"/>
              <w:rPr>
                <w:sz w:val="20"/>
                <w:szCs w:val="20"/>
                <w:color w:val="auto"/>
              </w:rPr>
            </w:pPr>
            <w:r>
              <w:rPr>
                <w:rFonts w:ascii="Arial" w:cs="Arial" w:eastAsia="Arial" w:hAnsi="Arial"/>
                <w:sz w:val="15"/>
                <w:szCs w:val="15"/>
                <w:color w:val="auto"/>
              </w:rPr>
              <w:t>(95)</w:t>
            </w: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w:t>
            </w:r>
          </w:p>
        </w:tc>
        <w:tc>
          <w:tcPr>
            <w:tcW w:w="66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504</w:t>
            </w:r>
          </w:p>
        </w:tc>
        <w:tc>
          <w:tcPr>
            <w:tcW w:w="0" w:type="dxa"/>
            <w:vAlign w:val="bottom"/>
          </w:tcPr>
          <w:p>
            <w:pPr>
              <w:spacing w:after="0"/>
              <w:rPr>
                <w:sz w:val="1"/>
                <w:szCs w:val="1"/>
                <w:color w:val="auto"/>
              </w:rPr>
            </w:pPr>
          </w:p>
        </w:tc>
      </w:tr>
      <w:tr>
        <w:trPr>
          <w:trHeight w:val="266"/>
        </w:trPr>
        <w:tc>
          <w:tcPr>
            <w:tcW w:w="6360" w:type="dxa"/>
            <w:vAlign w:val="bottom"/>
            <w:tcBorders>
              <w:bottom w:val="single" w:sz="8" w:color="CCEEFF"/>
            </w:tcBorders>
            <w:gridSpan w:val="2"/>
          </w:tcPr>
          <w:p>
            <w:pPr>
              <w:ind w:left="40"/>
              <w:spacing w:after="0"/>
              <w:rPr>
                <w:sz w:val="20"/>
                <w:szCs w:val="20"/>
                <w:color w:val="auto"/>
              </w:rPr>
            </w:pPr>
            <w:r>
              <w:rPr>
                <w:rFonts w:ascii="Arial" w:cs="Arial" w:eastAsia="Arial" w:hAnsi="Arial"/>
                <w:sz w:val="15"/>
                <w:szCs w:val="15"/>
                <w:color w:val="auto"/>
              </w:rPr>
              <w:t>Provision for income tax expense (benefit)</w:t>
            </w:r>
          </w:p>
        </w:tc>
        <w:tc>
          <w:tcPr>
            <w:tcW w:w="100" w:type="dxa"/>
            <w:vAlign w:val="bottom"/>
            <w:tcBorders>
              <w:bottom w:val="single" w:sz="8" w:color="auto"/>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70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color w:val="auto"/>
              </w:rPr>
              <w:t>133</w:t>
            </w:r>
          </w:p>
        </w:tc>
        <w:tc>
          <w:tcPr>
            <w:tcW w:w="100" w:type="dxa"/>
            <w:vAlign w:val="bottom"/>
            <w:tcBorders>
              <w:bottom w:val="single" w:sz="8" w:color="CCEEFF"/>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660" w:type="dxa"/>
            <w:vAlign w:val="bottom"/>
            <w:tcBorders>
              <w:bottom w:val="single" w:sz="8" w:color="auto"/>
            </w:tcBorders>
          </w:tcPr>
          <w:p>
            <w:pPr>
              <w:jc w:val="right"/>
              <w:ind w:right="65"/>
              <w:spacing w:after="0"/>
              <w:rPr>
                <w:sz w:val="20"/>
                <w:szCs w:val="20"/>
                <w:color w:val="auto"/>
              </w:rPr>
            </w:pPr>
            <w:r>
              <w:rPr>
                <w:rFonts w:ascii="Arial" w:cs="Arial" w:eastAsia="Arial" w:hAnsi="Arial"/>
                <w:sz w:val="15"/>
                <w:szCs w:val="15"/>
                <w:color w:val="auto"/>
              </w:rPr>
              <w:t>(14)</w:t>
            </w:r>
          </w:p>
        </w:tc>
        <w:tc>
          <w:tcPr>
            <w:tcW w:w="40" w:type="dxa"/>
            <w:vAlign w:val="bottom"/>
            <w:tcBorders>
              <w:bottom w:val="single" w:sz="8" w:color="CCEEFF"/>
            </w:tcBorders>
          </w:tcPr>
          <w:p>
            <w:pPr>
              <w:spacing w:after="0"/>
              <w:rPr>
                <w:sz w:val="23"/>
                <w:szCs w:val="23"/>
                <w:color w:val="auto"/>
              </w:rPr>
            </w:pPr>
          </w:p>
        </w:tc>
        <w:tc>
          <w:tcPr>
            <w:tcW w:w="60" w:type="dxa"/>
            <w:vAlign w:val="bottom"/>
            <w:tcBorders>
              <w:bottom w:val="single" w:sz="8" w:color="CCEEFF"/>
            </w:tcBorders>
          </w:tcPr>
          <w:p>
            <w:pPr>
              <w:spacing w:after="0"/>
              <w:rPr>
                <w:sz w:val="23"/>
                <w:szCs w:val="23"/>
                <w:color w:val="auto"/>
              </w:rPr>
            </w:pPr>
          </w:p>
        </w:tc>
        <w:tc>
          <w:tcPr>
            <w:tcW w:w="60" w:type="dxa"/>
            <w:vAlign w:val="bottom"/>
            <w:tcBorders>
              <w:bottom w:val="single" w:sz="8" w:color="auto"/>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680" w:type="dxa"/>
            <w:vAlign w:val="bottom"/>
            <w:tcBorders>
              <w:bottom w:val="single" w:sz="8" w:color="auto"/>
            </w:tcBorders>
          </w:tcPr>
          <w:p>
            <w:pPr>
              <w:jc w:val="right"/>
              <w:ind w:right="45"/>
              <w:spacing w:after="0"/>
              <w:rPr>
                <w:sz w:val="20"/>
                <w:szCs w:val="20"/>
                <w:color w:val="auto"/>
              </w:rPr>
            </w:pPr>
            <w:r>
              <w:rPr>
                <w:rFonts w:ascii="Arial" w:cs="Arial" w:eastAsia="Arial" w:hAnsi="Arial"/>
                <w:sz w:val="15"/>
                <w:szCs w:val="15"/>
                <w:color w:val="auto"/>
              </w:rPr>
              <w:t>36</w:t>
            </w:r>
          </w:p>
        </w:tc>
        <w:tc>
          <w:tcPr>
            <w:tcW w:w="40" w:type="dxa"/>
            <w:vAlign w:val="bottom"/>
            <w:tcBorders>
              <w:bottom w:val="single" w:sz="8" w:color="CCEEFF"/>
            </w:tcBorders>
          </w:tcPr>
          <w:p>
            <w:pPr>
              <w:spacing w:after="0"/>
              <w:rPr>
                <w:sz w:val="23"/>
                <w:szCs w:val="23"/>
                <w:color w:val="auto"/>
              </w:rPr>
            </w:pPr>
          </w:p>
        </w:tc>
        <w:tc>
          <w:tcPr>
            <w:tcW w:w="60" w:type="dxa"/>
            <w:vAlign w:val="bottom"/>
            <w:tcBorders>
              <w:bottom w:val="single" w:sz="8" w:color="CCEEFF"/>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40" w:type="dxa"/>
            <w:vAlign w:val="bottom"/>
            <w:tcBorders>
              <w:bottom w:val="single" w:sz="8" w:color="auto"/>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ind w:right="86"/>
              <w:spacing w:after="0"/>
              <w:rPr>
                <w:sz w:val="20"/>
                <w:szCs w:val="20"/>
                <w:color w:val="auto"/>
              </w:rPr>
            </w:pPr>
            <w:r>
              <w:rPr>
                <w:rFonts w:ascii="Arial" w:cs="Arial" w:eastAsia="Arial" w:hAnsi="Arial"/>
                <w:sz w:val="15"/>
                <w:szCs w:val="15"/>
                <w:color w:val="auto"/>
              </w:rPr>
              <w:t>1,025</w:t>
            </w:r>
          </w:p>
        </w:tc>
        <w:tc>
          <w:tcPr>
            <w:tcW w:w="20" w:type="dxa"/>
            <w:vAlign w:val="bottom"/>
            <w:tcBorders>
              <w:bottom w:val="single" w:sz="8" w:color="auto"/>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66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1,180</w:t>
            </w:r>
          </w:p>
        </w:tc>
        <w:tc>
          <w:tcPr>
            <w:tcW w:w="0" w:type="dxa"/>
            <w:vAlign w:val="bottom"/>
          </w:tcPr>
          <w:p>
            <w:pPr>
              <w:spacing w:after="0"/>
              <w:rPr>
                <w:sz w:val="1"/>
                <w:szCs w:val="1"/>
                <w:color w:val="auto"/>
              </w:rPr>
            </w:pPr>
          </w:p>
        </w:tc>
      </w:tr>
      <w:tr>
        <w:trPr>
          <w:trHeight w:val="241"/>
        </w:trPr>
        <w:tc>
          <w:tcPr>
            <w:tcW w:w="6360" w:type="dxa"/>
            <w:vAlign w:val="bottom"/>
            <w:gridSpan w:val="2"/>
            <w:shd w:val="clear" w:color="auto" w:fill="CCEEFF"/>
          </w:tcPr>
          <w:p>
            <w:pPr>
              <w:ind w:left="200"/>
              <w:spacing w:after="0"/>
              <w:rPr>
                <w:sz w:val="20"/>
                <w:szCs w:val="20"/>
                <w:color w:val="auto"/>
              </w:rPr>
            </w:pPr>
            <w:r>
              <w:rPr>
                <w:rFonts w:ascii="Arial" w:cs="Arial" w:eastAsia="Arial" w:hAnsi="Arial"/>
                <w:sz w:val="15"/>
                <w:szCs w:val="15"/>
                <w:color w:val="auto"/>
              </w:rPr>
              <w:t>Operating earnings (loss)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60" w:type="dxa"/>
            <w:vAlign w:val="bottom"/>
            <w:shd w:val="clear" w:color="auto" w:fill="CCEEFF"/>
          </w:tcPr>
          <w:p>
            <w:pPr>
              <w:spacing w:after="0"/>
              <w:rPr>
                <w:sz w:val="20"/>
                <w:szCs w:val="20"/>
                <w:color w:val="auto"/>
              </w:rPr>
            </w:pPr>
          </w:p>
        </w:tc>
        <w:tc>
          <w:tcPr>
            <w:tcW w:w="70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355</w:t>
            </w:r>
          </w:p>
        </w:tc>
        <w:tc>
          <w:tcPr>
            <w:tcW w:w="100" w:type="dxa"/>
            <w:vAlign w:val="bottom"/>
            <w:shd w:val="clear" w:color="auto" w:fill="CCEEFF"/>
          </w:tcPr>
          <w:p>
            <w:pPr>
              <w:spacing w:after="0"/>
              <w:rPr>
                <w:sz w:val="20"/>
                <w:szCs w:val="20"/>
                <w:color w:val="auto"/>
              </w:rPr>
            </w:pPr>
          </w:p>
        </w:tc>
        <w:tc>
          <w:tcPr>
            <w:tcW w:w="12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w w:val="95"/>
              </w:rPr>
              <w:t>$</w:t>
            </w:r>
          </w:p>
        </w:tc>
        <w:tc>
          <w:tcPr>
            <w:tcW w:w="160" w:type="dxa"/>
            <w:vAlign w:val="bottom"/>
            <w:shd w:val="clear" w:color="auto" w:fill="CCEEFF"/>
          </w:tcPr>
          <w:p>
            <w:pPr>
              <w:spacing w:after="0"/>
              <w:rPr>
                <w:sz w:val="20"/>
                <w:szCs w:val="20"/>
                <w:color w:val="auto"/>
              </w:rPr>
            </w:pPr>
          </w:p>
        </w:tc>
        <w:tc>
          <w:tcPr>
            <w:tcW w:w="660" w:type="dxa"/>
            <w:vAlign w:val="bottom"/>
            <w:shd w:val="clear" w:color="auto" w:fill="CCEEFF"/>
          </w:tcPr>
          <w:p>
            <w:pPr>
              <w:jc w:val="right"/>
              <w:ind w:right="125"/>
              <w:spacing w:after="0"/>
              <w:rPr>
                <w:sz w:val="20"/>
                <w:szCs w:val="20"/>
                <w:color w:val="auto"/>
              </w:rPr>
            </w:pPr>
            <w:r>
              <w:rPr>
                <w:rFonts w:ascii="Arial" w:cs="Arial" w:eastAsia="Arial" w:hAnsi="Arial"/>
                <w:sz w:val="15"/>
                <w:szCs w:val="15"/>
                <w:color w:val="auto"/>
              </w:rPr>
              <w:t>6</w:t>
            </w:r>
          </w:p>
        </w:tc>
        <w:tc>
          <w:tcPr>
            <w:tcW w:w="280" w:type="dxa"/>
            <w:vAlign w:val="bottom"/>
            <w:gridSpan w:val="4"/>
            <w:shd w:val="clear" w:color="auto" w:fill="CCEEFF"/>
          </w:tcPr>
          <w:p>
            <w:pPr>
              <w:jc w:val="right"/>
              <w:ind w:right="12"/>
              <w:spacing w:after="0"/>
              <w:rPr>
                <w:sz w:val="20"/>
                <w:szCs w:val="20"/>
                <w:color w:val="auto"/>
              </w:rPr>
            </w:pPr>
            <w:r>
              <w:rPr>
                <w:rFonts w:ascii="Arial" w:cs="Arial" w:eastAsia="Arial" w:hAnsi="Arial"/>
                <w:sz w:val="15"/>
                <w:szCs w:val="15"/>
                <w:color w:val="auto"/>
              </w:rPr>
              <w:t>$</w:t>
            </w:r>
          </w:p>
        </w:tc>
        <w:tc>
          <w:tcPr>
            <w:tcW w:w="68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rPr>
              <w:t>83</w:t>
            </w:r>
          </w:p>
        </w:tc>
        <w:tc>
          <w:tcPr>
            <w:tcW w:w="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6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ind w:right="46"/>
              <w:spacing w:after="0"/>
              <w:rPr>
                <w:sz w:val="20"/>
                <w:szCs w:val="20"/>
                <w:color w:val="auto"/>
              </w:rPr>
            </w:pPr>
            <w:r>
              <w:rPr>
                <w:rFonts w:ascii="Arial" w:cs="Arial" w:eastAsia="Arial" w:hAnsi="Arial"/>
                <w:sz w:val="15"/>
                <w:szCs w:val="15"/>
                <w:color w:val="auto"/>
              </w:rPr>
              <w:t>(1,120)</w:t>
            </w: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(676)</w:t>
            </w:r>
          </w:p>
        </w:tc>
        <w:tc>
          <w:tcPr>
            <w:tcW w:w="0" w:type="dxa"/>
            <w:vAlign w:val="bottom"/>
          </w:tcPr>
          <w:p>
            <w:pPr>
              <w:spacing w:after="0"/>
              <w:rPr>
                <w:sz w:val="1"/>
                <w:szCs w:val="1"/>
                <w:color w:val="auto"/>
              </w:rPr>
            </w:pPr>
          </w:p>
        </w:tc>
      </w:tr>
      <w:tr>
        <w:trPr>
          <w:trHeight w:val="20"/>
        </w:trPr>
        <w:tc>
          <w:tcPr>
            <w:tcW w:w="6360" w:type="dxa"/>
            <w:vAlign w:val="bottom"/>
            <w:tcBorders>
              <w:top w:val="single" w:sz="8" w:color="CCEEFF"/>
              <w:bottom w:val="single" w:sz="8" w:color="CCEEFF"/>
            </w:tcBorders>
            <w:gridSpan w:val="2"/>
            <w:vMerge w:val="restart"/>
          </w:tcPr>
          <w:p>
            <w:pPr>
              <w:ind w:left="40"/>
              <w:spacing w:after="0"/>
              <w:rPr>
                <w:sz w:val="20"/>
                <w:szCs w:val="20"/>
                <w:color w:val="auto"/>
              </w:rPr>
            </w:pPr>
            <w:r>
              <w:rPr>
                <w:rFonts w:ascii="Arial" w:cs="Arial" w:eastAsia="Arial" w:hAnsi="Arial"/>
                <w:sz w:val="15"/>
                <w:szCs w:val="15"/>
                <w:color w:val="auto"/>
              </w:rPr>
              <w:t>Adjustments for:</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7"/>
        </w:trPr>
        <w:tc>
          <w:tcPr>
            <w:tcW w:w="6360" w:type="dxa"/>
            <w:vAlign w:val="bottom"/>
            <w:gridSpan w:val="2"/>
            <w:vMerge w:val="continue"/>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4"/>
        </w:trPr>
        <w:tc>
          <w:tcPr>
            <w:tcW w:w="6360" w:type="dxa"/>
            <w:vAlign w:val="bottom"/>
            <w:gridSpan w:val="2"/>
            <w:shd w:val="clear" w:color="auto" w:fill="CCEEFF"/>
          </w:tcPr>
          <w:p>
            <w:pPr>
              <w:ind w:left="40"/>
              <w:spacing w:after="0"/>
              <w:rPr>
                <w:sz w:val="20"/>
                <w:szCs w:val="20"/>
                <w:color w:val="auto"/>
              </w:rPr>
            </w:pPr>
            <w:r>
              <w:rPr>
                <w:rFonts w:ascii="Arial" w:cs="Arial" w:eastAsia="Arial" w:hAnsi="Arial"/>
                <w:sz w:val="15"/>
                <w:szCs w:val="15"/>
                <w:color w:val="auto"/>
              </w:rPr>
              <w:t>Net investment gains (losses)</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66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21</w:t>
            </w:r>
          </w:p>
        </w:tc>
        <w:tc>
          <w:tcPr>
            <w:tcW w:w="0" w:type="dxa"/>
            <w:vAlign w:val="bottom"/>
          </w:tcPr>
          <w:p>
            <w:pPr>
              <w:spacing w:after="0"/>
              <w:rPr>
                <w:sz w:val="1"/>
                <w:szCs w:val="1"/>
                <w:color w:val="auto"/>
              </w:rPr>
            </w:pPr>
          </w:p>
        </w:tc>
      </w:tr>
      <w:tr>
        <w:trPr>
          <w:trHeight w:val="266"/>
        </w:trPr>
        <w:tc>
          <w:tcPr>
            <w:tcW w:w="6360" w:type="dxa"/>
            <w:vAlign w:val="bottom"/>
            <w:gridSpan w:val="2"/>
          </w:tcPr>
          <w:p>
            <w:pPr>
              <w:ind w:left="40"/>
              <w:spacing w:after="0"/>
              <w:rPr>
                <w:sz w:val="20"/>
                <w:szCs w:val="20"/>
                <w:color w:val="auto"/>
              </w:rPr>
            </w:pPr>
            <w:r>
              <w:rPr>
                <w:rFonts w:ascii="Arial" w:cs="Arial" w:eastAsia="Arial" w:hAnsi="Arial"/>
                <w:sz w:val="15"/>
                <w:szCs w:val="15"/>
                <w:color w:val="auto"/>
              </w:rPr>
              <w:t>Net derivative gains (losses)</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(164)</w:t>
            </w:r>
          </w:p>
        </w:tc>
        <w:tc>
          <w:tcPr>
            <w:tcW w:w="0" w:type="dxa"/>
            <w:vAlign w:val="bottom"/>
          </w:tcPr>
          <w:p>
            <w:pPr>
              <w:spacing w:after="0"/>
              <w:rPr>
                <w:sz w:val="1"/>
                <w:szCs w:val="1"/>
                <w:color w:val="auto"/>
              </w:rPr>
            </w:pPr>
          </w:p>
        </w:tc>
      </w:tr>
      <w:tr>
        <w:trPr>
          <w:trHeight w:val="274"/>
        </w:trPr>
        <w:tc>
          <w:tcPr>
            <w:tcW w:w="6360" w:type="dxa"/>
            <w:vAlign w:val="bottom"/>
            <w:gridSpan w:val="2"/>
            <w:shd w:val="clear" w:color="auto" w:fill="CCEEFF"/>
          </w:tcPr>
          <w:p>
            <w:pPr>
              <w:ind w:left="40"/>
              <w:spacing w:after="0"/>
              <w:rPr>
                <w:sz w:val="20"/>
                <w:szCs w:val="20"/>
                <w:color w:val="auto"/>
              </w:rPr>
            </w:pPr>
            <w:r>
              <w:rPr>
                <w:rFonts w:ascii="Arial" w:cs="Arial" w:eastAsia="Arial" w:hAnsi="Arial"/>
                <w:sz w:val="15"/>
                <w:szCs w:val="15"/>
                <w:color w:val="auto"/>
              </w:rPr>
              <w:t>Other adjustments to net income</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(485)</w:t>
            </w:r>
          </w:p>
        </w:tc>
        <w:tc>
          <w:tcPr>
            <w:tcW w:w="0" w:type="dxa"/>
            <w:vAlign w:val="bottom"/>
          </w:tcPr>
          <w:p>
            <w:pPr>
              <w:spacing w:after="0"/>
              <w:rPr>
                <w:sz w:val="1"/>
                <w:szCs w:val="1"/>
                <w:color w:val="auto"/>
              </w:rPr>
            </w:pPr>
          </w:p>
        </w:tc>
      </w:tr>
      <w:tr>
        <w:trPr>
          <w:trHeight w:val="266"/>
        </w:trPr>
        <w:tc>
          <w:tcPr>
            <w:tcW w:w="6360" w:type="dxa"/>
            <w:vAlign w:val="bottom"/>
            <w:tcBorders>
              <w:bottom w:val="single" w:sz="8" w:color="CCEEFF"/>
            </w:tcBorders>
            <w:gridSpan w:val="2"/>
          </w:tcPr>
          <w:p>
            <w:pPr>
              <w:ind w:left="40"/>
              <w:spacing w:after="0"/>
              <w:rPr>
                <w:sz w:val="20"/>
                <w:szCs w:val="20"/>
                <w:color w:val="auto"/>
              </w:rPr>
            </w:pPr>
            <w:r>
              <w:rPr>
                <w:rFonts w:ascii="Arial" w:cs="Arial" w:eastAsia="Arial" w:hAnsi="Arial"/>
                <w:sz w:val="15"/>
                <w:szCs w:val="15"/>
                <w:color w:val="auto"/>
              </w:rPr>
              <w:t>Provision for income tax (expense) benefit</w:t>
            </w:r>
          </w:p>
        </w:tc>
        <w:tc>
          <w:tcPr>
            <w:tcW w:w="100" w:type="dxa"/>
            <w:vAlign w:val="bottom"/>
            <w:tcBorders>
              <w:bottom w:val="single" w:sz="8" w:color="CCEEFF"/>
            </w:tcBorders>
          </w:tcPr>
          <w:p>
            <w:pPr>
              <w:spacing w:after="0"/>
              <w:rPr>
                <w:sz w:val="23"/>
                <w:szCs w:val="23"/>
                <w:color w:val="auto"/>
              </w:rPr>
            </w:pPr>
          </w:p>
        </w:tc>
        <w:tc>
          <w:tcPr>
            <w:tcW w:w="160" w:type="dxa"/>
            <w:vAlign w:val="bottom"/>
            <w:tcBorders>
              <w:bottom w:val="single" w:sz="8" w:color="CCEEFF"/>
            </w:tcBorders>
          </w:tcPr>
          <w:p>
            <w:pPr>
              <w:spacing w:after="0"/>
              <w:rPr>
                <w:sz w:val="23"/>
                <w:szCs w:val="23"/>
                <w:color w:val="auto"/>
              </w:rPr>
            </w:pPr>
          </w:p>
        </w:tc>
        <w:tc>
          <w:tcPr>
            <w:tcW w:w="700" w:type="dxa"/>
            <w:vAlign w:val="bottom"/>
            <w:tcBorders>
              <w:bottom w:val="single" w:sz="8" w:color="CCEEFF"/>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20" w:type="dxa"/>
            <w:vAlign w:val="bottom"/>
            <w:tcBorders>
              <w:bottom w:val="single" w:sz="8" w:color="CCEEFF"/>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160" w:type="dxa"/>
            <w:vAlign w:val="bottom"/>
            <w:tcBorders>
              <w:bottom w:val="single" w:sz="8" w:color="CCEEFF"/>
            </w:tcBorders>
          </w:tcPr>
          <w:p>
            <w:pPr>
              <w:spacing w:after="0"/>
              <w:rPr>
                <w:sz w:val="23"/>
                <w:szCs w:val="23"/>
                <w:color w:val="auto"/>
              </w:rPr>
            </w:pPr>
          </w:p>
        </w:tc>
        <w:tc>
          <w:tcPr>
            <w:tcW w:w="660" w:type="dxa"/>
            <w:vAlign w:val="bottom"/>
            <w:tcBorders>
              <w:bottom w:val="single" w:sz="8" w:color="CCEEFF"/>
            </w:tcBorders>
          </w:tcPr>
          <w:p>
            <w:pPr>
              <w:spacing w:after="0"/>
              <w:rPr>
                <w:sz w:val="23"/>
                <w:szCs w:val="23"/>
                <w:color w:val="auto"/>
              </w:rPr>
            </w:pPr>
          </w:p>
        </w:tc>
        <w:tc>
          <w:tcPr>
            <w:tcW w:w="40" w:type="dxa"/>
            <w:vAlign w:val="bottom"/>
            <w:tcBorders>
              <w:bottom w:val="single" w:sz="8" w:color="CCEEFF"/>
            </w:tcBorders>
          </w:tcPr>
          <w:p>
            <w:pPr>
              <w:spacing w:after="0"/>
              <w:rPr>
                <w:sz w:val="23"/>
                <w:szCs w:val="23"/>
                <w:color w:val="auto"/>
              </w:rPr>
            </w:pPr>
          </w:p>
        </w:tc>
        <w:tc>
          <w:tcPr>
            <w:tcW w:w="60" w:type="dxa"/>
            <w:vAlign w:val="bottom"/>
            <w:tcBorders>
              <w:bottom w:val="single" w:sz="8" w:color="CCEEFF"/>
            </w:tcBorders>
          </w:tcPr>
          <w:p>
            <w:pPr>
              <w:spacing w:after="0"/>
              <w:rPr>
                <w:sz w:val="23"/>
                <w:szCs w:val="23"/>
                <w:color w:val="auto"/>
              </w:rPr>
            </w:pPr>
          </w:p>
        </w:tc>
        <w:tc>
          <w:tcPr>
            <w:tcW w:w="60" w:type="dxa"/>
            <w:vAlign w:val="bottom"/>
            <w:tcBorders>
              <w:bottom w:val="single" w:sz="8" w:color="CCEEFF"/>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680" w:type="dxa"/>
            <w:vAlign w:val="bottom"/>
            <w:tcBorders>
              <w:bottom w:val="single" w:sz="8" w:color="CCEEFF"/>
            </w:tcBorders>
          </w:tcPr>
          <w:p>
            <w:pPr>
              <w:spacing w:after="0"/>
              <w:rPr>
                <w:sz w:val="23"/>
                <w:szCs w:val="23"/>
                <w:color w:val="auto"/>
              </w:rPr>
            </w:pPr>
          </w:p>
        </w:tc>
        <w:tc>
          <w:tcPr>
            <w:tcW w:w="40" w:type="dxa"/>
            <w:vAlign w:val="bottom"/>
            <w:tcBorders>
              <w:bottom w:val="single" w:sz="8" w:color="CCEEFF"/>
            </w:tcBorders>
          </w:tcPr>
          <w:p>
            <w:pPr>
              <w:spacing w:after="0"/>
              <w:rPr>
                <w:sz w:val="23"/>
                <w:szCs w:val="23"/>
                <w:color w:val="auto"/>
              </w:rPr>
            </w:pPr>
          </w:p>
        </w:tc>
        <w:tc>
          <w:tcPr>
            <w:tcW w:w="60" w:type="dxa"/>
            <w:vAlign w:val="bottom"/>
            <w:tcBorders>
              <w:bottom w:val="single" w:sz="8" w:color="CCEEFF"/>
            </w:tcBorders>
          </w:tcPr>
          <w:p>
            <w:pPr>
              <w:spacing w:after="0"/>
              <w:rPr>
                <w:sz w:val="23"/>
                <w:szCs w:val="23"/>
                <w:color w:val="auto"/>
              </w:rPr>
            </w:pPr>
          </w:p>
        </w:tc>
        <w:tc>
          <w:tcPr>
            <w:tcW w:w="20" w:type="dxa"/>
            <w:vAlign w:val="bottom"/>
            <w:tcBorders>
              <w:bottom w:val="single" w:sz="8" w:color="CCEEFF"/>
            </w:tcBorders>
          </w:tcPr>
          <w:p>
            <w:pPr>
              <w:spacing w:after="0"/>
              <w:rPr>
                <w:sz w:val="23"/>
                <w:szCs w:val="23"/>
                <w:color w:val="auto"/>
              </w:rPr>
            </w:pPr>
          </w:p>
        </w:tc>
        <w:tc>
          <w:tcPr>
            <w:tcW w:w="40" w:type="dxa"/>
            <w:vAlign w:val="bottom"/>
            <w:tcBorders>
              <w:bottom w:val="single" w:sz="8" w:color="CCEEFF"/>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840" w:type="dxa"/>
            <w:vAlign w:val="bottom"/>
            <w:tcBorders>
              <w:bottom w:val="single" w:sz="8" w:color="CCEEFF"/>
            </w:tcBorders>
          </w:tcPr>
          <w:p>
            <w:pPr>
              <w:spacing w:after="0"/>
              <w:rPr>
                <w:sz w:val="23"/>
                <w:szCs w:val="23"/>
                <w:color w:val="auto"/>
              </w:rPr>
            </w:pPr>
          </w:p>
        </w:tc>
        <w:tc>
          <w:tcPr>
            <w:tcW w:w="20" w:type="dxa"/>
            <w:vAlign w:val="bottom"/>
            <w:tcBorders>
              <w:bottom w:val="single" w:sz="8" w:color="CCEEFF"/>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66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361</w:t>
            </w:r>
          </w:p>
        </w:tc>
        <w:tc>
          <w:tcPr>
            <w:tcW w:w="0" w:type="dxa"/>
            <w:vAlign w:val="bottom"/>
          </w:tcPr>
          <w:p>
            <w:pPr>
              <w:spacing w:after="0"/>
              <w:rPr>
                <w:sz w:val="1"/>
                <w:szCs w:val="1"/>
                <w:color w:val="auto"/>
              </w:rPr>
            </w:pPr>
          </w:p>
        </w:tc>
      </w:tr>
      <w:tr>
        <w:trPr>
          <w:trHeight w:val="241"/>
        </w:trPr>
        <w:tc>
          <w:tcPr>
            <w:tcW w:w="636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5"/>
                <w:szCs w:val="15"/>
                <w:color w:val="auto"/>
              </w:rPr>
              <w:t>Net income (loss)</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(943)</w:t>
            </w:r>
          </w:p>
        </w:tc>
        <w:tc>
          <w:tcPr>
            <w:tcW w:w="0" w:type="dxa"/>
            <w:vAlign w:val="bottom"/>
          </w:tcPr>
          <w:p>
            <w:pPr>
              <w:spacing w:after="0"/>
              <w:rPr>
                <w:sz w:val="1"/>
                <w:szCs w:val="1"/>
                <w:color w:val="auto"/>
              </w:rPr>
            </w:pPr>
          </w:p>
        </w:tc>
      </w:tr>
      <w:tr>
        <w:trPr>
          <w:trHeight w:val="20"/>
        </w:trPr>
        <w:tc>
          <w:tcPr>
            <w:tcW w:w="6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6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6360" w:type="dxa"/>
            <w:vAlign w:val="bottom"/>
            <w:gridSpan w:val="2"/>
            <w:shd w:val="clear" w:color="auto" w:fill="CCEEFF"/>
          </w:tcPr>
          <w:p>
            <w:pPr>
              <w:ind w:left="40"/>
              <w:spacing w:after="0"/>
              <w:rPr>
                <w:sz w:val="20"/>
                <w:szCs w:val="20"/>
                <w:color w:val="auto"/>
              </w:rPr>
            </w:pPr>
            <w:r>
              <w:rPr>
                <w:rFonts w:ascii="Arial" w:cs="Arial" w:eastAsia="Arial" w:hAnsi="Arial"/>
                <w:sz w:val="15"/>
                <w:szCs w:val="15"/>
                <w:color w:val="auto"/>
              </w:rPr>
              <w:t>Inter-segment revenues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60" w:type="dxa"/>
            <w:vAlign w:val="bottom"/>
            <w:shd w:val="clear" w:color="auto" w:fill="CCEEFF"/>
          </w:tcPr>
          <w:p>
            <w:pPr>
              <w:spacing w:after="0"/>
              <w:rPr>
                <w:sz w:val="23"/>
                <w:szCs w:val="2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(17)</w:t>
            </w:r>
          </w:p>
        </w:tc>
        <w:tc>
          <w:tcPr>
            <w:tcW w:w="100" w:type="dxa"/>
            <w:vAlign w:val="bottom"/>
            <w:shd w:val="clear" w:color="auto" w:fill="CCEEFF"/>
          </w:tcPr>
          <w:p>
            <w:pPr>
              <w:spacing w:after="0"/>
              <w:rPr>
                <w:sz w:val="23"/>
                <w:szCs w:val="23"/>
                <w:color w:val="auto"/>
              </w:rPr>
            </w:pPr>
          </w:p>
        </w:tc>
        <w:tc>
          <w:tcPr>
            <w:tcW w:w="12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w w:val="95"/>
              </w:rPr>
              <w:t>$</w:t>
            </w:r>
          </w:p>
        </w:tc>
        <w:tc>
          <w:tcPr>
            <w:tcW w:w="160" w:type="dxa"/>
            <w:vAlign w:val="bottom"/>
            <w:shd w:val="clear" w:color="auto" w:fill="CCEEFF"/>
          </w:tcPr>
          <w:p>
            <w:pPr>
              <w:spacing w:after="0"/>
              <w:rPr>
                <w:sz w:val="23"/>
                <w:szCs w:val="23"/>
                <w:color w:val="auto"/>
              </w:rPr>
            </w:pPr>
          </w:p>
        </w:tc>
        <w:tc>
          <w:tcPr>
            <w:tcW w:w="66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rPr>
              <w:t>(98)</w:t>
            </w:r>
          </w:p>
        </w:tc>
        <w:tc>
          <w:tcPr>
            <w:tcW w:w="280" w:type="dxa"/>
            <w:vAlign w:val="bottom"/>
            <w:gridSpan w:val="4"/>
            <w:shd w:val="clear" w:color="auto" w:fill="CCEEFF"/>
          </w:tcPr>
          <w:p>
            <w:pPr>
              <w:jc w:val="right"/>
              <w:ind w:right="12"/>
              <w:spacing w:after="0"/>
              <w:rPr>
                <w:sz w:val="20"/>
                <w:szCs w:val="20"/>
                <w:color w:val="auto"/>
              </w:rPr>
            </w:pPr>
            <w:r>
              <w:rPr>
                <w:rFonts w:ascii="Arial" w:cs="Arial" w:eastAsia="Arial" w:hAnsi="Arial"/>
                <w:sz w:val="15"/>
                <w:szCs w:val="15"/>
                <w:color w:val="auto"/>
              </w:rPr>
              <w:t>$</w:t>
            </w:r>
          </w:p>
        </w:tc>
        <w:tc>
          <w:tcPr>
            <w:tcW w:w="68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rPr>
              <w:t>28</w:t>
            </w:r>
          </w:p>
        </w:tc>
        <w:tc>
          <w:tcPr>
            <w:tcW w:w="4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6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ind w:right="46"/>
              <w:spacing w:after="0"/>
              <w:rPr>
                <w:sz w:val="20"/>
                <w:szCs w:val="20"/>
                <w:color w:val="auto"/>
              </w:rPr>
            </w:pPr>
            <w:r>
              <w:rPr>
                <w:rFonts w:ascii="Arial" w:cs="Arial" w:eastAsia="Arial" w:hAnsi="Arial"/>
                <w:sz w:val="15"/>
                <w:szCs w:val="15"/>
                <w:color w:val="auto"/>
              </w:rPr>
              <w:t>(9)</w:t>
            </w: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6"/>
        </w:trPr>
        <w:tc>
          <w:tcPr>
            <w:tcW w:w="6360" w:type="dxa"/>
            <w:vAlign w:val="bottom"/>
            <w:gridSpan w:val="2"/>
          </w:tcPr>
          <w:p>
            <w:pPr>
              <w:ind w:left="40"/>
              <w:spacing w:after="0"/>
              <w:rPr>
                <w:sz w:val="20"/>
                <w:szCs w:val="20"/>
                <w:color w:val="auto"/>
              </w:rPr>
            </w:pPr>
            <w:r>
              <w:rPr>
                <w:rFonts w:ascii="Arial" w:cs="Arial" w:eastAsia="Arial" w:hAnsi="Arial"/>
                <w:sz w:val="15"/>
                <w:szCs w:val="15"/>
                <w:color w:val="auto"/>
              </w:rPr>
              <w:t>Interest revenue</w:t>
            </w:r>
          </w:p>
        </w:tc>
        <w:tc>
          <w:tcPr>
            <w:tcW w:w="10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60" w:type="dxa"/>
            <w:vAlign w:val="bottom"/>
          </w:tcPr>
          <w:p>
            <w:pPr>
              <w:spacing w:after="0"/>
              <w:rPr>
                <w:sz w:val="23"/>
                <w:szCs w:val="23"/>
                <w:color w:val="auto"/>
              </w:rPr>
            </w:pPr>
          </w:p>
        </w:tc>
        <w:tc>
          <w:tcPr>
            <w:tcW w:w="700" w:type="dxa"/>
            <w:vAlign w:val="bottom"/>
          </w:tcPr>
          <w:p>
            <w:pPr>
              <w:jc w:val="right"/>
              <w:ind w:right="44"/>
              <w:spacing w:after="0"/>
              <w:rPr>
                <w:sz w:val="20"/>
                <w:szCs w:val="20"/>
                <w:color w:val="auto"/>
              </w:rPr>
            </w:pPr>
            <w:r>
              <w:rPr>
                <w:rFonts w:ascii="Arial" w:cs="Arial" w:eastAsia="Arial" w:hAnsi="Arial"/>
                <w:sz w:val="15"/>
                <w:szCs w:val="15"/>
                <w:color w:val="auto"/>
              </w:rPr>
              <w:t>310</w:t>
            </w:r>
          </w:p>
        </w:tc>
        <w:tc>
          <w:tcPr>
            <w:tcW w:w="100" w:type="dxa"/>
            <w:vAlign w:val="bottom"/>
          </w:tcPr>
          <w:p>
            <w:pPr>
              <w:spacing w:after="0"/>
              <w:rPr>
                <w:sz w:val="23"/>
                <w:szCs w:val="23"/>
                <w:color w:val="auto"/>
              </w:rPr>
            </w:pPr>
          </w:p>
        </w:tc>
        <w:tc>
          <w:tcPr>
            <w:tcW w:w="120" w:type="dxa"/>
            <w:vAlign w:val="bottom"/>
            <w:gridSpan w:val="2"/>
          </w:tcPr>
          <w:p>
            <w:pPr>
              <w:jc w:val="right"/>
              <w:ind w:right="20"/>
              <w:spacing w:after="0"/>
              <w:rPr>
                <w:sz w:val="20"/>
                <w:szCs w:val="20"/>
                <w:color w:val="auto"/>
              </w:rPr>
            </w:pPr>
            <w:r>
              <w:rPr>
                <w:rFonts w:ascii="Arial" w:cs="Arial" w:eastAsia="Arial" w:hAnsi="Arial"/>
                <w:sz w:val="15"/>
                <w:szCs w:val="15"/>
                <w:color w:val="auto"/>
                <w:w w:val="95"/>
              </w:rPr>
              <w:t>$</w:t>
            </w:r>
          </w:p>
        </w:tc>
        <w:tc>
          <w:tcPr>
            <w:tcW w:w="160" w:type="dxa"/>
            <w:vAlign w:val="bottom"/>
          </w:tcPr>
          <w:p>
            <w:pPr>
              <w:spacing w:after="0"/>
              <w:rPr>
                <w:sz w:val="23"/>
                <w:szCs w:val="23"/>
                <w:color w:val="auto"/>
              </w:rPr>
            </w:pPr>
          </w:p>
        </w:tc>
        <w:tc>
          <w:tcPr>
            <w:tcW w:w="660" w:type="dxa"/>
            <w:vAlign w:val="bottom"/>
          </w:tcPr>
          <w:p>
            <w:pPr>
              <w:jc w:val="right"/>
              <w:ind w:right="125"/>
              <w:spacing w:after="0"/>
              <w:rPr>
                <w:sz w:val="20"/>
                <w:szCs w:val="20"/>
                <w:color w:val="auto"/>
              </w:rPr>
            </w:pPr>
            <w:r>
              <w:rPr>
                <w:rFonts w:ascii="Arial" w:cs="Arial" w:eastAsia="Arial" w:hAnsi="Arial"/>
                <w:sz w:val="15"/>
                <w:szCs w:val="15"/>
                <w:color w:val="auto"/>
              </w:rPr>
              <w:t>87</w:t>
            </w:r>
          </w:p>
        </w:tc>
        <w:tc>
          <w:tcPr>
            <w:tcW w:w="280" w:type="dxa"/>
            <w:vAlign w:val="bottom"/>
            <w:gridSpan w:val="4"/>
          </w:tcPr>
          <w:p>
            <w:pPr>
              <w:jc w:val="right"/>
              <w:ind w:right="12"/>
              <w:spacing w:after="0"/>
              <w:rPr>
                <w:sz w:val="20"/>
                <w:szCs w:val="20"/>
                <w:color w:val="auto"/>
              </w:rPr>
            </w:pPr>
            <w:r>
              <w:rPr>
                <w:rFonts w:ascii="Arial" w:cs="Arial" w:eastAsia="Arial" w:hAnsi="Arial"/>
                <w:sz w:val="15"/>
                <w:szCs w:val="15"/>
                <w:color w:val="auto"/>
              </w:rPr>
              <w:t>$</w:t>
            </w:r>
          </w:p>
        </w:tc>
        <w:tc>
          <w:tcPr>
            <w:tcW w:w="680" w:type="dxa"/>
            <w:vAlign w:val="bottom"/>
          </w:tcPr>
          <w:p>
            <w:pPr>
              <w:jc w:val="right"/>
              <w:ind w:right="45"/>
              <w:spacing w:after="0"/>
              <w:rPr>
                <w:sz w:val="20"/>
                <w:szCs w:val="20"/>
                <w:color w:val="auto"/>
              </w:rPr>
            </w:pPr>
            <w:r>
              <w:rPr>
                <w:rFonts w:ascii="Arial" w:cs="Arial" w:eastAsia="Arial" w:hAnsi="Arial"/>
                <w:sz w:val="15"/>
                <w:szCs w:val="15"/>
                <w:color w:val="auto"/>
              </w:rPr>
              <w:t>348</w:t>
            </w: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60" w:type="dxa"/>
            <w:vAlign w:val="bottom"/>
            <w:gridSpan w:val="2"/>
          </w:tcPr>
          <w:p>
            <w:pPr>
              <w:jc w:val="right"/>
              <w:ind w:right="80"/>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ind w:right="86"/>
              <w:spacing w:after="0"/>
              <w:rPr>
                <w:sz w:val="20"/>
                <w:szCs w:val="20"/>
                <w:color w:val="auto"/>
              </w:rPr>
            </w:pPr>
            <w:r>
              <w:rPr>
                <w:rFonts w:ascii="Arial" w:cs="Arial" w:eastAsia="Arial" w:hAnsi="Arial"/>
                <w:sz w:val="15"/>
                <w:szCs w:val="15"/>
                <w:color w:val="auto"/>
              </w:rPr>
              <w:t>35</w:t>
            </w: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4"/>
        </w:trPr>
        <w:tc>
          <w:tcPr>
            <w:tcW w:w="6360" w:type="dxa"/>
            <w:vAlign w:val="bottom"/>
            <w:gridSpan w:val="2"/>
            <w:shd w:val="clear" w:color="auto" w:fill="CCEEFF"/>
          </w:tcPr>
          <w:p>
            <w:pPr>
              <w:ind w:left="40"/>
              <w:spacing w:after="0"/>
              <w:rPr>
                <w:sz w:val="20"/>
                <w:szCs w:val="20"/>
                <w:color w:val="auto"/>
              </w:rPr>
            </w:pPr>
            <w:r>
              <w:rPr>
                <w:rFonts w:ascii="Arial" w:cs="Arial" w:eastAsia="Arial" w:hAnsi="Arial"/>
                <w:sz w:val="15"/>
                <w:szCs w:val="15"/>
                <w:color w:val="auto"/>
              </w:rPr>
              <w:t>Interest expense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60" w:type="dxa"/>
            <w:vAlign w:val="bottom"/>
            <w:shd w:val="clear" w:color="auto" w:fill="CCEEFF"/>
          </w:tcPr>
          <w:p>
            <w:pPr>
              <w:spacing w:after="0"/>
              <w:rPr>
                <w:sz w:val="23"/>
                <w:szCs w:val="23"/>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2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w w:val="95"/>
              </w:rPr>
              <w:t>$</w:t>
            </w:r>
          </w:p>
        </w:tc>
        <w:tc>
          <w:tcPr>
            <w:tcW w:w="160" w:type="dxa"/>
            <w:vAlign w:val="bottom"/>
            <w:shd w:val="clear" w:color="auto" w:fill="CCEEFF"/>
          </w:tcPr>
          <w:p>
            <w:pPr>
              <w:spacing w:after="0"/>
              <w:rPr>
                <w:sz w:val="23"/>
                <w:szCs w:val="23"/>
                <w:color w:val="auto"/>
              </w:rPr>
            </w:pPr>
          </w:p>
        </w:tc>
        <w:tc>
          <w:tcPr>
            <w:tcW w:w="660" w:type="dxa"/>
            <w:vAlign w:val="bottom"/>
            <w:shd w:val="clear" w:color="auto" w:fill="CCEEFF"/>
          </w:tcPr>
          <w:p>
            <w:pPr>
              <w:jc w:val="right"/>
              <w:ind w:right="125"/>
              <w:spacing w:after="0"/>
              <w:rPr>
                <w:sz w:val="20"/>
                <w:szCs w:val="20"/>
                <w:color w:val="auto"/>
              </w:rPr>
            </w:pPr>
            <w:r>
              <w:rPr>
                <w:rFonts w:ascii="Arial" w:cs="Arial" w:eastAsia="Arial" w:hAnsi="Arial"/>
                <w:sz w:val="15"/>
                <w:szCs w:val="15"/>
                <w:color w:val="auto"/>
              </w:rPr>
              <w:t>—</w:t>
            </w:r>
          </w:p>
        </w:tc>
        <w:tc>
          <w:tcPr>
            <w:tcW w:w="280" w:type="dxa"/>
            <w:vAlign w:val="bottom"/>
            <w:gridSpan w:val="4"/>
            <w:shd w:val="clear" w:color="auto" w:fill="CCEEFF"/>
          </w:tcPr>
          <w:p>
            <w:pPr>
              <w:jc w:val="right"/>
              <w:ind w:right="12"/>
              <w:spacing w:after="0"/>
              <w:rPr>
                <w:sz w:val="20"/>
                <w:szCs w:val="20"/>
                <w:color w:val="auto"/>
              </w:rPr>
            </w:pPr>
            <w:r>
              <w:rPr>
                <w:rFonts w:ascii="Arial" w:cs="Arial" w:eastAsia="Arial" w:hAnsi="Arial"/>
                <w:sz w:val="15"/>
                <w:szCs w:val="15"/>
                <w:color w:val="auto"/>
              </w:rPr>
              <w:t>$</w:t>
            </w:r>
          </w:p>
        </w:tc>
        <w:tc>
          <w:tcPr>
            <w:tcW w:w="800" w:type="dxa"/>
            <w:vAlign w:val="bottom"/>
            <w:gridSpan w:val="4"/>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16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ind w:right="86"/>
              <w:spacing w:after="0"/>
              <w:rPr>
                <w:sz w:val="20"/>
                <w:szCs w:val="20"/>
                <w:color w:val="auto"/>
              </w:rPr>
            </w:pPr>
            <w:r>
              <w:rPr>
                <w:rFonts w:ascii="Arial" w:cs="Arial" w:eastAsia="Arial" w:hAnsi="Arial"/>
                <w:sz w:val="15"/>
                <w:szCs w:val="15"/>
                <w:color w:val="auto"/>
              </w:rPr>
              <w:t>36</w:t>
            </w: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507"/>
        </w:trPr>
        <w:tc>
          <w:tcPr>
            <w:tcW w:w="6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gridSpan w:val="9"/>
          </w:tcPr>
          <w:p>
            <w:pPr>
              <w:jc w:val="center"/>
              <w:ind w:right="80"/>
              <w:spacing w:after="0"/>
              <w:rPr>
                <w:sz w:val="20"/>
                <w:szCs w:val="20"/>
                <w:color w:val="auto"/>
              </w:rPr>
            </w:pPr>
            <w:r>
              <w:rPr>
                <w:rFonts w:ascii="Arial" w:cs="Arial" w:eastAsia="Arial" w:hAnsi="Arial"/>
                <w:sz w:val="14"/>
                <w:szCs w:val="14"/>
                <w:b w:val="1"/>
                <w:bCs w:val="1"/>
                <w:color w:val="auto"/>
                <w:w w:val="86"/>
              </w:rPr>
              <w:t>Operating Results</w:t>
            </w:r>
          </w:p>
        </w:tc>
        <w:tc>
          <w:tcPr>
            <w:tcW w:w="8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6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89"/>
              </w:rPr>
              <w:t>Corporate</w:t>
            </w:r>
          </w:p>
        </w:tc>
        <w:tc>
          <w:tcPr>
            <w:tcW w:w="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636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Three Months Ended September 30, 2016</w:t>
            </w:r>
          </w:p>
        </w:tc>
        <w:tc>
          <w:tcPr>
            <w:tcW w:w="1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14"/>
                <w:szCs w:val="14"/>
                <w:b w:val="1"/>
                <w:bCs w:val="1"/>
                <w:color w:val="auto"/>
                <w:w w:val="90"/>
              </w:rPr>
              <w:t>Annuities</w:t>
            </w: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185"/>
              <w:spacing w:after="0"/>
              <w:rPr>
                <w:sz w:val="20"/>
                <w:szCs w:val="20"/>
                <w:color w:val="auto"/>
              </w:rPr>
            </w:pPr>
            <w:r>
              <w:rPr>
                <w:rFonts w:ascii="Arial" w:cs="Arial" w:eastAsia="Arial" w:hAnsi="Arial"/>
                <w:sz w:val="14"/>
                <w:szCs w:val="14"/>
                <w:b w:val="1"/>
                <w:bCs w:val="1"/>
                <w:color w:val="auto"/>
              </w:rPr>
              <w:t>Life</w:t>
            </w:r>
          </w:p>
        </w:tc>
        <w:tc>
          <w:tcPr>
            <w:tcW w:w="4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gridSpan w:val="4"/>
          </w:tcPr>
          <w:p>
            <w:pPr>
              <w:jc w:val="center"/>
              <w:ind w:right="200"/>
              <w:spacing w:after="0"/>
              <w:rPr>
                <w:sz w:val="20"/>
                <w:szCs w:val="20"/>
                <w:color w:val="auto"/>
              </w:rPr>
            </w:pPr>
            <w:r>
              <w:rPr>
                <w:rFonts w:ascii="Arial" w:cs="Arial" w:eastAsia="Arial" w:hAnsi="Arial"/>
                <w:sz w:val="14"/>
                <w:szCs w:val="14"/>
                <w:b w:val="1"/>
                <w:bCs w:val="1"/>
                <w:color w:val="auto"/>
                <w:w w:val="88"/>
              </w:rPr>
              <w:t>Run-off</w:t>
            </w:r>
          </w:p>
        </w:tc>
        <w:tc>
          <w:tcPr>
            <w:tcW w:w="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gridSpan w:val="3"/>
          </w:tcPr>
          <w:p>
            <w:pPr>
              <w:jc w:val="center"/>
              <w:ind w:right="240"/>
              <w:spacing w:after="0"/>
              <w:rPr>
                <w:sz w:val="20"/>
                <w:szCs w:val="20"/>
                <w:color w:val="auto"/>
              </w:rPr>
            </w:pPr>
            <w:r>
              <w:rPr>
                <w:rFonts w:ascii="Arial" w:cs="Arial" w:eastAsia="Arial" w:hAnsi="Arial"/>
                <w:sz w:val="14"/>
                <w:szCs w:val="14"/>
                <w:b w:val="1"/>
                <w:bCs w:val="1"/>
                <w:color w:val="auto"/>
                <w:w w:val="93"/>
              </w:rPr>
              <w:t>&amp; Other</w:t>
            </w:r>
          </w:p>
        </w:tc>
        <w:tc>
          <w:tcPr>
            <w:tcW w:w="20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204"/>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63"/>
        </w:trPr>
        <w:tc>
          <w:tcPr>
            <w:tcW w:w="62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920" w:type="dxa"/>
            <w:vAlign w:val="bottom"/>
            <w:gridSpan w:val="5"/>
          </w:tcPr>
          <w:p>
            <w:pPr>
              <w:jc w:val="center"/>
              <w:ind w:right="40"/>
              <w:spacing w:after="0"/>
              <w:rPr>
                <w:sz w:val="20"/>
                <w:szCs w:val="20"/>
                <w:color w:val="auto"/>
              </w:rPr>
            </w:pPr>
            <w:r>
              <w:rPr>
                <w:rFonts w:ascii="Arial" w:cs="Arial" w:eastAsia="Arial" w:hAnsi="Arial"/>
                <w:sz w:val="14"/>
                <w:szCs w:val="14"/>
                <w:b w:val="1"/>
                <w:bCs w:val="1"/>
                <w:color w:val="auto"/>
                <w:w w:val="91"/>
              </w:rPr>
              <w:t>(In millions)</w:t>
            </w: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7"/>
        </w:trPr>
        <w:tc>
          <w:tcPr>
            <w:tcW w:w="6360" w:type="dxa"/>
            <w:vAlign w:val="bottom"/>
            <w:gridSpan w:val="2"/>
            <w:shd w:val="clear" w:color="auto" w:fill="CCEEFF"/>
          </w:tcPr>
          <w:p>
            <w:pPr>
              <w:ind w:left="40"/>
              <w:spacing w:after="0"/>
              <w:rPr>
                <w:sz w:val="20"/>
                <w:szCs w:val="20"/>
                <w:color w:val="auto"/>
              </w:rPr>
            </w:pPr>
            <w:r>
              <w:rPr>
                <w:rFonts w:ascii="Arial" w:cs="Arial" w:eastAsia="Arial" w:hAnsi="Arial"/>
                <w:sz w:val="15"/>
                <w:szCs w:val="15"/>
                <w:color w:val="auto"/>
              </w:rPr>
              <w:t>Pre-tax operating earnings (loss)</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387</w:t>
            </w:r>
          </w:p>
        </w:tc>
        <w:tc>
          <w:tcPr>
            <w:tcW w:w="280" w:type="dxa"/>
            <w:vAlign w:val="bottom"/>
            <w:gridSpan w:val="3"/>
            <w:shd w:val="clear" w:color="auto" w:fill="CCEEFF"/>
          </w:tcPr>
          <w:p>
            <w:pPr>
              <w:jc w:val="right"/>
              <w:ind w:right="60"/>
              <w:spacing w:after="0"/>
              <w:rPr>
                <w:sz w:val="20"/>
                <w:szCs w:val="20"/>
                <w:color w:val="auto"/>
              </w:rPr>
            </w:pPr>
            <w:r>
              <w:rPr>
                <w:rFonts w:ascii="Arial" w:cs="Arial" w:eastAsia="Arial" w:hAnsi="Arial"/>
                <w:sz w:val="15"/>
                <w:szCs w:val="15"/>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42</w:t>
            </w:r>
          </w:p>
        </w:tc>
        <w:tc>
          <w:tcPr>
            <w:tcW w:w="280" w:type="dxa"/>
            <w:vAlign w:val="bottom"/>
            <w:gridSpan w:val="4"/>
            <w:shd w:val="clear" w:color="auto" w:fill="CCEEFF"/>
          </w:tcPr>
          <w:p>
            <w:pPr>
              <w:ind w:left="180"/>
              <w:spacing w:after="0"/>
              <w:rPr>
                <w:sz w:val="20"/>
                <w:szCs w:val="20"/>
                <w:color w:val="auto"/>
              </w:rPr>
            </w:pPr>
            <w:r>
              <w:rPr>
                <w:rFonts w:ascii="Arial" w:cs="Arial" w:eastAsia="Arial" w:hAnsi="Arial"/>
                <w:sz w:val="15"/>
                <w:szCs w:val="15"/>
                <w:color w:val="auto"/>
                <w:w w:val="95"/>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28</w:t>
            </w:r>
          </w:p>
        </w:tc>
        <w:tc>
          <w:tcPr>
            <w:tcW w:w="4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6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w:t>
            </w:r>
          </w:p>
        </w:tc>
        <w:tc>
          <w:tcPr>
            <w:tcW w:w="840" w:type="dxa"/>
            <w:vAlign w:val="bottom"/>
            <w:shd w:val="clear" w:color="auto" w:fill="CCEEFF"/>
          </w:tcPr>
          <w:p>
            <w:pPr>
              <w:jc w:val="right"/>
              <w:ind w:right="26"/>
              <w:spacing w:after="0"/>
              <w:rPr>
                <w:sz w:val="20"/>
                <w:szCs w:val="20"/>
                <w:color w:val="auto"/>
              </w:rPr>
            </w:pPr>
            <w:r>
              <w:rPr>
                <w:rFonts w:ascii="Arial" w:cs="Arial" w:eastAsia="Arial" w:hAnsi="Arial"/>
                <w:sz w:val="15"/>
                <w:szCs w:val="15"/>
                <w:color w:val="auto"/>
              </w:rPr>
              <w:t>38</w:t>
            </w: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95"/>
              </w:rPr>
              <w:t>$</w:t>
            </w:r>
          </w:p>
        </w:tc>
        <w:tc>
          <w:tcPr>
            <w:tcW w:w="66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495</w:t>
            </w:r>
          </w:p>
        </w:tc>
        <w:tc>
          <w:tcPr>
            <w:tcW w:w="0" w:type="dxa"/>
            <w:vAlign w:val="bottom"/>
          </w:tcPr>
          <w:p>
            <w:pPr>
              <w:spacing w:after="0"/>
              <w:rPr>
                <w:sz w:val="1"/>
                <w:szCs w:val="1"/>
                <w:color w:val="auto"/>
              </w:rPr>
            </w:pPr>
          </w:p>
        </w:tc>
      </w:tr>
      <w:tr>
        <w:trPr>
          <w:trHeight w:val="266"/>
        </w:trPr>
        <w:tc>
          <w:tcPr>
            <w:tcW w:w="6360" w:type="dxa"/>
            <w:vAlign w:val="bottom"/>
            <w:tcBorders>
              <w:bottom w:val="single" w:sz="8" w:color="CCEEFF"/>
            </w:tcBorders>
            <w:gridSpan w:val="2"/>
          </w:tcPr>
          <w:p>
            <w:pPr>
              <w:ind w:left="40"/>
              <w:spacing w:after="0"/>
              <w:rPr>
                <w:sz w:val="20"/>
                <w:szCs w:val="20"/>
                <w:color w:val="auto"/>
              </w:rPr>
            </w:pPr>
            <w:r>
              <w:rPr>
                <w:rFonts w:ascii="Arial" w:cs="Arial" w:eastAsia="Arial" w:hAnsi="Arial"/>
                <w:sz w:val="15"/>
                <w:szCs w:val="15"/>
                <w:color w:val="auto"/>
              </w:rPr>
              <w:t>Provision for income tax expense (benefit)</w:t>
            </w:r>
          </w:p>
        </w:tc>
        <w:tc>
          <w:tcPr>
            <w:tcW w:w="10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5"/>
                <w:szCs w:val="15"/>
                <w:color w:val="auto"/>
              </w:rPr>
              <w:t>140</w:t>
            </w:r>
          </w:p>
        </w:tc>
        <w:tc>
          <w:tcPr>
            <w:tcW w:w="20" w:type="dxa"/>
            <w:vAlign w:val="bottom"/>
            <w:tcBorders>
              <w:bottom w:val="single" w:sz="8" w:color="auto"/>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16</w:t>
            </w:r>
          </w:p>
        </w:tc>
        <w:tc>
          <w:tcPr>
            <w:tcW w:w="40" w:type="dxa"/>
            <w:vAlign w:val="bottom"/>
            <w:tcBorders>
              <w:bottom w:val="single" w:sz="8" w:color="auto"/>
            </w:tcBorders>
          </w:tcPr>
          <w:p>
            <w:pPr>
              <w:spacing w:after="0"/>
              <w:rPr>
                <w:sz w:val="23"/>
                <w:szCs w:val="23"/>
                <w:color w:val="auto"/>
              </w:rPr>
            </w:pPr>
          </w:p>
        </w:tc>
        <w:tc>
          <w:tcPr>
            <w:tcW w:w="60" w:type="dxa"/>
            <w:vAlign w:val="bottom"/>
            <w:tcBorders>
              <w:bottom w:val="single" w:sz="8" w:color="CCEEFF"/>
            </w:tcBorders>
          </w:tcPr>
          <w:p>
            <w:pPr>
              <w:spacing w:after="0"/>
              <w:rPr>
                <w:sz w:val="23"/>
                <w:szCs w:val="23"/>
                <w:color w:val="auto"/>
              </w:rPr>
            </w:pPr>
          </w:p>
        </w:tc>
        <w:tc>
          <w:tcPr>
            <w:tcW w:w="60" w:type="dxa"/>
            <w:vAlign w:val="bottom"/>
            <w:tcBorders>
              <w:bottom w:val="single" w:sz="8" w:color="CCEEFF"/>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w:t>
            </w:r>
          </w:p>
        </w:tc>
        <w:tc>
          <w:tcPr>
            <w:tcW w:w="40" w:type="dxa"/>
            <w:vAlign w:val="bottom"/>
            <w:tcBorders>
              <w:bottom w:val="single" w:sz="8" w:color="auto"/>
            </w:tcBorders>
          </w:tcPr>
          <w:p>
            <w:pPr>
              <w:spacing w:after="0"/>
              <w:rPr>
                <w:sz w:val="23"/>
                <w:szCs w:val="23"/>
                <w:color w:val="auto"/>
              </w:rPr>
            </w:pPr>
          </w:p>
        </w:tc>
        <w:tc>
          <w:tcPr>
            <w:tcW w:w="60" w:type="dxa"/>
            <w:vAlign w:val="bottom"/>
            <w:tcBorders>
              <w:bottom w:val="single" w:sz="8" w:color="CCEEFF"/>
            </w:tcBorders>
          </w:tcPr>
          <w:p>
            <w:pPr>
              <w:spacing w:after="0"/>
              <w:rPr>
                <w:sz w:val="23"/>
                <w:szCs w:val="23"/>
                <w:color w:val="auto"/>
              </w:rPr>
            </w:pPr>
          </w:p>
        </w:tc>
        <w:tc>
          <w:tcPr>
            <w:tcW w:w="20" w:type="dxa"/>
            <w:vAlign w:val="bottom"/>
            <w:tcBorders>
              <w:bottom w:val="single" w:sz="8" w:color="CCEEFF"/>
            </w:tcBorders>
          </w:tcPr>
          <w:p>
            <w:pPr>
              <w:spacing w:after="0"/>
              <w:rPr>
                <w:sz w:val="23"/>
                <w:szCs w:val="23"/>
                <w:color w:val="auto"/>
              </w:rPr>
            </w:pPr>
          </w:p>
        </w:tc>
        <w:tc>
          <w:tcPr>
            <w:tcW w:w="40" w:type="dxa"/>
            <w:vAlign w:val="bottom"/>
            <w:tcBorders>
              <w:bottom w:val="single" w:sz="8" w:color="CCEEFF"/>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ind w:right="26"/>
              <w:spacing w:after="0"/>
              <w:rPr>
                <w:sz w:val="20"/>
                <w:szCs w:val="20"/>
                <w:color w:val="auto"/>
              </w:rPr>
            </w:pPr>
            <w:r>
              <w:rPr>
                <w:rFonts w:ascii="Arial" w:cs="Arial" w:eastAsia="Arial" w:hAnsi="Arial"/>
                <w:sz w:val="15"/>
                <w:szCs w:val="15"/>
                <w:color w:val="auto"/>
              </w:rPr>
              <w:t>8</w:t>
            </w:r>
          </w:p>
        </w:tc>
        <w:tc>
          <w:tcPr>
            <w:tcW w:w="20" w:type="dxa"/>
            <w:vAlign w:val="bottom"/>
            <w:tcBorders>
              <w:bottom w:val="single" w:sz="8" w:color="CCEEFF"/>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66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166</w:t>
            </w:r>
          </w:p>
        </w:tc>
        <w:tc>
          <w:tcPr>
            <w:tcW w:w="0" w:type="dxa"/>
            <w:vAlign w:val="bottom"/>
          </w:tcPr>
          <w:p>
            <w:pPr>
              <w:spacing w:after="0"/>
              <w:rPr>
                <w:sz w:val="1"/>
                <w:szCs w:val="1"/>
                <w:color w:val="auto"/>
              </w:rPr>
            </w:pPr>
          </w:p>
        </w:tc>
      </w:tr>
      <w:tr>
        <w:trPr>
          <w:trHeight w:val="241"/>
        </w:trPr>
        <w:tc>
          <w:tcPr>
            <w:tcW w:w="6360" w:type="dxa"/>
            <w:vAlign w:val="bottom"/>
            <w:gridSpan w:val="2"/>
            <w:shd w:val="clear" w:color="auto" w:fill="CCEEFF"/>
          </w:tcPr>
          <w:p>
            <w:pPr>
              <w:ind w:left="200"/>
              <w:spacing w:after="0"/>
              <w:rPr>
                <w:sz w:val="20"/>
                <w:szCs w:val="20"/>
                <w:color w:val="auto"/>
              </w:rPr>
            </w:pPr>
            <w:r>
              <w:rPr>
                <w:rFonts w:ascii="Arial" w:cs="Arial" w:eastAsia="Arial" w:hAnsi="Arial"/>
                <w:sz w:val="15"/>
                <w:szCs w:val="15"/>
                <w:color w:val="auto"/>
              </w:rPr>
              <w:t>Operating earnings (loss)</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247</w:t>
            </w:r>
          </w:p>
        </w:tc>
        <w:tc>
          <w:tcPr>
            <w:tcW w:w="280" w:type="dxa"/>
            <w:vAlign w:val="bottom"/>
            <w:gridSpan w:val="3"/>
            <w:shd w:val="clear" w:color="auto" w:fill="CCEEFF"/>
          </w:tcPr>
          <w:p>
            <w:pPr>
              <w:jc w:val="right"/>
              <w:ind w:right="60"/>
              <w:spacing w:after="0"/>
              <w:rPr>
                <w:sz w:val="20"/>
                <w:szCs w:val="20"/>
                <w:color w:val="auto"/>
              </w:rPr>
            </w:pPr>
            <w:r>
              <w:rPr>
                <w:rFonts w:ascii="Arial" w:cs="Arial" w:eastAsia="Arial" w:hAnsi="Arial"/>
                <w:sz w:val="15"/>
                <w:szCs w:val="15"/>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26</w:t>
            </w:r>
          </w:p>
        </w:tc>
        <w:tc>
          <w:tcPr>
            <w:tcW w:w="280" w:type="dxa"/>
            <w:vAlign w:val="bottom"/>
            <w:gridSpan w:val="4"/>
            <w:shd w:val="clear" w:color="auto" w:fill="CCEEFF"/>
          </w:tcPr>
          <w:p>
            <w:pPr>
              <w:ind w:left="180"/>
              <w:spacing w:after="0"/>
              <w:rPr>
                <w:sz w:val="20"/>
                <w:szCs w:val="20"/>
                <w:color w:val="auto"/>
              </w:rPr>
            </w:pPr>
            <w:r>
              <w:rPr>
                <w:rFonts w:ascii="Arial" w:cs="Arial" w:eastAsia="Arial" w:hAnsi="Arial"/>
                <w:sz w:val="15"/>
                <w:szCs w:val="15"/>
                <w:color w:val="auto"/>
                <w:w w:val="95"/>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26</w:t>
            </w:r>
          </w:p>
        </w:tc>
        <w:tc>
          <w:tcPr>
            <w:tcW w:w="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6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w:t>
            </w:r>
          </w:p>
        </w:tc>
        <w:tc>
          <w:tcPr>
            <w:tcW w:w="840" w:type="dxa"/>
            <w:vAlign w:val="bottom"/>
            <w:shd w:val="clear" w:color="auto" w:fill="CCEEFF"/>
          </w:tcPr>
          <w:p>
            <w:pPr>
              <w:jc w:val="right"/>
              <w:ind w:right="26"/>
              <w:spacing w:after="0"/>
              <w:rPr>
                <w:sz w:val="20"/>
                <w:szCs w:val="20"/>
                <w:color w:val="auto"/>
              </w:rPr>
            </w:pPr>
            <w:r>
              <w:rPr>
                <w:rFonts w:ascii="Arial" w:cs="Arial" w:eastAsia="Arial" w:hAnsi="Arial"/>
                <w:sz w:val="15"/>
                <w:szCs w:val="15"/>
                <w:color w:val="auto"/>
              </w:rPr>
              <w:t>30</w:t>
            </w: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66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329</w:t>
            </w:r>
          </w:p>
        </w:tc>
        <w:tc>
          <w:tcPr>
            <w:tcW w:w="0" w:type="dxa"/>
            <w:vAlign w:val="bottom"/>
          </w:tcPr>
          <w:p>
            <w:pPr>
              <w:spacing w:after="0"/>
              <w:rPr>
                <w:sz w:val="1"/>
                <w:szCs w:val="1"/>
                <w:color w:val="auto"/>
              </w:rPr>
            </w:pPr>
          </w:p>
        </w:tc>
      </w:tr>
      <w:tr>
        <w:trPr>
          <w:trHeight w:val="20"/>
        </w:trPr>
        <w:tc>
          <w:tcPr>
            <w:tcW w:w="6360" w:type="dxa"/>
            <w:vAlign w:val="bottom"/>
            <w:tcBorders>
              <w:top w:val="single" w:sz="8" w:color="CCEEFF"/>
              <w:bottom w:val="single" w:sz="8" w:color="CCEEFF"/>
            </w:tcBorders>
            <w:gridSpan w:val="2"/>
            <w:vMerge w:val="restart"/>
          </w:tcPr>
          <w:p>
            <w:pPr>
              <w:ind w:left="40"/>
              <w:spacing w:after="0"/>
              <w:rPr>
                <w:sz w:val="20"/>
                <w:szCs w:val="20"/>
                <w:color w:val="auto"/>
              </w:rPr>
            </w:pPr>
            <w:r>
              <w:rPr>
                <w:rFonts w:ascii="Arial" w:cs="Arial" w:eastAsia="Arial" w:hAnsi="Arial"/>
                <w:sz w:val="15"/>
                <w:szCs w:val="15"/>
                <w:color w:val="auto"/>
              </w:rPr>
              <w:t>Adjustments for:</w:t>
            </w: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7"/>
        </w:trPr>
        <w:tc>
          <w:tcPr>
            <w:tcW w:w="6360" w:type="dxa"/>
            <w:vAlign w:val="bottom"/>
            <w:gridSpan w:val="2"/>
            <w:vMerge w:val="continue"/>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4"/>
        </w:trPr>
        <w:tc>
          <w:tcPr>
            <w:tcW w:w="6360" w:type="dxa"/>
            <w:vAlign w:val="bottom"/>
            <w:gridSpan w:val="2"/>
            <w:shd w:val="clear" w:color="auto" w:fill="CCEEFF"/>
          </w:tcPr>
          <w:p>
            <w:pPr>
              <w:ind w:left="40"/>
              <w:spacing w:after="0"/>
              <w:rPr>
                <w:sz w:val="20"/>
                <w:szCs w:val="20"/>
                <w:color w:val="auto"/>
              </w:rPr>
            </w:pPr>
            <w:r>
              <w:rPr>
                <w:rFonts w:ascii="Arial" w:cs="Arial" w:eastAsia="Arial" w:hAnsi="Arial"/>
                <w:sz w:val="15"/>
                <w:szCs w:val="15"/>
                <w:color w:val="auto"/>
              </w:rPr>
              <w:t>Net investment gains (losses)</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66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26</w:t>
            </w:r>
          </w:p>
        </w:tc>
        <w:tc>
          <w:tcPr>
            <w:tcW w:w="0" w:type="dxa"/>
            <w:vAlign w:val="bottom"/>
          </w:tcPr>
          <w:p>
            <w:pPr>
              <w:spacing w:after="0"/>
              <w:rPr>
                <w:sz w:val="1"/>
                <w:szCs w:val="1"/>
                <w:color w:val="auto"/>
              </w:rPr>
            </w:pPr>
          </w:p>
        </w:tc>
      </w:tr>
      <w:tr>
        <w:trPr>
          <w:trHeight w:val="266"/>
        </w:trPr>
        <w:tc>
          <w:tcPr>
            <w:tcW w:w="6360" w:type="dxa"/>
            <w:vAlign w:val="bottom"/>
            <w:gridSpan w:val="2"/>
          </w:tcPr>
          <w:p>
            <w:pPr>
              <w:ind w:left="40"/>
              <w:spacing w:after="0"/>
              <w:rPr>
                <w:sz w:val="20"/>
                <w:szCs w:val="20"/>
                <w:color w:val="auto"/>
              </w:rPr>
            </w:pPr>
            <w:r>
              <w:rPr>
                <w:rFonts w:ascii="Arial" w:cs="Arial" w:eastAsia="Arial" w:hAnsi="Arial"/>
                <w:sz w:val="15"/>
                <w:szCs w:val="15"/>
                <w:color w:val="auto"/>
              </w:rPr>
              <w:t>Net derivative gains (losses)</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(501)</w:t>
            </w:r>
          </w:p>
        </w:tc>
        <w:tc>
          <w:tcPr>
            <w:tcW w:w="0" w:type="dxa"/>
            <w:vAlign w:val="bottom"/>
          </w:tcPr>
          <w:p>
            <w:pPr>
              <w:spacing w:after="0"/>
              <w:rPr>
                <w:sz w:val="1"/>
                <w:szCs w:val="1"/>
                <w:color w:val="auto"/>
              </w:rPr>
            </w:pPr>
          </w:p>
        </w:tc>
      </w:tr>
      <w:tr>
        <w:trPr>
          <w:trHeight w:val="274"/>
        </w:trPr>
        <w:tc>
          <w:tcPr>
            <w:tcW w:w="6360" w:type="dxa"/>
            <w:vAlign w:val="bottom"/>
            <w:gridSpan w:val="2"/>
            <w:shd w:val="clear" w:color="auto" w:fill="CCEEFF"/>
          </w:tcPr>
          <w:p>
            <w:pPr>
              <w:ind w:left="40"/>
              <w:spacing w:after="0"/>
              <w:rPr>
                <w:sz w:val="20"/>
                <w:szCs w:val="20"/>
                <w:color w:val="auto"/>
              </w:rPr>
            </w:pPr>
            <w:r>
              <w:rPr>
                <w:rFonts w:ascii="Arial" w:cs="Arial" w:eastAsia="Arial" w:hAnsi="Arial"/>
                <w:sz w:val="15"/>
                <w:szCs w:val="15"/>
                <w:color w:val="auto"/>
              </w:rPr>
              <w:t>Other adjustments to net income</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(272)</w:t>
            </w:r>
          </w:p>
        </w:tc>
        <w:tc>
          <w:tcPr>
            <w:tcW w:w="0" w:type="dxa"/>
            <w:vAlign w:val="bottom"/>
          </w:tcPr>
          <w:p>
            <w:pPr>
              <w:spacing w:after="0"/>
              <w:rPr>
                <w:sz w:val="1"/>
                <w:szCs w:val="1"/>
                <w:color w:val="auto"/>
              </w:rPr>
            </w:pPr>
          </w:p>
        </w:tc>
      </w:tr>
      <w:tr>
        <w:trPr>
          <w:trHeight w:val="266"/>
        </w:trPr>
        <w:tc>
          <w:tcPr>
            <w:tcW w:w="6360" w:type="dxa"/>
            <w:vAlign w:val="bottom"/>
            <w:tcBorders>
              <w:bottom w:val="single" w:sz="8" w:color="CCEEFF"/>
            </w:tcBorders>
            <w:gridSpan w:val="2"/>
          </w:tcPr>
          <w:p>
            <w:pPr>
              <w:ind w:left="40"/>
              <w:spacing w:after="0"/>
              <w:rPr>
                <w:sz w:val="20"/>
                <w:szCs w:val="20"/>
                <w:color w:val="auto"/>
              </w:rPr>
            </w:pPr>
            <w:r>
              <w:rPr>
                <w:rFonts w:ascii="Arial" w:cs="Arial" w:eastAsia="Arial" w:hAnsi="Arial"/>
                <w:sz w:val="15"/>
                <w:szCs w:val="15"/>
                <w:color w:val="auto"/>
              </w:rPr>
              <w:t>Provision for income tax (expense) benefit</w:t>
            </w:r>
          </w:p>
        </w:tc>
        <w:tc>
          <w:tcPr>
            <w:tcW w:w="100" w:type="dxa"/>
            <w:vAlign w:val="bottom"/>
            <w:tcBorders>
              <w:bottom w:val="single" w:sz="8" w:color="CCEEFF"/>
            </w:tcBorders>
          </w:tcPr>
          <w:p>
            <w:pPr>
              <w:spacing w:after="0"/>
              <w:rPr>
                <w:sz w:val="23"/>
                <w:szCs w:val="23"/>
                <w:color w:val="auto"/>
              </w:rPr>
            </w:pPr>
          </w:p>
        </w:tc>
        <w:tc>
          <w:tcPr>
            <w:tcW w:w="160" w:type="dxa"/>
            <w:vAlign w:val="bottom"/>
            <w:tcBorders>
              <w:bottom w:val="single" w:sz="8" w:color="CCEEFF"/>
            </w:tcBorders>
          </w:tcPr>
          <w:p>
            <w:pPr>
              <w:spacing w:after="0"/>
              <w:rPr>
                <w:sz w:val="23"/>
                <w:szCs w:val="23"/>
                <w:color w:val="auto"/>
              </w:rPr>
            </w:pPr>
          </w:p>
        </w:tc>
        <w:tc>
          <w:tcPr>
            <w:tcW w:w="700" w:type="dxa"/>
            <w:vAlign w:val="bottom"/>
            <w:tcBorders>
              <w:bottom w:val="single" w:sz="8" w:color="CCEEFF"/>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20" w:type="dxa"/>
            <w:vAlign w:val="bottom"/>
            <w:tcBorders>
              <w:bottom w:val="single" w:sz="8" w:color="CCEEFF"/>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160" w:type="dxa"/>
            <w:vAlign w:val="bottom"/>
            <w:tcBorders>
              <w:bottom w:val="single" w:sz="8" w:color="CCEEFF"/>
            </w:tcBorders>
          </w:tcPr>
          <w:p>
            <w:pPr>
              <w:spacing w:after="0"/>
              <w:rPr>
                <w:sz w:val="23"/>
                <w:szCs w:val="23"/>
                <w:color w:val="auto"/>
              </w:rPr>
            </w:pPr>
          </w:p>
        </w:tc>
        <w:tc>
          <w:tcPr>
            <w:tcW w:w="660" w:type="dxa"/>
            <w:vAlign w:val="bottom"/>
            <w:tcBorders>
              <w:bottom w:val="single" w:sz="8" w:color="CCEEFF"/>
            </w:tcBorders>
          </w:tcPr>
          <w:p>
            <w:pPr>
              <w:spacing w:after="0"/>
              <w:rPr>
                <w:sz w:val="23"/>
                <w:szCs w:val="23"/>
                <w:color w:val="auto"/>
              </w:rPr>
            </w:pPr>
          </w:p>
        </w:tc>
        <w:tc>
          <w:tcPr>
            <w:tcW w:w="40" w:type="dxa"/>
            <w:vAlign w:val="bottom"/>
            <w:tcBorders>
              <w:bottom w:val="single" w:sz="8" w:color="CCEEFF"/>
            </w:tcBorders>
          </w:tcPr>
          <w:p>
            <w:pPr>
              <w:spacing w:after="0"/>
              <w:rPr>
                <w:sz w:val="23"/>
                <w:szCs w:val="23"/>
                <w:color w:val="auto"/>
              </w:rPr>
            </w:pPr>
          </w:p>
        </w:tc>
        <w:tc>
          <w:tcPr>
            <w:tcW w:w="60" w:type="dxa"/>
            <w:vAlign w:val="bottom"/>
            <w:tcBorders>
              <w:bottom w:val="single" w:sz="8" w:color="CCEEFF"/>
            </w:tcBorders>
          </w:tcPr>
          <w:p>
            <w:pPr>
              <w:spacing w:after="0"/>
              <w:rPr>
                <w:sz w:val="23"/>
                <w:szCs w:val="23"/>
                <w:color w:val="auto"/>
              </w:rPr>
            </w:pPr>
          </w:p>
        </w:tc>
        <w:tc>
          <w:tcPr>
            <w:tcW w:w="60" w:type="dxa"/>
            <w:vAlign w:val="bottom"/>
            <w:tcBorders>
              <w:bottom w:val="single" w:sz="8" w:color="CCEEFF"/>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680" w:type="dxa"/>
            <w:vAlign w:val="bottom"/>
            <w:tcBorders>
              <w:bottom w:val="single" w:sz="8" w:color="CCEEFF"/>
            </w:tcBorders>
          </w:tcPr>
          <w:p>
            <w:pPr>
              <w:spacing w:after="0"/>
              <w:rPr>
                <w:sz w:val="23"/>
                <w:szCs w:val="23"/>
                <w:color w:val="auto"/>
              </w:rPr>
            </w:pPr>
          </w:p>
        </w:tc>
        <w:tc>
          <w:tcPr>
            <w:tcW w:w="40" w:type="dxa"/>
            <w:vAlign w:val="bottom"/>
            <w:tcBorders>
              <w:bottom w:val="single" w:sz="8" w:color="CCEEFF"/>
            </w:tcBorders>
          </w:tcPr>
          <w:p>
            <w:pPr>
              <w:spacing w:after="0"/>
              <w:rPr>
                <w:sz w:val="23"/>
                <w:szCs w:val="23"/>
                <w:color w:val="auto"/>
              </w:rPr>
            </w:pPr>
          </w:p>
        </w:tc>
        <w:tc>
          <w:tcPr>
            <w:tcW w:w="60" w:type="dxa"/>
            <w:vAlign w:val="bottom"/>
            <w:tcBorders>
              <w:bottom w:val="single" w:sz="8" w:color="CCEEFF"/>
            </w:tcBorders>
          </w:tcPr>
          <w:p>
            <w:pPr>
              <w:spacing w:after="0"/>
              <w:rPr>
                <w:sz w:val="23"/>
                <w:szCs w:val="23"/>
                <w:color w:val="auto"/>
              </w:rPr>
            </w:pPr>
          </w:p>
        </w:tc>
        <w:tc>
          <w:tcPr>
            <w:tcW w:w="20" w:type="dxa"/>
            <w:vAlign w:val="bottom"/>
            <w:tcBorders>
              <w:bottom w:val="single" w:sz="8" w:color="CCEEFF"/>
            </w:tcBorders>
          </w:tcPr>
          <w:p>
            <w:pPr>
              <w:spacing w:after="0"/>
              <w:rPr>
                <w:sz w:val="23"/>
                <w:szCs w:val="23"/>
                <w:color w:val="auto"/>
              </w:rPr>
            </w:pPr>
          </w:p>
        </w:tc>
        <w:tc>
          <w:tcPr>
            <w:tcW w:w="40" w:type="dxa"/>
            <w:vAlign w:val="bottom"/>
            <w:tcBorders>
              <w:bottom w:val="single" w:sz="8" w:color="CCEEFF"/>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840" w:type="dxa"/>
            <w:vAlign w:val="bottom"/>
            <w:tcBorders>
              <w:bottom w:val="single" w:sz="8" w:color="CCEEFF"/>
            </w:tcBorders>
          </w:tcPr>
          <w:p>
            <w:pPr>
              <w:spacing w:after="0"/>
              <w:rPr>
                <w:sz w:val="23"/>
                <w:szCs w:val="23"/>
                <w:color w:val="auto"/>
              </w:rPr>
            </w:pPr>
          </w:p>
        </w:tc>
        <w:tc>
          <w:tcPr>
            <w:tcW w:w="20" w:type="dxa"/>
            <w:vAlign w:val="bottom"/>
            <w:tcBorders>
              <w:bottom w:val="single" w:sz="8" w:color="CCEEFF"/>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66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260</w:t>
            </w:r>
          </w:p>
        </w:tc>
        <w:tc>
          <w:tcPr>
            <w:tcW w:w="0" w:type="dxa"/>
            <w:vAlign w:val="bottom"/>
          </w:tcPr>
          <w:p>
            <w:pPr>
              <w:spacing w:after="0"/>
              <w:rPr>
                <w:sz w:val="1"/>
                <w:szCs w:val="1"/>
                <w:color w:val="auto"/>
              </w:rPr>
            </w:pPr>
          </w:p>
        </w:tc>
      </w:tr>
      <w:tr>
        <w:trPr>
          <w:trHeight w:val="241"/>
        </w:trPr>
        <w:tc>
          <w:tcPr>
            <w:tcW w:w="636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5"/>
                <w:szCs w:val="15"/>
                <w:color w:val="auto"/>
              </w:rPr>
              <w:t>Net income (loss)</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w w:val="95"/>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(158)</w:t>
            </w:r>
          </w:p>
        </w:tc>
        <w:tc>
          <w:tcPr>
            <w:tcW w:w="0" w:type="dxa"/>
            <w:vAlign w:val="bottom"/>
          </w:tcPr>
          <w:p>
            <w:pPr>
              <w:spacing w:after="0"/>
              <w:rPr>
                <w:sz w:val="1"/>
                <w:szCs w:val="1"/>
                <w:color w:val="auto"/>
              </w:rPr>
            </w:pPr>
          </w:p>
        </w:tc>
      </w:tr>
      <w:tr>
        <w:trPr>
          <w:trHeight w:val="20"/>
        </w:trPr>
        <w:tc>
          <w:tcPr>
            <w:tcW w:w="63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6360" w:type="dxa"/>
            <w:vAlign w:val="bottom"/>
            <w:gridSpan w:val="2"/>
            <w:shd w:val="clear" w:color="auto" w:fill="CCEEFF"/>
          </w:tcPr>
          <w:p>
            <w:pPr>
              <w:ind w:left="40"/>
              <w:spacing w:after="0"/>
              <w:rPr>
                <w:sz w:val="20"/>
                <w:szCs w:val="20"/>
                <w:color w:val="auto"/>
              </w:rPr>
            </w:pPr>
            <w:r>
              <w:rPr>
                <w:rFonts w:ascii="Arial" w:cs="Arial" w:eastAsia="Arial" w:hAnsi="Arial"/>
                <w:sz w:val="15"/>
                <w:szCs w:val="15"/>
                <w:color w:val="auto"/>
              </w:rPr>
              <w:t>Inter-segment revenues</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29</w:t>
            </w:r>
          </w:p>
        </w:tc>
        <w:tc>
          <w:tcPr>
            <w:tcW w:w="280" w:type="dxa"/>
            <w:vAlign w:val="bottom"/>
            <w:gridSpan w:val="3"/>
            <w:shd w:val="clear" w:color="auto" w:fill="CCEEFF"/>
          </w:tcPr>
          <w:p>
            <w:pPr>
              <w:jc w:val="right"/>
              <w:ind w:right="60"/>
              <w:spacing w:after="0"/>
              <w:rPr>
                <w:sz w:val="20"/>
                <w:szCs w:val="20"/>
                <w:color w:val="auto"/>
              </w:rPr>
            </w:pPr>
            <w:r>
              <w:rPr>
                <w:rFonts w:ascii="Arial" w:cs="Arial" w:eastAsia="Arial" w:hAnsi="Arial"/>
                <w:sz w:val="15"/>
                <w:szCs w:val="15"/>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(132)</w:t>
            </w:r>
          </w:p>
        </w:tc>
        <w:tc>
          <w:tcPr>
            <w:tcW w:w="280" w:type="dxa"/>
            <w:vAlign w:val="bottom"/>
            <w:gridSpan w:val="4"/>
            <w:shd w:val="clear" w:color="auto" w:fill="CCEEFF"/>
          </w:tcPr>
          <w:p>
            <w:pPr>
              <w:ind w:left="180"/>
              <w:spacing w:after="0"/>
              <w:rPr>
                <w:sz w:val="20"/>
                <w:szCs w:val="20"/>
                <w:color w:val="auto"/>
              </w:rPr>
            </w:pPr>
            <w:r>
              <w:rPr>
                <w:rFonts w:ascii="Arial" w:cs="Arial" w:eastAsia="Arial" w:hAnsi="Arial"/>
                <w:sz w:val="15"/>
                <w:szCs w:val="15"/>
                <w:color w:val="auto"/>
                <w:w w:val="95"/>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w:t>
            </w:r>
          </w:p>
        </w:tc>
        <w:tc>
          <w:tcPr>
            <w:tcW w:w="4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6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(64)</w:t>
            </w: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6"/>
        </w:trPr>
        <w:tc>
          <w:tcPr>
            <w:tcW w:w="6360" w:type="dxa"/>
            <w:vAlign w:val="bottom"/>
            <w:gridSpan w:val="2"/>
          </w:tcPr>
          <w:p>
            <w:pPr>
              <w:ind w:left="40"/>
              <w:spacing w:after="0"/>
              <w:rPr>
                <w:sz w:val="20"/>
                <w:szCs w:val="20"/>
                <w:color w:val="auto"/>
              </w:rPr>
            </w:pPr>
            <w:r>
              <w:rPr>
                <w:rFonts w:ascii="Arial" w:cs="Arial" w:eastAsia="Arial" w:hAnsi="Arial"/>
                <w:sz w:val="15"/>
                <w:szCs w:val="15"/>
                <w:color w:val="auto"/>
              </w:rPr>
              <w:t>Interest revenue</w:t>
            </w:r>
          </w:p>
        </w:tc>
        <w:tc>
          <w:tcPr>
            <w:tcW w:w="26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5"/>
                <w:szCs w:val="15"/>
                <w:color w:val="auto"/>
              </w:rPr>
              <w:t>370</w:t>
            </w:r>
          </w:p>
        </w:tc>
        <w:tc>
          <w:tcPr>
            <w:tcW w:w="280" w:type="dxa"/>
            <w:vAlign w:val="bottom"/>
            <w:gridSpan w:val="3"/>
          </w:tcPr>
          <w:p>
            <w:pPr>
              <w:jc w:val="right"/>
              <w:ind w:right="60"/>
              <w:spacing w:after="0"/>
              <w:rPr>
                <w:sz w:val="20"/>
                <w:szCs w:val="20"/>
                <w:color w:val="auto"/>
              </w:rPr>
            </w:pPr>
            <w:r>
              <w:rPr>
                <w:rFonts w:ascii="Arial" w:cs="Arial" w:eastAsia="Arial" w:hAnsi="Arial"/>
                <w:sz w:val="15"/>
                <w:szCs w:val="15"/>
                <w:color w:val="auto"/>
              </w:rPr>
              <w:t>$</w:t>
            </w:r>
          </w:p>
        </w:tc>
        <w:tc>
          <w:tcPr>
            <w:tcW w:w="660" w:type="dxa"/>
            <w:vAlign w:val="bottom"/>
          </w:tcPr>
          <w:p>
            <w:pPr>
              <w:jc w:val="right"/>
              <w:spacing w:after="0"/>
              <w:rPr>
                <w:sz w:val="20"/>
                <w:szCs w:val="20"/>
                <w:color w:val="auto"/>
              </w:rPr>
            </w:pPr>
            <w:r>
              <w:rPr>
                <w:rFonts w:ascii="Arial" w:cs="Arial" w:eastAsia="Arial" w:hAnsi="Arial"/>
                <w:sz w:val="15"/>
                <w:szCs w:val="15"/>
                <w:color w:val="auto"/>
              </w:rPr>
              <w:t>110</w:t>
            </w:r>
          </w:p>
        </w:tc>
        <w:tc>
          <w:tcPr>
            <w:tcW w:w="280" w:type="dxa"/>
            <w:vAlign w:val="bottom"/>
            <w:gridSpan w:val="4"/>
          </w:tcPr>
          <w:p>
            <w:pPr>
              <w:ind w:left="180"/>
              <w:spacing w:after="0"/>
              <w:rPr>
                <w:sz w:val="20"/>
                <w:szCs w:val="20"/>
                <w:color w:val="auto"/>
              </w:rPr>
            </w:pPr>
            <w:r>
              <w:rPr>
                <w:rFonts w:ascii="Arial" w:cs="Arial" w:eastAsia="Arial" w:hAnsi="Arial"/>
                <w:sz w:val="15"/>
                <w:szCs w:val="15"/>
                <w:color w:val="auto"/>
                <w:w w:val="95"/>
              </w:rPr>
              <w:t>$</w:t>
            </w:r>
          </w:p>
        </w:tc>
        <w:tc>
          <w:tcPr>
            <w:tcW w:w="680" w:type="dxa"/>
            <w:vAlign w:val="bottom"/>
          </w:tcPr>
          <w:p>
            <w:pPr>
              <w:jc w:val="right"/>
              <w:spacing w:after="0"/>
              <w:rPr>
                <w:sz w:val="20"/>
                <w:szCs w:val="20"/>
                <w:color w:val="auto"/>
              </w:rPr>
            </w:pPr>
            <w:r>
              <w:rPr>
                <w:rFonts w:ascii="Arial" w:cs="Arial" w:eastAsia="Arial" w:hAnsi="Arial"/>
                <w:sz w:val="15"/>
                <w:szCs w:val="15"/>
                <w:color w:val="auto"/>
              </w:rPr>
              <w:t>359</w:t>
            </w: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60" w:type="dxa"/>
            <w:vAlign w:val="bottom"/>
            <w:gridSpan w:val="2"/>
          </w:tcPr>
          <w:p>
            <w:pPr>
              <w:jc w:val="right"/>
              <w:ind w:right="20"/>
              <w:spacing w:after="0"/>
              <w:rPr>
                <w:sz w:val="20"/>
                <w:szCs w:val="20"/>
                <w:color w:val="auto"/>
              </w:rPr>
            </w:pPr>
            <w:r>
              <w:rPr>
                <w:rFonts w:ascii="Arial" w:cs="Arial" w:eastAsia="Arial" w:hAnsi="Arial"/>
                <w:sz w:val="15"/>
                <w:szCs w:val="15"/>
                <w:color w:val="auto"/>
              </w:rPr>
              <w:t>$</w:t>
            </w:r>
          </w:p>
        </w:tc>
        <w:tc>
          <w:tcPr>
            <w:tcW w:w="840" w:type="dxa"/>
            <w:vAlign w:val="bottom"/>
          </w:tcPr>
          <w:p>
            <w:pPr>
              <w:jc w:val="right"/>
              <w:ind w:right="26"/>
              <w:spacing w:after="0"/>
              <w:rPr>
                <w:sz w:val="20"/>
                <w:szCs w:val="20"/>
                <w:color w:val="auto"/>
              </w:rPr>
            </w:pPr>
            <w:r>
              <w:rPr>
                <w:rFonts w:ascii="Arial" w:cs="Arial" w:eastAsia="Arial" w:hAnsi="Arial"/>
                <w:sz w:val="15"/>
                <w:szCs w:val="15"/>
                <w:color w:val="auto"/>
              </w:rPr>
              <w:t>103</w:t>
            </w: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4"/>
        </w:trPr>
        <w:tc>
          <w:tcPr>
            <w:tcW w:w="6360" w:type="dxa"/>
            <w:vAlign w:val="bottom"/>
            <w:gridSpan w:val="2"/>
            <w:shd w:val="clear" w:color="auto" w:fill="CCEEFF"/>
          </w:tcPr>
          <w:p>
            <w:pPr>
              <w:ind w:left="40"/>
              <w:spacing w:after="0"/>
              <w:rPr>
                <w:sz w:val="20"/>
                <w:szCs w:val="20"/>
                <w:color w:val="auto"/>
              </w:rPr>
            </w:pPr>
            <w:r>
              <w:rPr>
                <w:rFonts w:ascii="Arial" w:cs="Arial" w:eastAsia="Arial" w:hAnsi="Arial"/>
                <w:sz w:val="15"/>
                <w:szCs w:val="15"/>
                <w:color w:val="auto"/>
              </w:rPr>
              <w:t>Interest expense</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w:t>
            </w:r>
          </w:p>
        </w:tc>
        <w:tc>
          <w:tcPr>
            <w:tcW w:w="280" w:type="dxa"/>
            <w:vAlign w:val="bottom"/>
            <w:gridSpan w:val="3"/>
            <w:shd w:val="clear" w:color="auto" w:fill="CCEEFF"/>
          </w:tcPr>
          <w:p>
            <w:pPr>
              <w:jc w:val="right"/>
              <w:ind w:right="60"/>
              <w:spacing w:after="0"/>
              <w:rPr>
                <w:sz w:val="20"/>
                <w:szCs w:val="20"/>
                <w:color w:val="auto"/>
              </w:rPr>
            </w:pPr>
            <w:r>
              <w:rPr>
                <w:rFonts w:ascii="Arial" w:cs="Arial" w:eastAsia="Arial" w:hAnsi="Arial"/>
                <w:sz w:val="15"/>
                <w:szCs w:val="15"/>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80" w:type="dxa"/>
            <w:vAlign w:val="bottom"/>
            <w:gridSpan w:val="4"/>
            <w:shd w:val="clear" w:color="auto" w:fill="CCEEFF"/>
          </w:tcPr>
          <w:p>
            <w:pPr>
              <w:ind w:left="180"/>
              <w:spacing w:after="0"/>
              <w:rPr>
                <w:sz w:val="20"/>
                <w:szCs w:val="20"/>
                <w:color w:val="auto"/>
              </w:rPr>
            </w:pPr>
            <w:r>
              <w:rPr>
                <w:rFonts w:ascii="Arial" w:cs="Arial" w:eastAsia="Arial" w:hAnsi="Arial"/>
                <w:sz w:val="15"/>
                <w:szCs w:val="15"/>
                <w:color w:val="auto"/>
                <w:w w:val="95"/>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15</w:t>
            </w:r>
          </w:p>
        </w:tc>
        <w:tc>
          <w:tcPr>
            <w:tcW w:w="4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6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w:t>
            </w:r>
          </w:p>
        </w:tc>
        <w:tc>
          <w:tcPr>
            <w:tcW w:w="840" w:type="dxa"/>
            <w:vAlign w:val="bottom"/>
            <w:shd w:val="clear" w:color="auto" w:fill="CCEEFF"/>
          </w:tcPr>
          <w:p>
            <w:pPr>
              <w:jc w:val="right"/>
              <w:ind w:right="26"/>
              <w:spacing w:after="0"/>
              <w:rPr>
                <w:sz w:val="20"/>
                <w:szCs w:val="20"/>
                <w:color w:val="auto"/>
              </w:rPr>
            </w:pPr>
            <w:r>
              <w:rPr>
                <w:rFonts w:ascii="Arial" w:cs="Arial" w:eastAsia="Arial" w:hAnsi="Arial"/>
                <w:sz w:val="15"/>
                <w:szCs w:val="15"/>
                <w:color w:val="auto"/>
              </w:rPr>
              <w:t>28</w:t>
            </w: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234" w:right="239" w:bottom="1440" w:gutter="0" w:footer="0" w:header="0"/>
        </w:sectPr>
      </w:pPr>
    </w:p>
    <w:bookmarkStart w:id="14" w:name="page15"/>
    <w:bookmarkEnd w:id="14"/>
    <w:p>
      <w:pPr>
        <w:ind w:left="340"/>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109" w:lineRule="exact"/>
        <w:rPr>
          <w:sz w:val="20"/>
          <w:szCs w:val="20"/>
          <w:color w:val="auto"/>
        </w:rPr>
      </w:pPr>
    </w:p>
    <w:p>
      <w:pPr>
        <w:ind w:left="4840"/>
        <w:spacing w:after="0"/>
        <w:rPr>
          <w:sz w:val="20"/>
          <w:szCs w:val="20"/>
          <w:color w:val="auto"/>
        </w:rPr>
      </w:pPr>
      <w:r>
        <w:rPr>
          <w:rFonts w:ascii="Arial" w:cs="Arial" w:eastAsia="Arial" w:hAnsi="Arial"/>
          <w:sz w:val="18"/>
          <w:szCs w:val="18"/>
          <w:b w:val="1"/>
          <w:bCs w:val="1"/>
          <w:color w:val="auto"/>
        </w:rPr>
        <w:t>Brighthouse Financial, Inc.</w:t>
      </w:r>
    </w:p>
    <w:p>
      <w:pPr>
        <w:spacing w:after="0" w:line="117" w:lineRule="exact"/>
        <w:rPr>
          <w:sz w:val="20"/>
          <w:szCs w:val="20"/>
          <w:color w:val="auto"/>
        </w:rPr>
      </w:pPr>
    </w:p>
    <w:p>
      <w:pPr>
        <w:ind w:left="1640"/>
        <w:spacing w:after="0"/>
        <w:rPr>
          <w:sz w:val="20"/>
          <w:szCs w:val="20"/>
          <w:color w:val="auto"/>
        </w:rPr>
      </w:pPr>
      <w:r>
        <w:rPr>
          <w:rFonts w:ascii="Arial" w:cs="Arial" w:eastAsia="Arial" w:hAnsi="Arial"/>
          <w:sz w:val="18"/>
          <w:szCs w:val="18"/>
          <w:b w:val="1"/>
          <w:bCs w:val="1"/>
          <w:color w:val="auto"/>
        </w:rPr>
        <w:t>Notes to the Interim Condensed Consolidated and Combined Financial Statements (Unaudited) — (continued)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Segment Information (continued)</w:t>
      </w:r>
    </w:p>
    <w:p>
      <w:pPr>
        <w:spacing w:after="0" w:line="200" w:lineRule="exact"/>
        <w:rPr>
          <w:sz w:val="20"/>
          <w:szCs w:val="20"/>
          <w:color w:val="auto"/>
        </w:rPr>
      </w:pPr>
    </w:p>
    <w:p>
      <w:pPr>
        <w:spacing w:after="0" w:line="395"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6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gridSpan w:val="7"/>
          </w:tcPr>
          <w:p>
            <w:pPr>
              <w:jc w:val="center"/>
              <w:ind w:right="100"/>
              <w:spacing w:after="0"/>
              <w:rPr>
                <w:sz w:val="20"/>
                <w:szCs w:val="20"/>
                <w:color w:val="auto"/>
              </w:rPr>
            </w:pPr>
            <w:r>
              <w:rPr>
                <w:rFonts w:ascii="Arial" w:cs="Arial" w:eastAsia="Arial" w:hAnsi="Arial"/>
                <w:sz w:val="14"/>
                <w:szCs w:val="14"/>
                <w:b w:val="1"/>
                <w:bCs w:val="1"/>
                <w:color w:val="auto"/>
                <w:w w:val="86"/>
              </w:rPr>
              <w:t>Operating Results</w:t>
            </w:r>
          </w:p>
        </w:tc>
        <w:tc>
          <w:tcPr>
            <w:tcW w:w="9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63"/>
        </w:trPr>
        <w:tc>
          <w:tcPr>
            <w:tcW w:w="6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89"/>
              </w:rPr>
              <w:t>Corporate</w:t>
            </w: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6220" w:type="dxa"/>
            <w:vAlign w:val="bottom"/>
            <w:gridSpan w:val="2"/>
          </w:tcPr>
          <w:p>
            <w:pPr>
              <w:ind w:left="40"/>
              <w:spacing w:after="0"/>
              <w:rPr>
                <w:sz w:val="20"/>
                <w:szCs w:val="20"/>
                <w:color w:val="auto"/>
              </w:rPr>
            </w:pPr>
            <w:r>
              <w:rPr>
                <w:rFonts w:ascii="Arial" w:cs="Arial" w:eastAsia="Arial" w:hAnsi="Arial"/>
                <w:sz w:val="14"/>
                <w:szCs w:val="14"/>
                <w:b w:val="1"/>
                <w:bCs w:val="1"/>
                <w:color w:val="auto"/>
              </w:rPr>
              <w:t>Nine Months Ended September 30, 2017</w:t>
            </w:r>
          </w:p>
        </w:tc>
        <w:tc>
          <w:tcPr>
            <w:tcW w:w="100" w:type="dxa"/>
            <w:vAlign w:val="bottom"/>
          </w:tcPr>
          <w:p>
            <w:pPr>
              <w:spacing w:after="0"/>
              <w:rPr>
                <w:sz w:val="15"/>
                <w:szCs w:val="15"/>
                <w:color w:val="auto"/>
              </w:rPr>
            </w:pPr>
          </w:p>
        </w:tc>
        <w:tc>
          <w:tcPr>
            <w:tcW w:w="960" w:type="dxa"/>
            <w:vAlign w:val="bottom"/>
            <w:gridSpan w:val="3"/>
          </w:tcPr>
          <w:p>
            <w:pPr>
              <w:ind w:left="100"/>
              <w:spacing w:after="0"/>
              <w:rPr>
                <w:sz w:val="20"/>
                <w:szCs w:val="20"/>
                <w:color w:val="auto"/>
              </w:rPr>
            </w:pPr>
            <w:r>
              <w:rPr>
                <w:rFonts w:ascii="Arial" w:cs="Arial" w:eastAsia="Arial" w:hAnsi="Arial"/>
                <w:sz w:val="14"/>
                <w:szCs w:val="14"/>
                <w:b w:val="1"/>
                <w:bCs w:val="1"/>
                <w:color w:val="auto"/>
              </w:rPr>
              <w:t>Annuities</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jc w:val="right"/>
              <w:ind w:right="285"/>
              <w:spacing w:after="0"/>
              <w:rPr>
                <w:sz w:val="20"/>
                <w:szCs w:val="20"/>
                <w:color w:val="auto"/>
              </w:rPr>
            </w:pPr>
            <w:r>
              <w:rPr>
                <w:rFonts w:ascii="Arial" w:cs="Arial" w:eastAsia="Arial" w:hAnsi="Arial"/>
                <w:sz w:val="14"/>
                <w:szCs w:val="14"/>
                <w:b w:val="1"/>
                <w:bCs w:val="1"/>
                <w:color w:val="auto"/>
              </w:rPr>
              <w:t>Life</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gridSpan w:val="2"/>
          </w:tcPr>
          <w:p>
            <w:pPr>
              <w:ind w:left="60"/>
              <w:spacing w:after="0"/>
              <w:rPr>
                <w:sz w:val="20"/>
                <w:szCs w:val="20"/>
                <w:color w:val="auto"/>
              </w:rPr>
            </w:pPr>
            <w:r>
              <w:rPr>
                <w:rFonts w:ascii="Arial" w:cs="Arial" w:eastAsia="Arial" w:hAnsi="Arial"/>
                <w:sz w:val="14"/>
                <w:szCs w:val="14"/>
                <w:b w:val="1"/>
                <w:bCs w:val="1"/>
                <w:color w:val="auto"/>
              </w:rPr>
              <w:t>Run-off</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gridSpan w:val="2"/>
          </w:tcPr>
          <w:p>
            <w:pPr>
              <w:ind w:left="80"/>
              <w:spacing w:after="0"/>
              <w:rPr>
                <w:sz w:val="20"/>
                <w:szCs w:val="20"/>
                <w:color w:val="auto"/>
              </w:rPr>
            </w:pPr>
            <w:r>
              <w:rPr>
                <w:rFonts w:ascii="Arial" w:cs="Arial" w:eastAsia="Arial" w:hAnsi="Arial"/>
                <w:sz w:val="14"/>
                <w:szCs w:val="14"/>
                <w:b w:val="1"/>
                <w:bCs w:val="1"/>
                <w:color w:val="auto"/>
              </w:rPr>
              <w:t>&amp; Other</w:t>
            </w:r>
          </w:p>
        </w:tc>
        <w:tc>
          <w:tcPr>
            <w:tcW w:w="180" w:type="dxa"/>
            <w:vAlign w:val="bottom"/>
          </w:tcPr>
          <w:p>
            <w:pPr>
              <w:spacing w:after="0"/>
              <w:rPr>
                <w:sz w:val="15"/>
                <w:szCs w:val="15"/>
                <w:color w:val="auto"/>
              </w:rPr>
            </w:pPr>
          </w:p>
        </w:tc>
        <w:tc>
          <w:tcPr>
            <w:tcW w:w="680" w:type="dxa"/>
            <w:vAlign w:val="bottom"/>
          </w:tcPr>
          <w:p>
            <w:pPr>
              <w:jc w:val="right"/>
              <w:ind w:right="204"/>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63"/>
        </w:trPr>
        <w:tc>
          <w:tcPr>
            <w:tcW w:w="61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700" w:type="dxa"/>
            <w:vAlign w:val="bottom"/>
            <w:tcBorders>
              <w:top w:val="single" w:sz="8" w:color="auto"/>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660" w:type="dxa"/>
            <w:vAlign w:val="bottom"/>
            <w:tcBorders>
              <w:top w:val="single" w:sz="8" w:color="auto"/>
            </w:tcBorders>
          </w:tcPr>
          <w:p>
            <w:pPr>
              <w:spacing w:after="0"/>
              <w:rPr>
                <w:sz w:val="22"/>
                <w:szCs w:val="22"/>
                <w:color w:val="auto"/>
              </w:rPr>
            </w:pPr>
          </w:p>
        </w:tc>
        <w:tc>
          <w:tcPr>
            <w:tcW w:w="20" w:type="dxa"/>
            <w:vAlign w:val="bottom"/>
            <w:tcBorders>
              <w:top w:val="single" w:sz="8" w:color="auto"/>
            </w:tcBorders>
          </w:tcPr>
          <w:p>
            <w:pPr>
              <w:spacing w:after="0"/>
              <w:rPr>
                <w:sz w:val="22"/>
                <w:szCs w:val="22"/>
                <w:color w:val="auto"/>
              </w:rPr>
            </w:pPr>
          </w:p>
        </w:tc>
        <w:tc>
          <w:tcPr>
            <w:tcW w:w="80" w:type="dxa"/>
            <w:vAlign w:val="bottom"/>
            <w:tcBorders>
              <w:top w:val="single" w:sz="8" w:color="auto"/>
            </w:tcBorders>
          </w:tcPr>
          <w:p>
            <w:pPr>
              <w:spacing w:after="0"/>
              <w:rPr>
                <w:sz w:val="22"/>
                <w:szCs w:val="22"/>
                <w:color w:val="auto"/>
              </w:rPr>
            </w:pPr>
          </w:p>
        </w:tc>
        <w:tc>
          <w:tcPr>
            <w:tcW w:w="40" w:type="dxa"/>
            <w:vAlign w:val="bottom"/>
            <w:tcBorders>
              <w:top w:val="single" w:sz="8" w:color="auto"/>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820" w:type="dxa"/>
            <w:vAlign w:val="bottom"/>
            <w:tcBorders>
              <w:top w:val="single" w:sz="8" w:color="auto"/>
            </w:tcBorders>
            <w:gridSpan w:val="2"/>
          </w:tcPr>
          <w:p>
            <w:pPr>
              <w:jc w:val="center"/>
              <w:ind w:right="80"/>
              <w:spacing w:after="0"/>
              <w:rPr>
                <w:sz w:val="20"/>
                <w:szCs w:val="20"/>
                <w:color w:val="auto"/>
              </w:rPr>
            </w:pPr>
            <w:r>
              <w:rPr>
                <w:rFonts w:ascii="Arial" w:cs="Arial" w:eastAsia="Arial" w:hAnsi="Arial"/>
                <w:sz w:val="14"/>
                <w:szCs w:val="14"/>
                <w:b w:val="1"/>
                <w:bCs w:val="1"/>
                <w:color w:val="auto"/>
                <w:w w:val="89"/>
              </w:rPr>
              <w:t>(In millions)</w:t>
            </w:r>
          </w:p>
        </w:tc>
        <w:tc>
          <w:tcPr>
            <w:tcW w:w="120" w:type="dxa"/>
            <w:vAlign w:val="bottom"/>
            <w:tcBorders>
              <w:top w:val="single" w:sz="8" w:color="auto"/>
            </w:tcBorders>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900" w:type="dxa"/>
            <w:vAlign w:val="bottom"/>
            <w:tcBorders>
              <w:top w:val="single" w:sz="8" w:color="auto"/>
            </w:tcBorders>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68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77"/>
        </w:trPr>
        <w:tc>
          <w:tcPr>
            <w:tcW w:w="6220" w:type="dxa"/>
            <w:vAlign w:val="bottom"/>
            <w:gridSpan w:val="2"/>
            <w:shd w:val="clear" w:color="auto" w:fill="CCEEFF"/>
          </w:tcPr>
          <w:p>
            <w:pPr>
              <w:ind w:left="40"/>
              <w:spacing w:after="0"/>
              <w:rPr>
                <w:sz w:val="20"/>
                <w:szCs w:val="20"/>
                <w:color w:val="auto"/>
              </w:rPr>
            </w:pPr>
            <w:r>
              <w:rPr>
                <w:rFonts w:ascii="Arial" w:cs="Arial" w:eastAsia="Arial" w:hAnsi="Arial"/>
                <w:sz w:val="15"/>
                <w:szCs w:val="15"/>
                <w:color w:val="auto"/>
              </w:rPr>
              <w:t>Pre-tax operating earnings (loss)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6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1,111</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rPr>
              <w:t>—</w:t>
            </w:r>
          </w:p>
        </w:tc>
        <w:tc>
          <w:tcPr>
            <w:tcW w:w="240" w:type="dxa"/>
            <w:vAlign w:val="bottom"/>
            <w:gridSpan w:val="4"/>
            <w:shd w:val="clear" w:color="auto" w:fill="CCEEFF"/>
          </w:tcPr>
          <w:p>
            <w:pPr>
              <w:ind w:left="140"/>
              <w:spacing w:after="0"/>
              <w:rPr>
                <w:sz w:val="20"/>
                <w:szCs w:val="20"/>
                <w:color w:val="auto"/>
              </w:rPr>
            </w:pPr>
            <w:r>
              <w:rPr>
                <w:rFonts w:ascii="Arial" w:cs="Arial" w:eastAsia="Arial" w:hAnsi="Arial"/>
                <w:sz w:val="15"/>
                <w:szCs w:val="15"/>
                <w:color w:val="auto"/>
                <w:w w:val="95"/>
              </w:rPr>
              <w:t>$</w:t>
            </w:r>
          </w:p>
        </w:tc>
        <w:tc>
          <w:tcPr>
            <w:tcW w:w="720" w:type="dxa"/>
            <w:vAlign w:val="bottom"/>
            <w:shd w:val="clear" w:color="auto" w:fill="CCEEFF"/>
          </w:tcPr>
          <w:p>
            <w:pPr>
              <w:jc w:val="right"/>
              <w:ind w:right="26"/>
              <w:spacing w:after="0"/>
              <w:rPr>
                <w:sz w:val="20"/>
                <w:szCs w:val="20"/>
                <w:color w:val="auto"/>
              </w:rPr>
            </w:pPr>
            <w:r>
              <w:rPr>
                <w:rFonts w:ascii="Arial" w:cs="Arial" w:eastAsia="Arial" w:hAnsi="Arial"/>
                <w:sz w:val="15"/>
                <w:szCs w:val="15"/>
                <w:color w:val="auto"/>
              </w:rPr>
              <w:t>272</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4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66"/>
              <w:spacing w:after="0"/>
              <w:rPr>
                <w:sz w:val="20"/>
                <w:szCs w:val="20"/>
                <w:color w:val="auto"/>
              </w:rPr>
            </w:pPr>
            <w:r>
              <w:rPr>
                <w:rFonts w:ascii="Arial" w:cs="Arial" w:eastAsia="Arial" w:hAnsi="Arial"/>
                <w:sz w:val="15"/>
                <w:szCs w:val="15"/>
                <w:color w:val="auto"/>
              </w:rPr>
              <w:t>(61)</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95"/>
              </w:rPr>
              <w:t>$</w:t>
            </w:r>
          </w:p>
        </w:tc>
        <w:tc>
          <w:tcPr>
            <w:tcW w:w="68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1,322</w:t>
            </w:r>
          </w:p>
        </w:tc>
        <w:tc>
          <w:tcPr>
            <w:tcW w:w="0" w:type="dxa"/>
            <w:vAlign w:val="bottom"/>
          </w:tcPr>
          <w:p>
            <w:pPr>
              <w:spacing w:after="0"/>
              <w:rPr>
                <w:sz w:val="1"/>
                <w:szCs w:val="1"/>
                <w:color w:val="auto"/>
              </w:rPr>
            </w:pPr>
          </w:p>
        </w:tc>
      </w:tr>
      <w:tr>
        <w:trPr>
          <w:trHeight w:val="266"/>
        </w:trPr>
        <w:tc>
          <w:tcPr>
            <w:tcW w:w="6220" w:type="dxa"/>
            <w:vAlign w:val="bottom"/>
            <w:tcBorders>
              <w:bottom w:val="single" w:sz="8" w:color="CCEEFF"/>
            </w:tcBorders>
            <w:gridSpan w:val="2"/>
          </w:tcPr>
          <w:p>
            <w:pPr>
              <w:ind w:left="40"/>
              <w:spacing w:after="0"/>
              <w:rPr>
                <w:sz w:val="20"/>
                <w:szCs w:val="20"/>
                <w:color w:val="auto"/>
              </w:rPr>
            </w:pPr>
            <w:r>
              <w:rPr>
                <w:rFonts w:ascii="Arial" w:cs="Arial" w:eastAsia="Arial" w:hAnsi="Arial"/>
                <w:sz w:val="15"/>
                <w:szCs w:val="15"/>
                <w:color w:val="auto"/>
              </w:rPr>
              <w:t>Provision for income tax expense (benefit)</w:t>
            </w:r>
          </w:p>
        </w:tc>
        <w:tc>
          <w:tcPr>
            <w:tcW w:w="100" w:type="dxa"/>
            <w:vAlign w:val="bottom"/>
            <w:tcBorders>
              <w:bottom w:val="single" w:sz="8" w:color="auto"/>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70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302</w:t>
            </w:r>
          </w:p>
        </w:tc>
        <w:tc>
          <w:tcPr>
            <w:tcW w:w="100" w:type="dxa"/>
            <w:vAlign w:val="bottom"/>
            <w:tcBorders>
              <w:bottom w:val="single" w:sz="8" w:color="CCEEFF"/>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660" w:type="dxa"/>
            <w:vAlign w:val="bottom"/>
            <w:tcBorders>
              <w:bottom w:val="single" w:sz="8" w:color="auto"/>
            </w:tcBorders>
          </w:tcPr>
          <w:p>
            <w:pPr>
              <w:jc w:val="right"/>
              <w:ind w:right="65"/>
              <w:spacing w:after="0"/>
              <w:rPr>
                <w:sz w:val="20"/>
                <w:szCs w:val="20"/>
                <w:color w:val="auto"/>
              </w:rPr>
            </w:pPr>
            <w:r>
              <w:rPr>
                <w:rFonts w:ascii="Arial" w:cs="Arial" w:eastAsia="Arial" w:hAnsi="Arial"/>
                <w:sz w:val="15"/>
                <w:szCs w:val="15"/>
                <w:color w:val="auto"/>
              </w:rPr>
              <w:t>(11)</w:t>
            </w:r>
          </w:p>
        </w:tc>
        <w:tc>
          <w:tcPr>
            <w:tcW w:w="20" w:type="dxa"/>
            <w:vAlign w:val="bottom"/>
            <w:tcBorders>
              <w:bottom w:val="single" w:sz="8" w:color="CCEEFF"/>
            </w:tcBorders>
          </w:tcPr>
          <w:p>
            <w:pPr>
              <w:spacing w:after="0"/>
              <w:rPr>
                <w:sz w:val="23"/>
                <w:szCs w:val="23"/>
                <w:color w:val="auto"/>
              </w:rPr>
            </w:pPr>
          </w:p>
        </w:tc>
        <w:tc>
          <w:tcPr>
            <w:tcW w:w="80" w:type="dxa"/>
            <w:vAlign w:val="bottom"/>
            <w:tcBorders>
              <w:bottom w:val="single" w:sz="8" w:color="CCEEFF"/>
            </w:tcBorders>
          </w:tcPr>
          <w:p>
            <w:pPr>
              <w:spacing w:after="0"/>
              <w:rPr>
                <w:sz w:val="23"/>
                <w:szCs w:val="23"/>
                <w:color w:val="auto"/>
              </w:rPr>
            </w:pPr>
          </w:p>
        </w:tc>
        <w:tc>
          <w:tcPr>
            <w:tcW w:w="4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720" w:type="dxa"/>
            <w:vAlign w:val="bottom"/>
            <w:tcBorders>
              <w:bottom w:val="single" w:sz="8" w:color="auto"/>
            </w:tcBorders>
          </w:tcPr>
          <w:p>
            <w:pPr>
              <w:jc w:val="right"/>
              <w:ind w:right="26"/>
              <w:spacing w:after="0"/>
              <w:rPr>
                <w:sz w:val="20"/>
                <w:szCs w:val="20"/>
                <w:color w:val="auto"/>
              </w:rPr>
            </w:pPr>
            <w:r>
              <w:rPr>
                <w:rFonts w:ascii="Arial" w:cs="Arial" w:eastAsia="Arial" w:hAnsi="Arial"/>
                <w:sz w:val="15"/>
                <w:szCs w:val="15"/>
                <w:color w:val="auto"/>
              </w:rPr>
              <w:t>88</w:t>
            </w:r>
          </w:p>
        </w:tc>
        <w:tc>
          <w:tcPr>
            <w:tcW w:w="100" w:type="dxa"/>
            <w:vAlign w:val="bottom"/>
            <w:tcBorders>
              <w:bottom w:val="single" w:sz="8" w:color="CCEEFF"/>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ind w:right="106"/>
              <w:spacing w:after="0"/>
              <w:rPr>
                <w:sz w:val="20"/>
                <w:szCs w:val="20"/>
                <w:color w:val="auto"/>
              </w:rPr>
            </w:pPr>
            <w:r>
              <w:rPr>
                <w:rFonts w:ascii="Arial" w:cs="Arial" w:eastAsia="Arial" w:hAnsi="Arial"/>
                <w:sz w:val="15"/>
                <w:szCs w:val="15"/>
                <w:color w:val="auto"/>
              </w:rPr>
              <w:t>1,015</w:t>
            </w:r>
          </w:p>
        </w:tc>
        <w:tc>
          <w:tcPr>
            <w:tcW w:w="12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68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1,394</w:t>
            </w:r>
          </w:p>
        </w:tc>
        <w:tc>
          <w:tcPr>
            <w:tcW w:w="0" w:type="dxa"/>
            <w:vAlign w:val="bottom"/>
          </w:tcPr>
          <w:p>
            <w:pPr>
              <w:spacing w:after="0"/>
              <w:rPr>
                <w:sz w:val="1"/>
                <w:szCs w:val="1"/>
                <w:color w:val="auto"/>
              </w:rPr>
            </w:pPr>
          </w:p>
        </w:tc>
      </w:tr>
      <w:tr>
        <w:trPr>
          <w:trHeight w:val="241"/>
        </w:trPr>
        <w:tc>
          <w:tcPr>
            <w:tcW w:w="6220" w:type="dxa"/>
            <w:vAlign w:val="bottom"/>
            <w:gridSpan w:val="2"/>
            <w:shd w:val="clear" w:color="auto" w:fill="CCEEFF"/>
          </w:tcPr>
          <w:p>
            <w:pPr>
              <w:ind w:left="200"/>
              <w:spacing w:after="0"/>
              <w:rPr>
                <w:sz w:val="20"/>
                <w:szCs w:val="20"/>
                <w:color w:val="auto"/>
              </w:rPr>
            </w:pPr>
            <w:r>
              <w:rPr>
                <w:rFonts w:ascii="Arial" w:cs="Arial" w:eastAsia="Arial" w:hAnsi="Arial"/>
                <w:sz w:val="15"/>
                <w:szCs w:val="15"/>
                <w:color w:val="auto"/>
              </w:rPr>
              <w:t>Operating earnings (loss)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60" w:type="dxa"/>
            <w:vAlign w:val="bottom"/>
            <w:shd w:val="clear" w:color="auto" w:fill="CCEEFF"/>
          </w:tcPr>
          <w:p>
            <w:pPr>
              <w:spacing w:after="0"/>
              <w:rPr>
                <w:sz w:val="20"/>
                <w:szCs w:val="20"/>
                <w:color w:val="auto"/>
              </w:rPr>
            </w:pPr>
          </w:p>
        </w:tc>
        <w:tc>
          <w:tcPr>
            <w:tcW w:w="70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809</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20"/>
                <w:szCs w:val="20"/>
                <w:color w:val="auto"/>
              </w:rPr>
            </w:pPr>
          </w:p>
        </w:tc>
        <w:tc>
          <w:tcPr>
            <w:tcW w:w="6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rPr>
              <w:t>11</w:t>
            </w:r>
          </w:p>
        </w:tc>
        <w:tc>
          <w:tcPr>
            <w:tcW w:w="240" w:type="dxa"/>
            <w:vAlign w:val="bottom"/>
            <w:gridSpan w:val="4"/>
            <w:shd w:val="clear" w:color="auto" w:fill="CCEEFF"/>
          </w:tcPr>
          <w:p>
            <w:pPr>
              <w:ind w:left="140"/>
              <w:spacing w:after="0"/>
              <w:rPr>
                <w:sz w:val="20"/>
                <w:szCs w:val="20"/>
                <w:color w:val="auto"/>
              </w:rPr>
            </w:pPr>
            <w:r>
              <w:rPr>
                <w:rFonts w:ascii="Arial" w:cs="Arial" w:eastAsia="Arial" w:hAnsi="Arial"/>
                <w:sz w:val="15"/>
                <w:szCs w:val="15"/>
                <w:color w:val="auto"/>
                <w:w w:val="95"/>
              </w:rPr>
              <w:t>$</w:t>
            </w:r>
          </w:p>
        </w:tc>
        <w:tc>
          <w:tcPr>
            <w:tcW w:w="720" w:type="dxa"/>
            <w:vAlign w:val="bottom"/>
            <w:shd w:val="clear" w:color="auto" w:fill="CCEEFF"/>
          </w:tcPr>
          <w:p>
            <w:pPr>
              <w:jc w:val="right"/>
              <w:ind w:right="26"/>
              <w:spacing w:after="0"/>
              <w:rPr>
                <w:sz w:val="20"/>
                <w:szCs w:val="20"/>
                <w:color w:val="auto"/>
              </w:rPr>
            </w:pPr>
            <w:r>
              <w:rPr>
                <w:rFonts w:ascii="Arial" w:cs="Arial" w:eastAsia="Arial" w:hAnsi="Arial"/>
                <w:sz w:val="15"/>
                <w:szCs w:val="15"/>
                <w:color w:val="auto"/>
              </w:rPr>
              <w:t>184</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40" w:type="dxa"/>
            <w:vAlign w:val="bottom"/>
            <w:shd w:val="clear" w:color="auto" w:fill="CCEEFF"/>
          </w:tcPr>
          <w:p>
            <w:pPr>
              <w:spacing w:after="0"/>
              <w:rPr>
                <w:sz w:val="20"/>
                <w:szCs w:val="20"/>
                <w:color w:val="auto"/>
              </w:rPr>
            </w:pPr>
          </w:p>
        </w:tc>
        <w:tc>
          <w:tcPr>
            <w:tcW w:w="900" w:type="dxa"/>
            <w:vAlign w:val="bottom"/>
            <w:shd w:val="clear" w:color="auto" w:fill="CCEEFF"/>
          </w:tcPr>
          <w:p>
            <w:pPr>
              <w:jc w:val="right"/>
              <w:ind w:right="66"/>
              <w:spacing w:after="0"/>
              <w:rPr>
                <w:sz w:val="20"/>
                <w:szCs w:val="20"/>
                <w:color w:val="auto"/>
              </w:rPr>
            </w:pPr>
            <w:r>
              <w:rPr>
                <w:rFonts w:ascii="Arial" w:cs="Arial" w:eastAsia="Arial" w:hAnsi="Arial"/>
                <w:sz w:val="15"/>
                <w:szCs w:val="15"/>
                <w:color w:val="auto"/>
              </w:rPr>
              <w:t>(1,076)</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(72)</w:t>
            </w:r>
          </w:p>
        </w:tc>
        <w:tc>
          <w:tcPr>
            <w:tcW w:w="0" w:type="dxa"/>
            <w:vAlign w:val="bottom"/>
          </w:tcPr>
          <w:p>
            <w:pPr>
              <w:spacing w:after="0"/>
              <w:rPr>
                <w:sz w:val="1"/>
                <w:szCs w:val="1"/>
                <w:color w:val="auto"/>
              </w:rPr>
            </w:pPr>
          </w:p>
        </w:tc>
      </w:tr>
      <w:tr>
        <w:trPr>
          <w:trHeight w:val="20"/>
        </w:trPr>
        <w:tc>
          <w:tcPr>
            <w:tcW w:w="6220" w:type="dxa"/>
            <w:vAlign w:val="bottom"/>
            <w:tcBorders>
              <w:top w:val="single" w:sz="8" w:color="CCEEFF"/>
              <w:bottom w:val="single" w:sz="8" w:color="CCEEFF"/>
            </w:tcBorders>
            <w:gridSpan w:val="2"/>
            <w:vMerge w:val="restart"/>
          </w:tcPr>
          <w:p>
            <w:pPr>
              <w:ind w:left="40"/>
              <w:spacing w:after="0"/>
              <w:rPr>
                <w:sz w:val="20"/>
                <w:szCs w:val="20"/>
                <w:color w:val="auto"/>
              </w:rPr>
            </w:pPr>
            <w:r>
              <w:rPr>
                <w:rFonts w:ascii="Arial" w:cs="Arial" w:eastAsia="Arial" w:hAnsi="Arial"/>
                <w:sz w:val="15"/>
                <w:szCs w:val="15"/>
                <w:color w:val="auto"/>
              </w:rPr>
              <w:t>Adjustments for:</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7"/>
        </w:trPr>
        <w:tc>
          <w:tcPr>
            <w:tcW w:w="6220" w:type="dxa"/>
            <w:vAlign w:val="bottom"/>
            <w:gridSpan w:val="2"/>
            <w:vMerge w:val="continue"/>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4"/>
        </w:trPr>
        <w:tc>
          <w:tcPr>
            <w:tcW w:w="6220" w:type="dxa"/>
            <w:vAlign w:val="bottom"/>
            <w:gridSpan w:val="2"/>
            <w:shd w:val="clear" w:color="auto" w:fill="CCEEFF"/>
          </w:tcPr>
          <w:p>
            <w:pPr>
              <w:ind w:left="40"/>
              <w:spacing w:after="0"/>
              <w:rPr>
                <w:sz w:val="20"/>
                <w:szCs w:val="20"/>
                <w:color w:val="auto"/>
              </w:rPr>
            </w:pPr>
            <w:r>
              <w:rPr>
                <w:rFonts w:ascii="Arial" w:cs="Arial" w:eastAsia="Arial" w:hAnsi="Arial"/>
                <w:sz w:val="15"/>
                <w:szCs w:val="15"/>
                <w:color w:val="auto"/>
              </w:rPr>
              <w:t>Net investment gains (losses)</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(34)</w:t>
            </w:r>
          </w:p>
        </w:tc>
        <w:tc>
          <w:tcPr>
            <w:tcW w:w="0" w:type="dxa"/>
            <w:vAlign w:val="bottom"/>
          </w:tcPr>
          <w:p>
            <w:pPr>
              <w:spacing w:after="0"/>
              <w:rPr>
                <w:sz w:val="1"/>
                <w:szCs w:val="1"/>
                <w:color w:val="auto"/>
              </w:rPr>
            </w:pPr>
          </w:p>
        </w:tc>
      </w:tr>
      <w:tr>
        <w:trPr>
          <w:trHeight w:val="266"/>
        </w:trPr>
        <w:tc>
          <w:tcPr>
            <w:tcW w:w="6220" w:type="dxa"/>
            <w:vAlign w:val="bottom"/>
            <w:gridSpan w:val="2"/>
          </w:tcPr>
          <w:p>
            <w:pPr>
              <w:ind w:left="40"/>
              <w:spacing w:after="0"/>
              <w:rPr>
                <w:sz w:val="20"/>
                <w:szCs w:val="20"/>
                <w:color w:val="auto"/>
              </w:rPr>
            </w:pPr>
            <w:r>
              <w:rPr>
                <w:rFonts w:ascii="Arial" w:cs="Arial" w:eastAsia="Arial" w:hAnsi="Arial"/>
                <w:sz w:val="15"/>
                <w:szCs w:val="15"/>
                <w:color w:val="auto"/>
              </w:rPr>
              <w:t>Net derivative gains (losses)</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rPr>
              <w:t>(1,207)</w:t>
            </w:r>
          </w:p>
        </w:tc>
        <w:tc>
          <w:tcPr>
            <w:tcW w:w="0" w:type="dxa"/>
            <w:vAlign w:val="bottom"/>
          </w:tcPr>
          <w:p>
            <w:pPr>
              <w:spacing w:after="0"/>
              <w:rPr>
                <w:sz w:val="1"/>
                <w:szCs w:val="1"/>
                <w:color w:val="auto"/>
              </w:rPr>
            </w:pPr>
          </w:p>
        </w:tc>
      </w:tr>
      <w:tr>
        <w:trPr>
          <w:trHeight w:val="274"/>
        </w:trPr>
        <w:tc>
          <w:tcPr>
            <w:tcW w:w="6220" w:type="dxa"/>
            <w:vAlign w:val="bottom"/>
            <w:gridSpan w:val="2"/>
            <w:shd w:val="clear" w:color="auto" w:fill="CCEEFF"/>
          </w:tcPr>
          <w:p>
            <w:pPr>
              <w:ind w:left="40"/>
              <w:spacing w:after="0"/>
              <w:rPr>
                <w:sz w:val="20"/>
                <w:szCs w:val="20"/>
                <w:color w:val="auto"/>
              </w:rPr>
            </w:pPr>
            <w:r>
              <w:rPr>
                <w:rFonts w:ascii="Arial" w:cs="Arial" w:eastAsia="Arial" w:hAnsi="Arial"/>
                <w:sz w:val="15"/>
                <w:szCs w:val="15"/>
                <w:color w:val="auto"/>
              </w:rPr>
              <w:t>Other adjustments to net income</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(474)</w:t>
            </w:r>
          </w:p>
        </w:tc>
        <w:tc>
          <w:tcPr>
            <w:tcW w:w="0" w:type="dxa"/>
            <w:vAlign w:val="bottom"/>
          </w:tcPr>
          <w:p>
            <w:pPr>
              <w:spacing w:after="0"/>
              <w:rPr>
                <w:sz w:val="1"/>
                <w:szCs w:val="1"/>
                <w:color w:val="auto"/>
              </w:rPr>
            </w:pPr>
          </w:p>
        </w:tc>
      </w:tr>
      <w:tr>
        <w:trPr>
          <w:trHeight w:val="266"/>
        </w:trPr>
        <w:tc>
          <w:tcPr>
            <w:tcW w:w="6220" w:type="dxa"/>
            <w:vAlign w:val="bottom"/>
            <w:tcBorders>
              <w:bottom w:val="single" w:sz="8" w:color="CCEEFF"/>
            </w:tcBorders>
            <w:gridSpan w:val="2"/>
          </w:tcPr>
          <w:p>
            <w:pPr>
              <w:ind w:left="40"/>
              <w:spacing w:after="0"/>
              <w:rPr>
                <w:sz w:val="20"/>
                <w:szCs w:val="20"/>
                <w:color w:val="auto"/>
              </w:rPr>
            </w:pPr>
            <w:r>
              <w:rPr>
                <w:rFonts w:ascii="Arial" w:cs="Arial" w:eastAsia="Arial" w:hAnsi="Arial"/>
                <w:sz w:val="15"/>
                <w:szCs w:val="15"/>
                <w:color w:val="auto"/>
              </w:rPr>
              <w:t>Provision for income tax (expense) benefit</w:t>
            </w:r>
          </w:p>
        </w:tc>
        <w:tc>
          <w:tcPr>
            <w:tcW w:w="100" w:type="dxa"/>
            <w:vAlign w:val="bottom"/>
            <w:tcBorders>
              <w:bottom w:val="single" w:sz="8" w:color="CCEEFF"/>
            </w:tcBorders>
          </w:tcPr>
          <w:p>
            <w:pPr>
              <w:spacing w:after="0"/>
              <w:rPr>
                <w:sz w:val="23"/>
                <w:szCs w:val="23"/>
                <w:color w:val="auto"/>
              </w:rPr>
            </w:pPr>
          </w:p>
        </w:tc>
        <w:tc>
          <w:tcPr>
            <w:tcW w:w="160" w:type="dxa"/>
            <w:vAlign w:val="bottom"/>
            <w:tcBorders>
              <w:bottom w:val="single" w:sz="8" w:color="CCEEFF"/>
            </w:tcBorders>
          </w:tcPr>
          <w:p>
            <w:pPr>
              <w:spacing w:after="0"/>
              <w:rPr>
                <w:sz w:val="23"/>
                <w:szCs w:val="23"/>
                <w:color w:val="auto"/>
              </w:rPr>
            </w:pPr>
          </w:p>
        </w:tc>
        <w:tc>
          <w:tcPr>
            <w:tcW w:w="700" w:type="dxa"/>
            <w:vAlign w:val="bottom"/>
            <w:tcBorders>
              <w:bottom w:val="single" w:sz="8" w:color="CCEEFF"/>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160" w:type="dxa"/>
            <w:vAlign w:val="bottom"/>
            <w:tcBorders>
              <w:bottom w:val="single" w:sz="8" w:color="CCEEFF"/>
            </w:tcBorders>
          </w:tcPr>
          <w:p>
            <w:pPr>
              <w:spacing w:after="0"/>
              <w:rPr>
                <w:sz w:val="23"/>
                <w:szCs w:val="23"/>
                <w:color w:val="auto"/>
              </w:rPr>
            </w:pPr>
          </w:p>
        </w:tc>
        <w:tc>
          <w:tcPr>
            <w:tcW w:w="660" w:type="dxa"/>
            <w:vAlign w:val="bottom"/>
            <w:tcBorders>
              <w:bottom w:val="single" w:sz="8" w:color="CCEEFF"/>
            </w:tcBorders>
          </w:tcPr>
          <w:p>
            <w:pPr>
              <w:spacing w:after="0"/>
              <w:rPr>
                <w:sz w:val="23"/>
                <w:szCs w:val="23"/>
                <w:color w:val="auto"/>
              </w:rPr>
            </w:pPr>
          </w:p>
        </w:tc>
        <w:tc>
          <w:tcPr>
            <w:tcW w:w="20" w:type="dxa"/>
            <w:vAlign w:val="bottom"/>
            <w:tcBorders>
              <w:bottom w:val="single" w:sz="8" w:color="CCEEFF"/>
            </w:tcBorders>
          </w:tcPr>
          <w:p>
            <w:pPr>
              <w:spacing w:after="0"/>
              <w:rPr>
                <w:sz w:val="23"/>
                <w:szCs w:val="23"/>
                <w:color w:val="auto"/>
              </w:rPr>
            </w:pPr>
          </w:p>
        </w:tc>
        <w:tc>
          <w:tcPr>
            <w:tcW w:w="80" w:type="dxa"/>
            <w:vAlign w:val="bottom"/>
            <w:tcBorders>
              <w:bottom w:val="single" w:sz="8" w:color="CCEEFF"/>
            </w:tcBorders>
          </w:tcPr>
          <w:p>
            <w:pPr>
              <w:spacing w:after="0"/>
              <w:rPr>
                <w:sz w:val="23"/>
                <w:szCs w:val="23"/>
                <w:color w:val="auto"/>
              </w:rPr>
            </w:pPr>
          </w:p>
        </w:tc>
        <w:tc>
          <w:tcPr>
            <w:tcW w:w="40" w:type="dxa"/>
            <w:vAlign w:val="bottom"/>
            <w:tcBorders>
              <w:bottom w:val="single" w:sz="8" w:color="CCEEFF"/>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720" w:type="dxa"/>
            <w:vAlign w:val="bottom"/>
            <w:tcBorders>
              <w:bottom w:val="single" w:sz="8" w:color="CCEEFF"/>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140" w:type="dxa"/>
            <w:vAlign w:val="bottom"/>
            <w:tcBorders>
              <w:bottom w:val="single" w:sz="8" w:color="CCEEFF"/>
            </w:tcBorders>
          </w:tcPr>
          <w:p>
            <w:pPr>
              <w:spacing w:after="0"/>
              <w:rPr>
                <w:sz w:val="23"/>
                <w:szCs w:val="23"/>
                <w:color w:val="auto"/>
              </w:rPr>
            </w:pPr>
          </w:p>
        </w:tc>
        <w:tc>
          <w:tcPr>
            <w:tcW w:w="900" w:type="dxa"/>
            <w:vAlign w:val="bottom"/>
            <w:tcBorders>
              <w:bottom w:val="single" w:sz="8" w:color="CCEEFF"/>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68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741</w:t>
            </w:r>
          </w:p>
        </w:tc>
        <w:tc>
          <w:tcPr>
            <w:tcW w:w="0" w:type="dxa"/>
            <w:vAlign w:val="bottom"/>
          </w:tcPr>
          <w:p>
            <w:pPr>
              <w:spacing w:after="0"/>
              <w:rPr>
                <w:sz w:val="1"/>
                <w:szCs w:val="1"/>
                <w:color w:val="auto"/>
              </w:rPr>
            </w:pPr>
          </w:p>
        </w:tc>
      </w:tr>
      <w:tr>
        <w:trPr>
          <w:trHeight w:val="241"/>
        </w:trPr>
        <w:tc>
          <w:tcPr>
            <w:tcW w:w="622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5"/>
                <w:szCs w:val="15"/>
                <w:color w:val="auto"/>
              </w:rPr>
              <w:t>Net income (loss)</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w w:val="95"/>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(1,046)</w:t>
            </w:r>
          </w:p>
        </w:tc>
        <w:tc>
          <w:tcPr>
            <w:tcW w:w="0" w:type="dxa"/>
            <w:vAlign w:val="bottom"/>
          </w:tcPr>
          <w:p>
            <w:pPr>
              <w:spacing w:after="0"/>
              <w:rPr>
                <w:sz w:val="1"/>
                <w:szCs w:val="1"/>
                <w:color w:val="auto"/>
              </w:rPr>
            </w:pPr>
          </w:p>
        </w:tc>
      </w:tr>
      <w:tr>
        <w:trPr>
          <w:trHeight w:val="20"/>
        </w:trPr>
        <w:tc>
          <w:tcPr>
            <w:tcW w:w="6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6220" w:type="dxa"/>
            <w:vAlign w:val="bottom"/>
            <w:gridSpan w:val="2"/>
            <w:shd w:val="clear" w:color="auto" w:fill="CCEEFF"/>
          </w:tcPr>
          <w:p>
            <w:pPr>
              <w:ind w:left="40"/>
              <w:spacing w:after="0"/>
              <w:rPr>
                <w:sz w:val="20"/>
                <w:szCs w:val="20"/>
                <w:color w:val="auto"/>
              </w:rPr>
            </w:pPr>
            <w:r>
              <w:rPr>
                <w:rFonts w:ascii="Arial" w:cs="Arial" w:eastAsia="Arial" w:hAnsi="Arial"/>
                <w:sz w:val="15"/>
                <w:szCs w:val="15"/>
                <w:color w:val="auto"/>
              </w:rPr>
              <w:t>Inter-segment revenues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60" w:type="dxa"/>
            <w:vAlign w:val="bottom"/>
            <w:shd w:val="clear" w:color="auto" w:fill="CCEEFF"/>
          </w:tcPr>
          <w:p>
            <w:pPr>
              <w:spacing w:after="0"/>
              <w:rPr>
                <w:sz w:val="23"/>
                <w:szCs w:val="23"/>
                <w:color w:val="auto"/>
              </w:rPr>
            </w:pPr>
          </w:p>
        </w:tc>
        <w:tc>
          <w:tcPr>
            <w:tcW w:w="70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43</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23"/>
                <w:szCs w:val="23"/>
                <w:color w:val="auto"/>
              </w:rPr>
            </w:pPr>
          </w:p>
        </w:tc>
        <w:tc>
          <w:tcPr>
            <w:tcW w:w="66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rPr>
              <w:t>(338)</w:t>
            </w:r>
          </w:p>
        </w:tc>
        <w:tc>
          <w:tcPr>
            <w:tcW w:w="240" w:type="dxa"/>
            <w:vAlign w:val="bottom"/>
            <w:gridSpan w:val="4"/>
            <w:shd w:val="clear" w:color="auto" w:fill="CCEEFF"/>
          </w:tcPr>
          <w:p>
            <w:pPr>
              <w:ind w:left="140"/>
              <w:spacing w:after="0"/>
              <w:rPr>
                <w:sz w:val="20"/>
                <w:szCs w:val="20"/>
                <w:color w:val="auto"/>
              </w:rPr>
            </w:pPr>
            <w:r>
              <w:rPr>
                <w:rFonts w:ascii="Arial" w:cs="Arial" w:eastAsia="Arial" w:hAnsi="Arial"/>
                <w:sz w:val="15"/>
                <w:szCs w:val="15"/>
                <w:color w:val="auto"/>
                <w:w w:val="95"/>
              </w:rPr>
              <w:t>$</w:t>
            </w:r>
          </w:p>
        </w:tc>
        <w:tc>
          <w:tcPr>
            <w:tcW w:w="720" w:type="dxa"/>
            <w:vAlign w:val="bottom"/>
            <w:shd w:val="clear" w:color="auto" w:fill="CCEEFF"/>
          </w:tcPr>
          <w:p>
            <w:pPr>
              <w:jc w:val="right"/>
              <w:ind w:right="26"/>
              <w:spacing w:after="0"/>
              <w:rPr>
                <w:sz w:val="20"/>
                <w:szCs w:val="20"/>
                <w:color w:val="auto"/>
              </w:rPr>
            </w:pPr>
            <w:r>
              <w:rPr>
                <w:rFonts w:ascii="Arial" w:cs="Arial" w:eastAsia="Arial" w:hAnsi="Arial"/>
                <w:sz w:val="15"/>
                <w:szCs w:val="15"/>
                <w:color w:val="auto"/>
              </w:rPr>
              <w:t>77</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4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66"/>
              <w:spacing w:after="0"/>
              <w:rPr>
                <w:sz w:val="20"/>
                <w:szCs w:val="20"/>
                <w:color w:val="auto"/>
              </w:rPr>
            </w:pPr>
            <w:r>
              <w:rPr>
                <w:rFonts w:ascii="Arial" w:cs="Arial" w:eastAsia="Arial" w:hAnsi="Arial"/>
                <w:sz w:val="15"/>
                <w:szCs w:val="15"/>
                <w:color w:val="auto"/>
              </w:rPr>
              <w:t>(79)</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6"/>
        </w:trPr>
        <w:tc>
          <w:tcPr>
            <w:tcW w:w="6220" w:type="dxa"/>
            <w:vAlign w:val="bottom"/>
            <w:gridSpan w:val="2"/>
          </w:tcPr>
          <w:p>
            <w:pPr>
              <w:ind w:left="40"/>
              <w:spacing w:after="0"/>
              <w:rPr>
                <w:sz w:val="20"/>
                <w:szCs w:val="20"/>
                <w:color w:val="auto"/>
              </w:rPr>
            </w:pPr>
            <w:r>
              <w:rPr>
                <w:rFonts w:ascii="Arial" w:cs="Arial" w:eastAsia="Arial" w:hAnsi="Arial"/>
                <w:sz w:val="15"/>
                <w:szCs w:val="15"/>
                <w:color w:val="auto"/>
              </w:rPr>
              <w:t>Interest revenue</w:t>
            </w:r>
          </w:p>
        </w:tc>
        <w:tc>
          <w:tcPr>
            <w:tcW w:w="10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60" w:type="dxa"/>
            <w:vAlign w:val="bottom"/>
          </w:tcPr>
          <w:p>
            <w:pPr>
              <w:spacing w:after="0"/>
              <w:rPr>
                <w:sz w:val="23"/>
                <w:szCs w:val="23"/>
                <w:color w:val="auto"/>
              </w:rPr>
            </w:pPr>
          </w:p>
        </w:tc>
        <w:tc>
          <w:tcPr>
            <w:tcW w:w="700" w:type="dxa"/>
            <w:vAlign w:val="bottom"/>
          </w:tcPr>
          <w:p>
            <w:pPr>
              <w:jc w:val="right"/>
              <w:ind w:right="24"/>
              <w:spacing w:after="0"/>
              <w:rPr>
                <w:sz w:val="20"/>
                <w:szCs w:val="20"/>
                <w:color w:val="auto"/>
              </w:rPr>
            </w:pPr>
            <w:r>
              <w:rPr>
                <w:rFonts w:ascii="Arial" w:cs="Arial" w:eastAsia="Arial" w:hAnsi="Arial"/>
                <w:sz w:val="15"/>
                <w:szCs w:val="15"/>
                <w:color w:val="auto"/>
              </w:rPr>
              <w:t>948</w:t>
            </w:r>
          </w:p>
        </w:tc>
        <w:tc>
          <w:tcPr>
            <w:tcW w:w="10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23"/>
                <w:szCs w:val="23"/>
                <w:color w:val="auto"/>
              </w:rPr>
            </w:pPr>
          </w:p>
        </w:tc>
        <w:tc>
          <w:tcPr>
            <w:tcW w:w="660" w:type="dxa"/>
            <w:vAlign w:val="bottom"/>
          </w:tcPr>
          <w:p>
            <w:pPr>
              <w:jc w:val="right"/>
              <w:ind w:right="105"/>
              <w:spacing w:after="0"/>
              <w:rPr>
                <w:sz w:val="20"/>
                <w:szCs w:val="20"/>
                <w:color w:val="auto"/>
              </w:rPr>
            </w:pPr>
            <w:r>
              <w:rPr>
                <w:rFonts w:ascii="Arial" w:cs="Arial" w:eastAsia="Arial" w:hAnsi="Arial"/>
                <w:sz w:val="15"/>
                <w:szCs w:val="15"/>
                <w:color w:val="auto"/>
              </w:rPr>
              <w:t>263</w:t>
            </w:r>
          </w:p>
        </w:tc>
        <w:tc>
          <w:tcPr>
            <w:tcW w:w="240" w:type="dxa"/>
            <w:vAlign w:val="bottom"/>
            <w:gridSpan w:val="4"/>
          </w:tcPr>
          <w:p>
            <w:pPr>
              <w:ind w:left="140"/>
              <w:spacing w:after="0"/>
              <w:rPr>
                <w:sz w:val="20"/>
                <w:szCs w:val="20"/>
                <w:color w:val="auto"/>
              </w:rPr>
            </w:pPr>
            <w:r>
              <w:rPr>
                <w:rFonts w:ascii="Arial" w:cs="Arial" w:eastAsia="Arial" w:hAnsi="Arial"/>
                <w:sz w:val="15"/>
                <w:szCs w:val="15"/>
                <w:color w:val="auto"/>
                <w:w w:val="95"/>
              </w:rPr>
              <w:t>$</w:t>
            </w:r>
          </w:p>
        </w:tc>
        <w:tc>
          <w:tcPr>
            <w:tcW w:w="720" w:type="dxa"/>
            <w:vAlign w:val="bottom"/>
          </w:tcPr>
          <w:p>
            <w:pPr>
              <w:jc w:val="right"/>
              <w:ind w:right="26"/>
              <w:spacing w:after="0"/>
              <w:rPr>
                <w:sz w:val="20"/>
                <w:szCs w:val="20"/>
                <w:color w:val="auto"/>
              </w:rPr>
            </w:pPr>
            <w:r>
              <w:rPr>
                <w:rFonts w:ascii="Arial" w:cs="Arial" w:eastAsia="Arial" w:hAnsi="Arial"/>
                <w:sz w:val="15"/>
                <w:szCs w:val="15"/>
                <w:color w:val="auto"/>
              </w:rPr>
              <w:t>1,060</w:t>
            </w:r>
          </w:p>
        </w:tc>
        <w:tc>
          <w:tcPr>
            <w:tcW w:w="10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40" w:type="dxa"/>
            <w:vAlign w:val="bottom"/>
          </w:tcPr>
          <w:p>
            <w:pPr>
              <w:spacing w:after="0"/>
              <w:rPr>
                <w:sz w:val="23"/>
                <w:szCs w:val="23"/>
                <w:color w:val="auto"/>
              </w:rPr>
            </w:pPr>
          </w:p>
        </w:tc>
        <w:tc>
          <w:tcPr>
            <w:tcW w:w="900" w:type="dxa"/>
            <w:vAlign w:val="bottom"/>
          </w:tcPr>
          <w:p>
            <w:pPr>
              <w:jc w:val="right"/>
              <w:ind w:right="106"/>
              <w:spacing w:after="0"/>
              <w:rPr>
                <w:sz w:val="20"/>
                <w:szCs w:val="20"/>
                <w:color w:val="auto"/>
              </w:rPr>
            </w:pPr>
            <w:r>
              <w:rPr>
                <w:rFonts w:ascii="Arial" w:cs="Arial" w:eastAsia="Arial" w:hAnsi="Arial"/>
                <w:sz w:val="15"/>
                <w:szCs w:val="15"/>
                <w:color w:val="auto"/>
              </w:rPr>
              <w:t>159</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4"/>
        </w:trPr>
        <w:tc>
          <w:tcPr>
            <w:tcW w:w="6220" w:type="dxa"/>
            <w:vAlign w:val="bottom"/>
            <w:gridSpan w:val="2"/>
            <w:shd w:val="clear" w:color="auto" w:fill="CCEEFF"/>
          </w:tcPr>
          <w:p>
            <w:pPr>
              <w:ind w:left="40"/>
              <w:spacing w:after="0"/>
              <w:rPr>
                <w:sz w:val="20"/>
                <w:szCs w:val="20"/>
                <w:color w:val="auto"/>
              </w:rPr>
            </w:pPr>
            <w:r>
              <w:rPr>
                <w:rFonts w:ascii="Arial" w:cs="Arial" w:eastAsia="Arial" w:hAnsi="Arial"/>
                <w:sz w:val="15"/>
                <w:szCs w:val="15"/>
                <w:color w:val="auto"/>
              </w:rPr>
              <w:t>Interest expense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60" w:type="dxa"/>
            <w:vAlign w:val="bottom"/>
            <w:shd w:val="clear" w:color="auto" w:fill="CCEEFF"/>
          </w:tcPr>
          <w:p>
            <w:pPr>
              <w:spacing w:after="0"/>
              <w:rPr>
                <w:sz w:val="23"/>
                <w:szCs w:val="23"/>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23"/>
                <w:szCs w:val="23"/>
                <w:color w:val="auto"/>
              </w:rPr>
            </w:pPr>
          </w:p>
        </w:tc>
        <w:tc>
          <w:tcPr>
            <w:tcW w:w="6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rPr>
              <w:t>—</w:t>
            </w:r>
          </w:p>
        </w:tc>
        <w:tc>
          <w:tcPr>
            <w:tcW w:w="240" w:type="dxa"/>
            <w:vAlign w:val="bottom"/>
            <w:gridSpan w:val="4"/>
            <w:shd w:val="clear" w:color="auto" w:fill="CCEEFF"/>
          </w:tcPr>
          <w:p>
            <w:pPr>
              <w:ind w:left="140"/>
              <w:spacing w:after="0"/>
              <w:rPr>
                <w:sz w:val="20"/>
                <w:szCs w:val="20"/>
                <w:color w:val="auto"/>
              </w:rPr>
            </w:pPr>
            <w:r>
              <w:rPr>
                <w:rFonts w:ascii="Arial" w:cs="Arial" w:eastAsia="Arial" w:hAnsi="Arial"/>
                <w:sz w:val="15"/>
                <w:szCs w:val="15"/>
                <w:color w:val="auto"/>
                <w:w w:val="95"/>
              </w:rPr>
              <w:t>$</w:t>
            </w:r>
          </w:p>
        </w:tc>
        <w:tc>
          <w:tcPr>
            <w:tcW w:w="720" w:type="dxa"/>
            <w:vAlign w:val="bottom"/>
            <w:shd w:val="clear" w:color="auto" w:fill="CCEEFF"/>
          </w:tcPr>
          <w:p>
            <w:pPr>
              <w:jc w:val="right"/>
              <w:ind w:right="26"/>
              <w:spacing w:after="0"/>
              <w:rPr>
                <w:sz w:val="20"/>
                <w:szCs w:val="20"/>
                <w:color w:val="auto"/>
              </w:rPr>
            </w:pPr>
            <w:r>
              <w:rPr>
                <w:rFonts w:ascii="Arial" w:cs="Arial" w:eastAsia="Arial" w:hAnsi="Arial"/>
                <w:sz w:val="15"/>
                <w:szCs w:val="15"/>
                <w:color w:val="auto"/>
              </w:rPr>
              <w:t>23</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4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106"/>
              <w:spacing w:after="0"/>
              <w:rPr>
                <w:sz w:val="20"/>
                <w:szCs w:val="20"/>
                <w:color w:val="auto"/>
              </w:rPr>
            </w:pPr>
            <w:r>
              <w:rPr>
                <w:rFonts w:ascii="Arial" w:cs="Arial" w:eastAsia="Arial" w:hAnsi="Arial"/>
                <w:sz w:val="15"/>
                <w:szCs w:val="15"/>
                <w:color w:val="auto"/>
              </w:rPr>
              <w:t>94</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507"/>
        </w:trPr>
        <w:tc>
          <w:tcPr>
            <w:tcW w:w="6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gridSpan w:val="5"/>
          </w:tcPr>
          <w:p>
            <w:pPr>
              <w:spacing w:after="0"/>
              <w:rPr>
                <w:sz w:val="20"/>
                <w:szCs w:val="20"/>
                <w:color w:val="auto"/>
              </w:rPr>
            </w:pPr>
            <w:r>
              <w:rPr>
                <w:rFonts w:ascii="Arial" w:cs="Arial" w:eastAsia="Arial" w:hAnsi="Arial"/>
                <w:sz w:val="14"/>
                <w:szCs w:val="14"/>
                <w:b w:val="1"/>
                <w:bCs w:val="1"/>
                <w:color w:val="auto"/>
                <w:w w:val="96"/>
              </w:rPr>
              <w:t>Operating Results</w:t>
            </w:r>
          </w:p>
        </w:tc>
        <w:tc>
          <w:tcPr>
            <w:tcW w:w="9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6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gridSpan w:val="2"/>
          </w:tcPr>
          <w:p>
            <w:pPr>
              <w:ind w:left="80"/>
              <w:spacing w:after="0"/>
              <w:rPr>
                <w:sz w:val="20"/>
                <w:szCs w:val="20"/>
                <w:color w:val="auto"/>
              </w:rPr>
            </w:pPr>
            <w:r>
              <w:rPr>
                <w:rFonts w:ascii="Arial" w:cs="Arial" w:eastAsia="Arial" w:hAnsi="Arial"/>
                <w:sz w:val="14"/>
                <w:szCs w:val="14"/>
                <w:b w:val="1"/>
                <w:bCs w:val="1"/>
                <w:color w:val="auto"/>
              </w:rPr>
              <w:t>Corporate</w:t>
            </w: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622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Nine Months Ended September 30, 2016</w:t>
            </w:r>
          </w:p>
        </w:tc>
        <w:tc>
          <w:tcPr>
            <w:tcW w:w="1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Annuities</w:t>
            </w:r>
          </w:p>
        </w:tc>
        <w:tc>
          <w:tcPr>
            <w:tcW w:w="1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205"/>
              <w:spacing w:after="0"/>
              <w:rPr>
                <w:sz w:val="20"/>
                <w:szCs w:val="20"/>
                <w:color w:val="auto"/>
              </w:rPr>
            </w:pPr>
            <w:r>
              <w:rPr>
                <w:rFonts w:ascii="Arial" w:cs="Arial" w:eastAsia="Arial" w:hAnsi="Arial"/>
                <w:sz w:val="14"/>
                <w:szCs w:val="14"/>
                <w:b w:val="1"/>
                <w:bCs w:val="1"/>
                <w:color w:val="auto"/>
              </w:rPr>
              <w:t>Life</w:t>
            </w: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4"/>
                <w:szCs w:val="14"/>
                <w:b w:val="1"/>
                <w:bCs w:val="1"/>
                <w:color w:val="auto"/>
                <w:w w:val="88"/>
              </w:rPr>
              <w:t>Run-off</w:t>
            </w:r>
          </w:p>
        </w:tc>
        <w:tc>
          <w:tcPr>
            <w:tcW w:w="1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gridSpan w:val="2"/>
          </w:tcPr>
          <w:p>
            <w:pPr>
              <w:jc w:val="right"/>
              <w:ind w:right="400"/>
              <w:spacing w:after="0"/>
              <w:rPr>
                <w:sz w:val="20"/>
                <w:szCs w:val="20"/>
                <w:color w:val="auto"/>
              </w:rPr>
            </w:pPr>
            <w:r>
              <w:rPr>
                <w:rFonts w:ascii="Arial" w:cs="Arial" w:eastAsia="Arial" w:hAnsi="Arial"/>
                <w:sz w:val="14"/>
                <w:szCs w:val="14"/>
                <w:b w:val="1"/>
                <w:bCs w:val="1"/>
                <w:color w:val="auto"/>
              </w:rPr>
              <w:t>&amp; Other</w:t>
            </w:r>
          </w:p>
        </w:tc>
        <w:tc>
          <w:tcPr>
            <w:tcW w:w="18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204"/>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63"/>
        </w:trPr>
        <w:tc>
          <w:tcPr>
            <w:tcW w:w="6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20" w:type="dxa"/>
            <w:vAlign w:val="bottom"/>
            <w:gridSpan w:val="2"/>
          </w:tcPr>
          <w:p>
            <w:pPr>
              <w:ind w:left="80"/>
              <w:spacing w:after="0"/>
              <w:rPr>
                <w:sz w:val="20"/>
                <w:szCs w:val="20"/>
                <w:color w:val="auto"/>
              </w:rPr>
            </w:pPr>
            <w:r>
              <w:rPr>
                <w:rFonts w:ascii="Arial" w:cs="Arial" w:eastAsia="Arial" w:hAnsi="Arial"/>
                <w:sz w:val="14"/>
                <w:szCs w:val="14"/>
                <w:b w:val="1"/>
                <w:bCs w:val="1"/>
                <w:color w:val="auto"/>
                <w:w w:val="91"/>
              </w:rPr>
              <w:t>(In millions)</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7"/>
        </w:trPr>
        <w:tc>
          <w:tcPr>
            <w:tcW w:w="6220" w:type="dxa"/>
            <w:vAlign w:val="bottom"/>
            <w:gridSpan w:val="2"/>
            <w:shd w:val="clear" w:color="auto" w:fill="CCEEFF"/>
          </w:tcPr>
          <w:p>
            <w:pPr>
              <w:ind w:left="40"/>
              <w:spacing w:after="0"/>
              <w:rPr>
                <w:sz w:val="20"/>
                <w:szCs w:val="20"/>
                <w:color w:val="auto"/>
              </w:rPr>
            </w:pPr>
            <w:r>
              <w:rPr>
                <w:rFonts w:ascii="Arial" w:cs="Arial" w:eastAsia="Arial" w:hAnsi="Arial"/>
                <w:sz w:val="15"/>
                <w:szCs w:val="15"/>
                <w:color w:val="auto"/>
              </w:rPr>
              <w:t>Pre-tax operating earnings (loss)</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1,228</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w:t>
            </w:r>
          </w:p>
        </w:tc>
        <w:tc>
          <w:tcPr>
            <w:tcW w:w="6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rPr>
              <w:t>68</w:t>
            </w:r>
          </w:p>
        </w:tc>
        <w:tc>
          <w:tcPr>
            <w:tcW w:w="240" w:type="dxa"/>
            <w:vAlign w:val="bottom"/>
            <w:gridSpan w:val="4"/>
            <w:shd w:val="clear" w:color="auto" w:fill="CCEEFF"/>
          </w:tcPr>
          <w:p>
            <w:pPr>
              <w:ind w:left="160"/>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(298)</w:t>
            </w:r>
          </w:p>
        </w:tc>
        <w:tc>
          <w:tcPr>
            <w:tcW w:w="100" w:type="dxa"/>
            <w:vAlign w:val="bottom"/>
            <w:shd w:val="clear" w:color="auto" w:fill="CCEEFF"/>
          </w:tcPr>
          <w:p>
            <w:pPr>
              <w:spacing w:after="0"/>
              <w:rPr>
                <w:sz w:val="24"/>
                <w:szCs w:val="24"/>
                <w:color w:val="auto"/>
              </w:rPr>
            </w:pP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w:t>
            </w:r>
          </w:p>
        </w:tc>
        <w:tc>
          <w:tcPr>
            <w:tcW w:w="900" w:type="dxa"/>
            <w:vAlign w:val="bottom"/>
            <w:shd w:val="clear" w:color="auto" w:fill="CCEEFF"/>
          </w:tcPr>
          <w:p>
            <w:pPr>
              <w:jc w:val="right"/>
              <w:ind w:right="106"/>
              <w:spacing w:after="0"/>
              <w:rPr>
                <w:sz w:val="20"/>
                <w:szCs w:val="20"/>
                <w:color w:val="auto"/>
              </w:rPr>
            </w:pPr>
            <w:r>
              <w:rPr>
                <w:rFonts w:ascii="Arial" w:cs="Arial" w:eastAsia="Arial" w:hAnsi="Arial"/>
                <w:sz w:val="15"/>
                <w:szCs w:val="15"/>
                <w:color w:val="auto"/>
              </w:rPr>
              <w:t>26</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95"/>
              </w:rPr>
              <w:t>$</w:t>
            </w:r>
          </w:p>
        </w:tc>
        <w:tc>
          <w:tcPr>
            <w:tcW w:w="68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1,024</w:t>
            </w:r>
          </w:p>
        </w:tc>
        <w:tc>
          <w:tcPr>
            <w:tcW w:w="0" w:type="dxa"/>
            <w:vAlign w:val="bottom"/>
          </w:tcPr>
          <w:p>
            <w:pPr>
              <w:spacing w:after="0"/>
              <w:rPr>
                <w:sz w:val="1"/>
                <w:szCs w:val="1"/>
                <w:color w:val="auto"/>
              </w:rPr>
            </w:pPr>
          </w:p>
        </w:tc>
      </w:tr>
      <w:tr>
        <w:trPr>
          <w:trHeight w:val="266"/>
        </w:trPr>
        <w:tc>
          <w:tcPr>
            <w:tcW w:w="6220" w:type="dxa"/>
            <w:vAlign w:val="bottom"/>
            <w:tcBorders>
              <w:bottom w:val="single" w:sz="8" w:color="CCEEFF"/>
            </w:tcBorders>
            <w:gridSpan w:val="2"/>
          </w:tcPr>
          <w:p>
            <w:pPr>
              <w:ind w:left="40"/>
              <w:spacing w:after="0"/>
              <w:rPr>
                <w:sz w:val="20"/>
                <w:szCs w:val="20"/>
                <w:color w:val="auto"/>
              </w:rPr>
            </w:pPr>
            <w:r>
              <w:rPr>
                <w:rFonts w:ascii="Arial" w:cs="Arial" w:eastAsia="Arial" w:hAnsi="Arial"/>
                <w:sz w:val="15"/>
                <w:szCs w:val="15"/>
                <w:color w:val="auto"/>
              </w:rPr>
              <w:t>Provision for income tax expense (benefit)</w:t>
            </w:r>
          </w:p>
        </w:tc>
        <w:tc>
          <w:tcPr>
            <w:tcW w:w="10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5"/>
                <w:szCs w:val="15"/>
                <w:color w:val="auto"/>
              </w:rPr>
              <w:t>368</w:t>
            </w:r>
          </w:p>
        </w:tc>
        <w:tc>
          <w:tcPr>
            <w:tcW w:w="12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66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rPr>
              <w:t>18</w:t>
            </w:r>
          </w:p>
        </w:tc>
        <w:tc>
          <w:tcPr>
            <w:tcW w:w="20" w:type="dxa"/>
            <w:vAlign w:val="bottom"/>
            <w:tcBorders>
              <w:bottom w:val="single" w:sz="8" w:color="auto"/>
            </w:tcBorders>
          </w:tcPr>
          <w:p>
            <w:pPr>
              <w:spacing w:after="0"/>
              <w:rPr>
                <w:sz w:val="23"/>
                <w:szCs w:val="23"/>
                <w:color w:val="auto"/>
              </w:rPr>
            </w:pPr>
          </w:p>
        </w:tc>
        <w:tc>
          <w:tcPr>
            <w:tcW w:w="80" w:type="dxa"/>
            <w:vAlign w:val="bottom"/>
            <w:tcBorders>
              <w:bottom w:val="single" w:sz="8" w:color="CCEEFF"/>
            </w:tcBorders>
          </w:tcPr>
          <w:p>
            <w:pPr>
              <w:spacing w:after="0"/>
              <w:rPr>
                <w:sz w:val="23"/>
                <w:szCs w:val="23"/>
                <w:color w:val="auto"/>
              </w:rPr>
            </w:pPr>
          </w:p>
        </w:tc>
        <w:tc>
          <w:tcPr>
            <w:tcW w:w="40" w:type="dxa"/>
            <w:vAlign w:val="bottom"/>
            <w:tcBorders>
              <w:bottom w:val="single" w:sz="8" w:color="CCEEFF"/>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(109)</w:t>
            </w:r>
          </w:p>
        </w:tc>
        <w:tc>
          <w:tcPr>
            <w:tcW w:w="100" w:type="dxa"/>
            <w:vAlign w:val="bottom"/>
            <w:tcBorders>
              <w:bottom w:val="single" w:sz="8" w:color="auto"/>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ind w:right="66"/>
              <w:spacing w:after="0"/>
              <w:rPr>
                <w:sz w:val="20"/>
                <w:szCs w:val="20"/>
                <w:color w:val="auto"/>
              </w:rPr>
            </w:pPr>
            <w:r>
              <w:rPr>
                <w:rFonts w:ascii="Arial" w:cs="Arial" w:eastAsia="Arial" w:hAnsi="Arial"/>
                <w:sz w:val="15"/>
                <w:szCs w:val="15"/>
                <w:color w:val="auto"/>
              </w:rPr>
              <w:t>(1)</w:t>
            </w:r>
          </w:p>
        </w:tc>
        <w:tc>
          <w:tcPr>
            <w:tcW w:w="12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68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276</w:t>
            </w:r>
          </w:p>
        </w:tc>
        <w:tc>
          <w:tcPr>
            <w:tcW w:w="0" w:type="dxa"/>
            <w:vAlign w:val="bottom"/>
          </w:tcPr>
          <w:p>
            <w:pPr>
              <w:spacing w:after="0"/>
              <w:rPr>
                <w:sz w:val="1"/>
                <w:szCs w:val="1"/>
                <w:color w:val="auto"/>
              </w:rPr>
            </w:pPr>
          </w:p>
        </w:tc>
      </w:tr>
      <w:tr>
        <w:trPr>
          <w:trHeight w:val="241"/>
        </w:trPr>
        <w:tc>
          <w:tcPr>
            <w:tcW w:w="6220" w:type="dxa"/>
            <w:vAlign w:val="bottom"/>
            <w:gridSpan w:val="2"/>
            <w:shd w:val="clear" w:color="auto" w:fill="CCEEFF"/>
          </w:tcPr>
          <w:p>
            <w:pPr>
              <w:ind w:left="200"/>
              <w:spacing w:after="0"/>
              <w:rPr>
                <w:sz w:val="20"/>
                <w:szCs w:val="20"/>
                <w:color w:val="auto"/>
              </w:rPr>
            </w:pPr>
            <w:r>
              <w:rPr>
                <w:rFonts w:ascii="Arial" w:cs="Arial" w:eastAsia="Arial" w:hAnsi="Arial"/>
                <w:sz w:val="15"/>
                <w:szCs w:val="15"/>
                <w:color w:val="auto"/>
              </w:rPr>
              <w:t>Operating earnings (loss)</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860</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w:t>
            </w:r>
          </w:p>
        </w:tc>
        <w:tc>
          <w:tcPr>
            <w:tcW w:w="6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rPr>
              <w:t>50</w:t>
            </w:r>
          </w:p>
        </w:tc>
        <w:tc>
          <w:tcPr>
            <w:tcW w:w="240" w:type="dxa"/>
            <w:vAlign w:val="bottom"/>
            <w:gridSpan w:val="4"/>
            <w:shd w:val="clear" w:color="auto" w:fill="CCEEFF"/>
          </w:tcPr>
          <w:p>
            <w:pPr>
              <w:ind w:left="160"/>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(189)</w:t>
            </w:r>
          </w:p>
        </w:tc>
        <w:tc>
          <w:tcPr>
            <w:tcW w:w="100" w:type="dxa"/>
            <w:vAlign w:val="bottom"/>
            <w:shd w:val="clear" w:color="auto" w:fill="CCEEFF"/>
          </w:tcPr>
          <w:p>
            <w:pPr>
              <w:spacing w:after="0"/>
              <w:rPr>
                <w:sz w:val="20"/>
                <w:szCs w:val="20"/>
                <w:color w:val="auto"/>
              </w:rPr>
            </w:pP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w:t>
            </w:r>
          </w:p>
        </w:tc>
        <w:tc>
          <w:tcPr>
            <w:tcW w:w="900" w:type="dxa"/>
            <w:vAlign w:val="bottom"/>
            <w:shd w:val="clear" w:color="auto" w:fill="CCEEFF"/>
          </w:tcPr>
          <w:p>
            <w:pPr>
              <w:jc w:val="right"/>
              <w:ind w:right="106"/>
              <w:spacing w:after="0"/>
              <w:rPr>
                <w:sz w:val="20"/>
                <w:szCs w:val="20"/>
                <w:color w:val="auto"/>
              </w:rPr>
            </w:pPr>
            <w:r>
              <w:rPr>
                <w:rFonts w:ascii="Arial" w:cs="Arial" w:eastAsia="Arial" w:hAnsi="Arial"/>
                <w:sz w:val="15"/>
                <w:szCs w:val="15"/>
                <w:color w:val="auto"/>
              </w:rPr>
              <w:t>27</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8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748</w:t>
            </w:r>
          </w:p>
        </w:tc>
        <w:tc>
          <w:tcPr>
            <w:tcW w:w="0" w:type="dxa"/>
            <w:vAlign w:val="bottom"/>
          </w:tcPr>
          <w:p>
            <w:pPr>
              <w:spacing w:after="0"/>
              <w:rPr>
                <w:sz w:val="1"/>
                <w:szCs w:val="1"/>
                <w:color w:val="auto"/>
              </w:rPr>
            </w:pPr>
          </w:p>
        </w:tc>
      </w:tr>
      <w:tr>
        <w:trPr>
          <w:trHeight w:val="20"/>
        </w:trPr>
        <w:tc>
          <w:tcPr>
            <w:tcW w:w="6220" w:type="dxa"/>
            <w:vAlign w:val="bottom"/>
            <w:tcBorders>
              <w:top w:val="single" w:sz="8" w:color="CCEEFF"/>
              <w:bottom w:val="single" w:sz="8" w:color="CCEEFF"/>
            </w:tcBorders>
            <w:gridSpan w:val="2"/>
            <w:vMerge w:val="restart"/>
          </w:tcPr>
          <w:p>
            <w:pPr>
              <w:ind w:left="40"/>
              <w:spacing w:after="0"/>
              <w:rPr>
                <w:sz w:val="20"/>
                <w:szCs w:val="20"/>
                <w:color w:val="auto"/>
              </w:rPr>
            </w:pPr>
            <w:r>
              <w:rPr>
                <w:rFonts w:ascii="Arial" w:cs="Arial" w:eastAsia="Arial" w:hAnsi="Arial"/>
                <w:sz w:val="15"/>
                <w:szCs w:val="15"/>
                <w:color w:val="auto"/>
              </w:rPr>
              <w:t>Adjustments for:</w:t>
            </w: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7"/>
        </w:trPr>
        <w:tc>
          <w:tcPr>
            <w:tcW w:w="6220" w:type="dxa"/>
            <w:vAlign w:val="bottom"/>
            <w:gridSpan w:val="2"/>
            <w:vMerge w:val="continue"/>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4"/>
        </w:trPr>
        <w:tc>
          <w:tcPr>
            <w:tcW w:w="6220" w:type="dxa"/>
            <w:vAlign w:val="bottom"/>
            <w:gridSpan w:val="2"/>
            <w:shd w:val="clear" w:color="auto" w:fill="CCEEFF"/>
          </w:tcPr>
          <w:p>
            <w:pPr>
              <w:ind w:left="40"/>
              <w:spacing w:after="0"/>
              <w:rPr>
                <w:sz w:val="20"/>
                <w:szCs w:val="20"/>
                <w:color w:val="auto"/>
              </w:rPr>
            </w:pPr>
            <w:r>
              <w:rPr>
                <w:rFonts w:ascii="Arial" w:cs="Arial" w:eastAsia="Arial" w:hAnsi="Arial"/>
                <w:sz w:val="15"/>
                <w:szCs w:val="15"/>
                <w:color w:val="auto"/>
              </w:rPr>
              <w:t>Net investment gains (losses)</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(15)</w:t>
            </w:r>
          </w:p>
        </w:tc>
        <w:tc>
          <w:tcPr>
            <w:tcW w:w="0" w:type="dxa"/>
            <w:vAlign w:val="bottom"/>
          </w:tcPr>
          <w:p>
            <w:pPr>
              <w:spacing w:after="0"/>
              <w:rPr>
                <w:sz w:val="1"/>
                <w:szCs w:val="1"/>
                <w:color w:val="auto"/>
              </w:rPr>
            </w:pPr>
          </w:p>
        </w:tc>
      </w:tr>
      <w:tr>
        <w:trPr>
          <w:trHeight w:val="266"/>
        </w:trPr>
        <w:tc>
          <w:tcPr>
            <w:tcW w:w="6220" w:type="dxa"/>
            <w:vAlign w:val="bottom"/>
            <w:gridSpan w:val="2"/>
          </w:tcPr>
          <w:p>
            <w:pPr>
              <w:ind w:left="40"/>
              <w:spacing w:after="0"/>
              <w:rPr>
                <w:sz w:val="20"/>
                <w:szCs w:val="20"/>
                <w:color w:val="auto"/>
              </w:rPr>
            </w:pPr>
            <w:r>
              <w:rPr>
                <w:rFonts w:ascii="Arial" w:cs="Arial" w:eastAsia="Arial" w:hAnsi="Arial"/>
                <w:sz w:val="15"/>
                <w:szCs w:val="15"/>
                <w:color w:val="auto"/>
              </w:rPr>
              <w:t>Net derivative gains (losses)</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rPr>
              <w:t>(3,181)</w:t>
            </w:r>
          </w:p>
        </w:tc>
        <w:tc>
          <w:tcPr>
            <w:tcW w:w="0" w:type="dxa"/>
            <w:vAlign w:val="bottom"/>
          </w:tcPr>
          <w:p>
            <w:pPr>
              <w:spacing w:after="0"/>
              <w:rPr>
                <w:sz w:val="1"/>
                <w:szCs w:val="1"/>
                <w:color w:val="auto"/>
              </w:rPr>
            </w:pPr>
          </w:p>
        </w:tc>
      </w:tr>
      <w:tr>
        <w:trPr>
          <w:trHeight w:val="274"/>
        </w:trPr>
        <w:tc>
          <w:tcPr>
            <w:tcW w:w="6220" w:type="dxa"/>
            <w:vAlign w:val="bottom"/>
            <w:gridSpan w:val="2"/>
            <w:shd w:val="clear" w:color="auto" w:fill="CCEEFF"/>
          </w:tcPr>
          <w:p>
            <w:pPr>
              <w:ind w:left="40"/>
              <w:spacing w:after="0"/>
              <w:rPr>
                <w:sz w:val="20"/>
                <w:szCs w:val="20"/>
                <w:color w:val="auto"/>
              </w:rPr>
            </w:pPr>
            <w:r>
              <w:rPr>
                <w:rFonts w:ascii="Arial" w:cs="Arial" w:eastAsia="Arial" w:hAnsi="Arial"/>
                <w:sz w:val="15"/>
                <w:szCs w:val="15"/>
                <w:color w:val="auto"/>
              </w:rPr>
              <w:t>Other adjustments to net income</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68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244</w:t>
            </w:r>
          </w:p>
        </w:tc>
        <w:tc>
          <w:tcPr>
            <w:tcW w:w="0" w:type="dxa"/>
            <w:vAlign w:val="bottom"/>
          </w:tcPr>
          <w:p>
            <w:pPr>
              <w:spacing w:after="0"/>
              <w:rPr>
                <w:sz w:val="1"/>
                <w:szCs w:val="1"/>
                <w:color w:val="auto"/>
              </w:rPr>
            </w:pPr>
          </w:p>
        </w:tc>
      </w:tr>
      <w:tr>
        <w:trPr>
          <w:trHeight w:val="266"/>
        </w:trPr>
        <w:tc>
          <w:tcPr>
            <w:tcW w:w="6220" w:type="dxa"/>
            <w:vAlign w:val="bottom"/>
            <w:tcBorders>
              <w:bottom w:val="single" w:sz="8" w:color="CCEEFF"/>
            </w:tcBorders>
            <w:gridSpan w:val="2"/>
          </w:tcPr>
          <w:p>
            <w:pPr>
              <w:ind w:left="40"/>
              <w:spacing w:after="0"/>
              <w:rPr>
                <w:sz w:val="20"/>
                <w:szCs w:val="20"/>
                <w:color w:val="auto"/>
              </w:rPr>
            </w:pPr>
            <w:r>
              <w:rPr>
                <w:rFonts w:ascii="Arial" w:cs="Arial" w:eastAsia="Arial" w:hAnsi="Arial"/>
                <w:sz w:val="15"/>
                <w:szCs w:val="15"/>
                <w:color w:val="auto"/>
              </w:rPr>
              <w:t>Provision for income tax (expense) benefit</w:t>
            </w:r>
          </w:p>
        </w:tc>
        <w:tc>
          <w:tcPr>
            <w:tcW w:w="100" w:type="dxa"/>
            <w:vAlign w:val="bottom"/>
            <w:tcBorders>
              <w:bottom w:val="single" w:sz="8" w:color="CCEEFF"/>
            </w:tcBorders>
          </w:tcPr>
          <w:p>
            <w:pPr>
              <w:spacing w:after="0"/>
              <w:rPr>
                <w:sz w:val="23"/>
                <w:szCs w:val="23"/>
                <w:color w:val="auto"/>
              </w:rPr>
            </w:pPr>
          </w:p>
        </w:tc>
        <w:tc>
          <w:tcPr>
            <w:tcW w:w="160" w:type="dxa"/>
            <w:vAlign w:val="bottom"/>
            <w:tcBorders>
              <w:bottom w:val="single" w:sz="8" w:color="CCEEFF"/>
            </w:tcBorders>
          </w:tcPr>
          <w:p>
            <w:pPr>
              <w:spacing w:after="0"/>
              <w:rPr>
                <w:sz w:val="23"/>
                <w:szCs w:val="23"/>
                <w:color w:val="auto"/>
              </w:rPr>
            </w:pPr>
          </w:p>
        </w:tc>
        <w:tc>
          <w:tcPr>
            <w:tcW w:w="700" w:type="dxa"/>
            <w:vAlign w:val="bottom"/>
            <w:tcBorders>
              <w:bottom w:val="single" w:sz="8" w:color="CCEEFF"/>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160" w:type="dxa"/>
            <w:vAlign w:val="bottom"/>
            <w:tcBorders>
              <w:bottom w:val="single" w:sz="8" w:color="CCEEFF"/>
            </w:tcBorders>
          </w:tcPr>
          <w:p>
            <w:pPr>
              <w:spacing w:after="0"/>
              <w:rPr>
                <w:sz w:val="23"/>
                <w:szCs w:val="23"/>
                <w:color w:val="auto"/>
              </w:rPr>
            </w:pPr>
          </w:p>
        </w:tc>
        <w:tc>
          <w:tcPr>
            <w:tcW w:w="660" w:type="dxa"/>
            <w:vAlign w:val="bottom"/>
            <w:tcBorders>
              <w:bottom w:val="single" w:sz="8" w:color="CCEEFF"/>
            </w:tcBorders>
          </w:tcPr>
          <w:p>
            <w:pPr>
              <w:spacing w:after="0"/>
              <w:rPr>
                <w:sz w:val="23"/>
                <w:szCs w:val="23"/>
                <w:color w:val="auto"/>
              </w:rPr>
            </w:pPr>
          </w:p>
        </w:tc>
        <w:tc>
          <w:tcPr>
            <w:tcW w:w="20" w:type="dxa"/>
            <w:vAlign w:val="bottom"/>
            <w:tcBorders>
              <w:bottom w:val="single" w:sz="8" w:color="CCEEFF"/>
            </w:tcBorders>
          </w:tcPr>
          <w:p>
            <w:pPr>
              <w:spacing w:after="0"/>
              <w:rPr>
                <w:sz w:val="23"/>
                <w:szCs w:val="23"/>
                <w:color w:val="auto"/>
              </w:rPr>
            </w:pPr>
          </w:p>
        </w:tc>
        <w:tc>
          <w:tcPr>
            <w:tcW w:w="80" w:type="dxa"/>
            <w:vAlign w:val="bottom"/>
            <w:tcBorders>
              <w:bottom w:val="single" w:sz="8" w:color="CCEEFF"/>
            </w:tcBorders>
          </w:tcPr>
          <w:p>
            <w:pPr>
              <w:spacing w:after="0"/>
              <w:rPr>
                <w:sz w:val="23"/>
                <w:szCs w:val="23"/>
                <w:color w:val="auto"/>
              </w:rPr>
            </w:pPr>
          </w:p>
        </w:tc>
        <w:tc>
          <w:tcPr>
            <w:tcW w:w="40" w:type="dxa"/>
            <w:vAlign w:val="bottom"/>
            <w:tcBorders>
              <w:bottom w:val="single" w:sz="8" w:color="CCEEFF"/>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720" w:type="dxa"/>
            <w:vAlign w:val="bottom"/>
            <w:tcBorders>
              <w:bottom w:val="single" w:sz="8" w:color="CCEEFF"/>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140" w:type="dxa"/>
            <w:vAlign w:val="bottom"/>
            <w:tcBorders>
              <w:bottom w:val="single" w:sz="8" w:color="CCEEFF"/>
            </w:tcBorders>
          </w:tcPr>
          <w:p>
            <w:pPr>
              <w:spacing w:after="0"/>
              <w:rPr>
                <w:sz w:val="23"/>
                <w:szCs w:val="23"/>
                <w:color w:val="auto"/>
              </w:rPr>
            </w:pPr>
          </w:p>
        </w:tc>
        <w:tc>
          <w:tcPr>
            <w:tcW w:w="900" w:type="dxa"/>
            <w:vAlign w:val="bottom"/>
            <w:tcBorders>
              <w:bottom w:val="single" w:sz="8" w:color="CCEEFF"/>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68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rPr>
              <w:t>1,030</w:t>
            </w:r>
          </w:p>
        </w:tc>
        <w:tc>
          <w:tcPr>
            <w:tcW w:w="0" w:type="dxa"/>
            <w:vAlign w:val="bottom"/>
          </w:tcPr>
          <w:p>
            <w:pPr>
              <w:spacing w:after="0"/>
              <w:rPr>
                <w:sz w:val="1"/>
                <w:szCs w:val="1"/>
                <w:color w:val="auto"/>
              </w:rPr>
            </w:pPr>
          </w:p>
        </w:tc>
      </w:tr>
      <w:tr>
        <w:trPr>
          <w:trHeight w:val="241"/>
        </w:trPr>
        <w:tc>
          <w:tcPr>
            <w:tcW w:w="622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5"/>
                <w:szCs w:val="15"/>
                <w:color w:val="auto"/>
              </w:rPr>
              <w:t>Net income (loss)</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w w:val="95"/>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(1,174)</w:t>
            </w:r>
          </w:p>
        </w:tc>
        <w:tc>
          <w:tcPr>
            <w:tcW w:w="0" w:type="dxa"/>
            <w:vAlign w:val="bottom"/>
          </w:tcPr>
          <w:p>
            <w:pPr>
              <w:spacing w:after="0"/>
              <w:rPr>
                <w:sz w:val="1"/>
                <w:szCs w:val="1"/>
                <w:color w:val="auto"/>
              </w:rPr>
            </w:pPr>
          </w:p>
        </w:tc>
      </w:tr>
      <w:tr>
        <w:trPr>
          <w:trHeight w:val="20"/>
        </w:trPr>
        <w:tc>
          <w:tcPr>
            <w:tcW w:w="62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6220" w:type="dxa"/>
            <w:vAlign w:val="bottom"/>
            <w:gridSpan w:val="2"/>
            <w:shd w:val="clear" w:color="auto" w:fill="CCEEFF"/>
          </w:tcPr>
          <w:p>
            <w:pPr>
              <w:ind w:left="40"/>
              <w:spacing w:after="0"/>
              <w:rPr>
                <w:sz w:val="20"/>
                <w:szCs w:val="20"/>
                <w:color w:val="auto"/>
              </w:rPr>
            </w:pPr>
            <w:r>
              <w:rPr>
                <w:rFonts w:ascii="Arial" w:cs="Arial" w:eastAsia="Arial" w:hAnsi="Arial"/>
                <w:sz w:val="15"/>
                <w:szCs w:val="15"/>
                <w:color w:val="auto"/>
              </w:rPr>
              <w:t>Inter-segment revenues</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411</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(468)</w:t>
            </w:r>
          </w:p>
        </w:tc>
        <w:tc>
          <w:tcPr>
            <w:tcW w:w="240" w:type="dxa"/>
            <w:vAlign w:val="bottom"/>
            <w:gridSpan w:val="4"/>
            <w:shd w:val="clear" w:color="auto" w:fill="CCEEFF"/>
          </w:tcPr>
          <w:p>
            <w:pPr>
              <w:ind w:left="160"/>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rPr>
              <w:t>9</w:t>
            </w:r>
          </w:p>
        </w:tc>
        <w:tc>
          <w:tcPr>
            <w:tcW w:w="100" w:type="dxa"/>
            <w:vAlign w:val="bottom"/>
            <w:shd w:val="clear" w:color="auto" w:fill="CCEEFF"/>
          </w:tcPr>
          <w:p>
            <w:pPr>
              <w:spacing w:after="0"/>
              <w:rPr>
                <w:sz w:val="23"/>
                <w:szCs w:val="23"/>
                <w:color w:val="auto"/>
              </w:rPr>
            </w:pP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w:t>
            </w:r>
          </w:p>
        </w:tc>
        <w:tc>
          <w:tcPr>
            <w:tcW w:w="900" w:type="dxa"/>
            <w:vAlign w:val="bottom"/>
            <w:shd w:val="clear" w:color="auto" w:fill="CCEEFF"/>
          </w:tcPr>
          <w:p>
            <w:pPr>
              <w:jc w:val="right"/>
              <w:ind w:right="66"/>
              <w:spacing w:after="0"/>
              <w:rPr>
                <w:sz w:val="20"/>
                <w:szCs w:val="20"/>
                <w:color w:val="auto"/>
              </w:rPr>
            </w:pPr>
            <w:r>
              <w:rPr>
                <w:rFonts w:ascii="Arial" w:cs="Arial" w:eastAsia="Arial" w:hAnsi="Arial"/>
                <w:sz w:val="15"/>
                <w:szCs w:val="15"/>
                <w:color w:val="auto"/>
              </w:rPr>
              <w:t>(27)</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6"/>
        </w:trPr>
        <w:tc>
          <w:tcPr>
            <w:tcW w:w="6220" w:type="dxa"/>
            <w:vAlign w:val="bottom"/>
            <w:gridSpan w:val="2"/>
          </w:tcPr>
          <w:p>
            <w:pPr>
              <w:ind w:left="40"/>
              <w:spacing w:after="0"/>
              <w:rPr>
                <w:sz w:val="20"/>
                <w:szCs w:val="20"/>
                <w:color w:val="auto"/>
              </w:rPr>
            </w:pPr>
            <w:r>
              <w:rPr>
                <w:rFonts w:ascii="Arial" w:cs="Arial" w:eastAsia="Arial" w:hAnsi="Arial"/>
                <w:sz w:val="15"/>
                <w:szCs w:val="15"/>
                <w:color w:val="auto"/>
              </w:rPr>
              <w:t>Interest revenue</w:t>
            </w:r>
          </w:p>
        </w:tc>
        <w:tc>
          <w:tcPr>
            <w:tcW w:w="26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5"/>
                <w:szCs w:val="15"/>
                <w:color w:val="auto"/>
              </w:rPr>
              <w:t>1,075</w:t>
            </w:r>
          </w:p>
        </w:tc>
        <w:tc>
          <w:tcPr>
            <w:tcW w:w="280" w:type="dxa"/>
            <w:vAlign w:val="bottom"/>
            <w:gridSpan w:val="2"/>
          </w:tcPr>
          <w:p>
            <w:pPr>
              <w:jc w:val="right"/>
              <w:ind w:right="60"/>
              <w:spacing w:after="0"/>
              <w:rPr>
                <w:sz w:val="20"/>
                <w:szCs w:val="20"/>
                <w:color w:val="auto"/>
              </w:rPr>
            </w:pPr>
            <w:r>
              <w:rPr>
                <w:rFonts w:ascii="Arial" w:cs="Arial" w:eastAsia="Arial" w:hAnsi="Arial"/>
                <w:sz w:val="15"/>
                <w:szCs w:val="15"/>
                <w:color w:val="auto"/>
              </w:rPr>
              <w:t>$</w:t>
            </w:r>
          </w:p>
        </w:tc>
        <w:tc>
          <w:tcPr>
            <w:tcW w:w="660" w:type="dxa"/>
            <w:vAlign w:val="bottom"/>
          </w:tcPr>
          <w:p>
            <w:pPr>
              <w:jc w:val="right"/>
              <w:ind w:right="5"/>
              <w:spacing w:after="0"/>
              <w:rPr>
                <w:sz w:val="20"/>
                <w:szCs w:val="20"/>
                <w:color w:val="auto"/>
              </w:rPr>
            </w:pPr>
            <w:r>
              <w:rPr>
                <w:rFonts w:ascii="Arial" w:cs="Arial" w:eastAsia="Arial" w:hAnsi="Arial"/>
                <w:sz w:val="15"/>
                <w:szCs w:val="15"/>
                <w:color w:val="auto"/>
              </w:rPr>
              <w:t>305</w:t>
            </w:r>
          </w:p>
        </w:tc>
        <w:tc>
          <w:tcPr>
            <w:tcW w:w="240" w:type="dxa"/>
            <w:vAlign w:val="bottom"/>
            <w:gridSpan w:val="4"/>
          </w:tcPr>
          <w:p>
            <w:pPr>
              <w:ind w:left="160"/>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ind w:right="6"/>
              <w:spacing w:after="0"/>
              <w:rPr>
                <w:sz w:val="20"/>
                <w:szCs w:val="20"/>
                <w:color w:val="auto"/>
              </w:rPr>
            </w:pPr>
            <w:r>
              <w:rPr>
                <w:rFonts w:ascii="Arial" w:cs="Arial" w:eastAsia="Arial" w:hAnsi="Arial"/>
                <w:sz w:val="15"/>
                <w:szCs w:val="15"/>
                <w:color w:val="auto"/>
              </w:rPr>
              <w:t>1,057</w:t>
            </w:r>
          </w:p>
        </w:tc>
        <w:tc>
          <w:tcPr>
            <w:tcW w:w="100" w:type="dxa"/>
            <w:vAlign w:val="bottom"/>
          </w:tcPr>
          <w:p>
            <w:pPr>
              <w:spacing w:after="0"/>
              <w:rPr>
                <w:sz w:val="23"/>
                <w:szCs w:val="23"/>
                <w:color w:val="auto"/>
              </w:rPr>
            </w:pPr>
          </w:p>
        </w:tc>
        <w:tc>
          <w:tcPr>
            <w:tcW w:w="260" w:type="dxa"/>
            <w:vAlign w:val="bottom"/>
            <w:gridSpan w:val="2"/>
          </w:tcPr>
          <w:p>
            <w:pPr>
              <w:jc w:val="right"/>
              <w:ind w:right="40"/>
              <w:spacing w:after="0"/>
              <w:rPr>
                <w:sz w:val="20"/>
                <w:szCs w:val="20"/>
                <w:color w:val="auto"/>
              </w:rPr>
            </w:pPr>
            <w:r>
              <w:rPr>
                <w:rFonts w:ascii="Arial" w:cs="Arial" w:eastAsia="Arial" w:hAnsi="Arial"/>
                <w:sz w:val="15"/>
                <w:szCs w:val="15"/>
                <w:color w:val="auto"/>
              </w:rPr>
              <w:t>$</w:t>
            </w:r>
          </w:p>
        </w:tc>
        <w:tc>
          <w:tcPr>
            <w:tcW w:w="900" w:type="dxa"/>
            <w:vAlign w:val="bottom"/>
          </w:tcPr>
          <w:p>
            <w:pPr>
              <w:jc w:val="right"/>
              <w:ind w:right="106"/>
              <w:spacing w:after="0"/>
              <w:rPr>
                <w:sz w:val="20"/>
                <w:szCs w:val="20"/>
                <w:color w:val="auto"/>
              </w:rPr>
            </w:pPr>
            <w:r>
              <w:rPr>
                <w:rFonts w:ascii="Arial" w:cs="Arial" w:eastAsia="Arial" w:hAnsi="Arial"/>
                <w:sz w:val="15"/>
                <w:szCs w:val="15"/>
                <w:color w:val="auto"/>
              </w:rPr>
              <w:t>187</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4"/>
        </w:trPr>
        <w:tc>
          <w:tcPr>
            <w:tcW w:w="6220" w:type="dxa"/>
            <w:vAlign w:val="bottom"/>
            <w:gridSpan w:val="2"/>
            <w:shd w:val="clear" w:color="auto" w:fill="CCEEFF"/>
          </w:tcPr>
          <w:p>
            <w:pPr>
              <w:ind w:left="40"/>
              <w:spacing w:after="0"/>
              <w:rPr>
                <w:sz w:val="20"/>
                <w:szCs w:val="20"/>
                <w:color w:val="auto"/>
              </w:rPr>
            </w:pPr>
            <w:r>
              <w:rPr>
                <w:rFonts w:ascii="Arial" w:cs="Arial" w:eastAsia="Arial" w:hAnsi="Arial"/>
                <w:sz w:val="15"/>
                <w:szCs w:val="15"/>
                <w:color w:val="auto"/>
              </w:rPr>
              <w:t>Interest expense</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w:t>
            </w:r>
          </w:p>
        </w:tc>
        <w:tc>
          <w:tcPr>
            <w:tcW w:w="6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rPr>
              <w:t>—</w:t>
            </w:r>
          </w:p>
        </w:tc>
        <w:tc>
          <w:tcPr>
            <w:tcW w:w="240" w:type="dxa"/>
            <w:vAlign w:val="bottom"/>
            <w:gridSpan w:val="4"/>
            <w:shd w:val="clear" w:color="auto" w:fill="CCEEFF"/>
          </w:tcPr>
          <w:p>
            <w:pPr>
              <w:ind w:left="160"/>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rPr>
              <w:t>45</w:t>
            </w:r>
          </w:p>
        </w:tc>
        <w:tc>
          <w:tcPr>
            <w:tcW w:w="100" w:type="dxa"/>
            <w:vAlign w:val="bottom"/>
            <w:shd w:val="clear" w:color="auto" w:fill="CCEEFF"/>
          </w:tcPr>
          <w:p>
            <w:pPr>
              <w:spacing w:after="0"/>
              <w:rPr>
                <w:sz w:val="23"/>
                <w:szCs w:val="23"/>
                <w:color w:val="auto"/>
              </w:rPr>
            </w:pP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w:t>
            </w:r>
          </w:p>
        </w:tc>
        <w:tc>
          <w:tcPr>
            <w:tcW w:w="900" w:type="dxa"/>
            <w:vAlign w:val="bottom"/>
            <w:shd w:val="clear" w:color="auto" w:fill="CCEEFF"/>
          </w:tcPr>
          <w:p>
            <w:pPr>
              <w:jc w:val="right"/>
              <w:ind w:right="106"/>
              <w:spacing w:after="0"/>
              <w:rPr>
                <w:sz w:val="20"/>
                <w:szCs w:val="20"/>
                <w:color w:val="auto"/>
              </w:rPr>
            </w:pPr>
            <w:r>
              <w:rPr>
                <w:rFonts w:ascii="Arial" w:cs="Arial" w:eastAsia="Arial" w:hAnsi="Arial"/>
                <w:sz w:val="15"/>
                <w:szCs w:val="15"/>
                <w:color w:val="auto"/>
              </w:rPr>
              <w:t>83</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total revenues with respect to the Company’s segments, as well as Corporate &amp; Other:</w:t>
      </w: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60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500" w:type="dxa"/>
            <w:vAlign w:val="bottom"/>
            <w:gridSpan w:val="3"/>
          </w:tcPr>
          <w:p>
            <w:pPr>
              <w:jc w:val="center"/>
              <w:ind w:left="492"/>
              <w:spacing w:after="0"/>
              <w:rPr>
                <w:sz w:val="20"/>
                <w:szCs w:val="20"/>
                <w:color w:val="auto"/>
              </w:rPr>
            </w:pPr>
            <w:r>
              <w:rPr>
                <w:rFonts w:ascii="Arial" w:cs="Arial" w:eastAsia="Arial" w:hAnsi="Arial"/>
                <w:sz w:val="13"/>
                <w:szCs w:val="13"/>
                <w:b w:val="1"/>
                <w:bCs w:val="1"/>
                <w:color w:val="auto"/>
                <w:w w:val="91"/>
              </w:rPr>
              <w:t>Three Months</w:t>
            </w: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0" w:type="dxa"/>
            <w:vAlign w:val="bottom"/>
            <w:gridSpan w:val="3"/>
          </w:tcPr>
          <w:p>
            <w:pPr>
              <w:jc w:val="center"/>
              <w:ind w:left="392"/>
              <w:spacing w:after="0"/>
              <w:rPr>
                <w:sz w:val="20"/>
                <w:szCs w:val="20"/>
                <w:color w:val="auto"/>
              </w:rPr>
            </w:pPr>
            <w:r>
              <w:rPr>
                <w:rFonts w:ascii="Arial" w:cs="Arial" w:eastAsia="Arial" w:hAnsi="Arial"/>
                <w:sz w:val="13"/>
                <w:szCs w:val="13"/>
                <w:b w:val="1"/>
                <w:bCs w:val="1"/>
                <w:color w:val="auto"/>
                <w:w w:val="89"/>
              </w:rPr>
              <w:t>Nine Months</w:t>
            </w: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60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500" w:type="dxa"/>
            <w:vAlign w:val="bottom"/>
            <w:gridSpan w:val="3"/>
          </w:tcPr>
          <w:p>
            <w:pPr>
              <w:jc w:val="center"/>
              <w:ind w:left="452"/>
              <w:spacing w:after="0" w:line="135" w:lineRule="exact"/>
              <w:rPr>
                <w:sz w:val="20"/>
                <w:szCs w:val="20"/>
                <w:color w:val="auto"/>
              </w:rPr>
            </w:pPr>
            <w:r>
              <w:rPr>
                <w:rFonts w:ascii="Arial" w:cs="Arial" w:eastAsia="Arial" w:hAnsi="Arial"/>
                <w:sz w:val="13"/>
                <w:szCs w:val="13"/>
                <w:b w:val="1"/>
                <w:bCs w:val="1"/>
                <w:color w:val="auto"/>
                <w:w w:val="85"/>
              </w:rPr>
              <w:t>Ended</w:t>
            </w: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400" w:type="dxa"/>
            <w:vAlign w:val="bottom"/>
            <w:gridSpan w:val="3"/>
          </w:tcPr>
          <w:p>
            <w:pPr>
              <w:jc w:val="center"/>
              <w:ind w:left="372"/>
              <w:spacing w:after="0" w:line="135" w:lineRule="exact"/>
              <w:rPr>
                <w:sz w:val="20"/>
                <w:szCs w:val="20"/>
                <w:color w:val="auto"/>
              </w:rPr>
            </w:pPr>
            <w:r>
              <w:rPr>
                <w:rFonts w:ascii="Arial" w:cs="Arial" w:eastAsia="Arial" w:hAnsi="Arial"/>
                <w:sz w:val="13"/>
                <w:szCs w:val="13"/>
                <w:b w:val="1"/>
                <w:bCs w:val="1"/>
                <w:color w:val="auto"/>
                <w:w w:val="90"/>
              </w:rPr>
              <w:t>Ended</w:t>
            </w: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4"/>
        </w:trPr>
        <w:tc>
          <w:tcPr>
            <w:tcW w:w="608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gridSpan w:val="3"/>
          </w:tcPr>
          <w:p>
            <w:pPr>
              <w:jc w:val="center"/>
              <w:ind w:left="492"/>
              <w:spacing w:after="0"/>
              <w:rPr>
                <w:sz w:val="20"/>
                <w:szCs w:val="20"/>
                <w:color w:val="auto"/>
              </w:rPr>
            </w:pPr>
            <w:r>
              <w:rPr>
                <w:rFonts w:ascii="Arial" w:cs="Arial" w:eastAsia="Arial" w:hAnsi="Arial"/>
                <w:sz w:val="13"/>
                <w:szCs w:val="13"/>
                <w:b w:val="1"/>
                <w:bCs w:val="1"/>
                <w:color w:val="auto"/>
                <w:w w:val="87"/>
              </w:rPr>
              <w:t>September 30,</w:t>
            </w:r>
          </w:p>
        </w:tc>
        <w:tc>
          <w:tcPr>
            <w:tcW w:w="8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gridSpan w:val="3"/>
          </w:tcPr>
          <w:p>
            <w:pPr>
              <w:jc w:val="center"/>
              <w:ind w:left="412"/>
              <w:spacing w:after="0"/>
              <w:rPr>
                <w:sz w:val="20"/>
                <w:szCs w:val="20"/>
                <w:color w:val="auto"/>
              </w:rPr>
            </w:pPr>
            <w:r>
              <w:rPr>
                <w:rFonts w:ascii="Arial" w:cs="Arial" w:eastAsia="Arial" w:hAnsi="Arial"/>
                <w:sz w:val="13"/>
                <w:szCs w:val="13"/>
                <w:b w:val="1"/>
                <w:bCs w:val="1"/>
                <w:color w:val="auto"/>
                <w:w w:val="85"/>
              </w:rPr>
              <w:t>September 30,</w:t>
            </w:r>
          </w:p>
        </w:tc>
        <w:tc>
          <w:tcPr>
            <w:tcW w:w="8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64"/>
        </w:trPr>
        <w:tc>
          <w:tcPr>
            <w:tcW w:w="608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52"/>
              <w:spacing w:after="0"/>
              <w:rPr>
                <w:sz w:val="20"/>
                <w:szCs w:val="20"/>
                <w:color w:val="auto"/>
              </w:rPr>
            </w:pPr>
            <w:r>
              <w:rPr>
                <w:rFonts w:ascii="Arial" w:cs="Arial" w:eastAsia="Arial" w:hAnsi="Arial"/>
                <w:sz w:val="13"/>
                <w:szCs w:val="13"/>
                <w:b w:val="1"/>
                <w:bCs w:val="1"/>
                <w:color w:val="auto"/>
              </w:rPr>
              <w:t>2017</w:t>
            </w:r>
          </w:p>
        </w:tc>
        <w:tc>
          <w:tcPr>
            <w:tcW w:w="12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430"/>
              <w:spacing w:after="0"/>
              <w:rPr>
                <w:sz w:val="20"/>
                <w:szCs w:val="20"/>
                <w:color w:val="auto"/>
              </w:rPr>
            </w:pPr>
            <w:r>
              <w:rPr>
                <w:rFonts w:ascii="Arial" w:cs="Arial" w:eastAsia="Arial" w:hAnsi="Arial"/>
                <w:sz w:val="13"/>
                <w:szCs w:val="13"/>
                <w:b w:val="1"/>
                <w:bCs w:val="1"/>
                <w:color w:val="auto"/>
              </w:rPr>
              <w:t>2016</w:t>
            </w:r>
          </w:p>
        </w:tc>
        <w:tc>
          <w:tcPr>
            <w:tcW w:w="10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412"/>
              <w:spacing w:after="0"/>
              <w:rPr>
                <w:sz w:val="20"/>
                <w:szCs w:val="20"/>
                <w:color w:val="auto"/>
              </w:rPr>
            </w:pPr>
            <w:r>
              <w:rPr>
                <w:rFonts w:ascii="Arial" w:cs="Arial" w:eastAsia="Arial" w:hAnsi="Arial"/>
                <w:sz w:val="13"/>
                <w:szCs w:val="13"/>
                <w:b w:val="1"/>
                <w:bCs w:val="1"/>
                <w:color w:val="auto"/>
              </w:rPr>
              <w:t>2017</w:t>
            </w:r>
          </w:p>
        </w:tc>
        <w:tc>
          <w:tcPr>
            <w:tcW w:w="12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429"/>
              <w:spacing w:after="0"/>
              <w:rPr>
                <w:sz w:val="20"/>
                <w:szCs w:val="20"/>
                <w:color w:val="auto"/>
              </w:rPr>
            </w:pPr>
            <w:r>
              <w:rPr>
                <w:rFonts w:ascii="Arial" w:cs="Arial" w:eastAsia="Arial" w:hAnsi="Arial"/>
                <w:sz w:val="13"/>
                <w:szCs w:val="13"/>
                <w:b w:val="1"/>
                <w:bCs w:val="1"/>
                <w:color w:val="auto"/>
              </w:rPr>
              <w:t>2016</w:t>
            </w:r>
          </w:p>
        </w:tc>
        <w:tc>
          <w:tcPr>
            <w:tcW w:w="0" w:type="dxa"/>
            <w:vAlign w:val="bottom"/>
          </w:tcPr>
          <w:p>
            <w:pPr>
              <w:spacing w:after="0"/>
              <w:rPr>
                <w:sz w:val="1"/>
                <w:szCs w:val="1"/>
                <w:color w:val="auto"/>
              </w:rPr>
            </w:pPr>
          </w:p>
        </w:tc>
      </w:tr>
      <w:tr>
        <w:trPr>
          <w:trHeight w:val="249"/>
        </w:trPr>
        <w:tc>
          <w:tcPr>
            <w:tcW w:w="60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20" w:type="dxa"/>
            <w:vAlign w:val="bottom"/>
            <w:gridSpan w:val="3"/>
          </w:tcPr>
          <w:p>
            <w:pPr>
              <w:jc w:val="right"/>
              <w:ind w:right="28"/>
              <w:spacing w:after="0"/>
              <w:rPr>
                <w:sz w:val="20"/>
                <w:szCs w:val="20"/>
                <w:color w:val="auto"/>
              </w:rPr>
            </w:pPr>
            <w:r>
              <w:rPr>
                <w:rFonts w:ascii="Arial" w:cs="Arial" w:eastAsia="Arial" w:hAnsi="Arial"/>
                <w:sz w:val="13"/>
                <w:szCs w:val="13"/>
                <w:b w:val="1"/>
                <w:bCs w:val="1"/>
                <w:color w:val="auto"/>
              </w:rPr>
              <w:t>(In millions)</w:t>
            </w:r>
          </w:p>
        </w:tc>
        <w:tc>
          <w:tcPr>
            <w:tcW w:w="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9"/>
        </w:trPr>
        <w:tc>
          <w:tcPr>
            <w:tcW w:w="6080" w:type="dxa"/>
            <w:vAlign w:val="bottom"/>
            <w:shd w:val="clear" w:color="auto" w:fill="CCEEFF"/>
          </w:tcPr>
          <w:p>
            <w:pPr>
              <w:ind w:left="40"/>
              <w:spacing w:after="0"/>
              <w:rPr>
                <w:sz w:val="20"/>
                <w:szCs w:val="20"/>
                <w:color w:val="auto"/>
              </w:rPr>
            </w:pPr>
            <w:r>
              <w:rPr>
                <w:rFonts w:ascii="Arial" w:cs="Arial" w:eastAsia="Arial" w:hAnsi="Arial"/>
                <w:sz w:val="14"/>
                <w:szCs w:val="14"/>
                <w:color w:val="auto"/>
              </w:rPr>
              <w:t>Annuities</w:t>
            </w:r>
          </w:p>
        </w:tc>
        <w:tc>
          <w:tcPr>
            <w:tcW w:w="300" w:type="dxa"/>
            <w:vAlign w:val="bottom"/>
            <w:vMerge w:val="restart"/>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980" w:type="dxa"/>
            <w:vAlign w:val="bottom"/>
            <w:vMerge w:val="restart"/>
            <w:shd w:val="clear" w:color="auto" w:fill="CCEEFF"/>
          </w:tcPr>
          <w:p>
            <w:pPr>
              <w:jc w:val="right"/>
              <w:ind w:right="52"/>
              <w:spacing w:after="0"/>
              <w:rPr>
                <w:sz w:val="20"/>
                <w:szCs w:val="20"/>
                <w:color w:val="auto"/>
              </w:rPr>
            </w:pPr>
            <w:r>
              <w:rPr>
                <w:rFonts w:ascii="Arial" w:cs="Arial" w:eastAsia="Arial" w:hAnsi="Arial"/>
                <w:sz w:val="14"/>
                <w:szCs w:val="14"/>
                <w:color w:val="auto"/>
              </w:rPr>
              <w:t>1,070</w:t>
            </w:r>
          </w:p>
        </w:tc>
        <w:tc>
          <w:tcPr>
            <w:tcW w:w="120" w:type="dxa"/>
            <w:vAlign w:val="bottom"/>
            <w:shd w:val="clear" w:color="auto" w:fill="CCEEFF"/>
          </w:tcPr>
          <w:p>
            <w:pPr>
              <w:spacing w:after="0"/>
              <w:rPr>
                <w:sz w:val="17"/>
                <w:szCs w:val="17"/>
                <w:color w:val="auto"/>
              </w:rPr>
            </w:pPr>
          </w:p>
        </w:tc>
        <w:tc>
          <w:tcPr>
            <w:tcW w:w="400" w:type="dxa"/>
            <w:vAlign w:val="bottom"/>
            <w:vMerge w:val="restart"/>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c>
          <w:tcPr>
            <w:tcW w:w="840" w:type="dxa"/>
            <w:vAlign w:val="bottom"/>
            <w:vMerge w:val="restart"/>
            <w:shd w:val="clear" w:color="auto" w:fill="CCEEFF"/>
          </w:tcPr>
          <w:p>
            <w:pPr>
              <w:jc w:val="right"/>
              <w:ind w:right="30"/>
              <w:spacing w:after="0"/>
              <w:rPr>
                <w:sz w:val="20"/>
                <w:szCs w:val="20"/>
                <w:color w:val="auto"/>
              </w:rPr>
            </w:pPr>
            <w:r>
              <w:rPr>
                <w:rFonts w:ascii="Arial" w:cs="Arial" w:eastAsia="Arial" w:hAnsi="Arial"/>
                <w:sz w:val="14"/>
                <w:szCs w:val="14"/>
                <w:color w:val="auto"/>
              </w:rPr>
              <w:t>1,133</w:t>
            </w:r>
          </w:p>
        </w:tc>
        <w:tc>
          <w:tcPr>
            <w:tcW w:w="100" w:type="dxa"/>
            <w:vAlign w:val="bottom"/>
            <w:shd w:val="clear" w:color="auto" w:fill="CCEEFF"/>
          </w:tcPr>
          <w:p>
            <w:pPr>
              <w:spacing w:after="0"/>
              <w:rPr>
                <w:sz w:val="17"/>
                <w:szCs w:val="17"/>
                <w:color w:val="auto"/>
              </w:rPr>
            </w:pPr>
          </w:p>
        </w:tc>
        <w:tc>
          <w:tcPr>
            <w:tcW w:w="380" w:type="dxa"/>
            <w:vAlign w:val="bottom"/>
            <w:vMerge w:val="restart"/>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860" w:type="dxa"/>
            <w:vAlign w:val="bottom"/>
            <w:vMerge w:val="restart"/>
            <w:shd w:val="clear" w:color="auto" w:fill="CCEEFF"/>
          </w:tcPr>
          <w:p>
            <w:pPr>
              <w:jc w:val="right"/>
              <w:ind w:right="32"/>
              <w:spacing w:after="0"/>
              <w:rPr>
                <w:sz w:val="20"/>
                <w:szCs w:val="20"/>
                <w:color w:val="auto"/>
              </w:rPr>
            </w:pPr>
            <w:r>
              <w:rPr>
                <w:rFonts w:ascii="Arial" w:cs="Arial" w:eastAsia="Arial" w:hAnsi="Arial"/>
                <w:sz w:val="14"/>
                <w:szCs w:val="14"/>
                <w:color w:val="auto"/>
              </w:rPr>
              <w:t>3,270</w:t>
            </w:r>
          </w:p>
        </w:tc>
        <w:tc>
          <w:tcPr>
            <w:tcW w:w="120" w:type="dxa"/>
            <w:vAlign w:val="bottom"/>
            <w:shd w:val="clear" w:color="auto" w:fill="CCEEFF"/>
          </w:tcPr>
          <w:p>
            <w:pPr>
              <w:spacing w:after="0"/>
              <w:rPr>
                <w:sz w:val="17"/>
                <w:szCs w:val="17"/>
                <w:color w:val="auto"/>
              </w:rPr>
            </w:pPr>
          </w:p>
        </w:tc>
        <w:tc>
          <w:tcPr>
            <w:tcW w:w="420" w:type="dxa"/>
            <w:vAlign w:val="bottom"/>
            <w:vMerge w:val="restart"/>
            <w:shd w:val="clear" w:color="auto" w:fill="CCEEFF"/>
          </w:tcPr>
          <w:p>
            <w:pPr>
              <w:jc w:val="right"/>
              <w:ind w:right="248"/>
              <w:spacing w:after="0"/>
              <w:rPr>
                <w:sz w:val="20"/>
                <w:szCs w:val="20"/>
                <w:color w:val="auto"/>
              </w:rPr>
            </w:pPr>
            <w:r>
              <w:rPr>
                <w:rFonts w:ascii="Arial" w:cs="Arial" w:eastAsia="Arial" w:hAnsi="Arial"/>
                <w:sz w:val="14"/>
                <w:szCs w:val="14"/>
                <w:color w:val="auto"/>
              </w:rPr>
              <w:t>$</w:t>
            </w:r>
          </w:p>
        </w:tc>
        <w:tc>
          <w:tcPr>
            <w:tcW w:w="82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3,809</w:t>
            </w:r>
          </w:p>
        </w:tc>
        <w:tc>
          <w:tcPr>
            <w:tcW w:w="0" w:type="dxa"/>
            <w:vAlign w:val="bottom"/>
          </w:tcPr>
          <w:p>
            <w:pPr>
              <w:spacing w:after="0"/>
              <w:rPr>
                <w:sz w:val="1"/>
                <w:szCs w:val="1"/>
                <w:color w:val="auto"/>
              </w:rPr>
            </w:pPr>
          </w:p>
        </w:tc>
      </w:tr>
      <w:tr>
        <w:trPr>
          <w:trHeight w:val="80"/>
        </w:trPr>
        <w:tc>
          <w:tcPr>
            <w:tcW w:w="6080" w:type="dxa"/>
            <w:vAlign w:val="bottom"/>
            <w:shd w:val="clear" w:color="auto" w:fill="CCEEFF"/>
          </w:tcPr>
          <w:p>
            <w:pPr>
              <w:spacing w:after="0"/>
              <w:rPr>
                <w:sz w:val="6"/>
                <w:szCs w:val="6"/>
                <w:color w:val="auto"/>
              </w:rPr>
            </w:pPr>
          </w:p>
        </w:tc>
        <w:tc>
          <w:tcPr>
            <w:tcW w:w="300" w:type="dxa"/>
            <w:vAlign w:val="bottom"/>
            <w:vMerge w:val="continue"/>
            <w:shd w:val="clear" w:color="auto" w:fill="CCEEFF"/>
          </w:tcPr>
          <w:p>
            <w:pPr>
              <w:spacing w:after="0"/>
              <w:rPr>
                <w:sz w:val="6"/>
                <w:szCs w:val="6"/>
                <w:color w:val="auto"/>
              </w:rPr>
            </w:pPr>
          </w:p>
        </w:tc>
        <w:tc>
          <w:tcPr>
            <w:tcW w:w="98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400" w:type="dxa"/>
            <w:vAlign w:val="bottom"/>
            <w:vMerge w:val="continue"/>
            <w:shd w:val="clear" w:color="auto" w:fill="CCEEFF"/>
          </w:tcPr>
          <w:p>
            <w:pPr>
              <w:spacing w:after="0"/>
              <w:rPr>
                <w:sz w:val="6"/>
                <w:szCs w:val="6"/>
                <w:color w:val="auto"/>
              </w:rPr>
            </w:pPr>
          </w:p>
        </w:tc>
        <w:tc>
          <w:tcPr>
            <w:tcW w:w="84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80" w:type="dxa"/>
            <w:vAlign w:val="bottom"/>
            <w:vMerge w:val="continue"/>
            <w:shd w:val="clear" w:color="auto" w:fill="CCEEFF"/>
          </w:tcPr>
          <w:p>
            <w:pPr>
              <w:spacing w:after="0"/>
              <w:rPr>
                <w:sz w:val="6"/>
                <w:szCs w:val="6"/>
                <w:color w:val="auto"/>
              </w:rPr>
            </w:pPr>
          </w:p>
        </w:tc>
        <w:tc>
          <w:tcPr>
            <w:tcW w:w="86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420" w:type="dxa"/>
            <w:vAlign w:val="bottom"/>
            <w:vMerge w:val="continue"/>
            <w:shd w:val="clear" w:color="auto" w:fill="CCEEFF"/>
          </w:tcPr>
          <w:p>
            <w:pPr>
              <w:spacing w:after="0"/>
              <w:rPr>
                <w:sz w:val="6"/>
                <w:szCs w:val="6"/>
                <w:color w:val="auto"/>
              </w:rPr>
            </w:pPr>
          </w:p>
        </w:tc>
        <w:tc>
          <w:tcPr>
            <w:tcW w:w="82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6080" w:type="dxa"/>
            <w:vAlign w:val="bottom"/>
          </w:tcPr>
          <w:p>
            <w:pPr>
              <w:ind w:left="40"/>
              <w:spacing w:after="0"/>
              <w:rPr>
                <w:sz w:val="20"/>
                <w:szCs w:val="20"/>
                <w:color w:val="auto"/>
              </w:rPr>
            </w:pPr>
            <w:r>
              <w:rPr>
                <w:rFonts w:ascii="Arial" w:cs="Arial" w:eastAsia="Arial" w:hAnsi="Arial"/>
                <w:sz w:val="14"/>
                <w:szCs w:val="14"/>
                <w:color w:val="auto"/>
              </w:rPr>
              <w:t>Life</w:t>
            </w:r>
          </w:p>
        </w:tc>
        <w:tc>
          <w:tcPr>
            <w:tcW w:w="300" w:type="dxa"/>
            <w:vAlign w:val="bottom"/>
          </w:tcPr>
          <w:p>
            <w:pPr>
              <w:spacing w:after="0"/>
              <w:rPr>
                <w:sz w:val="16"/>
                <w:szCs w:val="16"/>
                <w:color w:val="auto"/>
              </w:rPr>
            </w:pPr>
          </w:p>
        </w:tc>
        <w:tc>
          <w:tcPr>
            <w:tcW w:w="980" w:type="dxa"/>
            <w:vAlign w:val="bottom"/>
            <w:vMerge w:val="restart"/>
          </w:tcPr>
          <w:p>
            <w:pPr>
              <w:jc w:val="right"/>
              <w:ind w:right="52"/>
              <w:spacing w:after="0"/>
              <w:rPr>
                <w:sz w:val="20"/>
                <w:szCs w:val="20"/>
                <w:color w:val="auto"/>
              </w:rPr>
            </w:pPr>
            <w:r>
              <w:rPr>
                <w:rFonts w:ascii="Arial" w:cs="Arial" w:eastAsia="Arial" w:hAnsi="Arial"/>
                <w:sz w:val="14"/>
                <w:szCs w:val="14"/>
                <w:color w:val="auto"/>
              </w:rPr>
              <w:t>387</w:t>
            </w: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40" w:type="dxa"/>
            <w:vAlign w:val="bottom"/>
            <w:vMerge w:val="restart"/>
          </w:tcPr>
          <w:p>
            <w:pPr>
              <w:jc w:val="right"/>
              <w:ind w:right="30"/>
              <w:spacing w:after="0"/>
              <w:rPr>
                <w:sz w:val="20"/>
                <w:szCs w:val="20"/>
                <w:color w:val="auto"/>
              </w:rPr>
            </w:pPr>
            <w:r>
              <w:rPr>
                <w:rFonts w:ascii="Arial" w:cs="Arial" w:eastAsia="Arial" w:hAnsi="Arial"/>
                <w:sz w:val="14"/>
                <w:szCs w:val="14"/>
                <w:color w:val="auto"/>
              </w:rPr>
              <w:t>319</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60" w:type="dxa"/>
            <w:vAlign w:val="bottom"/>
            <w:vMerge w:val="restart"/>
          </w:tcPr>
          <w:p>
            <w:pPr>
              <w:jc w:val="right"/>
              <w:ind w:right="32"/>
              <w:spacing w:after="0"/>
              <w:rPr>
                <w:sz w:val="20"/>
                <w:szCs w:val="20"/>
                <w:color w:val="auto"/>
              </w:rPr>
            </w:pPr>
            <w:r>
              <w:rPr>
                <w:rFonts w:ascii="Arial" w:cs="Arial" w:eastAsia="Arial" w:hAnsi="Arial"/>
                <w:sz w:val="14"/>
                <w:szCs w:val="14"/>
                <w:color w:val="auto"/>
              </w:rPr>
              <w:t>982</w:t>
            </w: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20" w:type="dxa"/>
            <w:vAlign w:val="bottom"/>
            <w:vMerge w:val="restart"/>
          </w:tcPr>
          <w:p>
            <w:pPr>
              <w:jc w:val="right"/>
              <w:ind w:right="29"/>
              <w:spacing w:after="0"/>
              <w:rPr>
                <w:sz w:val="20"/>
                <w:szCs w:val="20"/>
                <w:color w:val="auto"/>
              </w:rPr>
            </w:pPr>
            <w:r>
              <w:rPr>
                <w:rFonts w:ascii="Arial" w:cs="Arial" w:eastAsia="Arial" w:hAnsi="Arial"/>
                <w:sz w:val="14"/>
                <w:szCs w:val="14"/>
                <w:color w:val="auto"/>
              </w:rPr>
              <w:t>929</w:t>
            </w:r>
          </w:p>
        </w:tc>
        <w:tc>
          <w:tcPr>
            <w:tcW w:w="0" w:type="dxa"/>
            <w:vAlign w:val="bottom"/>
          </w:tcPr>
          <w:p>
            <w:pPr>
              <w:spacing w:after="0"/>
              <w:rPr>
                <w:sz w:val="1"/>
                <w:szCs w:val="1"/>
                <w:color w:val="auto"/>
              </w:rPr>
            </w:pPr>
          </w:p>
        </w:tc>
      </w:tr>
      <w:tr>
        <w:trPr>
          <w:trHeight w:val="74"/>
        </w:trPr>
        <w:tc>
          <w:tcPr>
            <w:tcW w:w="6080" w:type="dxa"/>
            <w:vAlign w:val="bottom"/>
          </w:tcPr>
          <w:p>
            <w:pPr>
              <w:spacing w:after="0"/>
              <w:rPr>
                <w:sz w:val="6"/>
                <w:szCs w:val="6"/>
                <w:color w:val="auto"/>
              </w:rPr>
            </w:pPr>
          </w:p>
        </w:tc>
        <w:tc>
          <w:tcPr>
            <w:tcW w:w="300" w:type="dxa"/>
            <w:vAlign w:val="bottom"/>
          </w:tcPr>
          <w:p>
            <w:pPr>
              <w:spacing w:after="0"/>
              <w:rPr>
                <w:sz w:val="6"/>
                <w:szCs w:val="6"/>
                <w:color w:val="auto"/>
              </w:rPr>
            </w:pPr>
          </w:p>
        </w:tc>
        <w:tc>
          <w:tcPr>
            <w:tcW w:w="9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400" w:type="dxa"/>
            <w:vAlign w:val="bottom"/>
          </w:tcPr>
          <w:p>
            <w:pPr>
              <w:spacing w:after="0"/>
              <w:rPr>
                <w:sz w:val="6"/>
                <w:szCs w:val="6"/>
                <w:color w:val="auto"/>
              </w:rPr>
            </w:pPr>
          </w:p>
        </w:tc>
        <w:tc>
          <w:tcPr>
            <w:tcW w:w="84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380" w:type="dxa"/>
            <w:vAlign w:val="bottom"/>
          </w:tcPr>
          <w:p>
            <w:pPr>
              <w:spacing w:after="0"/>
              <w:rPr>
                <w:sz w:val="6"/>
                <w:szCs w:val="6"/>
                <w:color w:val="auto"/>
              </w:rPr>
            </w:pPr>
          </w:p>
        </w:tc>
        <w:tc>
          <w:tcPr>
            <w:tcW w:w="86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420" w:type="dxa"/>
            <w:vAlign w:val="bottom"/>
          </w:tcPr>
          <w:p>
            <w:pPr>
              <w:spacing w:after="0"/>
              <w:rPr>
                <w:sz w:val="6"/>
                <w:szCs w:val="6"/>
                <w:color w:val="auto"/>
              </w:rPr>
            </w:pPr>
          </w:p>
        </w:tc>
        <w:tc>
          <w:tcPr>
            <w:tcW w:w="8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6080" w:type="dxa"/>
            <w:vAlign w:val="bottom"/>
            <w:shd w:val="clear" w:color="auto" w:fill="CCEEFF"/>
          </w:tcPr>
          <w:p>
            <w:pPr>
              <w:ind w:left="40"/>
              <w:spacing w:after="0"/>
              <w:rPr>
                <w:sz w:val="20"/>
                <w:szCs w:val="20"/>
                <w:color w:val="auto"/>
              </w:rPr>
            </w:pPr>
            <w:r>
              <w:rPr>
                <w:rFonts w:ascii="Arial" w:cs="Arial" w:eastAsia="Arial" w:hAnsi="Arial"/>
                <w:sz w:val="14"/>
                <w:szCs w:val="14"/>
                <w:color w:val="auto"/>
              </w:rPr>
              <w:t>Run-off</w:t>
            </w:r>
          </w:p>
        </w:tc>
        <w:tc>
          <w:tcPr>
            <w:tcW w:w="300" w:type="dxa"/>
            <w:vAlign w:val="bottom"/>
            <w:shd w:val="clear" w:color="auto" w:fill="CCEEFF"/>
          </w:tcPr>
          <w:p>
            <w:pPr>
              <w:spacing w:after="0"/>
              <w:rPr>
                <w:sz w:val="17"/>
                <w:szCs w:val="17"/>
                <w:color w:val="auto"/>
              </w:rPr>
            </w:pPr>
          </w:p>
        </w:tc>
        <w:tc>
          <w:tcPr>
            <w:tcW w:w="980" w:type="dxa"/>
            <w:vAlign w:val="bottom"/>
            <w:vMerge w:val="restart"/>
            <w:shd w:val="clear" w:color="auto" w:fill="CCEEFF"/>
          </w:tcPr>
          <w:p>
            <w:pPr>
              <w:jc w:val="right"/>
              <w:ind w:right="52"/>
              <w:spacing w:after="0"/>
              <w:rPr>
                <w:sz w:val="20"/>
                <w:szCs w:val="20"/>
                <w:color w:val="auto"/>
              </w:rPr>
            </w:pPr>
            <w:r>
              <w:rPr>
                <w:rFonts w:ascii="Arial" w:cs="Arial" w:eastAsia="Arial" w:hAnsi="Arial"/>
                <w:sz w:val="14"/>
                <w:szCs w:val="14"/>
                <w:color w:val="auto"/>
              </w:rPr>
              <w:t>547</w:t>
            </w: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40" w:type="dxa"/>
            <w:vAlign w:val="bottom"/>
            <w:vMerge w:val="restart"/>
            <w:shd w:val="clear" w:color="auto" w:fill="CCEEFF"/>
          </w:tcPr>
          <w:p>
            <w:pPr>
              <w:jc w:val="right"/>
              <w:ind w:right="30"/>
              <w:spacing w:after="0"/>
              <w:rPr>
                <w:sz w:val="20"/>
                <w:szCs w:val="20"/>
                <w:color w:val="auto"/>
              </w:rPr>
            </w:pPr>
            <w:r>
              <w:rPr>
                <w:rFonts w:ascii="Arial" w:cs="Arial" w:eastAsia="Arial" w:hAnsi="Arial"/>
                <w:sz w:val="14"/>
                <w:szCs w:val="14"/>
                <w:color w:val="auto"/>
              </w:rPr>
              <w:t>674</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60" w:type="dxa"/>
            <w:vAlign w:val="bottom"/>
            <w:vMerge w:val="restart"/>
            <w:shd w:val="clear" w:color="auto" w:fill="CCEEFF"/>
          </w:tcPr>
          <w:p>
            <w:pPr>
              <w:jc w:val="right"/>
              <w:ind w:right="32"/>
              <w:spacing w:after="0"/>
              <w:rPr>
                <w:sz w:val="20"/>
                <w:szCs w:val="20"/>
                <w:color w:val="auto"/>
              </w:rPr>
            </w:pPr>
            <w:r>
              <w:rPr>
                <w:rFonts w:ascii="Arial" w:cs="Arial" w:eastAsia="Arial" w:hAnsi="Arial"/>
                <w:sz w:val="14"/>
                <w:szCs w:val="14"/>
                <w:color w:val="auto"/>
              </w:rPr>
              <w:t>1,631</w:t>
            </w: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2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1,720</w:t>
            </w:r>
          </w:p>
        </w:tc>
        <w:tc>
          <w:tcPr>
            <w:tcW w:w="0" w:type="dxa"/>
            <w:vAlign w:val="bottom"/>
          </w:tcPr>
          <w:p>
            <w:pPr>
              <w:spacing w:after="0"/>
              <w:rPr>
                <w:sz w:val="1"/>
                <w:szCs w:val="1"/>
                <w:color w:val="auto"/>
              </w:rPr>
            </w:pPr>
          </w:p>
        </w:tc>
      </w:tr>
      <w:tr>
        <w:trPr>
          <w:trHeight w:val="80"/>
        </w:trPr>
        <w:tc>
          <w:tcPr>
            <w:tcW w:w="6080" w:type="dxa"/>
            <w:vAlign w:val="bottom"/>
            <w:shd w:val="clear" w:color="auto" w:fill="CCEEFF"/>
          </w:tcPr>
          <w:p>
            <w:pPr>
              <w:spacing w:after="0"/>
              <w:rPr>
                <w:sz w:val="6"/>
                <w:szCs w:val="6"/>
                <w:color w:val="auto"/>
              </w:rPr>
            </w:pPr>
          </w:p>
        </w:tc>
        <w:tc>
          <w:tcPr>
            <w:tcW w:w="300" w:type="dxa"/>
            <w:vAlign w:val="bottom"/>
            <w:shd w:val="clear" w:color="auto" w:fill="CCEEFF"/>
          </w:tcPr>
          <w:p>
            <w:pPr>
              <w:spacing w:after="0"/>
              <w:rPr>
                <w:sz w:val="6"/>
                <w:szCs w:val="6"/>
                <w:color w:val="auto"/>
              </w:rPr>
            </w:pPr>
          </w:p>
        </w:tc>
        <w:tc>
          <w:tcPr>
            <w:tcW w:w="98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400" w:type="dxa"/>
            <w:vAlign w:val="bottom"/>
            <w:shd w:val="clear" w:color="auto" w:fill="CCEEFF"/>
          </w:tcPr>
          <w:p>
            <w:pPr>
              <w:spacing w:after="0"/>
              <w:rPr>
                <w:sz w:val="6"/>
                <w:szCs w:val="6"/>
                <w:color w:val="auto"/>
              </w:rPr>
            </w:pPr>
          </w:p>
        </w:tc>
        <w:tc>
          <w:tcPr>
            <w:tcW w:w="84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80" w:type="dxa"/>
            <w:vAlign w:val="bottom"/>
            <w:shd w:val="clear" w:color="auto" w:fill="CCEEFF"/>
          </w:tcPr>
          <w:p>
            <w:pPr>
              <w:spacing w:after="0"/>
              <w:rPr>
                <w:sz w:val="6"/>
                <w:szCs w:val="6"/>
                <w:color w:val="auto"/>
              </w:rPr>
            </w:pPr>
          </w:p>
        </w:tc>
        <w:tc>
          <w:tcPr>
            <w:tcW w:w="86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420" w:type="dxa"/>
            <w:vAlign w:val="bottom"/>
            <w:shd w:val="clear" w:color="auto" w:fill="CCEEFF"/>
          </w:tcPr>
          <w:p>
            <w:pPr>
              <w:spacing w:after="0"/>
              <w:rPr>
                <w:sz w:val="6"/>
                <w:szCs w:val="6"/>
                <w:color w:val="auto"/>
              </w:rPr>
            </w:pPr>
          </w:p>
        </w:tc>
        <w:tc>
          <w:tcPr>
            <w:tcW w:w="82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6080" w:type="dxa"/>
            <w:vAlign w:val="bottom"/>
          </w:tcPr>
          <w:p>
            <w:pPr>
              <w:ind w:left="40"/>
              <w:spacing w:after="0"/>
              <w:rPr>
                <w:sz w:val="20"/>
                <w:szCs w:val="20"/>
                <w:color w:val="auto"/>
              </w:rPr>
            </w:pPr>
            <w:r>
              <w:rPr>
                <w:rFonts w:ascii="Arial" w:cs="Arial" w:eastAsia="Arial" w:hAnsi="Arial"/>
                <w:sz w:val="14"/>
                <w:szCs w:val="14"/>
                <w:color w:val="auto"/>
              </w:rPr>
              <w:t>Corporate &amp; Other</w:t>
            </w:r>
          </w:p>
        </w:tc>
        <w:tc>
          <w:tcPr>
            <w:tcW w:w="300" w:type="dxa"/>
            <w:vAlign w:val="bottom"/>
          </w:tcPr>
          <w:p>
            <w:pPr>
              <w:spacing w:after="0"/>
              <w:rPr>
                <w:sz w:val="16"/>
                <w:szCs w:val="16"/>
                <w:color w:val="auto"/>
              </w:rPr>
            </w:pPr>
          </w:p>
        </w:tc>
        <w:tc>
          <w:tcPr>
            <w:tcW w:w="980" w:type="dxa"/>
            <w:vAlign w:val="bottom"/>
            <w:vMerge w:val="restart"/>
          </w:tcPr>
          <w:p>
            <w:pPr>
              <w:jc w:val="right"/>
              <w:ind w:right="52"/>
              <w:spacing w:after="0"/>
              <w:rPr>
                <w:sz w:val="20"/>
                <w:szCs w:val="20"/>
                <w:color w:val="auto"/>
              </w:rPr>
            </w:pPr>
            <w:r>
              <w:rPr>
                <w:rFonts w:ascii="Arial" w:cs="Arial" w:eastAsia="Arial" w:hAnsi="Arial"/>
                <w:sz w:val="14"/>
                <w:szCs w:val="14"/>
                <w:color w:val="auto"/>
              </w:rPr>
              <w:t>59</w:t>
            </w: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40" w:type="dxa"/>
            <w:vAlign w:val="bottom"/>
            <w:vMerge w:val="restart"/>
          </w:tcPr>
          <w:p>
            <w:pPr>
              <w:jc w:val="right"/>
              <w:ind w:right="30"/>
              <w:spacing w:after="0"/>
              <w:rPr>
                <w:sz w:val="20"/>
                <w:szCs w:val="20"/>
                <w:color w:val="auto"/>
              </w:rPr>
            </w:pPr>
            <w:r>
              <w:rPr>
                <w:rFonts w:ascii="Arial" w:cs="Arial" w:eastAsia="Arial" w:hAnsi="Arial"/>
                <w:sz w:val="14"/>
                <w:szCs w:val="14"/>
                <w:color w:val="auto"/>
              </w:rPr>
              <w:t>117</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60" w:type="dxa"/>
            <w:vAlign w:val="bottom"/>
            <w:vMerge w:val="restart"/>
          </w:tcPr>
          <w:p>
            <w:pPr>
              <w:jc w:val="right"/>
              <w:ind w:right="32"/>
              <w:spacing w:after="0"/>
              <w:rPr>
                <w:sz w:val="20"/>
                <w:szCs w:val="20"/>
                <w:color w:val="auto"/>
              </w:rPr>
            </w:pPr>
            <w:r>
              <w:rPr>
                <w:rFonts w:ascii="Arial" w:cs="Arial" w:eastAsia="Arial" w:hAnsi="Arial"/>
                <w:sz w:val="14"/>
                <w:szCs w:val="14"/>
                <w:color w:val="auto"/>
              </w:rPr>
              <w:t>230</w:t>
            </w: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20" w:type="dxa"/>
            <w:vAlign w:val="bottom"/>
            <w:vMerge w:val="restart"/>
          </w:tcPr>
          <w:p>
            <w:pPr>
              <w:jc w:val="right"/>
              <w:ind w:right="29"/>
              <w:spacing w:after="0"/>
              <w:rPr>
                <w:sz w:val="20"/>
                <w:szCs w:val="20"/>
                <w:color w:val="auto"/>
              </w:rPr>
            </w:pPr>
            <w:r>
              <w:rPr>
                <w:rFonts w:ascii="Arial" w:cs="Arial" w:eastAsia="Arial" w:hAnsi="Arial"/>
                <w:sz w:val="14"/>
                <w:szCs w:val="14"/>
                <w:color w:val="auto"/>
              </w:rPr>
              <w:t>291</w:t>
            </w:r>
          </w:p>
        </w:tc>
        <w:tc>
          <w:tcPr>
            <w:tcW w:w="0" w:type="dxa"/>
            <w:vAlign w:val="bottom"/>
          </w:tcPr>
          <w:p>
            <w:pPr>
              <w:spacing w:after="0"/>
              <w:rPr>
                <w:sz w:val="1"/>
                <w:szCs w:val="1"/>
                <w:color w:val="auto"/>
              </w:rPr>
            </w:pPr>
          </w:p>
        </w:tc>
      </w:tr>
      <w:tr>
        <w:trPr>
          <w:trHeight w:val="74"/>
        </w:trPr>
        <w:tc>
          <w:tcPr>
            <w:tcW w:w="6080" w:type="dxa"/>
            <w:vAlign w:val="bottom"/>
          </w:tcPr>
          <w:p>
            <w:pPr>
              <w:spacing w:after="0"/>
              <w:rPr>
                <w:sz w:val="6"/>
                <w:szCs w:val="6"/>
                <w:color w:val="auto"/>
              </w:rPr>
            </w:pPr>
          </w:p>
        </w:tc>
        <w:tc>
          <w:tcPr>
            <w:tcW w:w="300" w:type="dxa"/>
            <w:vAlign w:val="bottom"/>
          </w:tcPr>
          <w:p>
            <w:pPr>
              <w:spacing w:after="0"/>
              <w:rPr>
                <w:sz w:val="6"/>
                <w:szCs w:val="6"/>
                <w:color w:val="auto"/>
              </w:rPr>
            </w:pPr>
          </w:p>
        </w:tc>
        <w:tc>
          <w:tcPr>
            <w:tcW w:w="9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400" w:type="dxa"/>
            <w:vAlign w:val="bottom"/>
          </w:tcPr>
          <w:p>
            <w:pPr>
              <w:spacing w:after="0"/>
              <w:rPr>
                <w:sz w:val="6"/>
                <w:szCs w:val="6"/>
                <w:color w:val="auto"/>
              </w:rPr>
            </w:pPr>
          </w:p>
        </w:tc>
        <w:tc>
          <w:tcPr>
            <w:tcW w:w="84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380" w:type="dxa"/>
            <w:vAlign w:val="bottom"/>
          </w:tcPr>
          <w:p>
            <w:pPr>
              <w:spacing w:after="0"/>
              <w:rPr>
                <w:sz w:val="6"/>
                <w:szCs w:val="6"/>
                <w:color w:val="auto"/>
              </w:rPr>
            </w:pPr>
          </w:p>
        </w:tc>
        <w:tc>
          <w:tcPr>
            <w:tcW w:w="86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420" w:type="dxa"/>
            <w:vAlign w:val="bottom"/>
          </w:tcPr>
          <w:p>
            <w:pPr>
              <w:spacing w:after="0"/>
              <w:rPr>
                <w:sz w:val="6"/>
                <w:szCs w:val="6"/>
                <w:color w:val="auto"/>
              </w:rPr>
            </w:pPr>
          </w:p>
        </w:tc>
        <w:tc>
          <w:tcPr>
            <w:tcW w:w="8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6080" w:type="dxa"/>
            <w:vAlign w:val="bottom"/>
            <w:shd w:val="clear" w:color="auto" w:fill="CCEEFF"/>
          </w:tcPr>
          <w:p>
            <w:pPr>
              <w:ind w:left="40"/>
              <w:spacing w:after="0"/>
              <w:rPr>
                <w:sz w:val="20"/>
                <w:szCs w:val="20"/>
                <w:color w:val="auto"/>
              </w:rPr>
            </w:pPr>
            <w:r>
              <w:rPr>
                <w:rFonts w:ascii="Arial" w:cs="Arial" w:eastAsia="Arial" w:hAnsi="Arial"/>
                <w:sz w:val="14"/>
                <w:szCs w:val="14"/>
                <w:color w:val="auto"/>
              </w:rPr>
              <w:t>Adjustments</w:t>
            </w:r>
          </w:p>
        </w:tc>
        <w:tc>
          <w:tcPr>
            <w:tcW w:w="300" w:type="dxa"/>
            <w:vAlign w:val="bottom"/>
            <w:shd w:val="clear" w:color="auto" w:fill="CCEEFF"/>
          </w:tcPr>
          <w:p>
            <w:pPr>
              <w:spacing w:after="0"/>
              <w:rPr>
                <w:sz w:val="17"/>
                <w:szCs w:val="17"/>
                <w:color w:val="auto"/>
              </w:rPr>
            </w:pPr>
          </w:p>
        </w:tc>
        <w:tc>
          <w:tcPr>
            <w:tcW w:w="980" w:type="dxa"/>
            <w:vAlign w:val="bottom"/>
            <w:vMerge w:val="restart"/>
            <w:shd w:val="clear" w:color="auto" w:fill="CCEEFF"/>
          </w:tcPr>
          <w:p>
            <w:pPr>
              <w:jc w:val="right"/>
              <w:ind w:right="12"/>
              <w:spacing w:after="0"/>
              <w:rPr>
                <w:sz w:val="20"/>
                <w:szCs w:val="20"/>
                <w:color w:val="auto"/>
              </w:rPr>
            </w:pPr>
            <w:r>
              <w:rPr>
                <w:rFonts w:ascii="Arial" w:cs="Arial" w:eastAsia="Arial" w:hAnsi="Arial"/>
                <w:sz w:val="14"/>
                <w:szCs w:val="14"/>
                <w:color w:val="auto"/>
              </w:rPr>
              <w:t>(91)</w:t>
            </w: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(477)</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(1,151)</w:t>
            </w: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(3,178)</w:t>
            </w:r>
          </w:p>
        </w:tc>
        <w:tc>
          <w:tcPr>
            <w:tcW w:w="0" w:type="dxa"/>
            <w:vAlign w:val="bottom"/>
          </w:tcPr>
          <w:p>
            <w:pPr>
              <w:spacing w:after="0"/>
              <w:rPr>
                <w:sz w:val="1"/>
                <w:szCs w:val="1"/>
                <w:color w:val="auto"/>
              </w:rPr>
            </w:pPr>
          </w:p>
        </w:tc>
      </w:tr>
      <w:tr>
        <w:trPr>
          <w:trHeight w:val="80"/>
        </w:trPr>
        <w:tc>
          <w:tcPr>
            <w:tcW w:w="6080" w:type="dxa"/>
            <w:vAlign w:val="bottom"/>
            <w:shd w:val="clear" w:color="auto" w:fill="CCEEFF"/>
          </w:tcPr>
          <w:p>
            <w:pPr>
              <w:spacing w:after="0"/>
              <w:rPr>
                <w:sz w:val="6"/>
                <w:szCs w:val="6"/>
                <w:color w:val="auto"/>
              </w:rPr>
            </w:pPr>
          </w:p>
        </w:tc>
        <w:tc>
          <w:tcPr>
            <w:tcW w:w="300" w:type="dxa"/>
            <w:vAlign w:val="bottom"/>
            <w:tcBorders>
              <w:bottom w:val="single" w:sz="8" w:color="auto"/>
            </w:tcBorders>
            <w:shd w:val="clear" w:color="auto" w:fill="CCEEFF"/>
          </w:tcPr>
          <w:p>
            <w:pPr>
              <w:spacing w:after="0"/>
              <w:rPr>
                <w:sz w:val="6"/>
                <w:szCs w:val="6"/>
                <w:color w:val="auto"/>
              </w:rPr>
            </w:pPr>
          </w:p>
        </w:tc>
        <w:tc>
          <w:tcPr>
            <w:tcW w:w="98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400" w:type="dxa"/>
            <w:vAlign w:val="bottom"/>
            <w:tcBorders>
              <w:bottom w:val="single" w:sz="8" w:color="auto"/>
            </w:tcBorders>
            <w:shd w:val="clear" w:color="auto" w:fill="CCEEFF"/>
          </w:tcPr>
          <w:p>
            <w:pPr>
              <w:spacing w:after="0"/>
              <w:rPr>
                <w:sz w:val="6"/>
                <w:szCs w:val="6"/>
                <w:color w:val="auto"/>
              </w:rPr>
            </w:pPr>
          </w:p>
        </w:tc>
        <w:tc>
          <w:tcPr>
            <w:tcW w:w="84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80" w:type="dxa"/>
            <w:vAlign w:val="bottom"/>
            <w:tcBorders>
              <w:bottom w:val="single" w:sz="8" w:color="auto"/>
            </w:tcBorders>
            <w:shd w:val="clear" w:color="auto" w:fill="CCEEFF"/>
          </w:tcPr>
          <w:p>
            <w:pPr>
              <w:spacing w:after="0"/>
              <w:rPr>
                <w:sz w:val="6"/>
                <w:szCs w:val="6"/>
                <w:color w:val="auto"/>
              </w:rPr>
            </w:pPr>
          </w:p>
        </w:tc>
        <w:tc>
          <w:tcPr>
            <w:tcW w:w="86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420" w:type="dxa"/>
            <w:vAlign w:val="bottom"/>
            <w:tcBorders>
              <w:bottom w:val="single" w:sz="8" w:color="auto"/>
            </w:tcBorders>
            <w:shd w:val="clear" w:color="auto" w:fill="CCEEFF"/>
          </w:tcPr>
          <w:p>
            <w:pPr>
              <w:spacing w:after="0"/>
              <w:rPr>
                <w:sz w:val="6"/>
                <w:szCs w:val="6"/>
                <w:color w:val="auto"/>
              </w:rPr>
            </w:pPr>
          </w:p>
        </w:tc>
        <w:tc>
          <w:tcPr>
            <w:tcW w:w="820" w:type="dxa"/>
            <w:vAlign w:val="bottom"/>
            <w:tcBorders>
              <w:bottom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1"/>
        </w:trPr>
        <w:tc>
          <w:tcPr>
            <w:tcW w:w="6080" w:type="dxa"/>
            <w:vAlign w:val="bottom"/>
          </w:tcPr>
          <w:p>
            <w:pPr>
              <w:ind w:left="200"/>
              <w:spacing w:after="0"/>
              <w:rPr>
                <w:sz w:val="20"/>
                <w:szCs w:val="20"/>
                <w:color w:val="auto"/>
              </w:rPr>
            </w:pPr>
            <w:r>
              <w:rPr>
                <w:rFonts w:ascii="Arial" w:cs="Arial" w:eastAsia="Arial" w:hAnsi="Arial"/>
                <w:sz w:val="14"/>
                <w:szCs w:val="14"/>
                <w:color w:val="auto"/>
              </w:rPr>
              <w:t>Total</w:t>
            </w:r>
          </w:p>
        </w:tc>
        <w:tc>
          <w:tcPr>
            <w:tcW w:w="300" w:type="dxa"/>
            <w:vAlign w:val="bottom"/>
            <w:vMerge w:val="restart"/>
          </w:tcPr>
          <w:p>
            <w:pPr>
              <w:jc w:val="right"/>
              <w:ind w:right="128"/>
              <w:spacing w:after="0"/>
              <w:rPr>
                <w:sz w:val="20"/>
                <w:szCs w:val="20"/>
                <w:color w:val="auto"/>
              </w:rPr>
            </w:pPr>
            <w:r>
              <w:rPr>
                <w:rFonts w:ascii="Arial" w:cs="Arial" w:eastAsia="Arial" w:hAnsi="Arial"/>
                <w:sz w:val="14"/>
                <w:szCs w:val="14"/>
                <w:color w:val="auto"/>
              </w:rPr>
              <w:t>$</w:t>
            </w:r>
          </w:p>
        </w:tc>
        <w:tc>
          <w:tcPr>
            <w:tcW w:w="980" w:type="dxa"/>
            <w:vAlign w:val="bottom"/>
            <w:vMerge w:val="restart"/>
          </w:tcPr>
          <w:p>
            <w:pPr>
              <w:jc w:val="right"/>
              <w:ind w:right="52"/>
              <w:spacing w:after="0"/>
              <w:rPr>
                <w:sz w:val="20"/>
                <w:szCs w:val="20"/>
                <w:color w:val="auto"/>
              </w:rPr>
            </w:pPr>
            <w:r>
              <w:rPr>
                <w:rFonts w:ascii="Arial" w:cs="Arial" w:eastAsia="Arial" w:hAnsi="Arial"/>
                <w:sz w:val="14"/>
                <w:szCs w:val="14"/>
                <w:color w:val="auto"/>
              </w:rPr>
              <w:t>1,972</w:t>
            </w:r>
          </w:p>
        </w:tc>
        <w:tc>
          <w:tcPr>
            <w:tcW w:w="120" w:type="dxa"/>
            <w:vAlign w:val="bottom"/>
          </w:tcPr>
          <w:p>
            <w:pPr>
              <w:spacing w:after="0"/>
              <w:rPr>
                <w:sz w:val="14"/>
                <w:szCs w:val="14"/>
                <w:color w:val="auto"/>
              </w:rPr>
            </w:pPr>
          </w:p>
        </w:tc>
        <w:tc>
          <w:tcPr>
            <w:tcW w:w="400" w:type="dxa"/>
            <w:vAlign w:val="bottom"/>
            <w:vMerge w:val="restart"/>
          </w:tcPr>
          <w:p>
            <w:pPr>
              <w:jc w:val="right"/>
              <w:ind w:right="228"/>
              <w:spacing w:after="0"/>
              <w:rPr>
                <w:sz w:val="20"/>
                <w:szCs w:val="20"/>
                <w:color w:val="auto"/>
              </w:rPr>
            </w:pPr>
            <w:r>
              <w:rPr>
                <w:rFonts w:ascii="Arial" w:cs="Arial" w:eastAsia="Arial" w:hAnsi="Arial"/>
                <w:sz w:val="14"/>
                <w:szCs w:val="14"/>
                <w:color w:val="auto"/>
              </w:rPr>
              <w:t>$</w:t>
            </w:r>
          </w:p>
        </w:tc>
        <w:tc>
          <w:tcPr>
            <w:tcW w:w="840" w:type="dxa"/>
            <w:vAlign w:val="bottom"/>
            <w:vMerge w:val="restart"/>
          </w:tcPr>
          <w:p>
            <w:pPr>
              <w:jc w:val="right"/>
              <w:ind w:right="30"/>
              <w:spacing w:after="0"/>
              <w:rPr>
                <w:sz w:val="20"/>
                <w:szCs w:val="20"/>
                <w:color w:val="auto"/>
              </w:rPr>
            </w:pPr>
            <w:r>
              <w:rPr>
                <w:rFonts w:ascii="Arial" w:cs="Arial" w:eastAsia="Arial" w:hAnsi="Arial"/>
                <w:sz w:val="14"/>
                <w:szCs w:val="14"/>
                <w:color w:val="auto"/>
              </w:rPr>
              <w:t>1,766</w:t>
            </w:r>
          </w:p>
        </w:tc>
        <w:tc>
          <w:tcPr>
            <w:tcW w:w="100" w:type="dxa"/>
            <w:vAlign w:val="bottom"/>
          </w:tcPr>
          <w:p>
            <w:pPr>
              <w:spacing w:after="0"/>
              <w:rPr>
                <w:sz w:val="14"/>
                <w:szCs w:val="14"/>
                <w:color w:val="auto"/>
              </w:rPr>
            </w:pPr>
          </w:p>
        </w:tc>
        <w:tc>
          <w:tcPr>
            <w:tcW w:w="380" w:type="dxa"/>
            <w:vAlign w:val="bottom"/>
            <w:vMerge w:val="restart"/>
          </w:tcPr>
          <w:p>
            <w:pPr>
              <w:jc w:val="right"/>
              <w:ind w:right="208"/>
              <w:spacing w:after="0"/>
              <w:rPr>
                <w:sz w:val="20"/>
                <w:szCs w:val="20"/>
                <w:color w:val="auto"/>
              </w:rPr>
            </w:pPr>
            <w:r>
              <w:rPr>
                <w:rFonts w:ascii="Arial" w:cs="Arial" w:eastAsia="Arial" w:hAnsi="Arial"/>
                <w:sz w:val="14"/>
                <w:szCs w:val="14"/>
                <w:color w:val="auto"/>
              </w:rPr>
              <w:t>$</w:t>
            </w:r>
          </w:p>
        </w:tc>
        <w:tc>
          <w:tcPr>
            <w:tcW w:w="860" w:type="dxa"/>
            <w:vAlign w:val="bottom"/>
            <w:vMerge w:val="restart"/>
          </w:tcPr>
          <w:p>
            <w:pPr>
              <w:jc w:val="right"/>
              <w:ind w:right="32"/>
              <w:spacing w:after="0"/>
              <w:rPr>
                <w:sz w:val="20"/>
                <w:szCs w:val="20"/>
                <w:color w:val="auto"/>
              </w:rPr>
            </w:pPr>
            <w:r>
              <w:rPr>
                <w:rFonts w:ascii="Arial" w:cs="Arial" w:eastAsia="Arial" w:hAnsi="Arial"/>
                <w:sz w:val="14"/>
                <w:szCs w:val="14"/>
                <w:color w:val="auto"/>
              </w:rPr>
              <w:t>4,962</w:t>
            </w:r>
          </w:p>
        </w:tc>
        <w:tc>
          <w:tcPr>
            <w:tcW w:w="120" w:type="dxa"/>
            <w:vAlign w:val="bottom"/>
          </w:tcPr>
          <w:p>
            <w:pPr>
              <w:spacing w:after="0"/>
              <w:rPr>
                <w:sz w:val="14"/>
                <w:szCs w:val="14"/>
                <w:color w:val="auto"/>
              </w:rPr>
            </w:pPr>
          </w:p>
        </w:tc>
        <w:tc>
          <w:tcPr>
            <w:tcW w:w="420" w:type="dxa"/>
            <w:vAlign w:val="bottom"/>
            <w:vMerge w:val="restart"/>
          </w:tcPr>
          <w:p>
            <w:pPr>
              <w:jc w:val="right"/>
              <w:ind w:right="248"/>
              <w:spacing w:after="0"/>
              <w:rPr>
                <w:sz w:val="20"/>
                <w:szCs w:val="20"/>
                <w:color w:val="auto"/>
              </w:rPr>
            </w:pPr>
            <w:r>
              <w:rPr>
                <w:rFonts w:ascii="Arial" w:cs="Arial" w:eastAsia="Arial" w:hAnsi="Arial"/>
                <w:sz w:val="14"/>
                <w:szCs w:val="14"/>
                <w:color w:val="auto"/>
              </w:rPr>
              <w:t>$</w:t>
            </w:r>
          </w:p>
        </w:tc>
        <w:tc>
          <w:tcPr>
            <w:tcW w:w="820" w:type="dxa"/>
            <w:vAlign w:val="bottom"/>
            <w:vMerge w:val="restart"/>
          </w:tcPr>
          <w:p>
            <w:pPr>
              <w:jc w:val="right"/>
              <w:ind w:right="29"/>
              <w:spacing w:after="0"/>
              <w:rPr>
                <w:sz w:val="20"/>
                <w:szCs w:val="20"/>
                <w:color w:val="auto"/>
              </w:rPr>
            </w:pPr>
            <w:r>
              <w:rPr>
                <w:rFonts w:ascii="Arial" w:cs="Arial" w:eastAsia="Arial" w:hAnsi="Arial"/>
                <w:sz w:val="14"/>
                <w:szCs w:val="14"/>
                <w:color w:val="auto"/>
              </w:rPr>
              <w:t>3,571</w:t>
            </w:r>
          </w:p>
        </w:tc>
        <w:tc>
          <w:tcPr>
            <w:tcW w:w="0" w:type="dxa"/>
            <w:vAlign w:val="bottom"/>
          </w:tcPr>
          <w:p>
            <w:pPr>
              <w:spacing w:after="0"/>
              <w:rPr>
                <w:sz w:val="1"/>
                <w:szCs w:val="1"/>
                <w:color w:val="auto"/>
              </w:rPr>
            </w:pPr>
          </w:p>
        </w:tc>
      </w:tr>
      <w:tr>
        <w:trPr>
          <w:trHeight w:val="65"/>
        </w:trPr>
        <w:tc>
          <w:tcPr>
            <w:tcW w:w="6080" w:type="dxa"/>
            <w:vAlign w:val="bottom"/>
          </w:tcPr>
          <w:p>
            <w:pPr>
              <w:spacing w:after="0"/>
              <w:rPr>
                <w:sz w:val="5"/>
                <w:szCs w:val="5"/>
                <w:color w:val="auto"/>
              </w:rPr>
            </w:pPr>
          </w:p>
        </w:tc>
        <w:tc>
          <w:tcPr>
            <w:tcW w:w="300" w:type="dxa"/>
            <w:vAlign w:val="bottom"/>
            <w:tcBorders>
              <w:bottom w:val="single" w:sz="8" w:color="auto"/>
            </w:tcBorders>
            <w:vMerge w:val="continue"/>
          </w:tcPr>
          <w:p>
            <w:pPr>
              <w:spacing w:after="0"/>
              <w:rPr>
                <w:sz w:val="5"/>
                <w:szCs w:val="5"/>
                <w:color w:val="auto"/>
              </w:rPr>
            </w:pPr>
          </w:p>
        </w:tc>
        <w:tc>
          <w:tcPr>
            <w:tcW w:w="980" w:type="dxa"/>
            <w:vAlign w:val="bottom"/>
            <w:tcBorders>
              <w:bottom w:val="single" w:sz="8" w:color="auto"/>
            </w:tcBorders>
            <w:vMerge w:val="continue"/>
          </w:tcPr>
          <w:p>
            <w:pPr>
              <w:spacing w:after="0"/>
              <w:rPr>
                <w:sz w:val="5"/>
                <w:szCs w:val="5"/>
                <w:color w:val="auto"/>
              </w:rPr>
            </w:pPr>
          </w:p>
        </w:tc>
        <w:tc>
          <w:tcPr>
            <w:tcW w:w="120" w:type="dxa"/>
            <w:vAlign w:val="bottom"/>
          </w:tcPr>
          <w:p>
            <w:pPr>
              <w:spacing w:after="0"/>
              <w:rPr>
                <w:sz w:val="5"/>
                <w:szCs w:val="5"/>
                <w:color w:val="auto"/>
              </w:rPr>
            </w:pPr>
          </w:p>
        </w:tc>
        <w:tc>
          <w:tcPr>
            <w:tcW w:w="400" w:type="dxa"/>
            <w:vAlign w:val="bottom"/>
            <w:tcBorders>
              <w:bottom w:val="single" w:sz="8" w:color="auto"/>
            </w:tcBorders>
            <w:vMerge w:val="continue"/>
          </w:tcPr>
          <w:p>
            <w:pPr>
              <w:spacing w:after="0"/>
              <w:rPr>
                <w:sz w:val="5"/>
                <w:szCs w:val="5"/>
                <w:color w:val="auto"/>
              </w:rPr>
            </w:pPr>
          </w:p>
        </w:tc>
        <w:tc>
          <w:tcPr>
            <w:tcW w:w="840" w:type="dxa"/>
            <w:vAlign w:val="bottom"/>
            <w:tcBorders>
              <w:bottom w:val="single" w:sz="8" w:color="auto"/>
            </w:tcBorders>
            <w:vMerge w:val="continue"/>
          </w:tcPr>
          <w:p>
            <w:pPr>
              <w:spacing w:after="0"/>
              <w:rPr>
                <w:sz w:val="5"/>
                <w:szCs w:val="5"/>
                <w:color w:val="auto"/>
              </w:rPr>
            </w:pPr>
          </w:p>
        </w:tc>
        <w:tc>
          <w:tcPr>
            <w:tcW w:w="100" w:type="dxa"/>
            <w:vAlign w:val="bottom"/>
          </w:tcPr>
          <w:p>
            <w:pPr>
              <w:spacing w:after="0"/>
              <w:rPr>
                <w:sz w:val="5"/>
                <w:szCs w:val="5"/>
                <w:color w:val="auto"/>
              </w:rPr>
            </w:pPr>
          </w:p>
        </w:tc>
        <w:tc>
          <w:tcPr>
            <w:tcW w:w="380" w:type="dxa"/>
            <w:vAlign w:val="bottom"/>
            <w:tcBorders>
              <w:bottom w:val="single" w:sz="8" w:color="auto"/>
            </w:tcBorders>
            <w:vMerge w:val="continue"/>
          </w:tcPr>
          <w:p>
            <w:pPr>
              <w:spacing w:after="0"/>
              <w:rPr>
                <w:sz w:val="5"/>
                <w:szCs w:val="5"/>
                <w:color w:val="auto"/>
              </w:rPr>
            </w:pPr>
          </w:p>
        </w:tc>
        <w:tc>
          <w:tcPr>
            <w:tcW w:w="860" w:type="dxa"/>
            <w:vAlign w:val="bottom"/>
            <w:tcBorders>
              <w:bottom w:val="single" w:sz="8" w:color="auto"/>
            </w:tcBorders>
            <w:vMerge w:val="continue"/>
          </w:tcPr>
          <w:p>
            <w:pPr>
              <w:spacing w:after="0"/>
              <w:rPr>
                <w:sz w:val="5"/>
                <w:szCs w:val="5"/>
                <w:color w:val="auto"/>
              </w:rPr>
            </w:pPr>
          </w:p>
        </w:tc>
        <w:tc>
          <w:tcPr>
            <w:tcW w:w="120" w:type="dxa"/>
            <w:vAlign w:val="bottom"/>
          </w:tcPr>
          <w:p>
            <w:pPr>
              <w:spacing w:after="0"/>
              <w:rPr>
                <w:sz w:val="5"/>
                <w:szCs w:val="5"/>
                <w:color w:val="auto"/>
              </w:rPr>
            </w:pPr>
          </w:p>
        </w:tc>
        <w:tc>
          <w:tcPr>
            <w:tcW w:w="420" w:type="dxa"/>
            <w:vAlign w:val="bottom"/>
            <w:tcBorders>
              <w:bottom w:val="single" w:sz="8" w:color="auto"/>
            </w:tcBorders>
            <w:vMerge w:val="continue"/>
          </w:tcPr>
          <w:p>
            <w:pPr>
              <w:spacing w:after="0"/>
              <w:rPr>
                <w:sz w:val="5"/>
                <w:szCs w:val="5"/>
                <w:color w:val="auto"/>
              </w:rPr>
            </w:pPr>
          </w:p>
        </w:tc>
        <w:tc>
          <w:tcPr>
            <w:tcW w:w="820" w:type="dxa"/>
            <w:vAlign w:val="bottom"/>
            <w:tcBorders>
              <w:bottom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60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234" w:right="239" w:bottom="1440" w:gutter="0" w:footer="0" w:header="0"/>
        </w:sect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ectPr>
          <w:pgSz w:w="11900" w:h="16838" w:orient="portrait"/>
          <w:cols w:equalWidth="0" w:num="1">
            <w:col w:w="11420"/>
          </w:cols>
          <w:pgMar w:left="240" w:top="234" w:right="239" w:bottom="1440" w:gutter="0" w:footer="0" w:header="0"/>
          <w:type w:val="continuous"/>
        </w:sectPr>
      </w:pPr>
    </w:p>
    <w:bookmarkStart w:id="15" w:name="page16"/>
    <w:bookmarkEnd w:id="15"/>
    <w:p>
      <w:pPr>
        <w:ind w:left="340"/>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109" w:lineRule="exact"/>
        <w:rPr>
          <w:sz w:val="20"/>
          <w:szCs w:val="20"/>
          <w:color w:val="auto"/>
        </w:rPr>
      </w:pPr>
    </w:p>
    <w:p>
      <w:pPr>
        <w:ind w:left="4840"/>
        <w:spacing w:after="0"/>
        <w:rPr>
          <w:sz w:val="20"/>
          <w:szCs w:val="20"/>
          <w:color w:val="auto"/>
        </w:rPr>
      </w:pPr>
      <w:r>
        <w:rPr>
          <w:rFonts w:ascii="Arial" w:cs="Arial" w:eastAsia="Arial" w:hAnsi="Arial"/>
          <w:sz w:val="18"/>
          <w:szCs w:val="18"/>
          <w:b w:val="1"/>
          <w:bCs w:val="1"/>
          <w:color w:val="auto"/>
        </w:rPr>
        <w:t>Brighthouse Financial, Inc.</w:t>
      </w:r>
    </w:p>
    <w:p>
      <w:pPr>
        <w:spacing w:after="0" w:line="117" w:lineRule="exact"/>
        <w:rPr>
          <w:sz w:val="20"/>
          <w:szCs w:val="20"/>
          <w:color w:val="auto"/>
        </w:rPr>
      </w:pPr>
    </w:p>
    <w:p>
      <w:pPr>
        <w:ind w:left="1640"/>
        <w:spacing w:after="0"/>
        <w:rPr>
          <w:sz w:val="20"/>
          <w:szCs w:val="20"/>
          <w:color w:val="auto"/>
        </w:rPr>
      </w:pPr>
      <w:r>
        <w:rPr>
          <w:rFonts w:ascii="Arial" w:cs="Arial" w:eastAsia="Arial" w:hAnsi="Arial"/>
          <w:sz w:val="18"/>
          <w:szCs w:val="18"/>
          <w:b w:val="1"/>
          <w:bCs w:val="1"/>
          <w:color w:val="auto"/>
        </w:rPr>
        <w:t>Notes to the Interim Condensed Consolidated and Combined Financial Statements (Unaudited) — (continued)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Segment Information (continued)</w:t>
      </w:r>
    </w:p>
    <w:p>
      <w:pPr>
        <w:spacing w:after="0" w:line="36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total assets with respect to the Company’s segments, as well as Corporate &amp; Other, at:</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6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September 30, 2017</w:t>
            </w:r>
          </w:p>
        </w:tc>
        <w:tc>
          <w:tcPr>
            <w:tcW w:w="32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ind w:right="240"/>
              <w:spacing w:after="0"/>
              <w:rPr>
                <w:sz w:val="20"/>
                <w:szCs w:val="20"/>
                <w:color w:val="auto"/>
              </w:rPr>
            </w:pPr>
            <w:r>
              <w:rPr>
                <w:rFonts w:ascii="Arial" w:cs="Arial" w:eastAsia="Arial" w:hAnsi="Arial"/>
                <w:sz w:val="14"/>
                <w:szCs w:val="14"/>
                <w:b w:val="1"/>
                <w:bCs w:val="1"/>
                <w:color w:val="auto"/>
                <w:w w:val="90"/>
              </w:rPr>
              <w:t>December 31, 2016</w:t>
            </w:r>
          </w:p>
        </w:tc>
      </w:tr>
      <w:tr>
        <w:trPr>
          <w:trHeight w:val="196"/>
        </w:trPr>
        <w:tc>
          <w:tcPr>
            <w:tcW w:w="7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6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millions)</w:t>
            </w:r>
          </w:p>
        </w:tc>
        <w:tc>
          <w:tcPr>
            <w:tcW w:w="1480" w:type="dxa"/>
            <w:vAlign w:val="bottom"/>
          </w:tcPr>
          <w:p>
            <w:pPr>
              <w:spacing w:after="0"/>
              <w:rPr>
                <w:sz w:val="17"/>
                <w:szCs w:val="17"/>
                <w:color w:val="auto"/>
              </w:rPr>
            </w:pPr>
          </w:p>
        </w:tc>
      </w:tr>
      <w:tr>
        <w:trPr>
          <w:trHeight w:val="256"/>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Annuities</w:t>
            </w: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62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153,506</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4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152,146</w:t>
            </w:r>
          </w:p>
        </w:tc>
      </w:tr>
      <w:tr>
        <w:trPr>
          <w:trHeight w:val="237"/>
        </w:trPr>
        <w:tc>
          <w:tcPr>
            <w:tcW w:w="7660" w:type="dxa"/>
            <w:vAlign w:val="bottom"/>
          </w:tcPr>
          <w:p>
            <w:pPr>
              <w:ind w:left="40"/>
              <w:spacing w:after="0"/>
              <w:rPr>
                <w:sz w:val="20"/>
                <w:szCs w:val="20"/>
                <w:color w:val="auto"/>
              </w:rPr>
            </w:pPr>
            <w:r>
              <w:rPr>
                <w:rFonts w:ascii="Arial" w:cs="Arial" w:eastAsia="Arial" w:hAnsi="Arial"/>
                <w:sz w:val="16"/>
                <w:szCs w:val="16"/>
                <w:color w:val="auto"/>
              </w:rPr>
              <w:t>Life</w:t>
            </w:r>
          </w:p>
        </w:tc>
        <w:tc>
          <w:tcPr>
            <w:tcW w:w="220" w:type="dxa"/>
            <w:vAlign w:val="bottom"/>
          </w:tcPr>
          <w:p>
            <w:pPr>
              <w:spacing w:after="0"/>
              <w:rPr>
                <w:sz w:val="20"/>
                <w:szCs w:val="20"/>
                <w:color w:val="auto"/>
              </w:rPr>
            </w:pPr>
          </w:p>
        </w:tc>
        <w:tc>
          <w:tcPr>
            <w:tcW w:w="1620" w:type="dxa"/>
            <w:vAlign w:val="bottom"/>
          </w:tcPr>
          <w:p>
            <w:pPr>
              <w:jc w:val="right"/>
              <w:ind w:right="22"/>
              <w:spacing w:after="0"/>
              <w:rPr>
                <w:sz w:val="20"/>
                <w:szCs w:val="20"/>
                <w:color w:val="auto"/>
              </w:rPr>
            </w:pPr>
            <w:r>
              <w:rPr>
                <w:rFonts w:ascii="Arial" w:cs="Arial" w:eastAsia="Arial" w:hAnsi="Arial"/>
                <w:sz w:val="16"/>
                <w:szCs w:val="16"/>
                <w:color w:val="auto"/>
              </w:rPr>
              <w:t>18,527</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80" w:type="dxa"/>
            <w:vAlign w:val="bottom"/>
          </w:tcPr>
          <w:p>
            <w:pPr>
              <w:jc w:val="right"/>
              <w:ind w:right="20"/>
              <w:spacing w:after="0"/>
              <w:rPr>
                <w:sz w:val="20"/>
                <w:szCs w:val="20"/>
                <w:color w:val="auto"/>
              </w:rPr>
            </w:pPr>
            <w:r>
              <w:rPr>
                <w:rFonts w:ascii="Arial" w:cs="Arial" w:eastAsia="Arial" w:hAnsi="Arial"/>
                <w:sz w:val="16"/>
                <w:szCs w:val="16"/>
                <w:color w:val="auto"/>
              </w:rPr>
              <w:t>17,150</w:t>
            </w:r>
          </w:p>
        </w:tc>
      </w:tr>
      <w:tr>
        <w:trPr>
          <w:trHeight w:val="33"/>
        </w:trPr>
        <w:tc>
          <w:tcPr>
            <w:tcW w:w="7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Run-off</w:t>
            </w:r>
          </w:p>
        </w:tc>
        <w:tc>
          <w:tcPr>
            <w:tcW w:w="2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36,546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40,007</w:t>
            </w:r>
          </w:p>
        </w:tc>
      </w:tr>
      <w:tr>
        <w:trPr>
          <w:trHeight w:val="237"/>
        </w:trPr>
        <w:tc>
          <w:tcPr>
            <w:tcW w:w="7660" w:type="dxa"/>
            <w:vAlign w:val="bottom"/>
          </w:tcPr>
          <w:p>
            <w:pPr>
              <w:ind w:left="40"/>
              <w:spacing w:after="0"/>
              <w:rPr>
                <w:sz w:val="20"/>
                <w:szCs w:val="20"/>
                <w:color w:val="auto"/>
              </w:rPr>
            </w:pPr>
            <w:r>
              <w:rPr>
                <w:rFonts w:ascii="Arial" w:cs="Arial" w:eastAsia="Arial" w:hAnsi="Arial"/>
                <w:sz w:val="16"/>
                <w:szCs w:val="16"/>
                <w:color w:val="auto"/>
              </w:rPr>
              <w:t>Corporate &amp; Other</w:t>
            </w:r>
          </w:p>
        </w:tc>
        <w:tc>
          <w:tcPr>
            <w:tcW w:w="220" w:type="dxa"/>
            <w:vAlign w:val="bottom"/>
          </w:tcPr>
          <w:p>
            <w:pPr>
              <w:spacing w:after="0"/>
              <w:rPr>
                <w:sz w:val="20"/>
                <w:szCs w:val="20"/>
                <w:color w:val="auto"/>
              </w:rPr>
            </w:pPr>
          </w:p>
        </w:tc>
        <w:tc>
          <w:tcPr>
            <w:tcW w:w="1620" w:type="dxa"/>
            <w:vAlign w:val="bottom"/>
          </w:tcPr>
          <w:p>
            <w:pPr>
              <w:jc w:val="right"/>
              <w:ind w:right="22"/>
              <w:spacing w:after="0"/>
              <w:rPr>
                <w:sz w:val="20"/>
                <w:szCs w:val="20"/>
                <w:color w:val="auto"/>
              </w:rPr>
            </w:pPr>
            <w:r>
              <w:rPr>
                <w:rFonts w:ascii="Arial" w:cs="Arial" w:eastAsia="Arial" w:hAnsi="Arial"/>
                <w:sz w:val="16"/>
                <w:szCs w:val="16"/>
                <w:color w:val="auto"/>
              </w:rPr>
              <w:t>14,700</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80" w:type="dxa"/>
            <w:vAlign w:val="bottom"/>
          </w:tcPr>
          <w:p>
            <w:pPr>
              <w:jc w:val="right"/>
              <w:ind w:right="20"/>
              <w:spacing w:after="0"/>
              <w:rPr>
                <w:sz w:val="20"/>
                <w:szCs w:val="20"/>
                <w:color w:val="auto"/>
              </w:rPr>
            </w:pPr>
            <w:r>
              <w:rPr>
                <w:rFonts w:ascii="Arial" w:cs="Arial" w:eastAsia="Arial" w:hAnsi="Arial"/>
                <w:sz w:val="16"/>
                <w:szCs w:val="16"/>
                <w:color w:val="auto"/>
              </w:rPr>
              <w:t>12,627</w:t>
            </w:r>
          </w:p>
        </w:tc>
      </w:tr>
      <w:tr>
        <w:trPr>
          <w:trHeight w:val="33"/>
        </w:trPr>
        <w:tc>
          <w:tcPr>
            <w:tcW w:w="76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44"/>
        </w:trPr>
        <w:tc>
          <w:tcPr>
            <w:tcW w:w="7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Total</w:t>
            </w:r>
          </w:p>
        </w:tc>
        <w:tc>
          <w:tcPr>
            <w:tcW w:w="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62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rPr>
              <w:t>223,279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48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221,930</w:t>
            </w:r>
          </w:p>
        </w:tc>
      </w:tr>
      <w:tr>
        <w:trPr>
          <w:trHeight w:val="20"/>
        </w:trPr>
        <w:tc>
          <w:tcPr>
            <w:tcW w:w="76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Insurance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Guarantees</w:t>
      </w:r>
    </w:p>
    <w:p>
      <w:pPr>
        <w:spacing w:after="0" w:line="11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As discussed in Notes 1 and 4 of the Notes to the Combined Financial Statements included in the Form 10, the Company issues variable annuity products with guaranteed minimum benefits. Guaranteed minimum accumulation benefits (“GMABs”), the non-life contingent portion of guaranteed minimum withdrawal benefits (“GMWBs”) and the portion of certain GMIBs that do not require annuitization are accounted for as embedded derivatives in policyholder account balances and are further discussed in Note 5.</w:t>
      </w:r>
    </w:p>
    <w:p>
      <w:pPr>
        <w:spacing w:after="0" w:line="7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Company also issues universal and variable life contracts where the Company contractually guarantees to the contractholder a secondary guarantee.</w:t>
      </w:r>
    </w:p>
    <w:p>
      <w:pPr>
        <w:spacing w:after="0" w:line="14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Information regarding the Company’s guarantee exposure was as follows at:</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8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840" w:type="dxa"/>
            <w:vAlign w:val="bottom"/>
            <w:tcBorders>
              <w:bottom w:val="single" w:sz="8" w:color="auto"/>
            </w:tcBorders>
            <w:gridSpan w:val="4"/>
          </w:tcPr>
          <w:p>
            <w:pPr>
              <w:jc w:val="right"/>
              <w:ind w:right="823"/>
              <w:spacing w:after="0"/>
              <w:rPr>
                <w:sz w:val="20"/>
                <w:szCs w:val="20"/>
                <w:color w:val="auto"/>
              </w:rPr>
            </w:pPr>
            <w:r>
              <w:rPr>
                <w:rFonts w:ascii="Arial" w:cs="Arial" w:eastAsia="Arial" w:hAnsi="Arial"/>
                <w:sz w:val="14"/>
                <w:szCs w:val="14"/>
                <w:b w:val="1"/>
                <w:bCs w:val="1"/>
                <w:color w:val="auto"/>
              </w:rPr>
              <w:t>September 30, 2017</w:t>
            </w:r>
          </w:p>
        </w:tc>
        <w:tc>
          <w:tcPr>
            <w:tcW w:w="3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760" w:type="dxa"/>
            <w:vAlign w:val="bottom"/>
            <w:tcBorders>
              <w:bottom w:val="single" w:sz="8" w:color="auto"/>
            </w:tcBorders>
            <w:gridSpan w:val="4"/>
          </w:tcPr>
          <w:p>
            <w:pPr>
              <w:jc w:val="right"/>
              <w:ind w:right="782"/>
              <w:spacing w:after="0"/>
              <w:rPr>
                <w:sz w:val="20"/>
                <w:szCs w:val="20"/>
                <w:color w:val="auto"/>
              </w:rPr>
            </w:pPr>
            <w:r>
              <w:rPr>
                <w:rFonts w:ascii="Arial" w:cs="Arial" w:eastAsia="Arial" w:hAnsi="Arial"/>
                <w:sz w:val="14"/>
                <w:szCs w:val="14"/>
                <w:b w:val="1"/>
                <w:bCs w:val="1"/>
                <w:color w:val="auto"/>
              </w:rPr>
              <w:t>December 31, 2016</w:t>
            </w:r>
          </w:p>
        </w:tc>
        <w:tc>
          <w:tcPr>
            <w:tcW w:w="340" w:type="dxa"/>
            <w:vAlign w:val="bottom"/>
          </w:tcPr>
          <w:p>
            <w:pPr>
              <w:spacing w:after="0"/>
              <w:rPr>
                <w:sz w:val="16"/>
                <w:szCs w:val="16"/>
                <w:color w:val="auto"/>
              </w:rPr>
            </w:pPr>
          </w:p>
        </w:tc>
      </w:tr>
      <w:tr>
        <w:trPr>
          <w:trHeight w:val="152"/>
        </w:trPr>
        <w:tc>
          <w:tcPr>
            <w:tcW w:w="48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0" w:type="dxa"/>
            <w:vAlign w:val="bottom"/>
          </w:tcPr>
          <w:p>
            <w:pPr>
              <w:jc w:val="right"/>
              <w:ind w:right="423"/>
              <w:spacing w:after="0" w:line="153" w:lineRule="exact"/>
              <w:rPr>
                <w:sz w:val="20"/>
                <w:szCs w:val="20"/>
                <w:color w:val="auto"/>
              </w:rPr>
            </w:pPr>
            <w:r>
              <w:rPr>
                <w:rFonts w:ascii="Arial" w:cs="Arial" w:eastAsia="Arial" w:hAnsi="Arial"/>
                <w:sz w:val="14"/>
                <w:szCs w:val="14"/>
                <w:b w:val="1"/>
                <w:bCs w:val="1"/>
                <w:color w:val="auto"/>
              </w:rPr>
              <w:t>In the</w:t>
            </w:r>
          </w:p>
        </w:tc>
        <w:tc>
          <w:tcPr>
            <w:tcW w:w="3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20" w:type="dxa"/>
            <w:vAlign w:val="bottom"/>
          </w:tcPr>
          <w:p>
            <w:pPr>
              <w:jc w:val="right"/>
              <w:ind w:right="483"/>
              <w:spacing w:after="0" w:line="153" w:lineRule="exact"/>
              <w:rPr>
                <w:sz w:val="20"/>
                <w:szCs w:val="20"/>
                <w:color w:val="auto"/>
              </w:rPr>
            </w:pPr>
            <w:r>
              <w:rPr>
                <w:rFonts w:ascii="Arial" w:cs="Arial" w:eastAsia="Arial" w:hAnsi="Arial"/>
                <w:sz w:val="14"/>
                <w:szCs w:val="14"/>
                <w:b w:val="1"/>
                <w:bCs w:val="1"/>
                <w:color w:val="auto"/>
              </w:rPr>
              <w:t>At</w:t>
            </w: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60" w:type="dxa"/>
            <w:vAlign w:val="bottom"/>
          </w:tcPr>
          <w:p>
            <w:pPr>
              <w:jc w:val="right"/>
              <w:ind w:right="403"/>
              <w:spacing w:after="0" w:line="153" w:lineRule="exact"/>
              <w:rPr>
                <w:sz w:val="20"/>
                <w:szCs w:val="20"/>
                <w:color w:val="auto"/>
              </w:rPr>
            </w:pPr>
            <w:r>
              <w:rPr>
                <w:rFonts w:ascii="Arial" w:cs="Arial" w:eastAsia="Arial" w:hAnsi="Arial"/>
                <w:sz w:val="14"/>
                <w:szCs w:val="14"/>
                <w:b w:val="1"/>
                <w:bCs w:val="1"/>
                <w:color w:val="auto"/>
              </w:rPr>
              <w:t>In the</w:t>
            </w:r>
          </w:p>
        </w:tc>
        <w:tc>
          <w:tcPr>
            <w:tcW w:w="3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80" w:type="dxa"/>
            <w:vAlign w:val="bottom"/>
          </w:tcPr>
          <w:p>
            <w:pPr>
              <w:jc w:val="right"/>
              <w:ind w:right="462"/>
              <w:spacing w:after="0" w:line="153" w:lineRule="exact"/>
              <w:rPr>
                <w:sz w:val="20"/>
                <w:szCs w:val="20"/>
                <w:color w:val="auto"/>
              </w:rPr>
            </w:pPr>
            <w:r>
              <w:rPr>
                <w:rFonts w:ascii="Arial" w:cs="Arial" w:eastAsia="Arial" w:hAnsi="Arial"/>
                <w:sz w:val="14"/>
                <w:szCs w:val="14"/>
                <w:b w:val="1"/>
                <w:bCs w:val="1"/>
                <w:color w:val="auto"/>
              </w:rPr>
              <w:t>At</w:t>
            </w:r>
          </w:p>
        </w:tc>
        <w:tc>
          <w:tcPr>
            <w:tcW w:w="340" w:type="dxa"/>
            <w:vAlign w:val="bottom"/>
          </w:tcPr>
          <w:p>
            <w:pPr>
              <w:spacing w:after="0"/>
              <w:rPr>
                <w:sz w:val="13"/>
                <w:szCs w:val="13"/>
                <w:color w:val="auto"/>
              </w:rPr>
            </w:pPr>
          </w:p>
        </w:tc>
      </w:tr>
      <w:tr>
        <w:trPr>
          <w:trHeight w:val="192"/>
        </w:trPr>
        <w:tc>
          <w:tcPr>
            <w:tcW w:w="48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143"/>
              <w:spacing w:after="0"/>
              <w:rPr>
                <w:sz w:val="20"/>
                <w:szCs w:val="20"/>
                <w:color w:val="auto"/>
              </w:rPr>
            </w:pPr>
            <w:r>
              <w:rPr>
                <w:rFonts w:ascii="Arial" w:cs="Arial" w:eastAsia="Arial" w:hAnsi="Arial"/>
                <w:sz w:val="14"/>
                <w:szCs w:val="14"/>
                <w:b w:val="1"/>
                <w:bCs w:val="1"/>
                <w:color w:val="auto"/>
                <w:w w:val="97"/>
              </w:rPr>
              <w:t>Event of Death</w:t>
            </w:r>
          </w:p>
        </w:tc>
        <w:tc>
          <w:tcPr>
            <w:tcW w:w="34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143"/>
              <w:spacing w:after="0"/>
              <w:rPr>
                <w:sz w:val="20"/>
                <w:szCs w:val="20"/>
                <w:color w:val="auto"/>
              </w:rPr>
            </w:pPr>
            <w:r>
              <w:rPr>
                <w:rFonts w:ascii="Arial" w:cs="Arial" w:eastAsia="Arial" w:hAnsi="Arial"/>
                <w:sz w:val="14"/>
                <w:szCs w:val="14"/>
                <w:b w:val="1"/>
                <w:bCs w:val="1"/>
                <w:color w:val="auto"/>
                <w:w w:val="99"/>
              </w:rPr>
              <w:t>Annuitization</w:t>
            </w:r>
          </w:p>
        </w:tc>
        <w:tc>
          <w:tcPr>
            <w:tcW w:w="34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123"/>
              <w:spacing w:after="0"/>
              <w:rPr>
                <w:sz w:val="20"/>
                <w:szCs w:val="20"/>
                <w:color w:val="auto"/>
              </w:rPr>
            </w:pPr>
            <w:r>
              <w:rPr>
                <w:rFonts w:ascii="Arial" w:cs="Arial" w:eastAsia="Arial" w:hAnsi="Arial"/>
                <w:sz w:val="14"/>
                <w:szCs w:val="14"/>
                <w:b w:val="1"/>
                <w:bCs w:val="1"/>
                <w:color w:val="auto"/>
                <w:w w:val="95"/>
              </w:rPr>
              <w:t>Event of Death</w:t>
            </w:r>
          </w:p>
        </w:tc>
        <w:tc>
          <w:tcPr>
            <w:tcW w:w="34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122"/>
              <w:spacing w:after="0"/>
              <w:rPr>
                <w:sz w:val="20"/>
                <w:szCs w:val="20"/>
                <w:color w:val="auto"/>
              </w:rPr>
            </w:pPr>
            <w:r>
              <w:rPr>
                <w:rFonts w:ascii="Arial" w:cs="Arial" w:eastAsia="Arial" w:hAnsi="Arial"/>
                <w:sz w:val="14"/>
                <w:szCs w:val="14"/>
                <w:b w:val="1"/>
                <w:bCs w:val="1"/>
                <w:color w:val="auto"/>
                <w:w w:val="96"/>
              </w:rPr>
              <w:t>Annuitization</w:t>
            </w:r>
          </w:p>
        </w:tc>
        <w:tc>
          <w:tcPr>
            <w:tcW w:w="340" w:type="dxa"/>
            <w:vAlign w:val="bottom"/>
          </w:tcPr>
          <w:p>
            <w:pPr>
              <w:spacing w:after="0"/>
              <w:rPr>
                <w:sz w:val="16"/>
                <w:szCs w:val="16"/>
                <w:color w:val="auto"/>
              </w:rPr>
            </w:pPr>
          </w:p>
        </w:tc>
      </w:tr>
      <w:tr>
        <w:trPr>
          <w:trHeight w:val="250"/>
        </w:trPr>
        <w:tc>
          <w:tcPr>
            <w:tcW w:w="48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780" w:type="dxa"/>
            <w:vAlign w:val="bottom"/>
            <w:gridSpan w:val="4"/>
          </w:tcPr>
          <w:p>
            <w:pPr>
              <w:jc w:val="right"/>
              <w:ind w:right="843"/>
              <w:spacing w:after="0"/>
              <w:rPr>
                <w:sz w:val="20"/>
                <w:szCs w:val="20"/>
                <w:color w:val="auto"/>
              </w:rPr>
            </w:pPr>
            <w:r>
              <w:rPr>
                <w:rFonts w:ascii="Arial" w:cs="Arial" w:eastAsia="Arial" w:hAnsi="Arial"/>
                <w:sz w:val="14"/>
                <w:szCs w:val="14"/>
                <w:b w:val="1"/>
                <w:bCs w:val="1"/>
                <w:color w:val="auto"/>
              </w:rPr>
              <w:t>(Dollars in millions)</w:t>
            </w:r>
          </w:p>
        </w:tc>
        <w:tc>
          <w:tcPr>
            <w:tcW w:w="3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340" w:type="dxa"/>
            <w:vAlign w:val="bottom"/>
          </w:tcPr>
          <w:p>
            <w:pPr>
              <w:spacing w:after="0"/>
              <w:rPr>
                <w:sz w:val="21"/>
                <w:szCs w:val="21"/>
                <w:color w:val="auto"/>
              </w:rPr>
            </w:pPr>
          </w:p>
        </w:tc>
      </w:tr>
      <w:tr>
        <w:trPr>
          <w:trHeight w:val="256"/>
        </w:trPr>
        <w:tc>
          <w:tcPr>
            <w:tcW w:w="4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i w:val="1"/>
                <w:iCs w:val="1"/>
                <w:color w:val="auto"/>
              </w:rPr>
              <w:t>Annuity Contracts (1), (2)</w:t>
            </w:r>
          </w:p>
        </w:tc>
        <w:tc>
          <w:tcPr>
            <w:tcW w:w="18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r>
      <w:tr>
        <w:trPr>
          <w:trHeight w:val="237"/>
        </w:trPr>
        <w:tc>
          <w:tcPr>
            <w:tcW w:w="4800" w:type="dxa"/>
            <w:vAlign w:val="bottom"/>
          </w:tcPr>
          <w:p>
            <w:pPr>
              <w:ind w:left="40"/>
              <w:spacing w:after="0"/>
              <w:rPr>
                <w:sz w:val="20"/>
                <w:szCs w:val="20"/>
                <w:color w:val="auto"/>
              </w:rPr>
            </w:pPr>
            <w:r>
              <w:rPr>
                <w:rFonts w:ascii="Arial" w:cs="Arial" w:eastAsia="Arial" w:hAnsi="Arial"/>
                <w:sz w:val="16"/>
                <w:szCs w:val="16"/>
                <w:b w:val="1"/>
                <w:bCs w:val="1"/>
                <w:color w:val="auto"/>
              </w:rPr>
              <w:t>Variable Annuity Guarantees</w:t>
            </w:r>
          </w:p>
        </w:tc>
        <w:tc>
          <w:tcPr>
            <w:tcW w:w="1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340" w:type="dxa"/>
            <w:vAlign w:val="bottom"/>
          </w:tcPr>
          <w:p>
            <w:pPr>
              <w:spacing w:after="0"/>
              <w:rPr>
                <w:sz w:val="20"/>
                <w:szCs w:val="20"/>
                <w:color w:val="auto"/>
              </w:rPr>
            </w:pPr>
          </w:p>
        </w:tc>
      </w:tr>
      <w:tr>
        <w:trPr>
          <w:trHeight w:val="33"/>
        </w:trPr>
        <w:tc>
          <w:tcPr>
            <w:tcW w:w="48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40" w:type="dxa"/>
            <w:vAlign w:val="bottom"/>
          </w:tcPr>
          <w:p>
            <w:pPr>
              <w:spacing w:after="0"/>
              <w:rPr>
                <w:sz w:val="2"/>
                <w:szCs w:val="2"/>
                <w:color w:val="auto"/>
              </w:rPr>
            </w:pPr>
          </w:p>
        </w:tc>
      </w:tr>
      <w:tr>
        <w:trPr>
          <w:trHeight w:val="250"/>
        </w:trPr>
        <w:tc>
          <w:tcPr>
            <w:tcW w:w="4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account value (3)</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116,468</w:t>
            </w:r>
          </w:p>
        </w:tc>
        <w:tc>
          <w:tcPr>
            <w:tcW w:w="3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66,523</w:t>
            </w:r>
          </w:p>
        </w:tc>
        <w:tc>
          <w:tcPr>
            <w:tcW w:w="3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CCEEFF"/>
            </w:tcBorders>
            <w:shd w:val="clear" w:color="auto" w:fill="CCEEFF"/>
          </w:tcPr>
          <w:p>
            <w:pPr>
              <w:jc w:val="right"/>
              <w:ind w:right="3"/>
              <w:spacing w:after="0"/>
              <w:rPr>
                <w:sz w:val="20"/>
                <w:szCs w:val="20"/>
                <w:color w:val="auto"/>
              </w:rPr>
            </w:pPr>
            <w:r>
              <w:rPr>
                <w:rFonts w:ascii="Arial" w:cs="Arial" w:eastAsia="Arial" w:hAnsi="Arial"/>
                <w:sz w:val="16"/>
                <w:szCs w:val="16"/>
                <w:color w:val="auto"/>
              </w:rPr>
              <w:t>111,719</w:t>
            </w:r>
          </w:p>
        </w:tc>
        <w:tc>
          <w:tcPr>
            <w:tcW w:w="3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64,503</w:t>
            </w:r>
          </w:p>
        </w:tc>
        <w:tc>
          <w:tcPr>
            <w:tcW w:w="340" w:type="dxa"/>
            <w:vAlign w:val="bottom"/>
            <w:tcBorders>
              <w:bottom w:val="single" w:sz="8" w:color="CCEEFF"/>
            </w:tcBorders>
            <w:shd w:val="clear" w:color="auto" w:fill="CCEEFF"/>
          </w:tcPr>
          <w:p>
            <w:pPr>
              <w:spacing w:after="0"/>
              <w:rPr>
                <w:sz w:val="21"/>
                <w:szCs w:val="21"/>
                <w:color w:val="auto"/>
              </w:rPr>
            </w:pPr>
          </w:p>
        </w:tc>
      </w:tr>
      <w:tr>
        <w:trPr>
          <w:trHeight w:val="237"/>
        </w:trPr>
        <w:tc>
          <w:tcPr>
            <w:tcW w:w="4800" w:type="dxa"/>
            <w:vAlign w:val="bottom"/>
          </w:tcPr>
          <w:p>
            <w:pPr>
              <w:ind w:left="40"/>
              <w:spacing w:after="0"/>
              <w:rPr>
                <w:sz w:val="20"/>
                <w:szCs w:val="20"/>
                <w:color w:val="auto"/>
              </w:rPr>
            </w:pPr>
            <w:r>
              <w:rPr>
                <w:rFonts w:ascii="Arial" w:cs="Arial" w:eastAsia="Arial" w:hAnsi="Arial"/>
                <w:sz w:val="16"/>
                <w:szCs w:val="16"/>
                <w:color w:val="auto"/>
              </w:rPr>
              <w:t>Separate account value</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23"/>
              <w:spacing w:after="0"/>
              <w:rPr>
                <w:sz w:val="20"/>
                <w:szCs w:val="20"/>
                <w:color w:val="auto"/>
              </w:rPr>
            </w:pPr>
            <w:r>
              <w:rPr>
                <w:rFonts w:ascii="Arial" w:cs="Arial" w:eastAsia="Arial" w:hAnsi="Arial"/>
                <w:sz w:val="16"/>
                <w:szCs w:val="16"/>
                <w:color w:val="auto"/>
              </w:rPr>
              <w:t>111,335</w:t>
            </w:r>
          </w:p>
        </w:tc>
        <w:tc>
          <w:tcPr>
            <w:tcW w:w="34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43"/>
              <w:spacing w:after="0"/>
              <w:rPr>
                <w:sz w:val="20"/>
                <w:szCs w:val="20"/>
                <w:color w:val="auto"/>
              </w:rPr>
            </w:pPr>
            <w:r>
              <w:rPr>
                <w:rFonts w:ascii="Arial" w:cs="Arial" w:eastAsia="Arial" w:hAnsi="Arial"/>
                <w:sz w:val="16"/>
                <w:szCs w:val="16"/>
                <w:color w:val="auto"/>
              </w:rPr>
              <w:t>65,132</w:t>
            </w:r>
          </w:p>
        </w:tc>
        <w:tc>
          <w:tcPr>
            <w:tcW w:w="34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ind w:right="3"/>
              <w:spacing w:after="0"/>
              <w:rPr>
                <w:sz w:val="20"/>
                <w:szCs w:val="20"/>
                <w:color w:val="auto"/>
              </w:rPr>
            </w:pPr>
            <w:r>
              <w:rPr>
                <w:rFonts w:ascii="Arial" w:cs="Arial" w:eastAsia="Arial" w:hAnsi="Arial"/>
                <w:sz w:val="16"/>
                <w:szCs w:val="16"/>
                <w:color w:val="auto"/>
              </w:rPr>
              <w:t>106,759</w:t>
            </w:r>
          </w:p>
        </w:tc>
        <w:tc>
          <w:tcPr>
            <w:tcW w:w="34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22"/>
              <w:spacing w:after="0"/>
              <w:rPr>
                <w:sz w:val="20"/>
                <w:szCs w:val="20"/>
                <w:color w:val="auto"/>
              </w:rPr>
            </w:pPr>
            <w:r>
              <w:rPr>
                <w:rFonts w:ascii="Arial" w:cs="Arial" w:eastAsia="Arial" w:hAnsi="Arial"/>
                <w:sz w:val="16"/>
                <w:szCs w:val="16"/>
                <w:color w:val="auto"/>
              </w:rPr>
              <w:t>63,025</w:t>
            </w:r>
          </w:p>
        </w:tc>
        <w:tc>
          <w:tcPr>
            <w:tcW w:w="340" w:type="dxa"/>
            <w:vAlign w:val="bottom"/>
          </w:tcPr>
          <w:p>
            <w:pPr>
              <w:spacing w:after="0"/>
              <w:rPr>
                <w:sz w:val="20"/>
                <w:szCs w:val="20"/>
                <w:color w:val="auto"/>
              </w:rPr>
            </w:pPr>
          </w:p>
        </w:tc>
      </w:tr>
      <w:tr>
        <w:trPr>
          <w:trHeight w:val="33"/>
        </w:trPr>
        <w:tc>
          <w:tcPr>
            <w:tcW w:w="48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40" w:type="dxa"/>
            <w:vAlign w:val="bottom"/>
          </w:tcPr>
          <w:p>
            <w:pPr>
              <w:spacing w:after="0"/>
              <w:rPr>
                <w:sz w:val="2"/>
                <w:szCs w:val="2"/>
                <w:color w:val="auto"/>
              </w:rPr>
            </w:pPr>
          </w:p>
        </w:tc>
      </w:tr>
      <w:tr>
        <w:trPr>
          <w:trHeight w:val="237"/>
        </w:trPr>
        <w:tc>
          <w:tcPr>
            <w:tcW w:w="4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amount at risk</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5,559</w:t>
            </w:r>
          </w:p>
        </w:tc>
        <w:tc>
          <w:tcPr>
            <w:tcW w:w="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2,980</w:t>
            </w:r>
          </w:p>
        </w:tc>
        <w:tc>
          <w:tcPr>
            <w:tcW w:w="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CCEEFF"/>
            </w:tcBorders>
            <w:shd w:val="clear" w:color="auto" w:fill="CCEEFF"/>
          </w:tcPr>
          <w:p>
            <w:pPr>
              <w:jc w:val="right"/>
              <w:ind w:right="3"/>
              <w:spacing w:after="0"/>
              <w:rPr>
                <w:sz w:val="20"/>
                <w:szCs w:val="20"/>
                <w:color w:val="auto"/>
              </w:rPr>
            </w:pPr>
            <w:r>
              <w:rPr>
                <w:rFonts w:ascii="Arial" w:cs="Arial" w:eastAsia="Arial" w:hAnsi="Arial"/>
                <w:sz w:val="16"/>
                <w:szCs w:val="16"/>
                <w:color w:val="auto"/>
              </w:rPr>
              <w:t>6,837</w:t>
            </w:r>
          </w:p>
        </w:tc>
        <w:tc>
          <w:tcPr>
            <w:tcW w:w="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3,313</w:t>
            </w:r>
          </w:p>
        </w:tc>
        <w:tc>
          <w:tcPr>
            <w:tcW w:w="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w:t>
            </w:r>
          </w:p>
        </w:tc>
      </w:tr>
      <w:tr>
        <w:trPr>
          <w:trHeight w:val="237"/>
        </w:trPr>
        <w:tc>
          <w:tcPr>
            <w:tcW w:w="4800" w:type="dxa"/>
            <w:vAlign w:val="bottom"/>
          </w:tcPr>
          <w:p>
            <w:pPr>
              <w:ind w:left="40"/>
              <w:spacing w:after="0"/>
              <w:rPr>
                <w:sz w:val="20"/>
                <w:szCs w:val="20"/>
                <w:color w:val="auto"/>
              </w:rPr>
            </w:pPr>
            <w:r>
              <w:rPr>
                <w:rFonts w:ascii="Arial" w:cs="Arial" w:eastAsia="Arial" w:hAnsi="Arial"/>
                <w:sz w:val="16"/>
                <w:szCs w:val="16"/>
                <w:color w:val="auto"/>
              </w:rPr>
              <w:t>Average attained age of contractholders</w:t>
            </w:r>
          </w:p>
        </w:tc>
        <w:tc>
          <w:tcPr>
            <w:tcW w:w="180" w:type="dxa"/>
            <w:vAlign w:val="bottom"/>
          </w:tcPr>
          <w:p>
            <w:pPr>
              <w:spacing w:after="0"/>
              <w:rPr>
                <w:sz w:val="20"/>
                <w:szCs w:val="20"/>
                <w:color w:val="auto"/>
              </w:rPr>
            </w:pPr>
          </w:p>
        </w:tc>
        <w:tc>
          <w:tcPr>
            <w:tcW w:w="1200" w:type="dxa"/>
            <w:vAlign w:val="bottom"/>
          </w:tcPr>
          <w:p>
            <w:pPr>
              <w:jc w:val="right"/>
              <w:ind w:right="23"/>
              <w:spacing w:after="0"/>
              <w:rPr>
                <w:sz w:val="20"/>
                <w:szCs w:val="20"/>
                <w:color w:val="auto"/>
              </w:rPr>
            </w:pPr>
            <w:r>
              <w:rPr>
                <w:rFonts w:ascii="Arial" w:cs="Arial" w:eastAsia="Arial" w:hAnsi="Arial"/>
                <w:sz w:val="16"/>
                <w:szCs w:val="16"/>
                <w:color w:val="auto"/>
              </w:rPr>
              <w:t>68 years</w:t>
            </w:r>
          </w:p>
        </w:tc>
        <w:tc>
          <w:tcPr>
            <w:tcW w:w="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tcPr>
          <w:p>
            <w:pPr>
              <w:jc w:val="right"/>
              <w:ind w:right="43"/>
              <w:spacing w:after="0"/>
              <w:rPr>
                <w:sz w:val="20"/>
                <w:szCs w:val="20"/>
                <w:color w:val="auto"/>
              </w:rPr>
            </w:pPr>
            <w:r>
              <w:rPr>
                <w:rFonts w:ascii="Arial" w:cs="Arial" w:eastAsia="Arial" w:hAnsi="Arial"/>
                <w:sz w:val="16"/>
                <w:szCs w:val="16"/>
                <w:color w:val="auto"/>
              </w:rPr>
              <w:t>67 years</w:t>
            </w: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tcPr>
          <w:p>
            <w:pPr>
              <w:jc w:val="right"/>
              <w:ind w:right="3"/>
              <w:spacing w:after="0"/>
              <w:rPr>
                <w:sz w:val="20"/>
                <w:szCs w:val="20"/>
                <w:color w:val="auto"/>
              </w:rPr>
            </w:pPr>
            <w:r>
              <w:rPr>
                <w:rFonts w:ascii="Arial" w:cs="Arial" w:eastAsia="Arial" w:hAnsi="Arial"/>
                <w:sz w:val="16"/>
                <w:szCs w:val="16"/>
                <w:color w:val="auto"/>
              </w:rPr>
              <w:t>67 years</w:t>
            </w:r>
          </w:p>
        </w:tc>
        <w:tc>
          <w:tcPr>
            <w:tcW w:w="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jc w:val="right"/>
              <w:ind w:right="22"/>
              <w:spacing w:after="0"/>
              <w:rPr>
                <w:sz w:val="20"/>
                <w:szCs w:val="20"/>
                <w:color w:val="auto"/>
              </w:rPr>
            </w:pPr>
            <w:r>
              <w:rPr>
                <w:rFonts w:ascii="Arial" w:cs="Arial" w:eastAsia="Arial" w:hAnsi="Arial"/>
                <w:sz w:val="16"/>
                <w:szCs w:val="16"/>
                <w:color w:val="auto"/>
              </w:rPr>
              <w:t>67 years</w:t>
            </w:r>
          </w:p>
        </w:tc>
        <w:tc>
          <w:tcPr>
            <w:tcW w:w="340" w:type="dxa"/>
            <w:vAlign w:val="bottom"/>
          </w:tcPr>
          <w:p>
            <w:pPr>
              <w:spacing w:after="0"/>
              <w:rPr>
                <w:sz w:val="20"/>
                <w:szCs w:val="20"/>
                <w:color w:val="auto"/>
              </w:rPr>
            </w:pPr>
          </w:p>
        </w:tc>
      </w:tr>
    </w:tbl>
    <w:p>
      <w:pPr>
        <w:spacing w:after="0" w:line="34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73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tcPr>
          <w:p>
            <w:pPr>
              <w:jc w:val="right"/>
              <w:ind w:right="320"/>
              <w:spacing w:after="0"/>
              <w:rPr>
                <w:sz w:val="20"/>
                <w:szCs w:val="20"/>
                <w:color w:val="auto"/>
              </w:rPr>
            </w:pPr>
            <w:r>
              <w:rPr>
                <w:rFonts w:ascii="Arial" w:cs="Arial" w:eastAsia="Arial" w:hAnsi="Arial"/>
                <w:sz w:val="14"/>
                <w:szCs w:val="14"/>
                <w:b w:val="1"/>
                <w:bCs w:val="1"/>
                <w:color w:val="auto"/>
                <w:w w:val="99"/>
              </w:rPr>
              <w:t>September 30, 2017</w:t>
            </w:r>
          </w:p>
        </w:tc>
        <w:tc>
          <w:tcPr>
            <w:tcW w:w="36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tcPr>
          <w:p>
            <w:pPr>
              <w:jc w:val="right"/>
              <w:ind w:right="358"/>
              <w:spacing w:after="0"/>
              <w:rPr>
                <w:sz w:val="20"/>
                <w:szCs w:val="20"/>
                <w:color w:val="auto"/>
              </w:rPr>
            </w:pPr>
            <w:r>
              <w:rPr>
                <w:rFonts w:ascii="Arial" w:cs="Arial" w:eastAsia="Arial" w:hAnsi="Arial"/>
                <w:sz w:val="14"/>
                <w:szCs w:val="14"/>
                <w:b w:val="1"/>
                <w:bCs w:val="1"/>
                <w:color w:val="auto"/>
              </w:rPr>
              <w:t>December 31, 2016</w:t>
            </w:r>
          </w:p>
        </w:tc>
      </w:tr>
      <w:tr>
        <w:trPr>
          <w:trHeight w:val="250"/>
        </w:trPr>
        <w:tc>
          <w:tcPr>
            <w:tcW w:w="20" w:type="dxa"/>
            <w:vAlign w:val="bottom"/>
          </w:tcPr>
          <w:p>
            <w:pPr>
              <w:spacing w:after="0"/>
              <w:rPr>
                <w:sz w:val="21"/>
                <w:szCs w:val="21"/>
                <w:color w:val="auto"/>
              </w:rPr>
            </w:pPr>
          </w:p>
        </w:tc>
        <w:tc>
          <w:tcPr>
            <w:tcW w:w="730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3860" w:type="dxa"/>
            <w:vAlign w:val="bottom"/>
            <w:tcBorders>
              <w:bottom w:val="single" w:sz="8" w:color="auto"/>
            </w:tcBorders>
            <w:gridSpan w:val="3"/>
          </w:tcPr>
          <w:p>
            <w:pPr>
              <w:jc w:val="right"/>
              <w:ind w:right="1258"/>
              <w:spacing w:after="0"/>
              <w:rPr>
                <w:sz w:val="20"/>
                <w:szCs w:val="20"/>
                <w:color w:val="auto"/>
              </w:rPr>
            </w:pPr>
            <w:r>
              <w:rPr>
                <w:rFonts w:ascii="Arial" w:cs="Arial" w:eastAsia="Arial" w:hAnsi="Arial"/>
                <w:sz w:val="14"/>
                <w:szCs w:val="14"/>
                <w:b w:val="1"/>
                <w:bCs w:val="1"/>
                <w:color w:val="auto"/>
              </w:rPr>
              <w:t>Secondary Guarantees</w:t>
            </w:r>
          </w:p>
        </w:tc>
      </w:tr>
      <w:tr>
        <w:trPr>
          <w:trHeight w:val="250"/>
        </w:trPr>
        <w:tc>
          <w:tcPr>
            <w:tcW w:w="20" w:type="dxa"/>
            <w:vAlign w:val="bottom"/>
          </w:tcPr>
          <w:p>
            <w:pPr>
              <w:spacing w:after="0"/>
              <w:rPr>
                <w:sz w:val="21"/>
                <w:szCs w:val="21"/>
                <w:color w:val="auto"/>
              </w:rPr>
            </w:pPr>
          </w:p>
        </w:tc>
        <w:tc>
          <w:tcPr>
            <w:tcW w:w="73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860" w:type="dxa"/>
            <w:vAlign w:val="bottom"/>
            <w:gridSpan w:val="3"/>
          </w:tcPr>
          <w:p>
            <w:pPr>
              <w:jc w:val="right"/>
              <w:ind w:right="1338"/>
              <w:spacing w:after="0"/>
              <w:rPr>
                <w:sz w:val="20"/>
                <w:szCs w:val="20"/>
                <w:color w:val="auto"/>
              </w:rPr>
            </w:pPr>
            <w:r>
              <w:rPr>
                <w:rFonts w:ascii="Arial" w:cs="Arial" w:eastAsia="Arial" w:hAnsi="Arial"/>
                <w:sz w:val="14"/>
                <w:szCs w:val="14"/>
                <w:b w:val="1"/>
                <w:bCs w:val="1"/>
                <w:color w:val="auto"/>
              </w:rPr>
              <w:t>(Dollars in millions)</w:t>
            </w:r>
          </w:p>
        </w:tc>
      </w:tr>
      <w:tr>
        <w:trPr>
          <w:trHeight w:val="256"/>
        </w:trPr>
        <w:tc>
          <w:tcPr>
            <w:tcW w:w="20" w:type="dxa"/>
            <w:vAlign w:val="bottom"/>
          </w:tcPr>
          <w:p>
            <w:pPr>
              <w:spacing w:after="0"/>
              <w:rPr>
                <w:sz w:val="22"/>
                <w:szCs w:val="22"/>
                <w:color w:val="auto"/>
              </w:rPr>
            </w:pPr>
          </w:p>
        </w:tc>
        <w:tc>
          <w:tcPr>
            <w:tcW w:w="7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i w:val="1"/>
                <w:iCs w:val="1"/>
                <w:color w:val="auto"/>
              </w:rPr>
              <w:t>Universal Life Contracts</w:t>
            </w:r>
          </w:p>
        </w:tc>
        <w:tc>
          <w:tcPr>
            <w:tcW w:w="240" w:type="dxa"/>
            <w:vAlign w:val="bottom"/>
            <w:tcBorders>
              <w:bottom w:val="single" w:sz="8" w:color="CCEEFF"/>
            </w:tcBorders>
            <w:shd w:val="clear" w:color="auto" w:fill="CCEEFF"/>
          </w:tcPr>
          <w:p>
            <w:pPr>
              <w:spacing w:after="0"/>
              <w:rPr>
                <w:sz w:val="22"/>
                <w:szCs w:val="22"/>
                <w:color w:val="auto"/>
              </w:rPr>
            </w:pPr>
          </w:p>
        </w:tc>
        <w:tc>
          <w:tcPr>
            <w:tcW w:w="17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780" w:type="dxa"/>
            <w:vAlign w:val="bottom"/>
            <w:tcBorders>
              <w:bottom w:val="single" w:sz="8" w:color="CCEEFF"/>
            </w:tcBorders>
            <w:shd w:val="clear" w:color="auto" w:fill="CCEEFF"/>
          </w:tcPr>
          <w:p>
            <w:pPr>
              <w:spacing w:after="0"/>
              <w:rPr>
                <w:sz w:val="22"/>
                <w:szCs w:val="22"/>
                <w:color w:val="auto"/>
              </w:rPr>
            </w:pPr>
          </w:p>
        </w:tc>
      </w:tr>
      <w:tr>
        <w:trPr>
          <w:trHeight w:val="237"/>
        </w:trPr>
        <w:tc>
          <w:tcPr>
            <w:tcW w:w="20" w:type="dxa"/>
            <w:vAlign w:val="bottom"/>
          </w:tcPr>
          <w:p>
            <w:pPr>
              <w:spacing w:after="0"/>
              <w:rPr>
                <w:sz w:val="20"/>
                <w:szCs w:val="20"/>
                <w:color w:val="auto"/>
              </w:rPr>
            </w:pPr>
          </w:p>
        </w:tc>
        <w:tc>
          <w:tcPr>
            <w:tcW w:w="7300" w:type="dxa"/>
            <w:vAlign w:val="bottom"/>
          </w:tcPr>
          <w:p>
            <w:pPr>
              <w:ind w:left="20"/>
              <w:spacing w:after="0"/>
              <w:rPr>
                <w:sz w:val="20"/>
                <w:szCs w:val="20"/>
                <w:color w:val="auto"/>
              </w:rPr>
            </w:pPr>
            <w:r>
              <w:rPr>
                <w:rFonts w:ascii="Arial" w:cs="Arial" w:eastAsia="Arial" w:hAnsi="Arial"/>
                <w:sz w:val="16"/>
                <w:szCs w:val="16"/>
                <w:color w:val="auto"/>
              </w:rPr>
              <w:t>Total account value (3)</w:t>
            </w:r>
          </w:p>
        </w:tc>
        <w:tc>
          <w:tcPr>
            <w:tcW w:w="240" w:type="dxa"/>
            <w:vAlign w:val="bottom"/>
          </w:tcPr>
          <w:p>
            <w:pPr>
              <w:ind w:left="20"/>
              <w:spacing w:after="0"/>
              <w:rPr>
                <w:sz w:val="20"/>
                <w:szCs w:val="20"/>
                <w:color w:val="auto"/>
              </w:rPr>
            </w:pPr>
            <w:r>
              <w:rPr>
                <w:rFonts w:ascii="Arial" w:cs="Arial" w:eastAsia="Arial" w:hAnsi="Arial"/>
                <w:sz w:val="16"/>
                <w:szCs w:val="16"/>
                <w:color w:val="auto"/>
              </w:rPr>
              <w:t>$</w:t>
            </w:r>
          </w:p>
        </w:tc>
        <w:tc>
          <w:tcPr>
            <w:tcW w:w="1720" w:type="dxa"/>
            <w:vAlign w:val="bottom"/>
          </w:tcPr>
          <w:p>
            <w:pPr>
              <w:jc w:val="right"/>
              <w:ind w:right="40"/>
              <w:spacing w:after="0"/>
              <w:rPr>
                <w:sz w:val="20"/>
                <w:szCs w:val="20"/>
                <w:color w:val="auto"/>
              </w:rPr>
            </w:pPr>
            <w:r>
              <w:rPr>
                <w:rFonts w:ascii="Arial" w:cs="Arial" w:eastAsia="Arial" w:hAnsi="Arial"/>
                <w:sz w:val="16"/>
                <w:szCs w:val="16"/>
                <w:color w:val="auto"/>
              </w:rPr>
              <w:t>6,256</w:t>
            </w:r>
          </w:p>
        </w:tc>
        <w:tc>
          <w:tcPr>
            <w:tcW w:w="360" w:type="dxa"/>
            <w:vAlign w:val="bottom"/>
          </w:tcPr>
          <w:p>
            <w:pPr>
              <w:ind w:left="120"/>
              <w:spacing w:after="0"/>
              <w:rPr>
                <w:sz w:val="20"/>
                <w:szCs w:val="20"/>
                <w:color w:val="auto"/>
              </w:rPr>
            </w:pPr>
            <w:r>
              <w:rPr>
                <w:rFonts w:ascii="Arial" w:cs="Arial" w:eastAsia="Arial" w:hAnsi="Arial"/>
                <w:sz w:val="16"/>
                <w:szCs w:val="16"/>
                <w:color w:val="auto"/>
              </w:rPr>
              <w:t>$</w:t>
            </w:r>
          </w:p>
        </w:tc>
        <w:tc>
          <w:tcPr>
            <w:tcW w:w="1780" w:type="dxa"/>
            <w:vAlign w:val="bottom"/>
          </w:tcPr>
          <w:p>
            <w:pPr>
              <w:jc w:val="right"/>
              <w:ind w:right="18"/>
              <w:spacing w:after="0"/>
              <w:rPr>
                <w:sz w:val="20"/>
                <w:szCs w:val="20"/>
                <w:color w:val="auto"/>
              </w:rPr>
            </w:pPr>
            <w:r>
              <w:rPr>
                <w:rFonts w:ascii="Arial" w:cs="Arial" w:eastAsia="Arial" w:hAnsi="Arial"/>
                <w:sz w:val="16"/>
                <w:szCs w:val="16"/>
                <w:color w:val="auto"/>
              </w:rPr>
              <w:t>6,216</w:t>
            </w:r>
          </w:p>
        </w:tc>
      </w:tr>
      <w:tr>
        <w:trPr>
          <w:trHeight w:val="33"/>
        </w:trPr>
        <w:tc>
          <w:tcPr>
            <w:tcW w:w="20" w:type="dxa"/>
            <w:vAlign w:val="bottom"/>
          </w:tcPr>
          <w:p>
            <w:pPr>
              <w:spacing w:after="0"/>
              <w:rPr>
                <w:sz w:val="2"/>
                <w:szCs w:val="2"/>
                <w:color w:val="auto"/>
              </w:rPr>
            </w:pPr>
          </w:p>
        </w:tc>
        <w:tc>
          <w:tcPr>
            <w:tcW w:w="7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7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78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7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amount at risk (6)</w:t>
            </w:r>
          </w:p>
        </w:tc>
        <w:tc>
          <w:tcPr>
            <w:tcW w:w="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7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75,862</w:t>
            </w:r>
          </w:p>
        </w:tc>
        <w:tc>
          <w:tcPr>
            <w:tcW w:w="3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w:t>
            </w:r>
          </w:p>
        </w:tc>
        <w:tc>
          <w:tcPr>
            <w:tcW w:w="178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6"/>
                <w:szCs w:val="16"/>
                <w:color w:val="auto"/>
              </w:rPr>
              <w:t>76,216</w:t>
            </w:r>
          </w:p>
        </w:tc>
      </w:tr>
      <w:tr>
        <w:trPr>
          <w:trHeight w:val="237"/>
        </w:trPr>
        <w:tc>
          <w:tcPr>
            <w:tcW w:w="20" w:type="dxa"/>
            <w:vAlign w:val="bottom"/>
          </w:tcPr>
          <w:p>
            <w:pPr>
              <w:spacing w:after="0"/>
              <w:rPr>
                <w:sz w:val="20"/>
                <w:szCs w:val="20"/>
                <w:color w:val="auto"/>
              </w:rPr>
            </w:pPr>
          </w:p>
        </w:tc>
        <w:tc>
          <w:tcPr>
            <w:tcW w:w="7300" w:type="dxa"/>
            <w:vAlign w:val="bottom"/>
          </w:tcPr>
          <w:p>
            <w:pPr>
              <w:ind w:left="20"/>
              <w:spacing w:after="0"/>
              <w:rPr>
                <w:sz w:val="20"/>
                <w:szCs w:val="20"/>
                <w:color w:val="auto"/>
              </w:rPr>
            </w:pPr>
            <w:r>
              <w:rPr>
                <w:rFonts w:ascii="Arial" w:cs="Arial" w:eastAsia="Arial" w:hAnsi="Arial"/>
                <w:sz w:val="16"/>
                <w:szCs w:val="16"/>
                <w:color w:val="auto"/>
              </w:rPr>
              <w:t>Average attained age of policyholders</w:t>
            </w:r>
          </w:p>
        </w:tc>
        <w:tc>
          <w:tcPr>
            <w:tcW w:w="240" w:type="dxa"/>
            <w:vAlign w:val="bottom"/>
          </w:tcPr>
          <w:p>
            <w:pPr>
              <w:spacing w:after="0"/>
              <w:rPr>
                <w:sz w:val="20"/>
                <w:szCs w:val="20"/>
                <w:color w:val="auto"/>
              </w:rPr>
            </w:pPr>
          </w:p>
        </w:tc>
        <w:tc>
          <w:tcPr>
            <w:tcW w:w="1720" w:type="dxa"/>
            <w:vAlign w:val="bottom"/>
          </w:tcPr>
          <w:p>
            <w:pPr>
              <w:jc w:val="right"/>
              <w:ind w:right="40"/>
              <w:spacing w:after="0"/>
              <w:rPr>
                <w:sz w:val="20"/>
                <w:szCs w:val="20"/>
                <w:color w:val="auto"/>
              </w:rPr>
            </w:pPr>
            <w:r>
              <w:rPr>
                <w:rFonts w:ascii="Arial" w:cs="Arial" w:eastAsia="Arial" w:hAnsi="Arial"/>
                <w:sz w:val="16"/>
                <w:szCs w:val="16"/>
                <w:color w:val="auto"/>
              </w:rPr>
              <w:t>64 years</w:t>
            </w:r>
          </w:p>
        </w:tc>
        <w:tc>
          <w:tcPr>
            <w:tcW w:w="360" w:type="dxa"/>
            <w:vAlign w:val="bottom"/>
          </w:tcPr>
          <w:p>
            <w:pPr>
              <w:spacing w:after="0"/>
              <w:rPr>
                <w:sz w:val="20"/>
                <w:szCs w:val="20"/>
                <w:color w:val="auto"/>
              </w:rPr>
            </w:pPr>
          </w:p>
        </w:tc>
        <w:tc>
          <w:tcPr>
            <w:tcW w:w="1780" w:type="dxa"/>
            <w:vAlign w:val="bottom"/>
          </w:tcPr>
          <w:p>
            <w:pPr>
              <w:jc w:val="right"/>
              <w:ind w:right="18"/>
              <w:spacing w:after="0"/>
              <w:rPr>
                <w:sz w:val="20"/>
                <w:szCs w:val="20"/>
                <w:color w:val="auto"/>
              </w:rPr>
            </w:pPr>
            <w:r>
              <w:rPr>
                <w:rFonts w:ascii="Arial" w:cs="Arial" w:eastAsia="Arial" w:hAnsi="Arial"/>
                <w:sz w:val="16"/>
                <w:szCs w:val="16"/>
                <w:color w:val="auto"/>
              </w:rPr>
              <w:t>63 years</w:t>
            </w:r>
          </w:p>
        </w:tc>
      </w:tr>
      <w:tr>
        <w:trPr>
          <w:trHeight w:val="33"/>
        </w:trPr>
        <w:tc>
          <w:tcPr>
            <w:tcW w:w="20" w:type="dxa"/>
            <w:vAlign w:val="bottom"/>
          </w:tcPr>
          <w:p>
            <w:pPr>
              <w:spacing w:after="0"/>
              <w:rPr>
                <w:sz w:val="2"/>
                <w:szCs w:val="2"/>
                <w:color w:val="auto"/>
              </w:rPr>
            </w:pPr>
          </w:p>
        </w:tc>
        <w:tc>
          <w:tcPr>
            <w:tcW w:w="7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7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780" w:type="dxa"/>
            <w:vAlign w:val="bottom"/>
          </w:tcPr>
          <w:p>
            <w:pPr>
              <w:spacing w:after="0"/>
              <w:rPr>
                <w:sz w:val="2"/>
                <w:szCs w:val="2"/>
                <w:color w:val="auto"/>
              </w:rPr>
            </w:pPr>
          </w:p>
        </w:tc>
      </w:tr>
      <w:tr>
        <w:trPr>
          <w:trHeight w:val="297"/>
        </w:trPr>
        <w:tc>
          <w:tcPr>
            <w:tcW w:w="20" w:type="dxa"/>
            <w:vAlign w:val="bottom"/>
          </w:tcPr>
          <w:p>
            <w:pPr>
              <w:spacing w:after="0"/>
              <w:rPr>
                <w:sz w:val="24"/>
                <w:szCs w:val="24"/>
                <w:color w:val="auto"/>
              </w:rPr>
            </w:pPr>
          </w:p>
        </w:tc>
        <w:tc>
          <w:tcPr>
            <w:tcW w:w="73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7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780" w:type="dxa"/>
            <w:vAlign w:val="bottom"/>
            <w:shd w:val="clear" w:color="auto" w:fill="CCEEFF"/>
          </w:tcPr>
          <w:p>
            <w:pPr>
              <w:spacing w:after="0"/>
              <w:rPr>
                <w:sz w:val="24"/>
                <w:szCs w:val="24"/>
                <w:color w:val="auto"/>
              </w:rPr>
            </w:pPr>
          </w:p>
        </w:tc>
      </w:tr>
      <w:tr>
        <w:trPr>
          <w:trHeight w:val="237"/>
        </w:trPr>
        <w:tc>
          <w:tcPr>
            <w:tcW w:w="20" w:type="dxa"/>
            <w:vAlign w:val="bottom"/>
          </w:tcPr>
          <w:p>
            <w:pPr>
              <w:spacing w:after="0"/>
              <w:rPr>
                <w:sz w:val="20"/>
                <w:szCs w:val="20"/>
                <w:color w:val="auto"/>
              </w:rPr>
            </w:pPr>
          </w:p>
        </w:tc>
        <w:tc>
          <w:tcPr>
            <w:tcW w:w="7300" w:type="dxa"/>
            <w:vAlign w:val="bottom"/>
          </w:tcPr>
          <w:p>
            <w:pPr>
              <w:ind w:left="20"/>
              <w:spacing w:after="0"/>
              <w:rPr>
                <w:sz w:val="20"/>
                <w:szCs w:val="20"/>
                <w:color w:val="auto"/>
              </w:rPr>
            </w:pPr>
            <w:r>
              <w:rPr>
                <w:rFonts w:ascii="Arial" w:cs="Arial" w:eastAsia="Arial" w:hAnsi="Arial"/>
                <w:sz w:val="16"/>
                <w:szCs w:val="16"/>
                <w:b w:val="1"/>
                <w:bCs w:val="1"/>
                <w:i w:val="1"/>
                <w:iCs w:val="1"/>
                <w:color w:val="auto"/>
              </w:rPr>
              <w:t>Variable Life Contracts</w:t>
            </w:r>
          </w:p>
        </w:tc>
        <w:tc>
          <w:tcPr>
            <w:tcW w:w="24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780" w:type="dxa"/>
            <w:vAlign w:val="bottom"/>
          </w:tcPr>
          <w:p>
            <w:pPr>
              <w:spacing w:after="0"/>
              <w:rPr>
                <w:sz w:val="20"/>
                <w:szCs w:val="20"/>
                <w:color w:val="auto"/>
              </w:rPr>
            </w:pPr>
          </w:p>
        </w:tc>
      </w:tr>
      <w:tr>
        <w:trPr>
          <w:trHeight w:val="33"/>
        </w:trPr>
        <w:tc>
          <w:tcPr>
            <w:tcW w:w="20" w:type="dxa"/>
            <w:vAlign w:val="bottom"/>
          </w:tcPr>
          <w:p>
            <w:pPr>
              <w:spacing w:after="0"/>
              <w:rPr>
                <w:sz w:val="2"/>
                <w:szCs w:val="2"/>
                <w:color w:val="auto"/>
              </w:rPr>
            </w:pPr>
          </w:p>
        </w:tc>
        <w:tc>
          <w:tcPr>
            <w:tcW w:w="7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7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78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7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account value (3)</w:t>
            </w:r>
          </w:p>
        </w:tc>
        <w:tc>
          <w:tcPr>
            <w:tcW w:w="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7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3,260</w:t>
            </w:r>
          </w:p>
        </w:tc>
        <w:tc>
          <w:tcPr>
            <w:tcW w:w="3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w:t>
            </w:r>
          </w:p>
        </w:tc>
        <w:tc>
          <w:tcPr>
            <w:tcW w:w="178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6"/>
                <w:szCs w:val="16"/>
                <w:color w:val="auto"/>
              </w:rPr>
              <w:t>3,110</w:t>
            </w:r>
          </w:p>
        </w:tc>
      </w:tr>
      <w:tr>
        <w:trPr>
          <w:trHeight w:val="243"/>
        </w:trPr>
        <w:tc>
          <w:tcPr>
            <w:tcW w:w="20" w:type="dxa"/>
            <w:vAlign w:val="bottom"/>
          </w:tcPr>
          <w:p>
            <w:pPr>
              <w:spacing w:after="0"/>
              <w:rPr>
                <w:sz w:val="21"/>
                <w:szCs w:val="21"/>
                <w:color w:val="auto"/>
              </w:rPr>
            </w:pPr>
          </w:p>
        </w:tc>
        <w:tc>
          <w:tcPr>
            <w:tcW w:w="7300" w:type="dxa"/>
            <w:vAlign w:val="bottom"/>
          </w:tcPr>
          <w:p>
            <w:pPr>
              <w:ind w:left="20"/>
              <w:spacing w:after="0"/>
              <w:rPr>
                <w:sz w:val="20"/>
                <w:szCs w:val="20"/>
                <w:color w:val="auto"/>
              </w:rPr>
            </w:pPr>
            <w:r>
              <w:rPr>
                <w:rFonts w:ascii="Arial" w:cs="Arial" w:eastAsia="Arial" w:hAnsi="Arial"/>
                <w:sz w:val="16"/>
                <w:szCs w:val="16"/>
                <w:color w:val="auto"/>
              </w:rPr>
              <w:t>Net amount at risk (6)</w:t>
            </w:r>
          </w:p>
        </w:tc>
        <w:tc>
          <w:tcPr>
            <w:tcW w:w="240" w:type="dxa"/>
            <w:vAlign w:val="bottom"/>
          </w:tcPr>
          <w:p>
            <w:pPr>
              <w:ind w:left="20"/>
              <w:spacing w:after="0"/>
              <w:rPr>
                <w:sz w:val="20"/>
                <w:szCs w:val="20"/>
                <w:color w:val="auto"/>
              </w:rPr>
            </w:pPr>
            <w:r>
              <w:rPr>
                <w:rFonts w:ascii="Arial" w:cs="Arial" w:eastAsia="Arial" w:hAnsi="Arial"/>
                <w:sz w:val="18"/>
                <w:szCs w:val="18"/>
                <w:color w:val="auto"/>
              </w:rPr>
              <w:t>$</w:t>
            </w:r>
          </w:p>
        </w:tc>
        <w:tc>
          <w:tcPr>
            <w:tcW w:w="1720" w:type="dxa"/>
            <w:vAlign w:val="bottom"/>
          </w:tcPr>
          <w:p>
            <w:pPr>
              <w:jc w:val="right"/>
              <w:ind w:right="40"/>
              <w:spacing w:after="0"/>
              <w:rPr>
                <w:sz w:val="20"/>
                <w:szCs w:val="20"/>
                <w:color w:val="auto"/>
              </w:rPr>
            </w:pPr>
            <w:r>
              <w:rPr>
                <w:rFonts w:ascii="Arial" w:cs="Arial" w:eastAsia="Arial" w:hAnsi="Arial"/>
                <w:sz w:val="18"/>
                <w:szCs w:val="18"/>
                <w:color w:val="auto"/>
              </w:rPr>
              <w:t>25,027</w:t>
            </w:r>
          </w:p>
        </w:tc>
        <w:tc>
          <w:tcPr>
            <w:tcW w:w="360" w:type="dxa"/>
            <w:vAlign w:val="bottom"/>
          </w:tcPr>
          <w:p>
            <w:pPr>
              <w:ind w:left="120"/>
              <w:spacing w:after="0"/>
              <w:rPr>
                <w:sz w:val="20"/>
                <w:szCs w:val="20"/>
                <w:color w:val="auto"/>
              </w:rPr>
            </w:pPr>
            <w:r>
              <w:rPr>
                <w:rFonts w:ascii="Arial" w:cs="Arial" w:eastAsia="Arial" w:hAnsi="Arial"/>
                <w:sz w:val="18"/>
                <w:szCs w:val="18"/>
                <w:color w:val="auto"/>
              </w:rPr>
              <w:t>$</w:t>
            </w:r>
          </w:p>
        </w:tc>
        <w:tc>
          <w:tcPr>
            <w:tcW w:w="1780" w:type="dxa"/>
            <w:vAlign w:val="bottom"/>
          </w:tcPr>
          <w:p>
            <w:pPr>
              <w:jc w:val="right"/>
              <w:ind w:right="18"/>
              <w:spacing w:after="0"/>
              <w:rPr>
                <w:sz w:val="20"/>
                <w:szCs w:val="20"/>
                <w:color w:val="auto"/>
              </w:rPr>
            </w:pPr>
            <w:r>
              <w:rPr>
                <w:rFonts w:ascii="Arial" w:cs="Arial" w:eastAsia="Arial" w:hAnsi="Arial"/>
                <w:sz w:val="18"/>
                <w:szCs w:val="18"/>
                <w:color w:val="auto"/>
              </w:rPr>
              <w:t>26,419</w:t>
            </w:r>
          </w:p>
        </w:tc>
      </w:tr>
      <w:tr>
        <w:trPr>
          <w:trHeight w:val="27"/>
        </w:trPr>
        <w:tc>
          <w:tcPr>
            <w:tcW w:w="20" w:type="dxa"/>
            <w:vAlign w:val="bottom"/>
          </w:tcPr>
          <w:p>
            <w:pPr>
              <w:spacing w:after="0"/>
              <w:rPr>
                <w:sz w:val="2"/>
                <w:szCs w:val="2"/>
                <w:color w:val="auto"/>
              </w:rPr>
            </w:pPr>
          </w:p>
        </w:tc>
        <w:tc>
          <w:tcPr>
            <w:tcW w:w="7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7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78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7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Average attained age of policyholders</w:t>
            </w:r>
          </w:p>
        </w:tc>
        <w:tc>
          <w:tcPr>
            <w:tcW w:w="24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8"/>
                <w:szCs w:val="18"/>
                <w:color w:val="auto"/>
              </w:rPr>
              <w:t>48 years</w:t>
            </w:r>
          </w:p>
        </w:tc>
        <w:tc>
          <w:tcPr>
            <w:tcW w:w="36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48 years</w:t>
            </w:r>
          </w:p>
        </w:tc>
      </w:tr>
      <w:tr>
        <w:trPr>
          <w:trHeight w:val="182"/>
        </w:trPr>
        <w:tc>
          <w:tcPr>
            <w:tcW w:w="20" w:type="dxa"/>
            <w:vAlign w:val="bottom"/>
          </w:tcPr>
          <w:p>
            <w:pPr>
              <w:spacing w:after="0"/>
              <w:rPr>
                <w:sz w:val="15"/>
                <w:szCs w:val="15"/>
                <w:color w:val="auto"/>
              </w:rPr>
            </w:pPr>
          </w:p>
        </w:tc>
        <w:tc>
          <w:tcPr>
            <w:tcW w:w="7300" w:type="dxa"/>
            <w:vAlign w:val="bottom"/>
          </w:tcPr>
          <w:p>
            <w:pPr>
              <w:spacing w:after="0"/>
              <w:rPr>
                <w:sz w:val="20"/>
                <w:szCs w:val="20"/>
                <w:color w:val="auto"/>
              </w:rPr>
            </w:pPr>
            <w:r>
              <w:rPr>
                <w:rFonts w:ascii="Arial" w:cs="Arial" w:eastAsia="Arial" w:hAnsi="Arial"/>
                <w:sz w:val="14"/>
                <w:szCs w:val="14"/>
                <w:color w:val="auto"/>
              </w:rPr>
              <w:t>__________________</w:t>
            </w:r>
          </w:p>
        </w:tc>
        <w:tc>
          <w:tcPr>
            <w:tcW w:w="24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780" w:type="dxa"/>
            <w:vAlign w:val="bottom"/>
          </w:tcPr>
          <w:p>
            <w:pPr>
              <w:spacing w:after="0"/>
              <w:rPr>
                <w:sz w:val="15"/>
                <w:szCs w:val="15"/>
                <w:color w:val="auto"/>
              </w:rPr>
            </w:pPr>
          </w:p>
        </w:tc>
      </w:tr>
    </w:tbl>
    <w:p>
      <w:pPr>
        <w:spacing w:after="0" w:line="73" w:lineRule="exact"/>
        <w:rPr>
          <w:sz w:val="20"/>
          <w:szCs w:val="20"/>
          <w:color w:val="auto"/>
        </w:rPr>
      </w:pPr>
    </w:p>
    <w:p>
      <w:pPr>
        <w:ind w:left="500" w:right="20" w:hanging="492"/>
        <w:spacing w:after="0" w:line="277" w:lineRule="auto"/>
        <w:tabs>
          <w:tab w:leader="none" w:pos="5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Company’s annuity contracts with guarantees may offer more than one type of guarantee in each contract. Therefore, the amounts listed above may not be mutually exclusive.</w:t>
      </w:r>
    </w:p>
    <w:p>
      <w:pPr>
        <w:sectPr>
          <w:pgSz w:w="11900" w:h="16838" w:orient="portrait"/>
          <w:cols w:equalWidth="0" w:num="1">
            <w:col w:w="11420"/>
          </w:cols>
          <w:pgMar w:left="240" w:top="234" w:right="239" w:bottom="1440" w:gutter="0" w:footer="0" w:header="0"/>
        </w:sectPr>
      </w:pP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ectPr>
          <w:pgSz w:w="11900" w:h="16838" w:orient="portrait"/>
          <w:cols w:equalWidth="0" w:num="1">
            <w:col w:w="11420"/>
          </w:cols>
          <w:pgMar w:left="240" w:top="234" w:right="239" w:bottom="1440" w:gutter="0" w:footer="0" w:header="0"/>
          <w:type w:val="continuous"/>
        </w:sectPr>
      </w:pPr>
    </w:p>
    <w:bookmarkStart w:id="16" w:name="page17"/>
    <w:bookmarkEnd w:id="16"/>
    <w:p>
      <w:pPr>
        <w:ind w:left="340"/>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109" w:lineRule="exact"/>
        <w:rPr>
          <w:sz w:val="20"/>
          <w:szCs w:val="20"/>
          <w:color w:val="auto"/>
        </w:rPr>
      </w:pPr>
    </w:p>
    <w:p>
      <w:pPr>
        <w:ind w:left="4660"/>
        <w:spacing w:after="0"/>
        <w:rPr>
          <w:sz w:val="20"/>
          <w:szCs w:val="20"/>
          <w:color w:val="auto"/>
        </w:rPr>
      </w:pPr>
      <w:r>
        <w:rPr>
          <w:rFonts w:ascii="Arial" w:cs="Arial" w:eastAsia="Arial" w:hAnsi="Arial"/>
          <w:sz w:val="18"/>
          <w:szCs w:val="18"/>
          <w:b w:val="1"/>
          <w:bCs w:val="1"/>
          <w:color w:val="auto"/>
        </w:rPr>
        <w:t>Brighthouse Financial, Inc.</w:t>
      </w:r>
    </w:p>
    <w:p>
      <w:pPr>
        <w:spacing w:after="0" w:line="117" w:lineRule="exact"/>
        <w:rPr>
          <w:sz w:val="20"/>
          <w:szCs w:val="20"/>
          <w:color w:val="auto"/>
        </w:rPr>
      </w:pPr>
    </w:p>
    <w:p>
      <w:pPr>
        <w:ind w:left="1480"/>
        <w:spacing w:after="0"/>
        <w:rPr>
          <w:sz w:val="20"/>
          <w:szCs w:val="20"/>
          <w:color w:val="auto"/>
        </w:rPr>
      </w:pPr>
      <w:r>
        <w:rPr>
          <w:rFonts w:ascii="Arial" w:cs="Arial" w:eastAsia="Arial" w:hAnsi="Arial"/>
          <w:sz w:val="18"/>
          <w:szCs w:val="18"/>
          <w:b w:val="1"/>
          <w:bCs w:val="1"/>
          <w:color w:val="auto"/>
        </w:rPr>
        <w:t>Notes to the Interim Condensed Consolidated and Combined Financial Statements (Unaudited) — (continued)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Insurance (continued)</w:t>
      </w:r>
    </w:p>
    <w:p>
      <w:pPr>
        <w:spacing w:after="0" w:line="364" w:lineRule="exact"/>
        <w:rPr>
          <w:sz w:val="20"/>
          <w:szCs w:val="20"/>
          <w:color w:val="auto"/>
        </w:rPr>
      </w:pPr>
    </w:p>
    <w:p>
      <w:pPr>
        <w:jc w:val="both"/>
        <w:ind w:left="500" w:hanging="492"/>
        <w:spacing w:after="0" w:line="312" w:lineRule="auto"/>
        <w:tabs>
          <w:tab w:leader="none" w:pos="500" w:val="left"/>
        </w:tabs>
        <w:numPr>
          <w:ilvl w:val="0"/>
          <w:numId w:val="6"/>
        </w:numPr>
        <w:rPr>
          <w:rFonts w:ascii="Arial" w:cs="Arial" w:eastAsia="Arial" w:hAnsi="Arial"/>
          <w:sz w:val="16"/>
          <w:szCs w:val="16"/>
          <w:color w:val="auto"/>
        </w:rPr>
      </w:pPr>
      <w:r>
        <w:rPr>
          <w:rFonts w:ascii="Arial" w:cs="Arial" w:eastAsia="Arial" w:hAnsi="Arial"/>
          <w:sz w:val="16"/>
          <w:szCs w:val="16"/>
          <w:color w:val="auto"/>
        </w:rPr>
        <w:t>Includes direct business, but excludes offsets from hedging or reinsurance, if any. Therefore, the net amount at risk presented reflects the economic exposures of living and death benefit guarantees associated with variable annuities, but not necessarily their impact on the Company. See Note 6 of the Notes to the Combined Financial Statements included in the Form 10 for a discussion of guaranteed minimum benefits which have been reinsured.</w:t>
      </w:r>
    </w:p>
    <w:p>
      <w:pPr>
        <w:spacing w:after="0" w:line="38" w:lineRule="exact"/>
        <w:rPr>
          <w:rFonts w:ascii="Arial" w:cs="Arial" w:eastAsia="Arial" w:hAnsi="Arial"/>
          <w:sz w:val="16"/>
          <w:szCs w:val="16"/>
          <w:color w:val="auto"/>
        </w:rPr>
      </w:pPr>
    </w:p>
    <w:p>
      <w:pPr>
        <w:ind w:left="500" w:hanging="492"/>
        <w:spacing w:after="0"/>
        <w:tabs>
          <w:tab w:leader="none" w:pos="50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Includes the contractholder’s investments in the general account and separate account, if applicable.</w:t>
      </w:r>
    </w:p>
    <w:p>
      <w:pPr>
        <w:spacing w:after="0" w:line="117" w:lineRule="exact"/>
        <w:rPr>
          <w:rFonts w:ascii="Arial" w:cs="Arial" w:eastAsia="Arial" w:hAnsi="Arial"/>
          <w:sz w:val="18"/>
          <w:szCs w:val="18"/>
          <w:color w:val="auto"/>
        </w:rPr>
      </w:pPr>
    </w:p>
    <w:p>
      <w:pPr>
        <w:jc w:val="both"/>
        <w:ind w:left="500" w:hanging="492"/>
        <w:spacing w:after="0" w:line="264" w:lineRule="auto"/>
        <w:tabs>
          <w:tab w:leader="none" w:pos="500" w:val="left"/>
        </w:tabs>
        <w:numPr>
          <w:ilvl w:val="0"/>
          <w:numId w:val="6"/>
        </w:numPr>
        <w:rPr>
          <w:rFonts w:ascii="Arial" w:cs="Arial" w:eastAsia="Arial" w:hAnsi="Arial"/>
          <w:sz w:val="18"/>
          <w:szCs w:val="18"/>
          <w:color w:val="auto"/>
        </w:rPr>
      </w:pPr>
      <w:r>
        <w:rPr>
          <w:rFonts w:ascii="Arial" w:cs="Arial" w:eastAsia="Arial" w:hAnsi="Arial"/>
          <w:sz w:val="18"/>
          <w:szCs w:val="18"/>
          <w:color w:val="auto"/>
        </w:rPr>
        <w:t>Defined as the death benefit less the total account value, as of the balance sheet date. It represents the amount of the claim that the Company would incur if death claims were filed on all contracts on the balance sheet date and includes any additional contractual claims associated with riders purchased to assist with covering income taxes payable upon death.</w:t>
      </w:r>
    </w:p>
    <w:p>
      <w:pPr>
        <w:spacing w:after="0" w:line="73" w:lineRule="exact"/>
        <w:rPr>
          <w:rFonts w:ascii="Arial" w:cs="Arial" w:eastAsia="Arial" w:hAnsi="Arial"/>
          <w:sz w:val="18"/>
          <w:szCs w:val="18"/>
          <w:color w:val="auto"/>
        </w:rPr>
      </w:pPr>
    </w:p>
    <w:p>
      <w:pPr>
        <w:jc w:val="both"/>
        <w:ind w:left="500" w:hanging="492"/>
        <w:spacing w:after="0" w:line="302" w:lineRule="auto"/>
        <w:tabs>
          <w:tab w:leader="none" w:pos="500" w:val="left"/>
        </w:tabs>
        <w:numPr>
          <w:ilvl w:val="0"/>
          <w:numId w:val="6"/>
        </w:numPr>
        <w:rPr>
          <w:rFonts w:ascii="Arial" w:cs="Arial" w:eastAsia="Arial" w:hAnsi="Arial"/>
          <w:sz w:val="16"/>
          <w:szCs w:val="16"/>
          <w:color w:val="auto"/>
        </w:rPr>
      </w:pPr>
      <w:r>
        <w:rPr>
          <w:rFonts w:ascii="Arial" w:cs="Arial" w:eastAsia="Arial" w:hAnsi="Arial"/>
          <w:sz w:val="16"/>
          <w:szCs w:val="16"/>
          <w:color w:val="auto"/>
        </w:rPr>
        <w:t>Defined as the amount (if any) that would be required to be added to the total account value to purchase a lifetime income stream, based on current annuity rates, equal to the minimum amount provided under the guaranteed benefit. This amount represents the Company’s potential economic exposure to such guarantees in the event all contractholders were to annuitize on the balance sheet date, even though the contracts contain terms that allow annuitization of the guaranteed amount only after the 10th anniversary of the contract, which not all contractholders have achieved.</w:t>
      </w:r>
    </w:p>
    <w:p>
      <w:pPr>
        <w:spacing w:after="0" w:line="46" w:lineRule="exact"/>
        <w:rPr>
          <w:rFonts w:ascii="Arial" w:cs="Arial" w:eastAsia="Arial" w:hAnsi="Arial"/>
          <w:sz w:val="16"/>
          <w:szCs w:val="16"/>
          <w:color w:val="auto"/>
        </w:rPr>
      </w:pPr>
    </w:p>
    <w:p>
      <w:pPr>
        <w:ind w:left="500" w:right="20" w:hanging="492"/>
        <w:spacing w:after="0" w:line="277" w:lineRule="auto"/>
        <w:tabs>
          <w:tab w:leader="none" w:pos="500" w:val="left"/>
        </w:tabs>
        <w:numPr>
          <w:ilvl w:val="0"/>
          <w:numId w:val="6"/>
        </w:numPr>
        <w:rPr>
          <w:rFonts w:ascii="Arial" w:cs="Arial" w:eastAsia="Arial" w:hAnsi="Arial"/>
          <w:sz w:val="18"/>
          <w:szCs w:val="18"/>
          <w:color w:val="auto"/>
        </w:rPr>
      </w:pPr>
      <w:r>
        <w:rPr>
          <w:rFonts w:ascii="Arial" w:cs="Arial" w:eastAsia="Arial" w:hAnsi="Arial"/>
          <w:sz w:val="18"/>
          <w:szCs w:val="18"/>
          <w:color w:val="auto"/>
        </w:rPr>
        <w:t>Defined as the guarantee amount less the account value, as of the balance sheet date. It represents the amount of the claim that the Company would incur if death claims were filed on all contracts on the balance sheet date.</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Liabilities for Unpaid Claims and Claim Expenses</w:t>
      </w:r>
    </w:p>
    <w:p>
      <w:pPr>
        <w:spacing w:after="0" w:line="11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Rollforward of Claims and Claim Adjustment Expenses</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Information regarding the liabilities for unpaid claims and claim adjustment expenses was as follows:</w:t>
      </w:r>
    </w:p>
    <w:p>
      <w:pPr>
        <w:spacing w:after="0" w:line="163" w:lineRule="exact"/>
        <w:rPr>
          <w:sz w:val="20"/>
          <w:szCs w:val="20"/>
          <w:color w:val="auto"/>
        </w:rPr>
      </w:pPr>
    </w:p>
    <w:p>
      <w:pPr>
        <w:ind w:left="9960"/>
        <w:spacing w:after="0"/>
        <w:rPr>
          <w:sz w:val="20"/>
          <w:szCs w:val="20"/>
          <w:color w:val="auto"/>
        </w:rPr>
      </w:pPr>
      <w:r>
        <w:rPr>
          <w:rFonts w:ascii="Arial" w:cs="Arial" w:eastAsia="Arial" w:hAnsi="Arial"/>
          <w:sz w:val="14"/>
          <w:szCs w:val="14"/>
          <w:b w:val="1"/>
          <w:bCs w:val="1"/>
          <w:color w:val="auto"/>
        </w:rPr>
        <w:t>Nine Months</w:t>
      </w:r>
    </w:p>
    <w:p>
      <w:pPr>
        <w:ind w:left="10140"/>
        <w:spacing w:after="0" w:line="226" w:lineRule="auto"/>
        <w:rPr>
          <w:sz w:val="20"/>
          <w:szCs w:val="20"/>
          <w:color w:val="auto"/>
        </w:rPr>
      </w:pPr>
      <w:r>
        <w:rPr>
          <w:rFonts w:ascii="Arial" w:cs="Arial" w:eastAsia="Arial" w:hAnsi="Arial"/>
          <w:sz w:val="14"/>
          <w:szCs w:val="14"/>
          <w:b w:val="1"/>
          <w:bCs w:val="1"/>
          <w:color w:val="auto"/>
        </w:rPr>
        <w:t>Ended</w:t>
      </w:r>
    </w:p>
    <w:p>
      <w:pPr>
        <w:spacing w:after="0" w:line="1" w:lineRule="exact"/>
        <w:rPr>
          <w:sz w:val="20"/>
          <w:szCs w:val="20"/>
          <w:color w:val="auto"/>
        </w:rPr>
      </w:pPr>
    </w:p>
    <w:p>
      <w:pPr>
        <w:ind w:left="9920"/>
        <w:spacing w:after="0"/>
        <w:rPr>
          <w:sz w:val="20"/>
          <w:szCs w:val="20"/>
          <w:color w:val="auto"/>
        </w:rPr>
      </w:pPr>
      <w:r>
        <w:rPr>
          <w:rFonts w:ascii="Arial" w:cs="Arial" w:eastAsia="Arial" w:hAnsi="Arial"/>
          <w:sz w:val="14"/>
          <w:szCs w:val="14"/>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5879465</wp:posOffset>
            </wp:positionH>
            <wp:positionV relativeFrom="paragraph">
              <wp:posOffset>13335</wp:posOffset>
            </wp:positionV>
            <wp:extent cx="137223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372235" cy="8890"/>
                    </a:xfrm>
                    <a:prstGeom prst="rect">
                      <a:avLst/>
                    </a:prstGeom>
                    <a:noFill/>
                  </pic:spPr>
                </pic:pic>
              </a:graphicData>
            </a:graphic>
          </wp:anchor>
        </w:drawing>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2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300"/>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ind w:right="280"/>
              <w:spacing w:after="0"/>
              <w:rPr>
                <w:sz w:val="20"/>
                <w:szCs w:val="20"/>
                <w:color w:val="auto"/>
              </w:rPr>
            </w:pPr>
            <w:r>
              <w:rPr>
                <w:rFonts w:ascii="Arial" w:cs="Arial" w:eastAsia="Arial" w:hAnsi="Arial"/>
                <w:sz w:val="14"/>
                <w:szCs w:val="14"/>
                <w:b w:val="1"/>
                <w:bCs w:val="1"/>
                <w:color w:val="auto"/>
                <w:w w:val="89"/>
              </w:rPr>
              <w:t>2016</w:t>
            </w:r>
          </w:p>
        </w:tc>
        <w:tc>
          <w:tcPr>
            <w:tcW w:w="0" w:type="dxa"/>
            <w:vAlign w:val="bottom"/>
          </w:tcPr>
          <w:p>
            <w:pPr>
              <w:spacing w:after="0"/>
              <w:rPr>
                <w:sz w:val="1"/>
                <w:szCs w:val="1"/>
                <w:color w:val="auto"/>
              </w:rPr>
            </w:pPr>
          </w:p>
        </w:tc>
      </w:tr>
      <w:tr>
        <w:trPr>
          <w:trHeight w:val="250"/>
        </w:trPr>
        <w:tc>
          <w:tcPr>
            <w:tcW w:w="92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6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millions)</w:t>
            </w:r>
          </w:p>
        </w:tc>
        <w:tc>
          <w:tcPr>
            <w:tcW w:w="6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9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Balance at December 31 of prior period</w:t>
            </w: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2,008</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1,719</w:t>
            </w:r>
          </w:p>
        </w:tc>
        <w:tc>
          <w:tcPr>
            <w:tcW w:w="0" w:type="dxa"/>
            <w:vAlign w:val="bottom"/>
          </w:tcPr>
          <w:p>
            <w:pPr>
              <w:spacing w:after="0"/>
              <w:rPr>
                <w:sz w:val="1"/>
                <w:szCs w:val="1"/>
                <w:color w:val="auto"/>
              </w:rPr>
            </w:pPr>
          </w:p>
        </w:tc>
      </w:tr>
      <w:tr>
        <w:trPr>
          <w:trHeight w:val="237"/>
        </w:trPr>
        <w:tc>
          <w:tcPr>
            <w:tcW w:w="9260" w:type="dxa"/>
            <w:vAlign w:val="bottom"/>
          </w:tcPr>
          <w:p>
            <w:pPr>
              <w:ind w:left="40"/>
              <w:spacing w:after="0"/>
              <w:rPr>
                <w:sz w:val="20"/>
                <w:szCs w:val="20"/>
                <w:color w:val="auto"/>
              </w:rPr>
            </w:pPr>
            <w:r>
              <w:rPr>
                <w:rFonts w:ascii="Arial" w:cs="Arial" w:eastAsia="Arial" w:hAnsi="Arial"/>
                <w:sz w:val="16"/>
                <w:szCs w:val="16"/>
                <w:color w:val="auto"/>
              </w:rPr>
              <w:t>Less: Reinsurance recoverables</w:t>
            </w:r>
          </w:p>
        </w:tc>
        <w:tc>
          <w:tcPr>
            <w:tcW w:w="240" w:type="dxa"/>
            <w:vAlign w:val="bottom"/>
          </w:tcPr>
          <w:p>
            <w:pPr>
              <w:spacing w:after="0"/>
              <w:rPr>
                <w:sz w:val="20"/>
                <w:szCs w:val="20"/>
                <w:color w:val="auto"/>
              </w:rPr>
            </w:pPr>
          </w:p>
        </w:tc>
        <w:tc>
          <w:tcPr>
            <w:tcW w:w="800" w:type="dxa"/>
            <w:vAlign w:val="bottom"/>
          </w:tcPr>
          <w:p>
            <w:pPr>
              <w:jc w:val="right"/>
              <w:ind w:right="20"/>
              <w:spacing w:after="0"/>
              <w:rPr>
                <w:sz w:val="20"/>
                <w:szCs w:val="20"/>
                <w:color w:val="auto"/>
              </w:rPr>
            </w:pPr>
            <w:r>
              <w:rPr>
                <w:rFonts w:ascii="Arial" w:cs="Arial" w:eastAsia="Arial" w:hAnsi="Arial"/>
                <w:sz w:val="16"/>
                <w:szCs w:val="16"/>
                <w:color w:val="auto"/>
              </w:rPr>
              <w:t>1,832</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60" w:type="dxa"/>
            <w:vAlign w:val="bottom"/>
          </w:tcPr>
          <w:p>
            <w:pPr>
              <w:jc w:val="right"/>
              <w:ind w:right="20"/>
              <w:spacing w:after="0"/>
              <w:rPr>
                <w:sz w:val="20"/>
                <w:szCs w:val="20"/>
                <w:color w:val="auto"/>
              </w:rPr>
            </w:pPr>
            <w:r>
              <w:rPr>
                <w:rFonts w:ascii="Arial" w:cs="Arial" w:eastAsia="Arial" w:hAnsi="Arial"/>
                <w:sz w:val="16"/>
                <w:szCs w:val="16"/>
                <w:color w:val="auto"/>
              </w:rPr>
              <w:t>1,565</w:t>
            </w:r>
          </w:p>
        </w:tc>
        <w:tc>
          <w:tcPr>
            <w:tcW w:w="0" w:type="dxa"/>
            <w:vAlign w:val="bottom"/>
          </w:tcPr>
          <w:p>
            <w:pPr>
              <w:spacing w:after="0"/>
              <w:rPr>
                <w:sz w:val="1"/>
                <w:szCs w:val="1"/>
                <w:color w:val="auto"/>
              </w:rPr>
            </w:pPr>
          </w:p>
        </w:tc>
      </w:tr>
      <w:tr>
        <w:trPr>
          <w:trHeight w:val="33"/>
        </w:trPr>
        <w:tc>
          <w:tcPr>
            <w:tcW w:w="92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9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balance at December 31 of prior period</w:t>
            </w:r>
          </w:p>
        </w:tc>
        <w:tc>
          <w:tcPr>
            <w:tcW w:w="24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176</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154</w:t>
            </w:r>
          </w:p>
        </w:tc>
        <w:tc>
          <w:tcPr>
            <w:tcW w:w="0" w:type="dxa"/>
            <w:vAlign w:val="bottom"/>
          </w:tcPr>
          <w:p>
            <w:pPr>
              <w:spacing w:after="0"/>
              <w:rPr>
                <w:sz w:val="1"/>
                <w:szCs w:val="1"/>
                <w:color w:val="auto"/>
              </w:rPr>
            </w:pPr>
          </w:p>
        </w:tc>
      </w:tr>
      <w:tr>
        <w:trPr>
          <w:trHeight w:val="237"/>
        </w:trPr>
        <w:tc>
          <w:tcPr>
            <w:tcW w:w="9260" w:type="dxa"/>
            <w:vAlign w:val="bottom"/>
          </w:tcPr>
          <w:p>
            <w:pPr>
              <w:ind w:left="40"/>
              <w:spacing w:after="0"/>
              <w:rPr>
                <w:sz w:val="20"/>
                <w:szCs w:val="20"/>
                <w:color w:val="auto"/>
              </w:rPr>
            </w:pPr>
            <w:r>
              <w:rPr>
                <w:rFonts w:ascii="Arial" w:cs="Arial" w:eastAsia="Arial" w:hAnsi="Arial"/>
                <w:sz w:val="16"/>
                <w:szCs w:val="16"/>
                <w:color w:val="auto"/>
              </w:rPr>
              <w:t>Cumulative adjustment (1)</w:t>
            </w:r>
          </w:p>
        </w:tc>
        <w:tc>
          <w:tcPr>
            <w:tcW w:w="240" w:type="dxa"/>
            <w:vAlign w:val="bottom"/>
          </w:tcPr>
          <w:p>
            <w:pPr>
              <w:spacing w:after="0"/>
              <w:rPr>
                <w:sz w:val="20"/>
                <w:szCs w:val="20"/>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20"/>
                <w:szCs w:val="20"/>
                <w:color w:val="auto"/>
              </w:rPr>
            </w:pPr>
          </w:p>
        </w:tc>
        <w:tc>
          <w:tcPr>
            <w:tcW w:w="660" w:type="dxa"/>
            <w:vAlign w:val="bottom"/>
          </w:tcPr>
          <w:p>
            <w:pPr>
              <w:jc w:val="right"/>
              <w:ind w:right="20"/>
              <w:spacing w:after="0"/>
              <w:rPr>
                <w:sz w:val="20"/>
                <w:szCs w:val="20"/>
                <w:color w:val="auto"/>
              </w:rPr>
            </w:pPr>
            <w:r>
              <w:rPr>
                <w:rFonts w:ascii="Arial" w:cs="Arial" w:eastAsia="Arial" w:hAnsi="Arial"/>
                <w:sz w:val="16"/>
                <w:szCs w:val="16"/>
                <w:color w:val="auto"/>
              </w:rPr>
              <w:t>89</w:t>
            </w:r>
          </w:p>
        </w:tc>
        <w:tc>
          <w:tcPr>
            <w:tcW w:w="0" w:type="dxa"/>
            <w:vAlign w:val="bottom"/>
          </w:tcPr>
          <w:p>
            <w:pPr>
              <w:spacing w:after="0"/>
              <w:rPr>
                <w:sz w:val="1"/>
                <w:szCs w:val="1"/>
                <w:color w:val="auto"/>
              </w:rPr>
            </w:pPr>
          </w:p>
        </w:tc>
      </w:tr>
      <w:tr>
        <w:trPr>
          <w:trHeight w:val="33"/>
        </w:trPr>
        <w:tc>
          <w:tcPr>
            <w:tcW w:w="92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9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balance, beginning of period</w:t>
            </w:r>
          </w:p>
        </w:tc>
        <w:tc>
          <w:tcPr>
            <w:tcW w:w="24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176</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243</w:t>
            </w:r>
          </w:p>
        </w:tc>
        <w:tc>
          <w:tcPr>
            <w:tcW w:w="0" w:type="dxa"/>
            <w:vAlign w:val="bottom"/>
          </w:tcPr>
          <w:p>
            <w:pPr>
              <w:spacing w:after="0"/>
              <w:rPr>
                <w:sz w:val="1"/>
                <w:szCs w:val="1"/>
                <w:color w:val="auto"/>
              </w:rPr>
            </w:pPr>
          </w:p>
        </w:tc>
      </w:tr>
      <w:tr>
        <w:trPr>
          <w:trHeight w:val="224"/>
        </w:trPr>
        <w:tc>
          <w:tcPr>
            <w:tcW w:w="9260" w:type="dxa"/>
            <w:vAlign w:val="bottom"/>
          </w:tcPr>
          <w:p>
            <w:pPr>
              <w:ind w:left="40"/>
              <w:spacing w:after="0"/>
              <w:rPr>
                <w:sz w:val="20"/>
                <w:szCs w:val="20"/>
                <w:color w:val="auto"/>
              </w:rPr>
            </w:pPr>
            <w:r>
              <w:rPr>
                <w:rFonts w:ascii="Arial" w:cs="Arial" w:eastAsia="Arial" w:hAnsi="Arial"/>
                <w:sz w:val="16"/>
                <w:szCs w:val="16"/>
                <w:color w:val="auto"/>
              </w:rPr>
              <w:t>Incurred related to:</w:t>
            </w: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926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0" w:type="dxa"/>
            <w:vAlign w:val="bottom"/>
          </w:tcPr>
          <w:p>
            <w:pPr>
              <w:spacing w:after="0"/>
              <w:rPr>
                <w:sz w:val="4"/>
                <w:szCs w:val="4"/>
                <w:color w:val="auto"/>
              </w:rPr>
            </w:pPr>
          </w:p>
        </w:tc>
        <w:tc>
          <w:tcPr>
            <w:tcW w:w="360" w:type="dxa"/>
            <w:vAlign w:val="bottom"/>
          </w:tcPr>
          <w:p>
            <w:pPr>
              <w:spacing w:after="0"/>
              <w:rPr>
                <w:sz w:val="4"/>
                <w:szCs w:val="4"/>
                <w:color w:val="auto"/>
              </w:rPr>
            </w:pPr>
          </w:p>
        </w:tc>
        <w:tc>
          <w:tcPr>
            <w:tcW w:w="6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92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Current period</w:t>
            </w: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556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738</w:t>
            </w:r>
          </w:p>
        </w:tc>
        <w:tc>
          <w:tcPr>
            <w:tcW w:w="0" w:type="dxa"/>
            <w:vAlign w:val="bottom"/>
          </w:tcPr>
          <w:p>
            <w:pPr>
              <w:spacing w:after="0"/>
              <w:rPr>
                <w:sz w:val="1"/>
                <w:szCs w:val="1"/>
                <w:color w:val="auto"/>
              </w:rPr>
            </w:pPr>
          </w:p>
        </w:tc>
      </w:tr>
      <w:tr>
        <w:trPr>
          <w:trHeight w:val="237"/>
        </w:trPr>
        <w:tc>
          <w:tcPr>
            <w:tcW w:w="9260" w:type="dxa"/>
            <w:vAlign w:val="bottom"/>
          </w:tcPr>
          <w:p>
            <w:pPr>
              <w:ind w:left="200"/>
              <w:spacing w:after="0"/>
              <w:rPr>
                <w:sz w:val="20"/>
                <w:szCs w:val="20"/>
                <w:color w:val="auto"/>
              </w:rPr>
            </w:pPr>
            <w:r>
              <w:rPr>
                <w:rFonts w:ascii="Arial" w:cs="Arial" w:eastAsia="Arial" w:hAnsi="Arial"/>
                <w:sz w:val="16"/>
                <w:szCs w:val="16"/>
                <w:color w:val="auto"/>
              </w:rPr>
              <w:t>Prior periods (2)</w:t>
            </w:r>
          </w:p>
        </w:tc>
        <w:tc>
          <w:tcPr>
            <w:tcW w:w="2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(5)</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(48)</w:t>
            </w:r>
          </w:p>
        </w:tc>
        <w:tc>
          <w:tcPr>
            <w:tcW w:w="0" w:type="dxa"/>
            <w:vAlign w:val="bottom"/>
          </w:tcPr>
          <w:p>
            <w:pPr>
              <w:spacing w:after="0"/>
              <w:rPr>
                <w:sz w:val="1"/>
                <w:szCs w:val="1"/>
                <w:color w:val="auto"/>
              </w:rPr>
            </w:pPr>
          </w:p>
        </w:tc>
      </w:tr>
      <w:tr>
        <w:trPr>
          <w:trHeight w:val="33"/>
        </w:trPr>
        <w:tc>
          <w:tcPr>
            <w:tcW w:w="92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92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Total incurred</w:t>
            </w: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551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690</w:t>
            </w:r>
          </w:p>
        </w:tc>
        <w:tc>
          <w:tcPr>
            <w:tcW w:w="0" w:type="dxa"/>
            <w:vAlign w:val="bottom"/>
          </w:tcPr>
          <w:p>
            <w:pPr>
              <w:spacing w:after="0"/>
              <w:rPr>
                <w:sz w:val="1"/>
                <w:szCs w:val="1"/>
                <w:color w:val="auto"/>
              </w:rPr>
            </w:pPr>
          </w:p>
        </w:tc>
      </w:tr>
      <w:tr>
        <w:trPr>
          <w:trHeight w:val="204"/>
        </w:trPr>
        <w:tc>
          <w:tcPr>
            <w:tcW w:w="9260" w:type="dxa"/>
            <w:vAlign w:val="bottom"/>
          </w:tcPr>
          <w:p>
            <w:pPr>
              <w:ind w:left="40"/>
              <w:spacing w:after="0"/>
              <w:rPr>
                <w:sz w:val="20"/>
                <w:szCs w:val="20"/>
                <w:color w:val="auto"/>
              </w:rPr>
            </w:pPr>
            <w:r>
              <w:rPr>
                <w:rFonts w:ascii="Arial" w:cs="Arial" w:eastAsia="Arial" w:hAnsi="Arial"/>
                <w:sz w:val="16"/>
                <w:szCs w:val="16"/>
                <w:color w:val="auto"/>
              </w:rPr>
              <w:t>Paid related to:</w:t>
            </w:r>
          </w:p>
        </w:tc>
        <w:tc>
          <w:tcPr>
            <w:tcW w:w="24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60"/>
        </w:trPr>
        <w:tc>
          <w:tcPr>
            <w:tcW w:w="926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0" w:type="dxa"/>
            <w:vAlign w:val="bottom"/>
          </w:tcPr>
          <w:p>
            <w:pPr>
              <w:spacing w:after="0"/>
              <w:rPr>
                <w:sz w:val="5"/>
                <w:szCs w:val="5"/>
                <w:color w:val="auto"/>
              </w:rPr>
            </w:pPr>
          </w:p>
        </w:tc>
        <w:tc>
          <w:tcPr>
            <w:tcW w:w="100" w:type="dxa"/>
            <w:vAlign w:val="bottom"/>
          </w:tcPr>
          <w:p>
            <w:pPr>
              <w:spacing w:after="0"/>
              <w:rPr>
                <w:sz w:val="5"/>
                <w:szCs w:val="5"/>
                <w:color w:val="auto"/>
              </w:rPr>
            </w:pPr>
          </w:p>
        </w:tc>
        <w:tc>
          <w:tcPr>
            <w:tcW w:w="360" w:type="dxa"/>
            <w:vAlign w:val="bottom"/>
          </w:tcPr>
          <w:p>
            <w:pPr>
              <w:spacing w:after="0"/>
              <w:rPr>
                <w:sz w:val="5"/>
                <w:szCs w:val="5"/>
                <w:color w:val="auto"/>
              </w:rPr>
            </w:pPr>
          </w:p>
        </w:tc>
        <w:tc>
          <w:tcPr>
            <w:tcW w:w="6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0"/>
        </w:trPr>
        <w:tc>
          <w:tcPr>
            <w:tcW w:w="92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Current period</w:t>
            </w: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(460)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(546)</w:t>
            </w:r>
          </w:p>
        </w:tc>
        <w:tc>
          <w:tcPr>
            <w:tcW w:w="0" w:type="dxa"/>
            <w:vAlign w:val="bottom"/>
          </w:tcPr>
          <w:p>
            <w:pPr>
              <w:spacing w:after="0"/>
              <w:rPr>
                <w:sz w:val="1"/>
                <w:szCs w:val="1"/>
                <w:color w:val="auto"/>
              </w:rPr>
            </w:pPr>
          </w:p>
        </w:tc>
      </w:tr>
      <w:tr>
        <w:trPr>
          <w:trHeight w:val="237"/>
        </w:trPr>
        <w:tc>
          <w:tcPr>
            <w:tcW w:w="9260" w:type="dxa"/>
            <w:vAlign w:val="bottom"/>
          </w:tcPr>
          <w:p>
            <w:pPr>
              <w:ind w:left="200"/>
              <w:spacing w:after="0"/>
              <w:rPr>
                <w:sz w:val="20"/>
                <w:szCs w:val="20"/>
                <w:color w:val="auto"/>
              </w:rPr>
            </w:pPr>
            <w:r>
              <w:rPr>
                <w:rFonts w:ascii="Arial" w:cs="Arial" w:eastAsia="Arial" w:hAnsi="Arial"/>
                <w:sz w:val="16"/>
                <w:szCs w:val="16"/>
                <w:color w:val="auto"/>
              </w:rPr>
              <w:t>Prior periods</w:t>
            </w:r>
          </w:p>
        </w:tc>
        <w:tc>
          <w:tcPr>
            <w:tcW w:w="2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(56)</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(171)</w:t>
            </w:r>
          </w:p>
        </w:tc>
        <w:tc>
          <w:tcPr>
            <w:tcW w:w="0" w:type="dxa"/>
            <w:vAlign w:val="bottom"/>
          </w:tcPr>
          <w:p>
            <w:pPr>
              <w:spacing w:after="0"/>
              <w:rPr>
                <w:sz w:val="1"/>
                <w:szCs w:val="1"/>
                <w:color w:val="auto"/>
              </w:rPr>
            </w:pPr>
          </w:p>
        </w:tc>
      </w:tr>
      <w:tr>
        <w:trPr>
          <w:trHeight w:val="33"/>
        </w:trPr>
        <w:tc>
          <w:tcPr>
            <w:tcW w:w="92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92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Total paid</w:t>
            </w: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(516)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(717)</w:t>
            </w:r>
          </w:p>
        </w:tc>
        <w:tc>
          <w:tcPr>
            <w:tcW w:w="0" w:type="dxa"/>
            <w:vAlign w:val="bottom"/>
          </w:tcPr>
          <w:p>
            <w:pPr>
              <w:spacing w:after="0"/>
              <w:rPr>
                <w:sz w:val="1"/>
                <w:szCs w:val="1"/>
                <w:color w:val="auto"/>
              </w:rPr>
            </w:pPr>
          </w:p>
        </w:tc>
      </w:tr>
      <w:tr>
        <w:trPr>
          <w:trHeight w:val="217"/>
        </w:trPr>
        <w:tc>
          <w:tcPr>
            <w:tcW w:w="9260" w:type="dxa"/>
            <w:vAlign w:val="bottom"/>
          </w:tcPr>
          <w:p>
            <w:pPr>
              <w:ind w:left="40"/>
              <w:spacing w:after="0"/>
              <w:rPr>
                <w:sz w:val="20"/>
                <w:szCs w:val="20"/>
                <w:color w:val="auto"/>
              </w:rPr>
            </w:pPr>
            <w:r>
              <w:rPr>
                <w:rFonts w:ascii="Arial" w:cs="Arial" w:eastAsia="Arial" w:hAnsi="Arial"/>
                <w:sz w:val="16"/>
                <w:szCs w:val="16"/>
                <w:color w:val="auto"/>
              </w:rPr>
              <w:t>Net balance, end of period</w:t>
            </w:r>
          </w:p>
        </w:tc>
        <w:tc>
          <w:tcPr>
            <w:tcW w:w="2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211</w:t>
            </w:r>
          </w:p>
        </w:tc>
        <w:tc>
          <w:tcPr>
            <w:tcW w:w="10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216</w:t>
            </w:r>
          </w:p>
        </w:tc>
        <w:tc>
          <w:tcPr>
            <w:tcW w:w="0" w:type="dxa"/>
            <w:vAlign w:val="bottom"/>
          </w:tcPr>
          <w:p>
            <w:pPr>
              <w:spacing w:after="0"/>
              <w:rPr>
                <w:sz w:val="1"/>
                <w:szCs w:val="1"/>
                <w:color w:val="auto"/>
              </w:rPr>
            </w:pPr>
          </w:p>
        </w:tc>
      </w:tr>
      <w:tr>
        <w:trPr>
          <w:trHeight w:val="33"/>
        </w:trPr>
        <w:tc>
          <w:tcPr>
            <w:tcW w:w="9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92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Add: Reinsurance recoverables</w:t>
            </w:r>
          </w:p>
        </w:tc>
        <w:tc>
          <w:tcPr>
            <w:tcW w:w="2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1,887</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1,670</w:t>
            </w:r>
          </w:p>
        </w:tc>
        <w:tc>
          <w:tcPr>
            <w:tcW w:w="0" w:type="dxa"/>
            <w:vAlign w:val="bottom"/>
          </w:tcPr>
          <w:p>
            <w:pPr>
              <w:spacing w:after="0"/>
              <w:rPr>
                <w:sz w:val="1"/>
                <w:szCs w:val="1"/>
                <w:color w:val="auto"/>
              </w:rPr>
            </w:pPr>
          </w:p>
        </w:tc>
      </w:tr>
      <w:tr>
        <w:trPr>
          <w:trHeight w:val="217"/>
        </w:trPr>
        <w:tc>
          <w:tcPr>
            <w:tcW w:w="9260" w:type="dxa"/>
            <w:vAlign w:val="bottom"/>
          </w:tcPr>
          <w:p>
            <w:pPr>
              <w:ind w:left="40"/>
              <w:spacing w:after="0"/>
              <w:rPr>
                <w:sz w:val="20"/>
                <w:szCs w:val="20"/>
                <w:color w:val="auto"/>
              </w:rPr>
            </w:pPr>
            <w:r>
              <w:rPr>
                <w:rFonts w:ascii="Arial" w:cs="Arial" w:eastAsia="Arial" w:hAnsi="Arial"/>
                <w:sz w:val="16"/>
                <w:szCs w:val="16"/>
                <w:color w:val="auto"/>
              </w:rPr>
              <w:t>Balance, end of period</w:t>
            </w:r>
          </w:p>
        </w:tc>
        <w:tc>
          <w:tcPr>
            <w:tcW w:w="24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80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2,098</w:t>
            </w:r>
          </w:p>
        </w:tc>
        <w:tc>
          <w:tcPr>
            <w:tcW w:w="100" w:type="dxa"/>
            <w:vAlign w:val="bottom"/>
          </w:tcPr>
          <w:p>
            <w:pPr>
              <w:spacing w:after="0"/>
              <w:rPr>
                <w:sz w:val="18"/>
                <w:szCs w:val="18"/>
                <w:color w:val="auto"/>
              </w:rPr>
            </w:pPr>
          </w:p>
        </w:tc>
        <w:tc>
          <w:tcPr>
            <w:tcW w:w="360" w:type="dxa"/>
            <w:vAlign w:val="bottom"/>
            <w:tcBorders>
              <w:top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66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1,886</w:t>
            </w:r>
          </w:p>
        </w:tc>
        <w:tc>
          <w:tcPr>
            <w:tcW w:w="0" w:type="dxa"/>
            <w:vAlign w:val="bottom"/>
          </w:tcPr>
          <w:p>
            <w:pPr>
              <w:spacing w:after="0"/>
              <w:rPr>
                <w:sz w:val="1"/>
                <w:szCs w:val="1"/>
                <w:color w:val="auto"/>
              </w:rPr>
            </w:pPr>
          </w:p>
        </w:tc>
      </w:tr>
      <w:tr>
        <w:trPr>
          <w:trHeight w:val="33"/>
        </w:trPr>
        <w:tc>
          <w:tcPr>
            <w:tcW w:w="9260" w:type="dxa"/>
            <w:vAlign w:val="bottom"/>
            <w:vMerge w:val="restart"/>
          </w:tcPr>
          <w:p>
            <w:pPr>
              <w:spacing w:after="0"/>
              <w:rPr>
                <w:sz w:val="20"/>
                <w:szCs w:val="20"/>
                <w:color w:val="auto"/>
              </w:rPr>
            </w:pPr>
            <w:r>
              <w:rPr>
                <w:rFonts w:ascii="Arial" w:cs="Arial" w:eastAsia="Arial" w:hAnsi="Arial"/>
                <w:sz w:val="14"/>
                <w:szCs w:val="14"/>
                <w:color w:val="auto"/>
              </w:rPr>
              <w:t>______________</w:t>
            </w: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9260" w:type="dxa"/>
            <w:vAlign w:val="bottom"/>
            <w:vMerge w:val="continue"/>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926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92" w:lineRule="exact"/>
        <w:rPr>
          <w:sz w:val="20"/>
          <w:szCs w:val="20"/>
          <w:color w:val="auto"/>
        </w:rPr>
      </w:pPr>
    </w:p>
    <w:p>
      <w:pPr>
        <w:jc w:val="both"/>
        <w:ind w:left="500" w:hanging="492"/>
        <w:spacing w:after="0" w:line="264" w:lineRule="auto"/>
        <w:tabs>
          <w:tab w:leader="none" w:pos="50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Reflects the accumulated adjustment, net of reinsurance, upon implementation of the new short-duration contracts guidance which clarified the requirement to include claim information for long-duration contracts. The accumulated adjustment primarily reflects unpaid claim liabilities, net of reinsurance, for long-duration contracts as of the beginning of the period presented.</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288" w:right="239" w:bottom="1440" w:gutter="0" w:footer="0" w:header="0"/>
        </w:sectPr>
      </w:pPr>
    </w:p>
    <w:bookmarkStart w:id="17" w:name="page18"/>
    <w:bookmarkEnd w:id="17"/>
    <w:p>
      <w:pPr>
        <w:ind w:left="340"/>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109" w:lineRule="exact"/>
        <w:rPr>
          <w:sz w:val="20"/>
          <w:szCs w:val="20"/>
          <w:color w:val="auto"/>
        </w:rPr>
      </w:pPr>
    </w:p>
    <w:p>
      <w:pPr>
        <w:ind w:left="4660"/>
        <w:spacing w:after="0"/>
        <w:rPr>
          <w:sz w:val="20"/>
          <w:szCs w:val="20"/>
          <w:color w:val="auto"/>
        </w:rPr>
      </w:pPr>
      <w:r>
        <w:rPr>
          <w:rFonts w:ascii="Arial" w:cs="Arial" w:eastAsia="Arial" w:hAnsi="Arial"/>
          <w:sz w:val="18"/>
          <w:szCs w:val="18"/>
          <w:b w:val="1"/>
          <w:bCs w:val="1"/>
          <w:color w:val="auto"/>
        </w:rPr>
        <w:t>Brighthouse Financial, Inc.</w:t>
      </w:r>
    </w:p>
    <w:p>
      <w:pPr>
        <w:spacing w:after="0" w:line="117" w:lineRule="exact"/>
        <w:rPr>
          <w:sz w:val="20"/>
          <w:szCs w:val="20"/>
          <w:color w:val="auto"/>
        </w:rPr>
      </w:pPr>
    </w:p>
    <w:p>
      <w:pPr>
        <w:ind w:left="1480"/>
        <w:spacing w:after="0"/>
        <w:rPr>
          <w:sz w:val="20"/>
          <w:szCs w:val="20"/>
          <w:color w:val="auto"/>
        </w:rPr>
      </w:pPr>
      <w:r>
        <w:rPr>
          <w:rFonts w:ascii="Arial" w:cs="Arial" w:eastAsia="Arial" w:hAnsi="Arial"/>
          <w:sz w:val="18"/>
          <w:szCs w:val="18"/>
          <w:b w:val="1"/>
          <w:bCs w:val="1"/>
          <w:color w:val="auto"/>
        </w:rPr>
        <w:t>Notes to the Interim Condensed Consolidated and Combined Financial Statements (Unaudited) — (continued)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Insurance (continued)</w:t>
      </w:r>
    </w:p>
    <w:p>
      <w:pPr>
        <w:spacing w:after="0" w:line="364" w:lineRule="exact"/>
        <w:rPr>
          <w:sz w:val="20"/>
          <w:szCs w:val="20"/>
          <w:color w:val="auto"/>
        </w:rPr>
      </w:pPr>
    </w:p>
    <w:p>
      <w:pPr>
        <w:ind w:left="500" w:hanging="492"/>
        <w:spacing w:after="0" w:line="277" w:lineRule="auto"/>
        <w:tabs>
          <w:tab w:leader="none" w:pos="500" w:val="left"/>
        </w:tabs>
        <w:numPr>
          <w:ilvl w:val="0"/>
          <w:numId w:val="8"/>
        </w:numPr>
        <w:rPr>
          <w:rFonts w:ascii="Arial" w:cs="Arial" w:eastAsia="Arial" w:hAnsi="Arial"/>
          <w:sz w:val="18"/>
          <w:szCs w:val="18"/>
          <w:color w:val="auto"/>
        </w:rPr>
      </w:pPr>
      <w:r>
        <w:rPr>
          <w:rFonts w:ascii="Arial" w:cs="Arial" w:eastAsia="Arial" w:hAnsi="Arial"/>
          <w:sz w:val="18"/>
          <w:szCs w:val="18"/>
          <w:color w:val="auto"/>
        </w:rPr>
        <w:t>During the nine months ended September 30, 2017 and 2016, the claims and claim adjustment expenses associated with prior years changed due to differences between the actual benefits paid and the expected benefits owed during those periods.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Investments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Fixed Maturity and Equity Securities Available-for-Sale</w:t>
      </w:r>
    </w:p>
    <w:p>
      <w:pPr>
        <w:spacing w:after="0" w:line="11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Fixed Maturity and Equity Securities Available-for-Sale by Sector</w:t>
      </w:r>
    </w:p>
    <w:p>
      <w:pPr>
        <w:spacing w:after="0" w:line="117" w:lineRule="exact"/>
        <w:rPr>
          <w:sz w:val="20"/>
          <w:szCs w:val="20"/>
          <w:color w:val="auto"/>
        </w:rPr>
      </w:pPr>
    </w:p>
    <w:p>
      <w:pPr>
        <w:jc w:val="both"/>
        <w:ind w:left="180" w:firstLine="324"/>
        <w:spacing w:after="0" w:line="259" w:lineRule="auto"/>
        <w:rPr>
          <w:sz w:val="20"/>
          <w:szCs w:val="20"/>
          <w:color w:val="auto"/>
        </w:rPr>
      </w:pPr>
      <w:r>
        <w:rPr>
          <w:rFonts w:ascii="Arial" w:cs="Arial" w:eastAsia="Arial" w:hAnsi="Arial"/>
          <w:sz w:val="18"/>
          <w:szCs w:val="18"/>
          <w:color w:val="auto"/>
        </w:rPr>
        <w:t>The following table presents the fixed maturity and equity securities AFS by sector. Redeemable preferred stock is reported within U.S. corporate and foreign corporate fixed maturity securities and non-redeemable preferred stock is reported within equity securities. Included within fixed maturity securities are structured securities including residential mortgage-backed securities (“RMBS”), commercial mortgage-backed securities (“CMBS”) and asset-backed securities (“ABS”) (collectively, “Structured Securities”).</w:t>
      </w: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4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gridSpan w:val="4"/>
          </w:tcPr>
          <w:p>
            <w:pPr>
              <w:ind w:left="20"/>
              <w:spacing w:after="0"/>
              <w:rPr>
                <w:sz w:val="20"/>
                <w:szCs w:val="20"/>
                <w:color w:val="auto"/>
              </w:rPr>
            </w:pPr>
            <w:r>
              <w:rPr>
                <w:rFonts w:ascii="Arial" w:cs="Arial" w:eastAsia="Arial" w:hAnsi="Arial"/>
                <w:sz w:val="13"/>
                <w:szCs w:val="13"/>
                <w:b w:val="1"/>
                <w:bCs w:val="1"/>
                <w:color w:val="auto"/>
                <w:w w:val="93"/>
              </w:rPr>
              <w:t>September 30, 2017</w:t>
            </w:r>
          </w:p>
        </w:tc>
        <w:tc>
          <w:tcPr>
            <w:tcW w:w="14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gridSpan w:val="4"/>
          </w:tcPr>
          <w:p>
            <w:pPr>
              <w:spacing w:after="0"/>
              <w:rPr>
                <w:sz w:val="20"/>
                <w:szCs w:val="20"/>
                <w:color w:val="auto"/>
              </w:rPr>
            </w:pPr>
            <w:r>
              <w:rPr>
                <w:rFonts w:ascii="Arial" w:cs="Arial" w:eastAsia="Arial" w:hAnsi="Arial"/>
                <w:sz w:val="13"/>
                <w:szCs w:val="13"/>
                <w:b w:val="1"/>
                <w:bCs w:val="1"/>
                <w:color w:val="auto"/>
                <w:w w:val="92"/>
              </w:rPr>
              <w:t>December 31, 2016</w:t>
            </w:r>
          </w:p>
        </w:tc>
        <w:tc>
          <w:tcPr>
            <w:tcW w:w="14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64"/>
        </w:trPr>
        <w:tc>
          <w:tcPr>
            <w:tcW w:w="24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0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87"/>
              </w:rPr>
              <w:t>Cost or</w:t>
            </w:r>
          </w:p>
        </w:tc>
        <w:tc>
          <w:tcPr>
            <w:tcW w:w="16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gridSpan w:val="3"/>
          </w:tcPr>
          <w:p>
            <w:pPr>
              <w:ind w:left="20"/>
              <w:spacing w:after="0"/>
              <w:rPr>
                <w:sz w:val="20"/>
                <w:szCs w:val="20"/>
                <w:color w:val="auto"/>
              </w:rPr>
            </w:pPr>
            <w:r>
              <w:rPr>
                <w:rFonts w:ascii="Arial" w:cs="Arial" w:eastAsia="Arial" w:hAnsi="Arial"/>
                <w:sz w:val="13"/>
                <w:szCs w:val="13"/>
                <w:b w:val="1"/>
                <w:bCs w:val="1"/>
                <w:color w:val="auto"/>
                <w:w w:val="95"/>
              </w:rPr>
              <w:t>Gross Unrealized</w:t>
            </w:r>
          </w:p>
        </w:tc>
        <w:tc>
          <w:tcPr>
            <w:tcW w:w="14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2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0"/>
              </w:rPr>
              <w:t>Estimated</w:t>
            </w:r>
          </w:p>
        </w:tc>
        <w:tc>
          <w:tcPr>
            <w:tcW w:w="120" w:type="dxa"/>
            <w:vAlign w:val="bottom"/>
          </w:tcPr>
          <w:p>
            <w:pPr>
              <w:spacing w:after="0"/>
              <w:rPr>
                <w:sz w:val="22"/>
                <w:szCs w:val="22"/>
                <w:color w:val="auto"/>
              </w:rPr>
            </w:pPr>
          </w:p>
        </w:tc>
        <w:tc>
          <w:tcPr>
            <w:tcW w:w="88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7"/>
              </w:rPr>
              <w:t>Cost or</w:t>
            </w:r>
          </w:p>
        </w:tc>
        <w:tc>
          <w:tcPr>
            <w:tcW w:w="14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gridSpan w:val="4"/>
          </w:tcPr>
          <w:p>
            <w:pPr>
              <w:jc w:val="center"/>
              <w:spacing w:after="0"/>
              <w:rPr>
                <w:sz w:val="20"/>
                <w:szCs w:val="20"/>
                <w:color w:val="auto"/>
              </w:rPr>
            </w:pPr>
            <w:r>
              <w:rPr>
                <w:rFonts w:ascii="Arial" w:cs="Arial" w:eastAsia="Arial" w:hAnsi="Arial"/>
                <w:sz w:val="13"/>
                <w:szCs w:val="13"/>
                <w:b w:val="1"/>
                <w:bCs w:val="1"/>
                <w:color w:val="auto"/>
                <w:w w:val="87"/>
              </w:rPr>
              <w:t>Gross Unrealized</w:t>
            </w:r>
          </w:p>
        </w:tc>
        <w:tc>
          <w:tcPr>
            <w:tcW w:w="14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tcPr>
          <w:p>
            <w:pPr>
              <w:jc w:val="center"/>
              <w:ind w:right="30"/>
              <w:spacing w:after="0"/>
              <w:rPr>
                <w:sz w:val="20"/>
                <w:szCs w:val="20"/>
                <w:color w:val="auto"/>
              </w:rPr>
            </w:pPr>
            <w:r>
              <w:rPr>
                <w:rFonts w:ascii="Arial" w:cs="Arial" w:eastAsia="Arial" w:hAnsi="Arial"/>
                <w:sz w:val="13"/>
                <w:szCs w:val="13"/>
                <w:b w:val="1"/>
                <w:bCs w:val="1"/>
                <w:color w:val="auto"/>
                <w:w w:val="86"/>
              </w:rPr>
              <w:t>Estimated</w:t>
            </w:r>
          </w:p>
        </w:tc>
        <w:tc>
          <w:tcPr>
            <w:tcW w:w="0" w:type="dxa"/>
            <w:vAlign w:val="bottom"/>
          </w:tcPr>
          <w:p>
            <w:pPr>
              <w:spacing w:after="0"/>
              <w:rPr>
                <w:sz w:val="1"/>
                <w:szCs w:val="1"/>
                <w:color w:val="auto"/>
              </w:rPr>
            </w:pPr>
          </w:p>
        </w:tc>
      </w:tr>
      <w:tr>
        <w:trPr>
          <w:trHeight w:val="144"/>
        </w:trPr>
        <w:tc>
          <w:tcPr>
            <w:tcW w:w="2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gridSpan w:val="2"/>
          </w:tcPr>
          <w:p>
            <w:pPr>
              <w:jc w:val="center"/>
              <w:ind w:right="260"/>
              <w:spacing w:after="0" w:line="144" w:lineRule="exact"/>
              <w:rPr>
                <w:sz w:val="20"/>
                <w:szCs w:val="20"/>
                <w:color w:val="auto"/>
              </w:rPr>
            </w:pPr>
            <w:r>
              <w:rPr>
                <w:rFonts w:ascii="Arial" w:cs="Arial" w:eastAsia="Arial" w:hAnsi="Arial"/>
                <w:sz w:val="13"/>
                <w:szCs w:val="13"/>
                <w:b w:val="1"/>
                <w:bCs w:val="1"/>
                <w:color w:val="auto"/>
                <w:w w:val="88"/>
              </w:rPr>
              <w:t>Amortized</w:t>
            </w: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gridSpan w:val="2"/>
          </w:tcPr>
          <w:p>
            <w:pPr>
              <w:jc w:val="center"/>
              <w:ind w:right="240"/>
              <w:spacing w:after="0" w:line="144" w:lineRule="exact"/>
              <w:rPr>
                <w:sz w:val="20"/>
                <w:szCs w:val="20"/>
                <w:color w:val="auto"/>
              </w:rPr>
            </w:pPr>
            <w:r>
              <w:rPr>
                <w:rFonts w:ascii="Arial" w:cs="Arial" w:eastAsia="Arial" w:hAnsi="Arial"/>
                <w:sz w:val="13"/>
                <w:szCs w:val="13"/>
                <w:b w:val="1"/>
                <w:bCs w:val="1"/>
                <w:color w:val="auto"/>
                <w:w w:val="89"/>
              </w:rPr>
              <w:t>Temporary</w:t>
            </w:r>
          </w:p>
        </w:tc>
        <w:tc>
          <w:tcPr>
            <w:tcW w:w="140" w:type="dxa"/>
            <w:vAlign w:val="bottom"/>
          </w:tcPr>
          <w:p>
            <w:pPr>
              <w:spacing w:after="0"/>
              <w:rPr>
                <w:sz w:val="12"/>
                <w:szCs w:val="12"/>
                <w:color w:val="auto"/>
              </w:rPr>
            </w:pPr>
          </w:p>
        </w:tc>
        <w:tc>
          <w:tcPr>
            <w:tcW w:w="680" w:type="dxa"/>
            <w:vAlign w:val="bottom"/>
            <w:gridSpan w:val="2"/>
          </w:tcPr>
          <w:p>
            <w:pPr>
              <w:jc w:val="center"/>
              <w:ind w:right="240"/>
              <w:spacing w:after="0" w:line="144" w:lineRule="exact"/>
              <w:rPr>
                <w:sz w:val="20"/>
                <w:szCs w:val="20"/>
                <w:color w:val="auto"/>
              </w:rPr>
            </w:pPr>
            <w:r>
              <w:rPr>
                <w:rFonts w:ascii="Arial" w:cs="Arial" w:eastAsia="Arial" w:hAnsi="Arial"/>
                <w:sz w:val="13"/>
                <w:szCs w:val="13"/>
                <w:b w:val="1"/>
                <w:bCs w:val="1"/>
                <w:color w:val="auto"/>
              </w:rPr>
              <w:t>OTTI</w:t>
            </w:r>
          </w:p>
        </w:tc>
        <w:tc>
          <w:tcPr>
            <w:tcW w:w="120" w:type="dxa"/>
            <w:vAlign w:val="bottom"/>
          </w:tcPr>
          <w:p>
            <w:pPr>
              <w:spacing w:after="0"/>
              <w:rPr>
                <w:sz w:val="12"/>
                <w:szCs w:val="12"/>
                <w:color w:val="auto"/>
              </w:rPr>
            </w:pPr>
          </w:p>
        </w:tc>
        <w:tc>
          <w:tcPr>
            <w:tcW w:w="820" w:type="dxa"/>
            <w:vAlign w:val="bottom"/>
            <w:gridSpan w:val="2"/>
          </w:tcPr>
          <w:p>
            <w:pPr>
              <w:jc w:val="center"/>
              <w:ind w:right="220"/>
              <w:spacing w:after="0" w:line="144" w:lineRule="exact"/>
              <w:rPr>
                <w:sz w:val="20"/>
                <w:szCs w:val="20"/>
                <w:color w:val="auto"/>
              </w:rPr>
            </w:pPr>
            <w:r>
              <w:rPr>
                <w:rFonts w:ascii="Arial" w:cs="Arial" w:eastAsia="Arial" w:hAnsi="Arial"/>
                <w:sz w:val="13"/>
                <w:szCs w:val="13"/>
                <w:b w:val="1"/>
                <w:bCs w:val="1"/>
                <w:color w:val="auto"/>
              </w:rPr>
              <w:t>Fair</w:t>
            </w:r>
          </w:p>
        </w:tc>
        <w:tc>
          <w:tcPr>
            <w:tcW w:w="120" w:type="dxa"/>
            <w:vAlign w:val="bottom"/>
          </w:tcPr>
          <w:p>
            <w:pPr>
              <w:spacing w:after="0"/>
              <w:rPr>
                <w:sz w:val="12"/>
                <w:szCs w:val="12"/>
                <w:color w:val="auto"/>
              </w:rPr>
            </w:pPr>
          </w:p>
        </w:tc>
        <w:tc>
          <w:tcPr>
            <w:tcW w:w="880" w:type="dxa"/>
            <w:vAlign w:val="bottom"/>
            <w:gridSpan w:val="2"/>
          </w:tcPr>
          <w:p>
            <w:pPr>
              <w:jc w:val="center"/>
              <w:ind w:right="220"/>
              <w:spacing w:after="0" w:line="144" w:lineRule="exact"/>
              <w:rPr>
                <w:sz w:val="20"/>
                <w:szCs w:val="20"/>
                <w:color w:val="auto"/>
              </w:rPr>
            </w:pPr>
            <w:r>
              <w:rPr>
                <w:rFonts w:ascii="Arial" w:cs="Arial" w:eastAsia="Arial" w:hAnsi="Arial"/>
                <w:sz w:val="13"/>
                <w:szCs w:val="13"/>
                <w:b w:val="1"/>
                <w:bCs w:val="1"/>
                <w:color w:val="auto"/>
                <w:w w:val="91"/>
              </w:rPr>
              <w:t>Amortized</w:t>
            </w: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jc w:val="center"/>
              <w:ind w:right="200"/>
              <w:spacing w:after="0" w:line="144" w:lineRule="exact"/>
              <w:rPr>
                <w:sz w:val="20"/>
                <w:szCs w:val="20"/>
                <w:color w:val="auto"/>
              </w:rPr>
            </w:pPr>
            <w:r>
              <w:rPr>
                <w:rFonts w:ascii="Arial" w:cs="Arial" w:eastAsia="Arial" w:hAnsi="Arial"/>
                <w:sz w:val="13"/>
                <w:szCs w:val="13"/>
                <w:b w:val="1"/>
                <w:bCs w:val="1"/>
                <w:color w:val="auto"/>
                <w:w w:val="89"/>
              </w:rPr>
              <w:t>Temporary</w:t>
            </w:r>
          </w:p>
        </w:tc>
        <w:tc>
          <w:tcPr>
            <w:tcW w:w="140" w:type="dxa"/>
            <w:vAlign w:val="bottom"/>
          </w:tcPr>
          <w:p>
            <w:pPr>
              <w:spacing w:after="0"/>
              <w:rPr>
                <w:sz w:val="12"/>
                <w:szCs w:val="12"/>
                <w:color w:val="auto"/>
              </w:rPr>
            </w:pPr>
          </w:p>
        </w:tc>
        <w:tc>
          <w:tcPr>
            <w:tcW w:w="640" w:type="dxa"/>
            <w:vAlign w:val="bottom"/>
            <w:gridSpan w:val="2"/>
          </w:tcPr>
          <w:p>
            <w:pPr>
              <w:jc w:val="center"/>
              <w:ind w:right="240"/>
              <w:spacing w:after="0" w:line="144" w:lineRule="exact"/>
              <w:rPr>
                <w:sz w:val="20"/>
                <w:szCs w:val="20"/>
                <w:color w:val="auto"/>
              </w:rPr>
            </w:pPr>
            <w:r>
              <w:rPr>
                <w:rFonts w:ascii="Arial" w:cs="Arial" w:eastAsia="Arial" w:hAnsi="Arial"/>
                <w:sz w:val="13"/>
                <w:szCs w:val="13"/>
                <w:b w:val="1"/>
                <w:bCs w:val="1"/>
                <w:color w:val="auto"/>
              </w:rPr>
              <w:t>OTTI</w:t>
            </w:r>
          </w:p>
        </w:tc>
        <w:tc>
          <w:tcPr>
            <w:tcW w:w="100" w:type="dxa"/>
            <w:vAlign w:val="bottom"/>
          </w:tcPr>
          <w:p>
            <w:pPr>
              <w:spacing w:after="0"/>
              <w:rPr>
                <w:sz w:val="12"/>
                <w:szCs w:val="12"/>
                <w:color w:val="auto"/>
              </w:rPr>
            </w:pPr>
          </w:p>
        </w:tc>
        <w:tc>
          <w:tcPr>
            <w:tcW w:w="680" w:type="dxa"/>
            <w:vAlign w:val="bottom"/>
          </w:tcPr>
          <w:p>
            <w:pPr>
              <w:jc w:val="center"/>
              <w:ind w:right="30"/>
              <w:spacing w:after="0" w:line="144" w:lineRule="exact"/>
              <w:rPr>
                <w:sz w:val="20"/>
                <w:szCs w:val="20"/>
                <w:color w:val="auto"/>
              </w:rPr>
            </w:pPr>
            <w:r>
              <w:rPr>
                <w:rFonts w:ascii="Arial" w:cs="Arial" w:eastAsia="Arial" w:hAnsi="Arial"/>
                <w:sz w:val="13"/>
                <w:szCs w:val="13"/>
                <w:b w:val="1"/>
                <w:bCs w:val="1"/>
                <w:color w:val="auto"/>
                <w:w w:val="92"/>
              </w:rPr>
              <w:t>Fair</w:t>
            </w:r>
          </w:p>
        </w:tc>
        <w:tc>
          <w:tcPr>
            <w:tcW w:w="0" w:type="dxa"/>
            <w:vAlign w:val="bottom"/>
          </w:tcPr>
          <w:p>
            <w:pPr>
              <w:spacing w:after="0"/>
              <w:rPr>
                <w:sz w:val="1"/>
                <w:szCs w:val="1"/>
                <w:color w:val="auto"/>
              </w:rPr>
            </w:pPr>
          </w:p>
        </w:tc>
      </w:tr>
      <w:tr>
        <w:trPr>
          <w:trHeight w:val="174"/>
        </w:trPr>
        <w:tc>
          <w:tcPr>
            <w:tcW w:w="24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3"/>
                <w:szCs w:val="13"/>
                <w:b w:val="1"/>
                <w:bCs w:val="1"/>
                <w:color w:val="auto"/>
                <w:w w:val="82"/>
              </w:rPr>
              <w:t>Cost</w:t>
            </w:r>
          </w:p>
        </w:tc>
        <w:tc>
          <w:tcPr>
            <w:tcW w:w="16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ind w:right="109"/>
              <w:spacing w:after="0"/>
              <w:rPr>
                <w:sz w:val="20"/>
                <w:szCs w:val="20"/>
                <w:color w:val="auto"/>
              </w:rPr>
            </w:pPr>
            <w:r>
              <w:rPr>
                <w:rFonts w:ascii="Arial" w:cs="Arial" w:eastAsia="Arial" w:hAnsi="Arial"/>
                <w:sz w:val="13"/>
                <w:szCs w:val="13"/>
                <w:b w:val="1"/>
                <w:bCs w:val="1"/>
                <w:color w:val="auto"/>
                <w:w w:val="93"/>
              </w:rPr>
              <w:t>Gains</w:t>
            </w:r>
          </w:p>
        </w:tc>
        <w:tc>
          <w:tcPr>
            <w:tcW w:w="1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3"/>
                <w:szCs w:val="13"/>
                <w:b w:val="1"/>
                <w:bCs w:val="1"/>
                <w:color w:val="auto"/>
                <w:w w:val="80"/>
              </w:rPr>
              <w:t>Losses</w:t>
            </w:r>
          </w:p>
        </w:tc>
        <w:tc>
          <w:tcPr>
            <w:tcW w:w="820" w:type="dxa"/>
            <w:vAlign w:val="bottom"/>
            <w:tcBorders>
              <w:bottom w:val="single" w:sz="8" w:color="auto"/>
            </w:tcBorders>
            <w:gridSpan w:val="3"/>
          </w:tcPr>
          <w:p>
            <w:pPr>
              <w:jc w:val="center"/>
              <w:ind w:right="120"/>
              <w:spacing w:after="0"/>
              <w:rPr>
                <w:sz w:val="20"/>
                <w:szCs w:val="20"/>
                <w:color w:val="auto"/>
              </w:rPr>
            </w:pPr>
            <w:r>
              <w:rPr>
                <w:rFonts w:ascii="Arial" w:cs="Arial" w:eastAsia="Arial" w:hAnsi="Arial"/>
                <w:sz w:val="13"/>
                <w:szCs w:val="13"/>
                <w:b w:val="1"/>
                <w:bCs w:val="1"/>
                <w:color w:val="auto"/>
                <w:w w:val="83"/>
              </w:rPr>
              <w:t>Losses (1)</w:t>
            </w:r>
          </w:p>
        </w:tc>
        <w:tc>
          <w:tcPr>
            <w:tcW w:w="1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3"/>
                <w:szCs w:val="13"/>
                <w:b w:val="1"/>
                <w:bCs w:val="1"/>
                <w:color w:val="auto"/>
                <w:w w:val="92"/>
              </w:rPr>
              <w:t>Value</w:t>
            </w:r>
          </w:p>
        </w:tc>
        <w:tc>
          <w:tcPr>
            <w:tcW w:w="1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3"/>
                <w:szCs w:val="13"/>
                <w:b w:val="1"/>
                <w:bCs w:val="1"/>
                <w:color w:val="auto"/>
                <w:w w:val="82"/>
              </w:rPr>
              <w:t>Cost</w:t>
            </w:r>
          </w:p>
        </w:tc>
        <w:tc>
          <w:tcPr>
            <w:tcW w:w="14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ind w:right="109"/>
              <w:spacing w:after="0"/>
              <w:rPr>
                <w:sz w:val="20"/>
                <w:szCs w:val="20"/>
                <w:color w:val="auto"/>
              </w:rPr>
            </w:pPr>
            <w:r>
              <w:rPr>
                <w:rFonts w:ascii="Arial" w:cs="Arial" w:eastAsia="Arial" w:hAnsi="Arial"/>
                <w:sz w:val="13"/>
                <w:szCs w:val="13"/>
                <w:b w:val="1"/>
                <w:bCs w:val="1"/>
                <w:color w:val="auto"/>
                <w:w w:val="88"/>
              </w:rPr>
              <w:t>Gains</w:t>
            </w: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3"/>
                <w:szCs w:val="13"/>
                <w:b w:val="1"/>
                <w:bCs w:val="1"/>
                <w:color w:val="auto"/>
                <w:w w:val="75"/>
              </w:rPr>
              <w:t>Losses</w:t>
            </w:r>
          </w:p>
        </w:tc>
        <w:tc>
          <w:tcPr>
            <w:tcW w:w="780" w:type="dxa"/>
            <w:vAlign w:val="bottom"/>
            <w:tcBorders>
              <w:bottom w:val="single" w:sz="8" w:color="auto"/>
            </w:tcBorders>
            <w:gridSpan w:val="3"/>
          </w:tcPr>
          <w:p>
            <w:pPr>
              <w:jc w:val="center"/>
              <w:ind w:right="100"/>
              <w:spacing w:after="0"/>
              <w:rPr>
                <w:sz w:val="20"/>
                <w:szCs w:val="20"/>
                <w:color w:val="auto"/>
              </w:rPr>
            </w:pPr>
            <w:r>
              <w:rPr>
                <w:rFonts w:ascii="Arial" w:cs="Arial" w:eastAsia="Arial" w:hAnsi="Arial"/>
                <w:sz w:val="13"/>
                <w:szCs w:val="13"/>
                <w:b w:val="1"/>
                <w:bCs w:val="1"/>
                <w:color w:val="auto"/>
                <w:w w:val="80"/>
              </w:rPr>
              <w:t>Losses (1)</w:t>
            </w:r>
          </w:p>
        </w:tc>
        <w:tc>
          <w:tcPr>
            <w:tcW w:w="1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center"/>
              <w:ind w:right="30"/>
              <w:spacing w:after="0"/>
              <w:rPr>
                <w:sz w:val="20"/>
                <w:szCs w:val="20"/>
                <w:color w:val="auto"/>
              </w:rPr>
            </w:pPr>
            <w:r>
              <w:rPr>
                <w:rFonts w:ascii="Arial" w:cs="Arial" w:eastAsia="Arial" w:hAnsi="Arial"/>
                <w:sz w:val="13"/>
                <w:szCs w:val="13"/>
                <w:b w:val="1"/>
                <w:bCs w:val="1"/>
                <w:color w:val="auto"/>
                <w:w w:val="86"/>
              </w:rPr>
              <w:t>Value</w:t>
            </w:r>
          </w:p>
        </w:tc>
        <w:tc>
          <w:tcPr>
            <w:tcW w:w="0" w:type="dxa"/>
            <w:vAlign w:val="bottom"/>
          </w:tcPr>
          <w:p>
            <w:pPr>
              <w:spacing w:after="0"/>
              <w:rPr>
                <w:sz w:val="1"/>
                <w:szCs w:val="1"/>
                <w:color w:val="auto"/>
              </w:rPr>
            </w:pPr>
          </w:p>
        </w:tc>
      </w:tr>
      <w:tr>
        <w:trPr>
          <w:trHeight w:val="249"/>
        </w:trPr>
        <w:tc>
          <w:tcPr>
            <w:tcW w:w="24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20" w:type="dxa"/>
            <w:vAlign w:val="bottom"/>
            <w:gridSpan w:val="5"/>
          </w:tcPr>
          <w:p>
            <w:pPr>
              <w:ind w:left="320"/>
              <w:spacing w:after="0"/>
              <w:rPr>
                <w:sz w:val="20"/>
                <w:szCs w:val="20"/>
                <w:color w:val="auto"/>
              </w:rPr>
            </w:pPr>
            <w:r>
              <w:rPr>
                <w:rFonts w:ascii="Arial" w:cs="Arial" w:eastAsia="Arial" w:hAnsi="Arial"/>
                <w:sz w:val="13"/>
                <w:szCs w:val="13"/>
                <w:b w:val="1"/>
                <w:bCs w:val="1"/>
                <w:color w:val="auto"/>
              </w:rPr>
              <w:t>(In millions)</w:t>
            </w:r>
          </w:p>
        </w:tc>
        <w:tc>
          <w:tcPr>
            <w:tcW w:w="1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9"/>
        </w:trPr>
        <w:tc>
          <w:tcPr>
            <w:tcW w:w="2420" w:type="dxa"/>
            <w:vAlign w:val="bottom"/>
            <w:shd w:val="clear" w:color="auto" w:fill="CCEEFF"/>
          </w:tcPr>
          <w:p>
            <w:pPr>
              <w:ind w:left="40"/>
              <w:spacing w:after="0"/>
              <w:rPr>
                <w:sz w:val="20"/>
                <w:szCs w:val="20"/>
                <w:color w:val="auto"/>
              </w:rPr>
            </w:pPr>
            <w:r>
              <w:rPr>
                <w:rFonts w:ascii="Arial" w:cs="Arial" w:eastAsia="Arial" w:hAnsi="Arial"/>
                <w:sz w:val="14"/>
                <w:szCs w:val="14"/>
                <w:color w:val="auto"/>
              </w:rPr>
              <w:t>Fixed maturity securities:</w:t>
            </w: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80"/>
        </w:trPr>
        <w:tc>
          <w:tcPr>
            <w:tcW w:w="24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78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54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8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56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7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76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5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7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5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68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2420" w:type="dxa"/>
            <w:vAlign w:val="bottom"/>
          </w:tcPr>
          <w:p>
            <w:pPr>
              <w:ind w:left="40"/>
              <w:spacing w:after="0"/>
              <w:rPr>
                <w:sz w:val="20"/>
                <w:szCs w:val="20"/>
                <w:color w:val="auto"/>
              </w:rPr>
            </w:pPr>
            <w:r>
              <w:rPr>
                <w:rFonts w:ascii="Arial" w:cs="Arial" w:eastAsia="Arial" w:hAnsi="Arial"/>
                <w:sz w:val="14"/>
                <w:szCs w:val="14"/>
                <w:color w:val="auto"/>
              </w:rPr>
              <w:t>U.S. corporate</w:t>
            </w:r>
          </w:p>
        </w:tc>
        <w:tc>
          <w:tcPr>
            <w:tcW w:w="1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780" w:type="dxa"/>
            <w:vAlign w:val="bottom"/>
            <w:vMerge w:val="restart"/>
          </w:tcPr>
          <w:p>
            <w:pPr>
              <w:jc w:val="right"/>
              <w:ind w:right="50"/>
              <w:spacing w:after="0"/>
              <w:rPr>
                <w:sz w:val="20"/>
                <w:szCs w:val="20"/>
                <w:color w:val="auto"/>
              </w:rPr>
            </w:pPr>
            <w:r>
              <w:rPr>
                <w:rFonts w:ascii="Arial" w:cs="Arial" w:eastAsia="Arial" w:hAnsi="Arial"/>
                <w:sz w:val="14"/>
                <w:szCs w:val="14"/>
                <w:color w:val="auto"/>
              </w:rPr>
              <w:t>20,774</w:t>
            </w:r>
          </w:p>
        </w:tc>
        <w:tc>
          <w:tcPr>
            <w:tcW w:w="120" w:type="dxa"/>
            <w:vAlign w:val="bottom"/>
          </w:tcPr>
          <w:p>
            <w:pPr>
              <w:spacing w:after="0"/>
              <w:rPr>
                <w:sz w:val="16"/>
                <w:szCs w:val="16"/>
                <w:color w:val="auto"/>
              </w:rPr>
            </w:pPr>
          </w:p>
        </w:tc>
        <w:tc>
          <w:tcPr>
            <w:tcW w:w="1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540" w:type="dxa"/>
            <w:vAlign w:val="bottom"/>
            <w:vMerge w:val="restart"/>
          </w:tcPr>
          <w:p>
            <w:pPr>
              <w:jc w:val="right"/>
              <w:ind w:right="49"/>
              <w:spacing w:after="0"/>
              <w:rPr>
                <w:sz w:val="20"/>
                <w:szCs w:val="20"/>
                <w:color w:val="auto"/>
              </w:rPr>
            </w:pPr>
            <w:r>
              <w:rPr>
                <w:rFonts w:ascii="Arial" w:cs="Arial" w:eastAsia="Arial" w:hAnsi="Arial"/>
                <w:sz w:val="14"/>
                <w:szCs w:val="14"/>
                <w:color w:val="auto"/>
              </w:rPr>
              <w:t>1,773</w:t>
            </w:r>
          </w:p>
        </w:tc>
        <w:tc>
          <w:tcPr>
            <w:tcW w:w="260" w:type="dxa"/>
            <w:vAlign w:val="bottom"/>
            <w:gridSpan w:val="2"/>
            <w:vMerge w:val="restart"/>
          </w:tcPr>
          <w:p>
            <w:pPr>
              <w:ind w:left="160"/>
              <w:spacing w:after="0"/>
              <w:rPr>
                <w:sz w:val="20"/>
                <w:szCs w:val="20"/>
                <w:color w:val="auto"/>
              </w:rPr>
            </w:pPr>
            <w:r>
              <w:rPr>
                <w:rFonts w:ascii="Arial" w:cs="Arial" w:eastAsia="Arial" w:hAnsi="Arial"/>
                <w:sz w:val="14"/>
                <w:szCs w:val="14"/>
                <w:color w:val="auto"/>
              </w:rPr>
              <w:t>$</w:t>
            </w:r>
          </w:p>
        </w:tc>
        <w:tc>
          <w:tcPr>
            <w:tcW w:w="800" w:type="dxa"/>
            <w:vAlign w:val="bottom"/>
            <w:vMerge w:val="restart"/>
          </w:tcPr>
          <w:p>
            <w:pPr>
              <w:jc w:val="right"/>
              <w:ind w:right="49"/>
              <w:spacing w:after="0"/>
              <w:rPr>
                <w:sz w:val="20"/>
                <w:szCs w:val="20"/>
                <w:color w:val="auto"/>
              </w:rPr>
            </w:pPr>
            <w:r>
              <w:rPr>
                <w:rFonts w:ascii="Arial" w:cs="Arial" w:eastAsia="Arial" w:hAnsi="Arial"/>
                <w:sz w:val="14"/>
                <w:szCs w:val="14"/>
                <w:color w:val="auto"/>
              </w:rPr>
              <w:t>101</w:t>
            </w:r>
          </w:p>
        </w:tc>
        <w:tc>
          <w:tcPr>
            <w:tcW w:w="120" w:type="dxa"/>
            <w:vAlign w:val="bottom"/>
          </w:tcPr>
          <w:p>
            <w:pPr>
              <w:spacing w:after="0"/>
              <w:rPr>
                <w:sz w:val="16"/>
                <w:szCs w:val="16"/>
                <w:color w:val="auto"/>
              </w:rPr>
            </w:pPr>
          </w:p>
        </w:tc>
        <w:tc>
          <w:tcPr>
            <w:tcW w:w="1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68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720" w:type="dxa"/>
            <w:vAlign w:val="bottom"/>
            <w:vMerge w:val="restart"/>
          </w:tcPr>
          <w:p>
            <w:pPr>
              <w:jc w:val="right"/>
              <w:ind w:right="70"/>
              <w:spacing w:after="0"/>
              <w:rPr>
                <w:sz w:val="20"/>
                <w:szCs w:val="20"/>
                <w:color w:val="auto"/>
              </w:rPr>
            </w:pPr>
            <w:r>
              <w:rPr>
                <w:rFonts w:ascii="Arial" w:cs="Arial" w:eastAsia="Arial" w:hAnsi="Arial"/>
                <w:sz w:val="14"/>
                <w:szCs w:val="14"/>
                <w:color w:val="auto"/>
              </w:rPr>
              <w:t>22,446</w:t>
            </w:r>
          </w:p>
        </w:tc>
        <w:tc>
          <w:tcPr>
            <w:tcW w:w="100" w:type="dxa"/>
            <w:vAlign w:val="bottom"/>
          </w:tcPr>
          <w:p>
            <w:pPr>
              <w:spacing w:after="0"/>
              <w:rPr>
                <w:sz w:val="16"/>
                <w:szCs w:val="16"/>
                <w:color w:val="auto"/>
              </w:rPr>
            </w:pPr>
          </w:p>
        </w:tc>
        <w:tc>
          <w:tcPr>
            <w:tcW w:w="1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760" w:type="dxa"/>
            <w:vAlign w:val="bottom"/>
            <w:vMerge w:val="restart"/>
          </w:tcPr>
          <w:p>
            <w:pPr>
              <w:jc w:val="right"/>
              <w:ind w:right="30"/>
              <w:spacing w:after="0"/>
              <w:rPr>
                <w:sz w:val="20"/>
                <w:szCs w:val="20"/>
                <w:color w:val="auto"/>
              </w:rPr>
            </w:pPr>
            <w:r>
              <w:rPr>
                <w:rFonts w:ascii="Arial" w:cs="Arial" w:eastAsia="Arial" w:hAnsi="Arial"/>
                <w:sz w:val="14"/>
                <w:szCs w:val="14"/>
                <w:color w:val="auto"/>
              </w:rPr>
              <w:t>21,278</w:t>
            </w:r>
          </w:p>
        </w:tc>
        <w:tc>
          <w:tcPr>
            <w:tcW w:w="120" w:type="dxa"/>
            <w:vAlign w:val="bottom"/>
          </w:tcPr>
          <w:p>
            <w:pPr>
              <w:spacing w:after="0"/>
              <w:rPr>
                <w:sz w:val="16"/>
                <w:szCs w:val="16"/>
                <w:color w:val="auto"/>
              </w:rPr>
            </w:pPr>
          </w:p>
        </w:tc>
        <w:tc>
          <w:tcPr>
            <w:tcW w:w="1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520" w:type="dxa"/>
            <w:vAlign w:val="bottom"/>
            <w:vMerge w:val="restart"/>
          </w:tcPr>
          <w:p>
            <w:pPr>
              <w:jc w:val="right"/>
              <w:ind w:right="29"/>
              <w:spacing w:after="0"/>
              <w:rPr>
                <w:sz w:val="20"/>
                <w:szCs w:val="20"/>
                <w:color w:val="auto"/>
              </w:rPr>
            </w:pPr>
            <w:r>
              <w:rPr>
                <w:rFonts w:ascii="Arial" w:cs="Arial" w:eastAsia="Arial" w:hAnsi="Arial"/>
                <w:sz w:val="14"/>
                <w:szCs w:val="14"/>
                <w:color w:val="auto"/>
              </w:rPr>
              <w:t>1,324</w:t>
            </w:r>
          </w:p>
        </w:tc>
        <w:tc>
          <w:tcPr>
            <w:tcW w:w="220" w:type="dxa"/>
            <w:vAlign w:val="bottom"/>
            <w:gridSpan w:val="2"/>
            <w:vMerge w:val="restart"/>
          </w:tcPr>
          <w:p>
            <w:pPr>
              <w:jc w:val="right"/>
              <w:ind w:right="20"/>
              <w:spacing w:after="0"/>
              <w:rPr>
                <w:sz w:val="20"/>
                <w:szCs w:val="20"/>
                <w:color w:val="auto"/>
              </w:rPr>
            </w:pPr>
            <w:r>
              <w:rPr>
                <w:rFonts w:ascii="Arial" w:cs="Arial" w:eastAsia="Arial" w:hAnsi="Arial"/>
                <w:sz w:val="14"/>
                <w:szCs w:val="14"/>
                <w:color w:val="auto"/>
              </w:rPr>
              <w:t>$</w:t>
            </w:r>
          </w:p>
        </w:tc>
        <w:tc>
          <w:tcPr>
            <w:tcW w:w="780" w:type="dxa"/>
            <w:vAlign w:val="bottom"/>
            <w:vMerge w:val="restart"/>
          </w:tcPr>
          <w:p>
            <w:pPr>
              <w:jc w:val="right"/>
              <w:ind w:right="29"/>
              <w:spacing w:after="0"/>
              <w:rPr>
                <w:sz w:val="20"/>
                <w:szCs w:val="20"/>
                <w:color w:val="auto"/>
              </w:rPr>
            </w:pPr>
            <w:r>
              <w:rPr>
                <w:rFonts w:ascii="Arial" w:cs="Arial" w:eastAsia="Arial" w:hAnsi="Arial"/>
                <w:sz w:val="14"/>
                <w:szCs w:val="14"/>
                <w:color w:val="auto"/>
              </w:rPr>
              <w:t>291</w:t>
            </w:r>
          </w:p>
        </w:tc>
        <w:tc>
          <w:tcPr>
            <w:tcW w:w="100" w:type="dxa"/>
            <w:vAlign w:val="bottom"/>
          </w:tcPr>
          <w:p>
            <w:pPr>
              <w:spacing w:after="0"/>
              <w:rPr>
                <w:sz w:val="16"/>
                <w:szCs w:val="16"/>
                <w:color w:val="auto"/>
              </w:rPr>
            </w:pPr>
          </w:p>
        </w:tc>
        <w:tc>
          <w:tcPr>
            <w:tcW w:w="1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64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680" w:type="dxa"/>
            <w:vAlign w:val="bottom"/>
            <w:vMerge w:val="restart"/>
          </w:tcPr>
          <w:p>
            <w:pPr>
              <w:jc w:val="right"/>
              <w:ind w:right="30"/>
              <w:spacing w:after="0"/>
              <w:rPr>
                <w:sz w:val="20"/>
                <w:szCs w:val="20"/>
                <w:color w:val="auto"/>
              </w:rPr>
            </w:pPr>
            <w:r>
              <w:rPr>
                <w:rFonts w:ascii="Arial" w:cs="Arial" w:eastAsia="Arial" w:hAnsi="Arial"/>
                <w:sz w:val="14"/>
                <w:szCs w:val="14"/>
                <w:color w:val="auto"/>
              </w:rPr>
              <w:t>22,311</w:t>
            </w:r>
          </w:p>
        </w:tc>
        <w:tc>
          <w:tcPr>
            <w:tcW w:w="0" w:type="dxa"/>
            <w:vAlign w:val="bottom"/>
          </w:tcPr>
          <w:p>
            <w:pPr>
              <w:spacing w:after="0"/>
              <w:rPr>
                <w:sz w:val="1"/>
                <w:szCs w:val="1"/>
                <w:color w:val="auto"/>
              </w:rPr>
            </w:pPr>
          </w:p>
        </w:tc>
      </w:tr>
      <w:tr>
        <w:trPr>
          <w:trHeight w:val="74"/>
        </w:trPr>
        <w:tc>
          <w:tcPr>
            <w:tcW w:w="2420" w:type="dxa"/>
            <w:vAlign w:val="bottom"/>
          </w:tcPr>
          <w:p>
            <w:pPr>
              <w:spacing w:after="0"/>
              <w:rPr>
                <w:sz w:val="6"/>
                <w:szCs w:val="6"/>
                <w:color w:val="auto"/>
              </w:rPr>
            </w:pPr>
          </w:p>
        </w:tc>
        <w:tc>
          <w:tcPr>
            <w:tcW w:w="14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vMerge w:val="continue"/>
          </w:tcPr>
          <w:p>
            <w:pPr>
              <w:spacing w:after="0"/>
              <w:rPr>
                <w:sz w:val="6"/>
                <w:szCs w:val="6"/>
                <w:color w:val="auto"/>
              </w:rPr>
            </w:pPr>
          </w:p>
        </w:tc>
        <w:tc>
          <w:tcPr>
            <w:tcW w:w="540" w:type="dxa"/>
            <w:vAlign w:val="bottom"/>
            <w:vMerge w:val="continue"/>
          </w:tcPr>
          <w:p>
            <w:pPr>
              <w:spacing w:after="0"/>
              <w:rPr>
                <w:sz w:val="6"/>
                <w:szCs w:val="6"/>
                <w:color w:val="auto"/>
              </w:rPr>
            </w:pPr>
          </w:p>
        </w:tc>
        <w:tc>
          <w:tcPr>
            <w:tcW w:w="260" w:type="dxa"/>
            <w:vAlign w:val="bottom"/>
            <w:gridSpan w:val="2"/>
            <w:vMerge w:val="continue"/>
          </w:tcPr>
          <w:p>
            <w:pPr>
              <w:spacing w:after="0"/>
              <w:rPr>
                <w:sz w:val="6"/>
                <w:szCs w:val="6"/>
                <w:color w:val="auto"/>
              </w:rPr>
            </w:pPr>
          </w:p>
        </w:tc>
        <w:tc>
          <w:tcPr>
            <w:tcW w:w="8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vMerge w:val="continue"/>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12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vMerge w:val="continue"/>
          </w:tcPr>
          <w:p>
            <w:pPr>
              <w:spacing w:after="0"/>
              <w:rPr>
                <w:sz w:val="6"/>
                <w:szCs w:val="6"/>
                <w:color w:val="auto"/>
              </w:rPr>
            </w:pPr>
          </w:p>
        </w:tc>
        <w:tc>
          <w:tcPr>
            <w:tcW w:w="520" w:type="dxa"/>
            <w:vAlign w:val="bottom"/>
            <w:vMerge w:val="continue"/>
          </w:tcPr>
          <w:p>
            <w:pPr>
              <w:spacing w:after="0"/>
              <w:rPr>
                <w:sz w:val="6"/>
                <w:szCs w:val="6"/>
                <w:color w:val="auto"/>
              </w:rPr>
            </w:pPr>
          </w:p>
        </w:tc>
        <w:tc>
          <w:tcPr>
            <w:tcW w:w="220" w:type="dxa"/>
            <w:vAlign w:val="bottom"/>
            <w:gridSpan w:val="2"/>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vMerge w:val="continue"/>
          </w:tcPr>
          <w:p>
            <w:pPr>
              <w:spacing w:after="0"/>
              <w:rPr>
                <w:sz w:val="6"/>
                <w:szCs w:val="6"/>
                <w:color w:val="auto"/>
              </w:rPr>
            </w:pPr>
          </w:p>
        </w:tc>
        <w:tc>
          <w:tcPr>
            <w:tcW w:w="640" w:type="dxa"/>
            <w:vAlign w:val="bottom"/>
            <w:gridSpan w:val="2"/>
            <w:vMerge w:val="continue"/>
          </w:tcPr>
          <w:p>
            <w:pPr>
              <w:spacing w:after="0"/>
              <w:rPr>
                <w:sz w:val="6"/>
                <w:szCs w:val="6"/>
                <w:color w:val="auto"/>
              </w:rPr>
            </w:pPr>
          </w:p>
        </w:tc>
        <w:tc>
          <w:tcPr>
            <w:tcW w:w="100" w:type="dxa"/>
            <w:vAlign w:val="bottom"/>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420" w:type="dxa"/>
            <w:vAlign w:val="bottom"/>
            <w:shd w:val="clear" w:color="auto" w:fill="CCEEFF"/>
          </w:tcPr>
          <w:p>
            <w:pPr>
              <w:ind w:left="40"/>
              <w:spacing w:after="0"/>
              <w:rPr>
                <w:sz w:val="20"/>
                <w:szCs w:val="20"/>
                <w:color w:val="auto"/>
              </w:rPr>
            </w:pPr>
            <w:r>
              <w:rPr>
                <w:rFonts w:ascii="Arial" w:cs="Arial" w:eastAsia="Arial" w:hAnsi="Arial"/>
                <w:sz w:val="14"/>
                <w:szCs w:val="14"/>
                <w:color w:val="auto"/>
              </w:rPr>
              <w:t>U.S. government and agency</w:t>
            </w:r>
          </w:p>
        </w:tc>
        <w:tc>
          <w:tcPr>
            <w:tcW w:w="140" w:type="dxa"/>
            <w:vAlign w:val="bottom"/>
            <w:shd w:val="clear" w:color="auto" w:fill="CCEEFF"/>
          </w:tcPr>
          <w:p>
            <w:pPr>
              <w:spacing w:after="0"/>
              <w:rPr>
                <w:sz w:val="17"/>
                <w:szCs w:val="17"/>
                <w:color w:val="auto"/>
              </w:rPr>
            </w:pPr>
          </w:p>
        </w:tc>
        <w:tc>
          <w:tcPr>
            <w:tcW w:w="780" w:type="dxa"/>
            <w:vAlign w:val="bottom"/>
            <w:vMerge w:val="restart"/>
            <w:shd w:val="clear" w:color="auto" w:fill="CCEEFF"/>
          </w:tcPr>
          <w:p>
            <w:pPr>
              <w:jc w:val="right"/>
              <w:ind w:right="50"/>
              <w:spacing w:after="0"/>
              <w:rPr>
                <w:sz w:val="20"/>
                <w:szCs w:val="20"/>
                <w:color w:val="auto"/>
              </w:rPr>
            </w:pPr>
            <w:r>
              <w:rPr>
                <w:rFonts w:ascii="Arial" w:cs="Arial" w:eastAsia="Arial" w:hAnsi="Arial"/>
                <w:sz w:val="14"/>
                <w:szCs w:val="14"/>
                <w:color w:val="auto"/>
              </w:rPr>
              <w:t>14,313</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40" w:type="dxa"/>
            <w:vAlign w:val="bottom"/>
            <w:vMerge w:val="restart"/>
            <w:shd w:val="clear" w:color="auto" w:fill="CCEEFF"/>
          </w:tcPr>
          <w:p>
            <w:pPr>
              <w:jc w:val="right"/>
              <w:ind w:right="49"/>
              <w:spacing w:after="0"/>
              <w:rPr>
                <w:sz w:val="20"/>
                <w:szCs w:val="20"/>
                <w:color w:val="auto"/>
              </w:rPr>
            </w:pPr>
            <w:r>
              <w:rPr>
                <w:rFonts w:ascii="Arial" w:cs="Arial" w:eastAsia="Arial" w:hAnsi="Arial"/>
                <w:sz w:val="14"/>
                <w:szCs w:val="14"/>
                <w:color w:val="auto"/>
              </w:rPr>
              <w:t>1,657</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vMerge w:val="restart"/>
            <w:shd w:val="clear" w:color="auto" w:fill="CCEEFF"/>
          </w:tcPr>
          <w:p>
            <w:pPr>
              <w:jc w:val="right"/>
              <w:ind w:right="49"/>
              <w:spacing w:after="0"/>
              <w:rPr>
                <w:sz w:val="20"/>
                <w:szCs w:val="20"/>
                <w:color w:val="auto"/>
              </w:rPr>
            </w:pPr>
            <w:r>
              <w:rPr>
                <w:rFonts w:ascii="Arial" w:cs="Arial" w:eastAsia="Arial" w:hAnsi="Arial"/>
                <w:sz w:val="14"/>
                <w:szCs w:val="14"/>
                <w:color w:val="auto"/>
              </w:rPr>
              <w:t>127</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720" w:type="dxa"/>
            <w:vAlign w:val="bottom"/>
            <w:vMerge w:val="restart"/>
            <w:shd w:val="clear" w:color="auto" w:fill="CCEEFF"/>
          </w:tcPr>
          <w:p>
            <w:pPr>
              <w:jc w:val="right"/>
              <w:ind w:right="70"/>
              <w:spacing w:after="0"/>
              <w:rPr>
                <w:sz w:val="20"/>
                <w:szCs w:val="20"/>
                <w:color w:val="auto"/>
              </w:rPr>
            </w:pPr>
            <w:r>
              <w:rPr>
                <w:rFonts w:ascii="Arial" w:cs="Arial" w:eastAsia="Arial" w:hAnsi="Arial"/>
                <w:sz w:val="14"/>
                <w:szCs w:val="14"/>
                <w:color w:val="auto"/>
              </w:rPr>
              <w:t>15,843</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vMerge w:val="restart"/>
            <w:shd w:val="clear" w:color="auto" w:fill="CCEEFF"/>
          </w:tcPr>
          <w:p>
            <w:pPr>
              <w:jc w:val="right"/>
              <w:ind w:right="30"/>
              <w:spacing w:after="0"/>
              <w:rPr>
                <w:sz w:val="20"/>
                <w:szCs w:val="20"/>
                <w:color w:val="auto"/>
              </w:rPr>
            </w:pPr>
            <w:r>
              <w:rPr>
                <w:rFonts w:ascii="Arial" w:cs="Arial" w:eastAsia="Arial" w:hAnsi="Arial"/>
                <w:sz w:val="14"/>
                <w:szCs w:val="14"/>
                <w:color w:val="auto"/>
              </w:rPr>
              <w:t>12,032</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1,294</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236</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680" w:type="dxa"/>
            <w:vAlign w:val="bottom"/>
            <w:vMerge w:val="restart"/>
            <w:shd w:val="clear" w:color="auto" w:fill="CCEEFF"/>
          </w:tcPr>
          <w:p>
            <w:pPr>
              <w:jc w:val="right"/>
              <w:ind w:right="30"/>
              <w:spacing w:after="0"/>
              <w:rPr>
                <w:sz w:val="20"/>
                <w:szCs w:val="20"/>
                <w:color w:val="auto"/>
              </w:rPr>
            </w:pPr>
            <w:r>
              <w:rPr>
                <w:rFonts w:ascii="Arial" w:cs="Arial" w:eastAsia="Arial" w:hAnsi="Arial"/>
                <w:sz w:val="14"/>
                <w:szCs w:val="14"/>
                <w:color w:val="auto"/>
              </w:rPr>
              <w:t>13,090</w:t>
            </w:r>
          </w:p>
        </w:tc>
        <w:tc>
          <w:tcPr>
            <w:tcW w:w="0" w:type="dxa"/>
            <w:vAlign w:val="bottom"/>
          </w:tcPr>
          <w:p>
            <w:pPr>
              <w:spacing w:after="0"/>
              <w:rPr>
                <w:sz w:val="1"/>
                <w:szCs w:val="1"/>
                <w:color w:val="auto"/>
              </w:rPr>
            </w:pPr>
          </w:p>
        </w:tc>
      </w:tr>
      <w:tr>
        <w:trPr>
          <w:trHeight w:val="80"/>
        </w:trPr>
        <w:tc>
          <w:tcPr>
            <w:tcW w:w="24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78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54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80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680" w:type="dxa"/>
            <w:vAlign w:val="bottom"/>
            <w:gridSpan w:val="2"/>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72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76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52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78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640" w:type="dxa"/>
            <w:vAlign w:val="bottom"/>
            <w:gridSpan w:val="2"/>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68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2420" w:type="dxa"/>
            <w:vAlign w:val="bottom"/>
          </w:tcPr>
          <w:p>
            <w:pPr>
              <w:ind w:left="40"/>
              <w:spacing w:after="0"/>
              <w:rPr>
                <w:sz w:val="20"/>
                <w:szCs w:val="20"/>
                <w:color w:val="auto"/>
              </w:rPr>
            </w:pPr>
            <w:r>
              <w:rPr>
                <w:rFonts w:ascii="Arial" w:cs="Arial" w:eastAsia="Arial" w:hAnsi="Arial"/>
                <w:sz w:val="14"/>
                <w:szCs w:val="14"/>
                <w:color w:val="auto"/>
              </w:rPr>
              <w:t>RMBS</w:t>
            </w:r>
          </w:p>
        </w:tc>
        <w:tc>
          <w:tcPr>
            <w:tcW w:w="140" w:type="dxa"/>
            <w:vAlign w:val="bottom"/>
          </w:tcPr>
          <w:p>
            <w:pPr>
              <w:spacing w:after="0"/>
              <w:rPr>
                <w:sz w:val="16"/>
                <w:szCs w:val="16"/>
                <w:color w:val="auto"/>
              </w:rPr>
            </w:pPr>
          </w:p>
        </w:tc>
        <w:tc>
          <w:tcPr>
            <w:tcW w:w="780" w:type="dxa"/>
            <w:vAlign w:val="bottom"/>
            <w:vMerge w:val="restart"/>
          </w:tcPr>
          <w:p>
            <w:pPr>
              <w:jc w:val="right"/>
              <w:ind w:right="50"/>
              <w:spacing w:after="0"/>
              <w:rPr>
                <w:sz w:val="20"/>
                <w:szCs w:val="20"/>
                <w:color w:val="auto"/>
              </w:rPr>
            </w:pPr>
            <w:r>
              <w:rPr>
                <w:rFonts w:ascii="Arial" w:cs="Arial" w:eastAsia="Arial" w:hAnsi="Arial"/>
                <w:sz w:val="14"/>
                <w:szCs w:val="14"/>
                <w:color w:val="auto"/>
              </w:rPr>
              <w:t>7,786</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40" w:type="dxa"/>
            <w:vAlign w:val="bottom"/>
            <w:vMerge w:val="restart"/>
          </w:tcPr>
          <w:p>
            <w:pPr>
              <w:jc w:val="right"/>
              <w:ind w:right="49"/>
              <w:spacing w:after="0"/>
              <w:rPr>
                <w:sz w:val="20"/>
                <w:szCs w:val="20"/>
                <w:color w:val="auto"/>
              </w:rPr>
            </w:pPr>
            <w:r>
              <w:rPr>
                <w:rFonts w:ascii="Arial" w:cs="Arial" w:eastAsia="Arial" w:hAnsi="Arial"/>
                <w:sz w:val="14"/>
                <w:szCs w:val="14"/>
                <w:color w:val="auto"/>
              </w:rPr>
              <w:t>284</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vMerge w:val="restart"/>
          </w:tcPr>
          <w:p>
            <w:pPr>
              <w:jc w:val="right"/>
              <w:ind w:right="49"/>
              <w:spacing w:after="0"/>
              <w:rPr>
                <w:sz w:val="20"/>
                <w:szCs w:val="20"/>
                <w:color w:val="auto"/>
              </w:rPr>
            </w:pPr>
            <w:r>
              <w:rPr>
                <w:rFonts w:ascii="Arial" w:cs="Arial" w:eastAsia="Arial" w:hAnsi="Arial"/>
                <w:sz w:val="14"/>
                <w:szCs w:val="14"/>
                <w:color w:val="auto"/>
              </w:rPr>
              <w:t>62</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vMerge w:val="restart"/>
          </w:tcPr>
          <w:p>
            <w:pPr>
              <w:jc w:val="right"/>
              <w:spacing w:after="0"/>
              <w:rPr>
                <w:sz w:val="20"/>
                <w:szCs w:val="20"/>
                <w:color w:val="auto"/>
              </w:rPr>
            </w:pPr>
            <w:r>
              <w:rPr>
                <w:rFonts w:ascii="Arial" w:cs="Arial" w:eastAsia="Arial" w:hAnsi="Arial"/>
                <w:sz w:val="14"/>
                <w:szCs w:val="14"/>
                <w:color w:val="auto"/>
              </w:rPr>
              <w:t>(4)</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vMerge w:val="restart"/>
          </w:tcPr>
          <w:p>
            <w:pPr>
              <w:jc w:val="right"/>
              <w:ind w:right="70"/>
              <w:spacing w:after="0"/>
              <w:rPr>
                <w:sz w:val="20"/>
                <w:szCs w:val="20"/>
                <w:color w:val="auto"/>
              </w:rPr>
            </w:pPr>
            <w:r>
              <w:rPr>
                <w:rFonts w:ascii="Arial" w:cs="Arial" w:eastAsia="Arial" w:hAnsi="Arial"/>
                <w:sz w:val="14"/>
                <w:szCs w:val="14"/>
                <w:color w:val="auto"/>
              </w:rPr>
              <w:t>8,012</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vMerge w:val="restart"/>
          </w:tcPr>
          <w:p>
            <w:pPr>
              <w:jc w:val="right"/>
              <w:ind w:right="30"/>
              <w:spacing w:after="0"/>
              <w:rPr>
                <w:sz w:val="20"/>
                <w:szCs w:val="20"/>
                <w:color w:val="auto"/>
              </w:rPr>
            </w:pPr>
            <w:r>
              <w:rPr>
                <w:rFonts w:ascii="Arial" w:cs="Arial" w:eastAsia="Arial" w:hAnsi="Arial"/>
                <w:sz w:val="14"/>
                <w:szCs w:val="14"/>
                <w:color w:val="auto"/>
              </w:rPr>
              <w:t>7,961</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vMerge w:val="restart"/>
          </w:tcPr>
          <w:p>
            <w:pPr>
              <w:jc w:val="right"/>
              <w:ind w:right="29"/>
              <w:spacing w:after="0"/>
              <w:rPr>
                <w:sz w:val="20"/>
                <w:szCs w:val="20"/>
                <w:color w:val="auto"/>
              </w:rPr>
            </w:pPr>
            <w:r>
              <w:rPr>
                <w:rFonts w:ascii="Arial" w:cs="Arial" w:eastAsia="Arial" w:hAnsi="Arial"/>
                <w:sz w:val="14"/>
                <w:szCs w:val="14"/>
                <w:color w:val="auto"/>
              </w:rPr>
              <w:t>206</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vMerge w:val="restart"/>
          </w:tcPr>
          <w:p>
            <w:pPr>
              <w:jc w:val="right"/>
              <w:ind w:right="29"/>
              <w:spacing w:after="0"/>
              <w:rPr>
                <w:sz w:val="20"/>
                <w:szCs w:val="20"/>
                <w:color w:val="auto"/>
              </w:rPr>
            </w:pPr>
            <w:r>
              <w:rPr>
                <w:rFonts w:ascii="Arial" w:cs="Arial" w:eastAsia="Arial" w:hAnsi="Arial"/>
                <w:sz w:val="14"/>
                <w:szCs w:val="14"/>
                <w:color w:val="auto"/>
              </w:rPr>
              <w:t>144</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680" w:type="dxa"/>
            <w:vAlign w:val="bottom"/>
            <w:vMerge w:val="restart"/>
          </w:tcPr>
          <w:p>
            <w:pPr>
              <w:jc w:val="right"/>
              <w:ind w:right="30"/>
              <w:spacing w:after="0"/>
              <w:rPr>
                <w:sz w:val="20"/>
                <w:szCs w:val="20"/>
                <w:color w:val="auto"/>
              </w:rPr>
            </w:pPr>
            <w:r>
              <w:rPr>
                <w:rFonts w:ascii="Arial" w:cs="Arial" w:eastAsia="Arial" w:hAnsi="Arial"/>
                <w:sz w:val="14"/>
                <w:szCs w:val="14"/>
                <w:color w:val="auto"/>
              </w:rPr>
              <w:t>8,023</w:t>
            </w:r>
          </w:p>
        </w:tc>
        <w:tc>
          <w:tcPr>
            <w:tcW w:w="0" w:type="dxa"/>
            <w:vAlign w:val="bottom"/>
          </w:tcPr>
          <w:p>
            <w:pPr>
              <w:spacing w:after="0"/>
              <w:rPr>
                <w:sz w:val="1"/>
                <w:szCs w:val="1"/>
                <w:color w:val="auto"/>
              </w:rPr>
            </w:pPr>
          </w:p>
        </w:tc>
      </w:tr>
      <w:tr>
        <w:trPr>
          <w:trHeight w:val="74"/>
        </w:trPr>
        <w:tc>
          <w:tcPr>
            <w:tcW w:w="2420" w:type="dxa"/>
            <w:vAlign w:val="bottom"/>
          </w:tcPr>
          <w:p>
            <w:pPr>
              <w:spacing w:after="0"/>
              <w:rPr>
                <w:sz w:val="6"/>
                <w:szCs w:val="6"/>
                <w:color w:val="auto"/>
              </w:rPr>
            </w:pPr>
          </w:p>
        </w:tc>
        <w:tc>
          <w:tcPr>
            <w:tcW w:w="14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56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76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52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40" w:type="dxa"/>
            <w:vAlign w:val="bottom"/>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420" w:type="dxa"/>
            <w:vAlign w:val="bottom"/>
            <w:shd w:val="clear" w:color="auto" w:fill="CCEEFF"/>
          </w:tcPr>
          <w:p>
            <w:pPr>
              <w:ind w:left="40"/>
              <w:spacing w:after="0"/>
              <w:rPr>
                <w:sz w:val="20"/>
                <w:szCs w:val="20"/>
                <w:color w:val="auto"/>
              </w:rPr>
            </w:pPr>
            <w:r>
              <w:rPr>
                <w:rFonts w:ascii="Arial" w:cs="Arial" w:eastAsia="Arial" w:hAnsi="Arial"/>
                <w:sz w:val="14"/>
                <w:szCs w:val="14"/>
                <w:color w:val="auto"/>
              </w:rPr>
              <w:t>Foreign corporate</w:t>
            </w:r>
          </w:p>
        </w:tc>
        <w:tc>
          <w:tcPr>
            <w:tcW w:w="140" w:type="dxa"/>
            <w:vAlign w:val="bottom"/>
            <w:shd w:val="clear" w:color="auto" w:fill="CCEEFF"/>
          </w:tcPr>
          <w:p>
            <w:pPr>
              <w:spacing w:after="0"/>
              <w:rPr>
                <w:sz w:val="17"/>
                <w:szCs w:val="17"/>
                <w:color w:val="auto"/>
              </w:rPr>
            </w:pPr>
          </w:p>
        </w:tc>
        <w:tc>
          <w:tcPr>
            <w:tcW w:w="780" w:type="dxa"/>
            <w:vAlign w:val="bottom"/>
            <w:vMerge w:val="restart"/>
            <w:shd w:val="clear" w:color="auto" w:fill="CCEEFF"/>
          </w:tcPr>
          <w:p>
            <w:pPr>
              <w:jc w:val="right"/>
              <w:ind w:right="50"/>
              <w:spacing w:after="0"/>
              <w:rPr>
                <w:sz w:val="20"/>
                <w:szCs w:val="20"/>
                <w:color w:val="auto"/>
              </w:rPr>
            </w:pPr>
            <w:r>
              <w:rPr>
                <w:rFonts w:ascii="Arial" w:cs="Arial" w:eastAsia="Arial" w:hAnsi="Arial"/>
                <w:sz w:val="14"/>
                <w:szCs w:val="14"/>
                <w:color w:val="auto"/>
              </w:rPr>
              <w:t>6,466</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40" w:type="dxa"/>
            <w:vAlign w:val="bottom"/>
            <w:vMerge w:val="restart"/>
            <w:shd w:val="clear" w:color="auto" w:fill="CCEEFF"/>
          </w:tcPr>
          <w:p>
            <w:pPr>
              <w:jc w:val="right"/>
              <w:ind w:right="49"/>
              <w:spacing w:after="0"/>
              <w:rPr>
                <w:sz w:val="20"/>
                <w:szCs w:val="20"/>
                <w:color w:val="auto"/>
              </w:rPr>
            </w:pPr>
            <w:r>
              <w:rPr>
                <w:rFonts w:ascii="Arial" w:cs="Arial" w:eastAsia="Arial" w:hAnsi="Arial"/>
                <w:sz w:val="14"/>
                <w:szCs w:val="14"/>
                <w:color w:val="auto"/>
              </w:rPr>
              <w:t>373</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vMerge w:val="restart"/>
            <w:shd w:val="clear" w:color="auto" w:fill="CCEEFF"/>
          </w:tcPr>
          <w:p>
            <w:pPr>
              <w:jc w:val="right"/>
              <w:ind w:right="49"/>
              <w:spacing w:after="0"/>
              <w:rPr>
                <w:sz w:val="20"/>
                <w:szCs w:val="20"/>
                <w:color w:val="auto"/>
              </w:rPr>
            </w:pPr>
            <w:r>
              <w:rPr>
                <w:rFonts w:ascii="Arial" w:cs="Arial" w:eastAsia="Arial" w:hAnsi="Arial"/>
                <w:sz w:val="14"/>
                <w:szCs w:val="14"/>
                <w:color w:val="auto"/>
              </w:rPr>
              <w:t>75</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720" w:type="dxa"/>
            <w:vAlign w:val="bottom"/>
            <w:vMerge w:val="restart"/>
            <w:shd w:val="clear" w:color="auto" w:fill="CCEEFF"/>
          </w:tcPr>
          <w:p>
            <w:pPr>
              <w:jc w:val="right"/>
              <w:ind w:right="70"/>
              <w:spacing w:after="0"/>
              <w:rPr>
                <w:sz w:val="20"/>
                <w:szCs w:val="20"/>
                <w:color w:val="auto"/>
              </w:rPr>
            </w:pPr>
            <w:r>
              <w:rPr>
                <w:rFonts w:ascii="Arial" w:cs="Arial" w:eastAsia="Arial" w:hAnsi="Arial"/>
                <w:sz w:val="14"/>
                <w:szCs w:val="14"/>
                <w:color w:val="auto"/>
              </w:rPr>
              <w:t>6,764</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vMerge w:val="restart"/>
            <w:shd w:val="clear" w:color="auto" w:fill="CCEEFF"/>
          </w:tcPr>
          <w:p>
            <w:pPr>
              <w:jc w:val="right"/>
              <w:ind w:right="30"/>
              <w:spacing w:after="0"/>
              <w:rPr>
                <w:sz w:val="20"/>
                <w:szCs w:val="20"/>
                <w:color w:val="auto"/>
              </w:rPr>
            </w:pPr>
            <w:r>
              <w:rPr>
                <w:rFonts w:ascii="Arial" w:cs="Arial" w:eastAsia="Arial" w:hAnsi="Arial"/>
                <w:sz w:val="14"/>
                <w:szCs w:val="14"/>
                <w:color w:val="auto"/>
              </w:rPr>
              <w:t>6,343</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230</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180</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680" w:type="dxa"/>
            <w:vAlign w:val="bottom"/>
            <w:vMerge w:val="restart"/>
            <w:shd w:val="clear" w:color="auto" w:fill="CCEEFF"/>
          </w:tcPr>
          <w:p>
            <w:pPr>
              <w:jc w:val="right"/>
              <w:ind w:right="30"/>
              <w:spacing w:after="0"/>
              <w:rPr>
                <w:sz w:val="20"/>
                <w:szCs w:val="20"/>
                <w:color w:val="auto"/>
              </w:rPr>
            </w:pPr>
            <w:r>
              <w:rPr>
                <w:rFonts w:ascii="Arial" w:cs="Arial" w:eastAsia="Arial" w:hAnsi="Arial"/>
                <w:sz w:val="14"/>
                <w:szCs w:val="14"/>
                <w:color w:val="auto"/>
              </w:rPr>
              <w:t>6,393</w:t>
            </w:r>
          </w:p>
        </w:tc>
        <w:tc>
          <w:tcPr>
            <w:tcW w:w="0" w:type="dxa"/>
            <w:vAlign w:val="bottom"/>
          </w:tcPr>
          <w:p>
            <w:pPr>
              <w:spacing w:after="0"/>
              <w:rPr>
                <w:sz w:val="1"/>
                <w:szCs w:val="1"/>
                <w:color w:val="auto"/>
              </w:rPr>
            </w:pPr>
          </w:p>
        </w:tc>
      </w:tr>
      <w:tr>
        <w:trPr>
          <w:trHeight w:val="80"/>
        </w:trPr>
        <w:tc>
          <w:tcPr>
            <w:tcW w:w="24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78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54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80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680" w:type="dxa"/>
            <w:vAlign w:val="bottom"/>
            <w:gridSpan w:val="2"/>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72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76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52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78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640" w:type="dxa"/>
            <w:vAlign w:val="bottom"/>
            <w:gridSpan w:val="2"/>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68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10"/>
        </w:trPr>
        <w:tc>
          <w:tcPr>
            <w:tcW w:w="2420" w:type="dxa"/>
            <w:vAlign w:val="bottom"/>
          </w:tcPr>
          <w:p>
            <w:pPr>
              <w:ind w:left="40"/>
              <w:spacing w:after="0"/>
              <w:rPr>
                <w:sz w:val="20"/>
                <w:szCs w:val="20"/>
                <w:color w:val="auto"/>
              </w:rPr>
            </w:pPr>
            <w:r>
              <w:rPr>
                <w:rFonts w:ascii="Arial" w:cs="Arial" w:eastAsia="Arial" w:hAnsi="Arial"/>
                <w:sz w:val="14"/>
                <w:szCs w:val="14"/>
                <w:color w:val="auto"/>
              </w:rPr>
              <w:t>State and political subdivision</w:t>
            </w:r>
          </w:p>
        </w:tc>
        <w:tc>
          <w:tcPr>
            <w:tcW w:w="140" w:type="dxa"/>
            <w:vAlign w:val="bottom"/>
          </w:tcPr>
          <w:p>
            <w:pPr>
              <w:spacing w:after="0"/>
              <w:rPr>
                <w:sz w:val="18"/>
                <w:szCs w:val="18"/>
                <w:color w:val="auto"/>
              </w:rPr>
            </w:pPr>
          </w:p>
        </w:tc>
        <w:tc>
          <w:tcPr>
            <w:tcW w:w="780" w:type="dxa"/>
            <w:vAlign w:val="bottom"/>
          </w:tcPr>
          <w:p>
            <w:pPr>
              <w:jc w:val="right"/>
              <w:ind w:right="50"/>
              <w:spacing w:after="0"/>
              <w:rPr>
                <w:sz w:val="20"/>
                <w:szCs w:val="20"/>
                <w:color w:val="auto"/>
              </w:rPr>
            </w:pPr>
            <w:r>
              <w:rPr>
                <w:rFonts w:ascii="Arial" w:cs="Arial" w:eastAsia="Arial" w:hAnsi="Arial"/>
                <w:sz w:val="14"/>
                <w:szCs w:val="14"/>
                <w:color w:val="auto"/>
              </w:rPr>
              <w:t>3,619</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jc w:val="right"/>
              <w:ind w:right="49"/>
              <w:spacing w:after="0"/>
              <w:rPr>
                <w:sz w:val="20"/>
                <w:szCs w:val="20"/>
                <w:color w:val="auto"/>
              </w:rPr>
            </w:pPr>
            <w:r>
              <w:rPr>
                <w:rFonts w:ascii="Arial" w:cs="Arial" w:eastAsia="Arial" w:hAnsi="Arial"/>
                <w:sz w:val="14"/>
                <w:szCs w:val="14"/>
                <w:color w:val="auto"/>
              </w:rPr>
              <w:t>508</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ind w:right="49"/>
              <w:spacing w:after="0"/>
              <w:rPr>
                <w:sz w:val="20"/>
                <w:szCs w:val="20"/>
                <w:color w:val="auto"/>
              </w:rPr>
            </w:pPr>
            <w:r>
              <w:rPr>
                <w:rFonts w:ascii="Arial" w:cs="Arial" w:eastAsia="Arial" w:hAnsi="Arial"/>
                <w:sz w:val="14"/>
                <w:szCs w:val="14"/>
                <w:color w:val="auto"/>
              </w:rPr>
              <w:t>9</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720" w:type="dxa"/>
            <w:vAlign w:val="bottom"/>
          </w:tcPr>
          <w:p>
            <w:pPr>
              <w:jc w:val="right"/>
              <w:ind w:right="70"/>
              <w:spacing w:after="0"/>
              <w:rPr>
                <w:sz w:val="20"/>
                <w:szCs w:val="20"/>
                <w:color w:val="auto"/>
              </w:rPr>
            </w:pPr>
            <w:r>
              <w:rPr>
                <w:rFonts w:ascii="Arial" w:cs="Arial" w:eastAsia="Arial" w:hAnsi="Arial"/>
                <w:sz w:val="14"/>
                <w:szCs w:val="14"/>
                <w:color w:val="auto"/>
              </w:rPr>
              <w:t>4,118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ind w:right="30"/>
              <w:spacing w:after="0"/>
              <w:rPr>
                <w:sz w:val="20"/>
                <w:szCs w:val="20"/>
                <w:color w:val="auto"/>
              </w:rPr>
            </w:pPr>
            <w:r>
              <w:rPr>
                <w:rFonts w:ascii="Arial" w:cs="Arial" w:eastAsia="Arial" w:hAnsi="Arial"/>
                <w:sz w:val="14"/>
                <w:szCs w:val="14"/>
                <w:color w:val="auto"/>
              </w:rPr>
              <w:t>3,590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jc w:val="right"/>
              <w:ind w:right="29"/>
              <w:spacing w:after="0"/>
              <w:rPr>
                <w:sz w:val="20"/>
                <w:szCs w:val="20"/>
                <w:color w:val="auto"/>
              </w:rPr>
            </w:pPr>
            <w:r>
              <w:rPr>
                <w:rFonts w:ascii="Arial" w:cs="Arial" w:eastAsia="Arial" w:hAnsi="Arial"/>
                <w:sz w:val="14"/>
                <w:szCs w:val="14"/>
                <w:color w:val="auto"/>
              </w:rPr>
              <w:t>393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ind w:right="29"/>
              <w:spacing w:after="0"/>
              <w:rPr>
                <w:sz w:val="20"/>
                <w:szCs w:val="20"/>
                <w:color w:val="auto"/>
              </w:rPr>
            </w:pPr>
            <w:r>
              <w:rPr>
                <w:rFonts w:ascii="Arial" w:cs="Arial" w:eastAsia="Arial" w:hAnsi="Arial"/>
                <w:sz w:val="14"/>
                <w:szCs w:val="14"/>
                <w:color w:val="auto"/>
              </w:rPr>
              <w:t>38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680" w:type="dxa"/>
            <w:vAlign w:val="bottom"/>
          </w:tcPr>
          <w:p>
            <w:pPr>
              <w:jc w:val="right"/>
              <w:ind w:right="30"/>
              <w:spacing w:after="0"/>
              <w:rPr>
                <w:sz w:val="20"/>
                <w:szCs w:val="20"/>
                <w:color w:val="auto"/>
              </w:rPr>
            </w:pPr>
            <w:r>
              <w:rPr>
                <w:rFonts w:ascii="Arial" w:cs="Arial" w:eastAsia="Arial" w:hAnsi="Arial"/>
                <w:sz w:val="14"/>
                <w:szCs w:val="14"/>
                <w:color w:val="auto"/>
              </w:rPr>
              <w:t>3,945</w:t>
            </w:r>
          </w:p>
        </w:tc>
        <w:tc>
          <w:tcPr>
            <w:tcW w:w="0" w:type="dxa"/>
            <w:vAlign w:val="bottom"/>
          </w:tcPr>
          <w:p>
            <w:pPr>
              <w:spacing w:after="0"/>
              <w:rPr>
                <w:sz w:val="1"/>
                <w:szCs w:val="1"/>
                <w:color w:val="auto"/>
              </w:rPr>
            </w:pPr>
          </w:p>
        </w:tc>
      </w:tr>
      <w:tr>
        <w:trPr>
          <w:trHeight w:val="197"/>
        </w:trPr>
        <w:tc>
          <w:tcPr>
            <w:tcW w:w="2420" w:type="dxa"/>
            <w:vAlign w:val="bottom"/>
            <w:shd w:val="clear" w:color="auto" w:fill="CCEEFF"/>
          </w:tcPr>
          <w:p>
            <w:pPr>
              <w:ind w:left="40"/>
              <w:spacing w:after="0"/>
              <w:rPr>
                <w:sz w:val="20"/>
                <w:szCs w:val="20"/>
                <w:color w:val="auto"/>
              </w:rPr>
            </w:pPr>
            <w:r>
              <w:rPr>
                <w:rFonts w:ascii="Arial" w:cs="Arial" w:eastAsia="Arial" w:hAnsi="Arial"/>
                <w:sz w:val="14"/>
                <w:szCs w:val="14"/>
                <w:color w:val="auto"/>
              </w:rPr>
              <w:t>CMBS</w:t>
            </w:r>
          </w:p>
        </w:tc>
        <w:tc>
          <w:tcPr>
            <w:tcW w:w="140" w:type="dxa"/>
            <w:vAlign w:val="bottom"/>
            <w:shd w:val="clear" w:color="auto" w:fill="CCEEFF"/>
          </w:tcPr>
          <w:p>
            <w:pPr>
              <w:spacing w:after="0"/>
              <w:rPr>
                <w:sz w:val="17"/>
                <w:szCs w:val="17"/>
                <w:color w:val="auto"/>
              </w:rPr>
            </w:pPr>
          </w:p>
        </w:tc>
        <w:tc>
          <w:tcPr>
            <w:tcW w:w="780" w:type="dxa"/>
            <w:vAlign w:val="bottom"/>
            <w:vMerge w:val="restart"/>
            <w:shd w:val="clear" w:color="auto" w:fill="CCEEFF"/>
          </w:tcPr>
          <w:p>
            <w:pPr>
              <w:jc w:val="right"/>
              <w:ind w:right="50"/>
              <w:spacing w:after="0"/>
              <w:rPr>
                <w:sz w:val="20"/>
                <w:szCs w:val="20"/>
                <w:color w:val="auto"/>
              </w:rPr>
            </w:pPr>
            <w:r>
              <w:rPr>
                <w:rFonts w:ascii="Arial" w:cs="Arial" w:eastAsia="Arial" w:hAnsi="Arial"/>
                <w:sz w:val="14"/>
                <w:szCs w:val="14"/>
                <w:color w:val="auto"/>
              </w:rPr>
              <w:t>3,331</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40" w:type="dxa"/>
            <w:vAlign w:val="bottom"/>
            <w:vMerge w:val="restart"/>
            <w:shd w:val="clear" w:color="auto" w:fill="CCEEFF"/>
          </w:tcPr>
          <w:p>
            <w:pPr>
              <w:jc w:val="right"/>
              <w:ind w:right="49"/>
              <w:spacing w:after="0"/>
              <w:rPr>
                <w:sz w:val="20"/>
                <w:szCs w:val="20"/>
                <w:color w:val="auto"/>
              </w:rPr>
            </w:pPr>
            <w:r>
              <w:rPr>
                <w:rFonts w:ascii="Arial" w:cs="Arial" w:eastAsia="Arial" w:hAnsi="Arial"/>
                <w:sz w:val="14"/>
                <w:szCs w:val="14"/>
                <w:color w:val="auto"/>
              </w:rPr>
              <w:t>61</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vMerge w:val="restart"/>
            <w:shd w:val="clear" w:color="auto" w:fill="CCEEFF"/>
          </w:tcPr>
          <w:p>
            <w:pPr>
              <w:jc w:val="right"/>
              <w:ind w:right="49"/>
              <w:spacing w:after="0"/>
              <w:rPr>
                <w:sz w:val="20"/>
                <w:szCs w:val="20"/>
                <w:color w:val="auto"/>
              </w:rPr>
            </w:pPr>
            <w:r>
              <w:rPr>
                <w:rFonts w:ascii="Arial" w:cs="Arial" w:eastAsia="Arial" w:hAnsi="Arial"/>
                <w:sz w:val="14"/>
                <w:szCs w:val="14"/>
                <w:color w:val="auto"/>
              </w:rPr>
              <w:t>16</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vMerge w:val="restart"/>
            <w:shd w:val="clear" w:color="auto" w:fill="CCEEFF"/>
          </w:tcPr>
          <w:p>
            <w:pPr>
              <w:jc w:val="right"/>
              <w:ind w:right="70"/>
              <w:spacing w:after="0"/>
              <w:rPr>
                <w:sz w:val="20"/>
                <w:szCs w:val="20"/>
                <w:color w:val="auto"/>
              </w:rPr>
            </w:pPr>
            <w:r>
              <w:rPr>
                <w:rFonts w:ascii="Arial" w:cs="Arial" w:eastAsia="Arial" w:hAnsi="Arial"/>
                <w:sz w:val="14"/>
                <w:szCs w:val="14"/>
                <w:color w:val="auto"/>
              </w:rPr>
              <w:t>3,377</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vMerge w:val="restart"/>
            <w:shd w:val="clear" w:color="auto" w:fill="CCEEFF"/>
          </w:tcPr>
          <w:p>
            <w:pPr>
              <w:jc w:val="right"/>
              <w:ind w:right="30"/>
              <w:spacing w:after="0"/>
              <w:rPr>
                <w:sz w:val="20"/>
                <w:szCs w:val="20"/>
                <w:color w:val="auto"/>
              </w:rPr>
            </w:pPr>
            <w:r>
              <w:rPr>
                <w:rFonts w:ascii="Arial" w:cs="Arial" w:eastAsia="Arial" w:hAnsi="Arial"/>
                <w:sz w:val="14"/>
                <w:szCs w:val="14"/>
                <w:color w:val="auto"/>
              </w:rPr>
              <w:t>3,799</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44</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32</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vMerge w:val="restart"/>
            <w:shd w:val="clear" w:color="auto" w:fill="CCEEFF"/>
          </w:tcPr>
          <w:p>
            <w:pPr>
              <w:jc w:val="right"/>
              <w:ind w:right="30"/>
              <w:spacing w:after="0"/>
              <w:rPr>
                <w:sz w:val="20"/>
                <w:szCs w:val="20"/>
                <w:color w:val="auto"/>
              </w:rPr>
            </w:pPr>
            <w:r>
              <w:rPr>
                <w:rFonts w:ascii="Arial" w:cs="Arial" w:eastAsia="Arial" w:hAnsi="Arial"/>
                <w:sz w:val="14"/>
                <w:szCs w:val="14"/>
                <w:color w:val="auto"/>
              </w:rPr>
              <w:t>3,812</w:t>
            </w:r>
          </w:p>
        </w:tc>
        <w:tc>
          <w:tcPr>
            <w:tcW w:w="0" w:type="dxa"/>
            <w:vAlign w:val="bottom"/>
          </w:tcPr>
          <w:p>
            <w:pPr>
              <w:spacing w:after="0"/>
              <w:rPr>
                <w:sz w:val="1"/>
                <w:szCs w:val="1"/>
                <w:color w:val="auto"/>
              </w:rPr>
            </w:pPr>
          </w:p>
        </w:tc>
      </w:tr>
      <w:tr>
        <w:trPr>
          <w:trHeight w:val="80"/>
        </w:trPr>
        <w:tc>
          <w:tcPr>
            <w:tcW w:w="24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78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54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80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56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72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76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52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78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52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68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2420" w:type="dxa"/>
            <w:vAlign w:val="bottom"/>
          </w:tcPr>
          <w:p>
            <w:pPr>
              <w:ind w:left="40"/>
              <w:spacing w:after="0"/>
              <w:rPr>
                <w:sz w:val="20"/>
                <w:szCs w:val="20"/>
                <w:color w:val="auto"/>
              </w:rPr>
            </w:pPr>
            <w:r>
              <w:rPr>
                <w:rFonts w:ascii="Arial" w:cs="Arial" w:eastAsia="Arial" w:hAnsi="Arial"/>
                <w:sz w:val="14"/>
                <w:szCs w:val="14"/>
                <w:color w:val="auto"/>
              </w:rPr>
              <w:t>ABS</w:t>
            </w:r>
          </w:p>
        </w:tc>
        <w:tc>
          <w:tcPr>
            <w:tcW w:w="140" w:type="dxa"/>
            <w:vAlign w:val="bottom"/>
          </w:tcPr>
          <w:p>
            <w:pPr>
              <w:spacing w:after="0"/>
              <w:rPr>
                <w:sz w:val="16"/>
                <w:szCs w:val="16"/>
                <w:color w:val="auto"/>
              </w:rPr>
            </w:pPr>
          </w:p>
        </w:tc>
        <w:tc>
          <w:tcPr>
            <w:tcW w:w="780" w:type="dxa"/>
            <w:vAlign w:val="bottom"/>
            <w:vMerge w:val="restart"/>
          </w:tcPr>
          <w:p>
            <w:pPr>
              <w:jc w:val="right"/>
              <w:ind w:right="50"/>
              <w:spacing w:after="0"/>
              <w:rPr>
                <w:sz w:val="20"/>
                <w:szCs w:val="20"/>
                <w:color w:val="auto"/>
              </w:rPr>
            </w:pPr>
            <w:r>
              <w:rPr>
                <w:rFonts w:ascii="Arial" w:cs="Arial" w:eastAsia="Arial" w:hAnsi="Arial"/>
                <w:sz w:val="14"/>
                <w:szCs w:val="14"/>
                <w:color w:val="auto"/>
              </w:rPr>
              <w:t>1,732</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40" w:type="dxa"/>
            <w:vAlign w:val="bottom"/>
            <w:vMerge w:val="restart"/>
          </w:tcPr>
          <w:p>
            <w:pPr>
              <w:jc w:val="right"/>
              <w:ind w:right="49"/>
              <w:spacing w:after="0"/>
              <w:rPr>
                <w:sz w:val="20"/>
                <w:szCs w:val="20"/>
                <w:color w:val="auto"/>
              </w:rPr>
            </w:pPr>
            <w:r>
              <w:rPr>
                <w:rFonts w:ascii="Arial" w:cs="Arial" w:eastAsia="Arial" w:hAnsi="Arial"/>
                <w:sz w:val="14"/>
                <w:szCs w:val="14"/>
                <w:color w:val="auto"/>
              </w:rPr>
              <w:t>20</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vMerge w:val="restart"/>
          </w:tcPr>
          <w:p>
            <w:pPr>
              <w:jc w:val="right"/>
              <w:ind w:right="49"/>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720" w:type="dxa"/>
            <w:vAlign w:val="bottom"/>
            <w:vMerge w:val="restart"/>
          </w:tcPr>
          <w:p>
            <w:pPr>
              <w:jc w:val="right"/>
              <w:ind w:right="70"/>
              <w:spacing w:after="0"/>
              <w:rPr>
                <w:sz w:val="20"/>
                <w:szCs w:val="20"/>
                <w:color w:val="auto"/>
              </w:rPr>
            </w:pPr>
            <w:r>
              <w:rPr>
                <w:rFonts w:ascii="Arial" w:cs="Arial" w:eastAsia="Arial" w:hAnsi="Arial"/>
                <w:sz w:val="14"/>
                <w:szCs w:val="14"/>
                <w:color w:val="auto"/>
              </w:rPr>
              <w:t>1,750</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vMerge w:val="restart"/>
          </w:tcPr>
          <w:p>
            <w:pPr>
              <w:jc w:val="right"/>
              <w:ind w:right="30"/>
              <w:spacing w:after="0"/>
              <w:rPr>
                <w:sz w:val="20"/>
                <w:szCs w:val="20"/>
                <w:color w:val="auto"/>
              </w:rPr>
            </w:pPr>
            <w:r>
              <w:rPr>
                <w:rFonts w:ascii="Arial" w:cs="Arial" w:eastAsia="Arial" w:hAnsi="Arial"/>
                <w:sz w:val="14"/>
                <w:szCs w:val="14"/>
                <w:color w:val="auto"/>
              </w:rPr>
              <w:t>2,654</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vMerge w:val="restart"/>
          </w:tcPr>
          <w:p>
            <w:pPr>
              <w:jc w:val="right"/>
              <w:ind w:right="29"/>
              <w:spacing w:after="0"/>
              <w:rPr>
                <w:sz w:val="20"/>
                <w:szCs w:val="20"/>
                <w:color w:val="auto"/>
              </w:rPr>
            </w:pPr>
            <w:r>
              <w:rPr>
                <w:rFonts w:ascii="Arial" w:cs="Arial" w:eastAsia="Arial" w:hAnsi="Arial"/>
                <w:sz w:val="14"/>
                <w:szCs w:val="14"/>
                <w:color w:val="auto"/>
              </w:rPr>
              <w:t>12</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vMerge w:val="restart"/>
          </w:tcPr>
          <w:p>
            <w:pPr>
              <w:jc w:val="right"/>
              <w:ind w:right="29"/>
              <w:spacing w:after="0"/>
              <w:rPr>
                <w:sz w:val="20"/>
                <w:szCs w:val="20"/>
                <w:color w:val="auto"/>
              </w:rPr>
            </w:pPr>
            <w:r>
              <w:rPr>
                <w:rFonts w:ascii="Arial" w:cs="Arial" w:eastAsia="Arial" w:hAnsi="Arial"/>
                <w:sz w:val="14"/>
                <w:szCs w:val="14"/>
                <w:color w:val="auto"/>
              </w:rPr>
              <w:t>14</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680" w:type="dxa"/>
            <w:vAlign w:val="bottom"/>
            <w:vMerge w:val="restart"/>
          </w:tcPr>
          <w:p>
            <w:pPr>
              <w:jc w:val="right"/>
              <w:ind w:right="30"/>
              <w:spacing w:after="0"/>
              <w:rPr>
                <w:sz w:val="20"/>
                <w:szCs w:val="20"/>
                <w:color w:val="auto"/>
              </w:rPr>
            </w:pPr>
            <w:r>
              <w:rPr>
                <w:rFonts w:ascii="Arial" w:cs="Arial" w:eastAsia="Arial" w:hAnsi="Arial"/>
                <w:sz w:val="14"/>
                <w:szCs w:val="14"/>
                <w:color w:val="auto"/>
              </w:rPr>
              <w:t>2,652</w:t>
            </w:r>
          </w:p>
        </w:tc>
        <w:tc>
          <w:tcPr>
            <w:tcW w:w="0" w:type="dxa"/>
            <w:vAlign w:val="bottom"/>
          </w:tcPr>
          <w:p>
            <w:pPr>
              <w:spacing w:after="0"/>
              <w:rPr>
                <w:sz w:val="1"/>
                <w:szCs w:val="1"/>
                <w:color w:val="auto"/>
              </w:rPr>
            </w:pPr>
          </w:p>
        </w:tc>
      </w:tr>
      <w:tr>
        <w:trPr>
          <w:trHeight w:val="74"/>
        </w:trPr>
        <w:tc>
          <w:tcPr>
            <w:tcW w:w="2420" w:type="dxa"/>
            <w:vAlign w:val="bottom"/>
          </w:tcPr>
          <w:p>
            <w:pPr>
              <w:spacing w:after="0"/>
              <w:rPr>
                <w:sz w:val="6"/>
                <w:szCs w:val="6"/>
                <w:color w:val="auto"/>
              </w:rPr>
            </w:pPr>
          </w:p>
        </w:tc>
        <w:tc>
          <w:tcPr>
            <w:tcW w:w="14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76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52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40" w:type="dxa"/>
            <w:vAlign w:val="bottom"/>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420" w:type="dxa"/>
            <w:vAlign w:val="bottom"/>
            <w:shd w:val="clear" w:color="auto" w:fill="CCEEFF"/>
          </w:tcPr>
          <w:p>
            <w:pPr>
              <w:ind w:left="40"/>
              <w:spacing w:after="0"/>
              <w:rPr>
                <w:sz w:val="20"/>
                <w:szCs w:val="20"/>
                <w:color w:val="auto"/>
              </w:rPr>
            </w:pPr>
            <w:r>
              <w:rPr>
                <w:rFonts w:ascii="Arial" w:cs="Arial" w:eastAsia="Arial" w:hAnsi="Arial"/>
                <w:sz w:val="14"/>
                <w:szCs w:val="14"/>
                <w:color w:val="auto"/>
              </w:rPr>
              <w:t>Foreign government</w:t>
            </w:r>
          </w:p>
        </w:tc>
        <w:tc>
          <w:tcPr>
            <w:tcW w:w="140" w:type="dxa"/>
            <w:vAlign w:val="bottom"/>
            <w:shd w:val="clear" w:color="auto" w:fill="CCEEFF"/>
          </w:tcPr>
          <w:p>
            <w:pPr>
              <w:spacing w:after="0"/>
              <w:rPr>
                <w:sz w:val="17"/>
                <w:szCs w:val="17"/>
                <w:color w:val="auto"/>
              </w:rPr>
            </w:pPr>
          </w:p>
        </w:tc>
        <w:tc>
          <w:tcPr>
            <w:tcW w:w="780" w:type="dxa"/>
            <w:vAlign w:val="bottom"/>
            <w:vMerge w:val="restart"/>
            <w:shd w:val="clear" w:color="auto" w:fill="CCEEFF"/>
          </w:tcPr>
          <w:p>
            <w:pPr>
              <w:jc w:val="right"/>
              <w:ind w:right="50"/>
              <w:spacing w:after="0"/>
              <w:rPr>
                <w:sz w:val="20"/>
                <w:szCs w:val="20"/>
                <w:color w:val="auto"/>
              </w:rPr>
            </w:pPr>
            <w:r>
              <w:rPr>
                <w:rFonts w:ascii="Arial" w:cs="Arial" w:eastAsia="Arial" w:hAnsi="Arial"/>
                <w:sz w:val="14"/>
                <w:szCs w:val="14"/>
                <w:color w:val="auto"/>
              </w:rPr>
              <w:t>1,105</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40" w:type="dxa"/>
            <w:vAlign w:val="bottom"/>
            <w:vMerge w:val="restart"/>
            <w:shd w:val="clear" w:color="auto" w:fill="CCEEFF"/>
          </w:tcPr>
          <w:p>
            <w:pPr>
              <w:jc w:val="right"/>
              <w:ind w:right="49"/>
              <w:spacing w:after="0"/>
              <w:rPr>
                <w:sz w:val="20"/>
                <w:szCs w:val="20"/>
                <w:color w:val="auto"/>
              </w:rPr>
            </w:pPr>
            <w:r>
              <w:rPr>
                <w:rFonts w:ascii="Arial" w:cs="Arial" w:eastAsia="Arial" w:hAnsi="Arial"/>
                <w:sz w:val="14"/>
                <w:szCs w:val="14"/>
                <w:color w:val="auto"/>
              </w:rPr>
              <w:t>153</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vMerge w:val="restart"/>
            <w:shd w:val="clear" w:color="auto" w:fill="CCEEFF"/>
          </w:tcPr>
          <w:p>
            <w:pPr>
              <w:jc w:val="right"/>
              <w:ind w:right="49"/>
              <w:spacing w:after="0"/>
              <w:rPr>
                <w:sz w:val="20"/>
                <w:szCs w:val="20"/>
                <w:color w:val="auto"/>
              </w:rPr>
            </w:pPr>
            <w:r>
              <w:rPr>
                <w:rFonts w:ascii="Arial" w:cs="Arial" w:eastAsia="Arial" w:hAnsi="Arial"/>
                <w:sz w:val="14"/>
                <w:szCs w:val="14"/>
                <w:color w:val="auto"/>
              </w:rPr>
              <w:t>3</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vMerge w:val="restart"/>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120" w:type="dxa"/>
            <w:vAlign w:val="bottom"/>
            <w:vMerge w:val="restart"/>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vMerge w:val="restart"/>
            <w:shd w:val="clear" w:color="auto" w:fill="CCEEFF"/>
          </w:tcPr>
          <w:p>
            <w:pPr>
              <w:jc w:val="right"/>
              <w:ind w:right="70"/>
              <w:spacing w:after="0"/>
              <w:rPr>
                <w:sz w:val="20"/>
                <w:szCs w:val="20"/>
                <w:color w:val="auto"/>
              </w:rPr>
            </w:pPr>
            <w:r>
              <w:rPr>
                <w:rFonts w:ascii="Arial" w:cs="Arial" w:eastAsia="Arial" w:hAnsi="Arial"/>
                <w:sz w:val="14"/>
                <w:szCs w:val="14"/>
                <w:color w:val="auto"/>
              </w:rPr>
              <w:t>1,255</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vMerge w:val="restart"/>
            <w:shd w:val="clear" w:color="auto" w:fill="CCEEFF"/>
          </w:tcPr>
          <w:p>
            <w:pPr>
              <w:jc w:val="right"/>
              <w:ind w:right="30"/>
              <w:spacing w:after="0"/>
              <w:rPr>
                <w:sz w:val="20"/>
                <w:szCs w:val="20"/>
                <w:color w:val="auto"/>
              </w:rPr>
            </w:pPr>
            <w:r>
              <w:rPr>
                <w:rFonts w:ascii="Arial" w:cs="Arial" w:eastAsia="Arial" w:hAnsi="Arial"/>
                <w:sz w:val="14"/>
                <w:szCs w:val="14"/>
                <w:color w:val="auto"/>
              </w:rPr>
              <w:t>1,058</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116</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12</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120" w:type="dxa"/>
            <w:vAlign w:val="bottom"/>
            <w:vMerge w:val="restart"/>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vMerge w:val="restart"/>
            <w:shd w:val="clear" w:color="auto" w:fill="CCEEFF"/>
          </w:tcPr>
          <w:p>
            <w:pPr>
              <w:jc w:val="right"/>
              <w:ind w:right="30"/>
              <w:spacing w:after="0"/>
              <w:rPr>
                <w:sz w:val="20"/>
                <w:szCs w:val="20"/>
                <w:color w:val="auto"/>
              </w:rPr>
            </w:pPr>
            <w:r>
              <w:rPr>
                <w:rFonts w:ascii="Arial" w:cs="Arial" w:eastAsia="Arial" w:hAnsi="Arial"/>
                <w:sz w:val="14"/>
                <w:szCs w:val="14"/>
                <w:color w:val="auto"/>
              </w:rPr>
              <w:t>1,162</w:t>
            </w:r>
          </w:p>
        </w:tc>
        <w:tc>
          <w:tcPr>
            <w:tcW w:w="0" w:type="dxa"/>
            <w:vAlign w:val="bottom"/>
          </w:tcPr>
          <w:p>
            <w:pPr>
              <w:spacing w:after="0"/>
              <w:rPr>
                <w:sz w:val="1"/>
                <w:szCs w:val="1"/>
                <w:color w:val="auto"/>
              </w:rPr>
            </w:pPr>
          </w:p>
        </w:tc>
      </w:tr>
      <w:tr>
        <w:trPr>
          <w:trHeight w:val="80"/>
        </w:trPr>
        <w:tc>
          <w:tcPr>
            <w:tcW w:w="2420" w:type="dxa"/>
            <w:vAlign w:val="bottom"/>
            <w:shd w:val="clear" w:color="auto" w:fill="CCEEFF"/>
          </w:tcPr>
          <w:p>
            <w:pPr>
              <w:spacing w:after="0"/>
              <w:rPr>
                <w:sz w:val="6"/>
                <w:szCs w:val="6"/>
                <w:color w:val="auto"/>
              </w:rPr>
            </w:pPr>
          </w:p>
        </w:tc>
        <w:tc>
          <w:tcPr>
            <w:tcW w:w="140" w:type="dxa"/>
            <w:vAlign w:val="bottom"/>
            <w:tcBorders>
              <w:bottom w:val="single" w:sz="8" w:color="auto"/>
            </w:tcBorders>
            <w:shd w:val="clear" w:color="auto" w:fill="CCEEFF"/>
          </w:tcPr>
          <w:p>
            <w:pPr>
              <w:spacing w:after="0"/>
              <w:rPr>
                <w:sz w:val="6"/>
                <w:szCs w:val="6"/>
                <w:color w:val="auto"/>
              </w:rPr>
            </w:pPr>
          </w:p>
        </w:tc>
        <w:tc>
          <w:tcPr>
            <w:tcW w:w="78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60" w:type="dxa"/>
            <w:vAlign w:val="bottom"/>
            <w:tcBorders>
              <w:bottom w:val="single" w:sz="8" w:color="auto"/>
            </w:tcBorders>
            <w:shd w:val="clear" w:color="auto" w:fill="CCEEFF"/>
          </w:tcPr>
          <w:p>
            <w:pPr>
              <w:spacing w:after="0"/>
              <w:rPr>
                <w:sz w:val="6"/>
                <w:szCs w:val="6"/>
                <w:color w:val="auto"/>
              </w:rPr>
            </w:pPr>
          </w:p>
        </w:tc>
        <w:tc>
          <w:tcPr>
            <w:tcW w:w="54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tcBorders>
              <w:bottom w:val="single" w:sz="8" w:color="auto"/>
            </w:tcBorders>
            <w:shd w:val="clear" w:color="auto" w:fill="CCEEFF"/>
          </w:tcPr>
          <w:p>
            <w:pPr>
              <w:spacing w:after="0"/>
              <w:rPr>
                <w:sz w:val="6"/>
                <w:szCs w:val="6"/>
                <w:color w:val="auto"/>
              </w:rPr>
            </w:pPr>
          </w:p>
        </w:tc>
        <w:tc>
          <w:tcPr>
            <w:tcW w:w="80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tcBorders>
              <w:bottom w:val="single" w:sz="8" w:color="auto"/>
            </w:tcBorders>
            <w:shd w:val="clear" w:color="auto" w:fill="CCEEFF"/>
          </w:tcPr>
          <w:p>
            <w:pPr>
              <w:spacing w:after="0"/>
              <w:rPr>
                <w:sz w:val="6"/>
                <w:szCs w:val="6"/>
                <w:color w:val="auto"/>
              </w:rPr>
            </w:pPr>
          </w:p>
        </w:tc>
        <w:tc>
          <w:tcPr>
            <w:tcW w:w="56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vMerge w:val="continue"/>
            <w:shd w:val="clear" w:color="auto" w:fill="CCEEFF"/>
          </w:tcPr>
          <w:p>
            <w:pPr>
              <w:spacing w:after="0"/>
              <w:rPr>
                <w:sz w:val="6"/>
                <w:szCs w:val="6"/>
                <w:color w:val="auto"/>
              </w:rPr>
            </w:pPr>
          </w:p>
        </w:tc>
        <w:tc>
          <w:tcPr>
            <w:tcW w:w="120" w:type="dxa"/>
            <w:vAlign w:val="bottom"/>
            <w:tcBorders>
              <w:bottom w:val="single" w:sz="8" w:color="auto"/>
            </w:tcBorders>
            <w:shd w:val="clear" w:color="auto" w:fill="CCEEFF"/>
          </w:tcPr>
          <w:p>
            <w:pPr>
              <w:spacing w:after="0"/>
              <w:rPr>
                <w:sz w:val="6"/>
                <w:szCs w:val="6"/>
                <w:color w:val="auto"/>
              </w:rPr>
            </w:pPr>
          </w:p>
        </w:tc>
        <w:tc>
          <w:tcPr>
            <w:tcW w:w="72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tcBorders>
              <w:bottom w:val="single" w:sz="8" w:color="auto"/>
            </w:tcBorders>
            <w:shd w:val="clear" w:color="auto" w:fill="CCEEFF"/>
          </w:tcPr>
          <w:p>
            <w:pPr>
              <w:spacing w:after="0"/>
              <w:rPr>
                <w:sz w:val="6"/>
                <w:szCs w:val="6"/>
                <w:color w:val="auto"/>
              </w:rPr>
            </w:pPr>
          </w:p>
        </w:tc>
        <w:tc>
          <w:tcPr>
            <w:tcW w:w="76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tcBorders>
              <w:bottom w:val="single" w:sz="8" w:color="auto"/>
            </w:tcBorders>
            <w:shd w:val="clear" w:color="auto" w:fill="CCEEFF"/>
          </w:tcPr>
          <w:p>
            <w:pPr>
              <w:spacing w:after="0"/>
              <w:rPr>
                <w:sz w:val="6"/>
                <w:szCs w:val="6"/>
                <w:color w:val="auto"/>
              </w:rPr>
            </w:pPr>
          </w:p>
        </w:tc>
        <w:tc>
          <w:tcPr>
            <w:tcW w:w="52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tcBorders>
              <w:bottom w:val="single" w:sz="8" w:color="auto"/>
            </w:tcBorders>
            <w:shd w:val="clear" w:color="auto" w:fill="CCEEFF"/>
          </w:tcPr>
          <w:p>
            <w:pPr>
              <w:spacing w:after="0"/>
              <w:rPr>
                <w:sz w:val="6"/>
                <w:szCs w:val="6"/>
                <w:color w:val="auto"/>
              </w:rPr>
            </w:pPr>
          </w:p>
        </w:tc>
        <w:tc>
          <w:tcPr>
            <w:tcW w:w="78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 w:type="dxa"/>
            <w:vAlign w:val="bottom"/>
            <w:tcBorders>
              <w:bottom w:val="single" w:sz="8" w:color="auto"/>
            </w:tcBorders>
            <w:shd w:val="clear" w:color="auto" w:fill="CCEEFF"/>
          </w:tcPr>
          <w:p>
            <w:pPr>
              <w:spacing w:after="0"/>
              <w:rPr>
                <w:sz w:val="6"/>
                <w:szCs w:val="6"/>
                <w:color w:val="auto"/>
              </w:rPr>
            </w:pPr>
          </w:p>
        </w:tc>
        <w:tc>
          <w:tcPr>
            <w:tcW w:w="52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vMerge w:val="continue"/>
            <w:shd w:val="clear" w:color="auto" w:fill="CCEEFF"/>
          </w:tcPr>
          <w:p>
            <w:pPr>
              <w:spacing w:after="0"/>
              <w:rPr>
                <w:sz w:val="6"/>
                <w:szCs w:val="6"/>
                <w:color w:val="auto"/>
              </w:rPr>
            </w:pPr>
          </w:p>
        </w:tc>
        <w:tc>
          <w:tcPr>
            <w:tcW w:w="100" w:type="dxa"/>
            <w:vAlign w:val="bottom"/>
            <w:tcBorders>
              <w:bottom w:val="single" w:sz="8" w:color="auto"/>
            </w:tcBorders>
            <w:shd w:val="clear" w:color="auto" w:fill="CCEEFF"/>
          </w:tcPr>
          <w:p>
            <w:pPr>
              <w:spacing w:after="0"/>
              <w:rPr>
                <w:sz w:val="6"/>
                <w:szCs w:val="6"/>
                <w:color w:val="auto"/>
              </w:rPr>
            </w:pPr>
          </w:p>
        </w:tc>
        <w:tc>
          <w:tcPr>
            <w:tcW w:w="680" w:type="dxa"/>
            <w:vAlign w:val="bottom"/>
            <w:tcBorders>
              <w:bottom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44"/>
        </w:trPr>
        <w:tc>
          <w:tcPr>
            <w:tcW w:w="2420" w:type="dxa"/>
            <w:vAlign w:val="bottom"/>
          </w:tcPr>
          <w:p>
            <w:pPr>
              <w:ind w:left="200"/>
              <w:spacing w:after="0"/>
              <w:rPr>
                <w:sz w:val="20"/>
                <w:szCs w:val="20"/>
                <w:color w:val="auto"/>
              </w:rPr>
            </w:pPr>
            <w:r>
              <w:rPr>
                <w:rFonts w:ascii="Arial" w:cs="Arial" w:eastAsia="Arial" w:hAnsi="Arial"/>
                <w:sz w:val="14"/>
                <w:szCs w:val="14"/>
                <w:color w:val="auto"/>
              </w:rPr>
              <w:t>Total fixed maturity securities</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50"/>
              <w:spacing w:after="0"/>
              <w:rPr>
                <w:sz w:val="20"/>
                <w:szCs w:val="20"/>
                <w:color w:val="auto"/>
              </w:rPr>
            </w:pPr>
            <w:r>
              <w:rPr>
                <w:rFonts w:ascii="Arial" w:cs="Arial" w:eastAsia="Arial" w:hAnsi="Arial"/>
                <w:sz w:val="14"/>
                <w:szCs w:val="14"/>
                <w:color w:val="auto"/>
              </w:rPr>
              <w:t>59,126</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540" w:type="dxa"/>
            <w:vAlign w:val="bottom"/>
          </w:tcPr>
          <w:p>
            <w:pPr>
              <w:jc w:val="right"/>
              <w:ind w:right="49"/>
              <w:spacing w:after="0"/>
              <w:rPr>
                <w:sz w:val="20"/>
                <w:szCs w:val="20"/>
                <w:color w:val="auto"/>
              </w:rPr>
            </w:pPr>
            <w:r>
              <w:rPr>
                <w:rFonts w:ascii="Arial" w:cs="Arial" w:eastAsia="Arial" w:hAnsi="Arial"/>
                <w:sz w:val="14"/>
                <w:szCs w:val="14"/>
                <w:color w:val="auto"/>
              </w:rPr>
              <w:t>4,829</w:t>
            </w:r>
          </w:p>
        </w:tc>
        <w:tc>
          <w:tcPr>
            <w:tcW w:w="260" w:type="dxa"/>
            <w:vAlign w:val="bottom"/>
            <w:gridSpan w:val="2"/>
          </w:tcPr>
          <w:p>
            <w:pPr>
              <w:ind w:left="160"/>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49"/>
              <w:spacing w:after="0"/>
              <w:rPr>
                <w:sz w:val="20"/>
                <w:szCs w:val="20"/>
                <w:color w:val="auto"/>
              </w:rPr>
            </w:pPr>
            <w:r>
              <w:rPr>
                <w:rFonts w:ascii="Arial" w:cs="Arial" w:eastAsia="Arial" w:hAnsi="Arial"/>
                <w:sz w:val="14"/>
                <w:szCs w:val="14"/>
                <w:color w:val="auto"/>
              </w:rPr>
              <w:t>395</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560" w:type="dxa"/>
            <w:vAlign w:val="bottom"/>
          </w:tcPr>
          <w:p>
            <w:pPr>
              <w:jc w:val="right"/>
              <w:spacing w:after="0"/>
              <w:rPr>
                <w:sz w:val="20"/>
                <w:szCs w:val="20"/>
                <w:color w:val="auto"/>
              </w:rPr>
            </w:pPr>
            <w:r>
              <w:rPr>
                <w:rFonts w:ascii="Arial" w:cs="Arial" w:eastAsia="Arial" w:hAnsi="Arial"/>
                <w:sz w:val="14"/>
                <w:szCs w:val="14"/>
                <w:color w:val="auto"/>
              </w:rPr>
              <w:t>(5)</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70"/>
              <w:spacing w:after="0"/>
              <w:rPr>
                <w:sz w:val="20"/>
                <w:szCs w:val="20"/>
                <w:color w:val="auto"/>
              </w:rPr>
            </w:pPr>
            <w:r>
              <w:rPr>
                <w:rFonts w:ascii="Arial" w:cs="Arial" w:eastAsia="Arial" w:hAnsi="Arial"/>
                <w:sz w:val="14"/>
                <w:szCs w:val="14"/>
                <w:color w:val="auto"/>
              </w:rPr>
              <w:t>63,565</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30"/>
              <w:spacing w:after="0"/>
              <w:rPr>
                <w:sz w:val="20"/>
                <w:szCs w:val="20"/>
                <w:color w:val="auto"/>
              </w:rPr>
            </w:pPr>
            <w:r>
              <w:rPr>
                <w:rFonts w:ascii="Arial" w:cs="Arial" w:eastAsia="Arial" w:hAnsi="Arial"/>
                <w:sz w:val="14"/>
                <w:szCs w:val="14"/>
                <w:color w:val="auto"/>
              </w:rPr>
              <w:t>58,715</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520" w:type="dxa"/>
            <w:vAlign w:val="bottom"/>
          </w:tcPr>
          <w:p>
            <w:pPr>
              <w:jc w:val="right"/>
              <w:ind w:right="29"/>
              <w:spacing w:after="0"/>
              <w:rPr>
                <w:sz w:val="20"/>
                <w:szCs w:val="20"/>
                <w:color w:val="auto"/>
              </w:rPr>
            </w:pPr>
            <w:r>
              <w:rPr>
                <w:rFonts w:ascii="Arial" w:cs="Arial" w:eastAsia="Arial" w:hAnsi="Arial"/>
                <w:sz w:val="14"/>
                <w:szCs w:val="14"/>
                <w:color w:val="auto"/>
              </w:rPr>
              <w:t>3,619</w:t>
            </w:r>
          </w:p>
        </w:tc>
        <w:tc>
          <w:tcPr>
            <w:tcW w:w="22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29"/>
              <w:spacing w:after="0"/>
              <w:rPr>
                <w:sz w:val="20"/>
                <w:szCs w:val="20"/>
                <w:color w:val="auto"/>
              </w:rPr>
            </w:pPr>
            <w:r>
              <w:rPr>
                <w:rFonts w:ascii="Arial" w:cs="Arial" w:eastAsia="Arial" w:hAnsi="Arial"/>
                <w:sz w:val="14"/>
                <w:szCs w:val="14"/>
                <w:color w:val="auto"/>
              </w:rPr>
              <w:t>947</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520" w:type="dxa"/>
            <w:vAlign w:val="bottom"/>
          </w:tcPr>
          <w:p>
            <w:pPr>
              <w:jc w:val="right"/>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30"/>
              <w:spacing w:after="0"/>
              <w:rPr>
                <w:sz w:val="20"/>
                <w:szCs w:val="20"/>
                <w:color w:val="auto"/>
              </w:rPr>
            </w:pPr>
            <w:r>
              <w:rPr>
                <w:rFonts w:ascii="Arial" w:cs="Arial" w:eastAsia="Arial" w:hAnsi="Arial"/>
                <w:sz w:val="14"/>
                <w:szCs w:val="14"/>
                <w:color w:val="auto"/>
              </w:rPr>
              <w:t>61,388</w:t>
            </w:r>
          </w:p>
        </w:tc>
        <w:tc>
          <w:tcPr>
            <w:tcW w:w="0" w:type="dxa"/>
            <w:vAlign w:val="bottom"/>
          </w:tcPr>
          <w:p>
            <w:pPr>
              <w:spacing w:after="0"/>
              <w:rPr>
                <w:sz w:val="1"/>
                <w:szCs w:val="1"/>
                <w:color w:val="auto"/>
              </w:rPr>
            </w:pPr>
          </w:p>
        </w:tc>
      </w:tr>
      <w:tr>
        <w:trPr>
          <w:trHeight w:val="150"/>
        </w:trPr>
        <w:tc>
          <w:tcPr>
            <w:tcW w:w="2420" w:type="dxa"/>
            <w:vAlign w:val="bottom"/>
            <w:tcBorders>
              <w:top w:val="single" w:sz="8" w:color="CCEEFF"/>
            </w:tcBorders>
            <w:shd w:val="clear" w:color="auto" w:fill="CCEEFF"/>
          </w:tcPr>
          <w:p>
            <w:pPr>
              <w:ind w:left="40"/>
              <w:spacing w:after="0" w:line="150" w:lineRule="exact"/>
              <w:rPr>
                <w:sz w:val="20"/>
                <w:szCs w:val="20"/>
                <w:color w:val="auto"/>
              </w:rPr>
            </w:pPr>
            <w:r>
              <w:rPr>
                <w:rFonts w:ascii="Arial" w:cs="Arial" w:eastAsia="Arial" w:hAnsi="Arial"/>
                <w:sz w:val="14"/>
                <w:szCs w:val="14"/>
                <w:color w:val="auto"/>
              </w:rPr>
              <w:t>Equity securities:</w:t>
            </w:r>
          </w:p>
        </w:tc>
        <w:tc>
          <w:tcPr>
            <w:tcW w:w="140" w:type="dxa"/>
            <w:vAlign w:val="bottom"/>
            <w:tcBorders>
              <w:top w:val="single" w:sz="8" w:color="auto"/>
            </w:tcBorders>
            <w:shd w:val="clear" w:color="auto" w:fill="CCEEFF"/>
          </w:tcPr>
          <w:p>
            <w:pPr>
              <w:spacing w:after="0"/>
              <w:rPr>
                <w:sz w:val="13"/>
                <w:szCs w:val="13"/>
                <w:color w:val="auto"/>
              </w:rPr>
            </w:pPr>
          </w:p>
        </w:tc>
        <w:tc>
          <w:tcPr>
            <w:tcW w:w="78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54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80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56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72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76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52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78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52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68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24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7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8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7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7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91"/>
        </w:trPr>
        <w:tc>
          <w:tcPr>
            <w:tcW w:w="2420" w:type="dxa"/>
            <w:vAlign w:val="bottom"/>
          </w:tcPr>
          <w:p>
            <w:pPr>
              <w:ind w:left="40"/>
              <w:spacing w:after="0"/>
              <w:rPr>
                <w:sz w:val="20"/>
                <w:szCs w:val="20"/>
                <w:color w:val="auto"/>
              </w:rPr>
            </w:pPr>
            <w:r>
              <w:rPr>
                <w:rFonts w:ascii="Arial" w:cs="Arial" w:eastAsia="Arial" w:hAnsi="Arial"/>
                <w:sz w:val="14"/>
                <w:szCs w:val="14"/>
                <w:color w:val="auto"/>
              </w:rPr>
              <w:t>Non-redeemable preferred stock</w:t>
            </w:r>
          </w:p>
        </w:tc>
        <w:tc>
          <w:tcPr>
            <w:tcW w:w="1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780" w:type="dxa"/>
            <w:vAlign w:val="bottom"/>
            <w:vMerge w:val="restart"/>
          </w:tcPr>
          <w:p>
            <w:pPr>
              <w:jc w:val="right"/>
              <w:ind w:right="50"/>
              <w:spacing w:after="0"/>
              <w:rPr>
                <w:sz w:val="20"/>
                <w:szCs w:val="20"/>
                <w:color w:val="auto"/>
              </w:rPr>
            </w:pPr>
            <w:r>
              <w:rPr>
                <w:rFonts w:ascii="Arial" w:cs="Arial" w:eastAsia="Arial" w:hAnsi="Arial"/>
                <w:sz w:val="14"/>
                <w:szCs w:val="14"/>
                <w:color w:val="auto"/>
              </w:rPr>
              <w:t>138</w:t>
            </w:r>
          </w:p>
        </w:tc>
        <w:tc>
          <w:tcPr>
            <w:tcW w:w="120" w:type="dxa"/>
            <w:vAlign w:val="bottom"/>
          </w:tcPr>
          <w:p>
            <w:pPr>
              <w:spacing w:after="0"/>
              <w:rPr>
                <w:sz w:val="16"/>
                <w:szCs w:val="16"/>
                <w:color w:val="auto"/>
              </w:rPr>
            </w:pPr>
          </w:p>
        </w:tc>
        <w:tc>
          <w:tcPr>
            <w:tcW w:w="1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540" w:type="dxa"/>
            <w:vAlign w:val="bottom"/>
            <w:vMerge w:val="restart"/>
          </w:tcPr>
          <w:p>
            <w:pPr>
              <w:jc w:val="right"/>
              <w:ind w:right="49"/>
              <w:spacing w:after="0"/>
              <w:rPr>
                <w:sz w:val="20"/>
                <w:szCs w:val="20"/>
                <w:color w:val="auto"/>
              </w:rPr>
            </w:pPr>
            <w:r>
              <w:rPr>
                <w:rFonts w:ascii="Arial" w:cs="Arial" w:eastAsia="Arial" w:hAnsi="Arial"/>
                <w:sz w:val="14"/>
                <w:szCs w:val="14"/>
                <w:color w:val="auto"/>
              </w:rPr>
              <w:t>10</w:t>
            </w:r>
          </w:p>
        </w:tc>
        <w:tc>
          <w:tcPr>
            <w:tcW w:w="260" w:type="dxa"/>
            <w:vAlign w:val="bottom"/>
            <w:gridSpan w:val="2"/>
            <w:vMerge w:val="restart"/>
          </w:tcPr>
          <w:p>
            <w:pPr>
              <w:ind w:left="160"/>
              <w:spacing w:after="0"/>
              <w:rPr>
                <w:sz w:val="20"/>
                <w:szCs w:val="20"/>
                <w:color w:val="auto"/>
              </w:rPr>
            </w:pPr>
            <w:r>
              <w:rPr>
                <w:rFonts w:ascii="Arial" w:cs="Arial" w:eastAsia="Arial" w:hAnsi="Arial"/>
                <w:sz w:val="14"/>
                <w:szCs w:val="14"/>
                <w:color w:val="auto"/>
              </w:rPr>
              <w:t>$</w:t>
            </w:r>
          </w:p>
        </w:tc>
        <w:tc>
          <w:tcPr>
            <w:tcW w:w="800" w:type="dxa"/>
            <w:vAlign w:val="bottom"/>
            <w:vMerge w:val="restart"/>
          </w:tcPr>
          <w:p>
            <w:pPr>
              <w:jc w:val="right"/>
              <w:ind w:right="49"/>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16"/>
                <w:szCs w:val="16"/>
                <w:color w:val="auto"/>
              </w:rPr>
            </w:pPr>
          </w:p>
        </w:tc>
        <w:tc>
          <w:tcPr>
            <w:tcW w:w="1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68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720" w:type="dxa"/>
            <w:vAlign w:val="bottom"/>
            <w:vMerge w:val="restart"/>
          </w:tcPr>
          <w:p>
            <w:pPr>
              <w:jc w:val="right"/>
              <w:ind w:right="70"/>
              <w:spacing w:after="0"/>
              <w:rPr>
                <w:sz w:val="20"/>
                <w:szCs w:val="20"/>
                <w:color w:val="auto"/>
              </w:rPr>
            </w:pPr>
            <w:r>
              <w:rPr>
                <w:rFonts w:ascii="Arial" w:cs="Arial" w:eastAsia="Arial" w:hAnsi="Arial"/>
                <w:sz w:val="14"/>
                <w:szCs w:val="14"/>
                <w:color w:val="auto"/>
              </w:rPr>
              <w:t>147</w:t>
            </w:r>
          </w:p>
        </w:tc>
        <w:tc>
          <w:tcPr>
            <w:tcW w:w="100" w:type="dxa"/>
            <w:vAlign w:val="bottom"/>
          </w:tcPr>
          <w:p>
            <w:pPr>
              <w:spacing w:after="0"/>
              <w:rPr>
                <w:sz w:val="16"/>
                <w:szCs w:val="16"/>
                <w:color w:val="auto"/>
              </w:rPr>
            </w:pPr>
          </w:p>
        </w:tc>
        <w:tc>
          <w:tcPr>
            <w:tcW w:w="1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760" w:type="dxa"/>
            <w:vAlign w:val="bottom"/>
            <w:vMerge w:val="restart"/>
          </w:tcPr>
          <w:p>
            <w:pPr>
              <w:jc w:val="right"/>
              <w:ind w:right="30"/>
              <w:spacing w:after="0"/>
              <w:rPr>
                <w:sz w:val="20"/>
                <w:szCs w:val="20"/>
                <w:color w:val="auto"/>
              </w:rPr>
            </w:pPr>
            <w:r>
              <w:rPr>
                <w:rFonts w:ascii="Arial" w:cs="Arial" w:eastAsia="Arial" w:hAnsi="Arial"/>
                <w:sz w:val="14"/>
                <w:szCs w:val="14"/>
                <w:color w:val="auto"/>
              </w:rPr>
              <w:t>180</w:t>
            </w:r>
          </w:p>
        </w:tc>
        <w:tc>
          <w:tcPr>
            <w:tcW w:w="120" w:type="dxa"/>
            <w:vAlign w:val="bottom"/>
          </w:tcPr>
          <w:p>
            <w:pPr>
              <w:spacing w:after="0"/>
              <w:rPr>
                <w:sz w:val="16"/>
                <w:szCs w:val="16"/>
                <w:color w:val="auto"/>
              </w:rPr>
            </w:pPr>
          </w:p>
        </w:tc>
        <w:tc>
          <w:tcPr>
            <w:tcW w:w="1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520" w:type="dxa"/>
            <w:vAlign w:val="bottom"/>
            <w:vMerge w:val="restart"/>
          </w:tcPr>
          <w:p>
            <w:pPr>
              <w:jc w:val="right"/>
              <w:ind w:right="29"/>
              <w:spacing w:after="0"/>
              <w:rPr>
                <w:sz w:val="20"/>
                <w:szCs w:val="20"/>
                <w:color w:val="auto"/>
              </w:rPr>
            </w:pPr>
            <w:r>
              <w:rPr>
                <w:rFonts w:ascii="Arial" w:cs="Arial" w:eastAsia="Arial" w:hAnsi="Arial"/>
                <w:sz w:val="14"/>
                <w:szCs w:val="14"/>
                <w:color w:val="auto"/>
              </w:rPr>
              <w:t>6</w:t>
            </w:r>
          </w:p>
        </w:tc>
        <w:tc>
          <w:tcPr>
            <w:tcW w:w="220" w:type="dxa"/>
            <w:vAlign w:val="bottom"/>
            <w:gridSpan w:val="2"/>
            <w:vMerge w:val="restart"/>
          </w:tcPr>
          <w:p>
            <w:pPr>
              <w:jc w:val="right"/>
              <w:ind w:right="20"/>
              <w:spacing w:after="0"/>
              <w:rPr>
                <w:sz w:val="20"/>
                <w:szCs w:val="20"/>
                <w:color w:val="auto"/>
              </w:rPr>
            </w:pPr>
            <w:r>
              <w:rPr>
                <w:rFonts w:ascii="Arial" w:cs="Arial" w:eastAsia="Arial" w:hAnsi="Arial"/>
                <w:sz w:val="14"/>
                <w:szCs w:val="14"/>
                <w:color w:val="auto"/>
              </w:rPr>
              <w:t>$</w:t>
            </w:r>
          </w:p>
        </w:tc>
        <w:tc>
          <w:tcPr>
            <w:tcW w:w="780" w:type="dxa"/>
            <w:vAlign w:val="bottom"/>
            <w:vMerge w:val="restart"/>
          </w:tcPr>
          <w:p>
            <w:pPr>
              <w:jc w:val="right"/>
              <w:ind w:right="29"/>
              <w:spacing w:after="0"/>
              <w:rPr>
                <w:sz w:val="20"/>
                <w:szCs w:val="20"/>
                <w:color w:val="auto"/>
              </w:rPr>
            </w:pPr>
            <w:r>
              <w:rPr>
                <w:rFonts w:ascii="Arial" w:cs="Arial" w:eastAsia="Arial" w:hAnsi="Arial"/>
                <w:sz w:val="14"/>
                <w:szCs w:val="14"/>
                <w:color w:val="auto"/>
              </w:rPr>
              <w:t>9</w:t>
            </w:r>
          </w:p>
        </w:tc>
        <w:tc>
          <w:tcPr>
            <w:tcW w:w="100" w:type="dxa"/>
            <w:vAlign w:val="bottom"/>
          </w:tcPr>
          <w:p>
            <w:pPr>
              <w:spacing w:after="0"/>
              <w:rPr>
                <w:sz w:val="16"/>
                <w:szCs w:val="16"/>
                <w:color w:val="auto"/>
              </w:rPr>
            </w:pPr>
          </w:p>
        </w:tc>
        <w:tc>
          <w:tcPr>
            <w:tcW w:w="1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64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680" w:type="dxa"/>
            <w:vAlign w:val="bottom"/>
            <w:vMerge w:val="restart"/>
          </w:tcPr>
          <w:p>
            <w:pPr>
              <w:jc w:val="right"/>
              <w:ind w:right="30"/>
              <w:spacing w:after="0"/>
              <w:rPr>
                <w:sz w:val="20"/>
                <w:szCs w:val="20"/>
                <w:color w:val="auto"/>
              </w:rPr>
            </w:pPr>
            <w:r>
              <w:rPr>
                <w:rFonts w:ascii="Arial" w:cs="Arial" w:eastAsia="Arial" w:hAnsi="Arial"/>
                <w:sz w:val="14"/>
                <w:szCs w:val="14"/>
                <w:color w:val="auto"/>
              </w:rPr>
              <w:t>177</w:t>
            </w:r>
          </w:p>
        </w:tc>
        <w:tc>
          <w:tcPr>
            <w:tcW w:w="0" w:type="dxa"/>
            <w:vAlign w:val="bottom"/>
          </w:tcPr>
          <w:p>
            <w:pPr>
              <w:spacing w:after="0"/>
              <w:rPr>
                <w:sz w:val="1"/>
                <w:szCs w:val="1"/>
                <w:color w:val="auto"/>
              </w:rPr>
            </w:pPr>
          </w:p>
        </w:tc>
      </w:tr>
      <w:tr>
        <w:trPr>
          <w:trHeight w:val="74"/>
        </w:trPr>
        <w:tc>
          <w:tcPr>
            <w:tcW w:w="2420" w:type="dxa"/>
            <w:vAlign w:val="bottom"/>
          </w:tcPr>
          <w:p>
            <w:pPr>
              <w:spacing w:after="0"/>
              <w:rPr>
                <w:sz w:val="6"/>
                <w:szCs w:val="6"/>
                <w:color w:val="auto"/>
              </w:rPr>
            </w:pPr>
          </w:p>
        </w:tc>
        <w:tc>
          <w:tcPr>
            <w:tcW w:w="14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vMerge w:val="continue"/>
          </w:tcPr>
          <w:p>
            <w:pPr>
              <w:spacing w:after="0"/>
              <w:rPr>
                <w:sz w:val="6"/>
                <w:szCs w:val="6"/>
                <w:color w:val="auto"/>
              </w:rPr>
            </w:pPr>
          </w:p>
        </w:tc>
        <w:tc>
          <w:tcPr>
            <w:tcW w:w="540" w:type="dxa"/>
            <w:vAlign w:val="bottom"/>
            <w:vMerge w:val="continue"/>
          </w:tcPr>
          <w:p>
            <w:pPr>
              <w:spacing w:after="0"/>
              <w:rPr>
                <w:sz w:val="6"/>
                <w:szCs w:val="6"/>
                <w:color w:val="auto"/>
              </w:rPr>
            </w:pPr>
          </w:p>
        </w:tc>
        <w:tc>
          <w:tcPr>
            <w:tcW w:w="260" w:type="dxa"/>
            <w:vAlign w:val="bottom"/>
            <w:gridSpan w:val="2"/>
            <w:vMerge w:val="continue"/>
          </w:tcPr>
          <w:p>
            <w:pPr>
              <w:spacing w:after="0"/>
              <w:rPr>
                <w:sz w:val="6"/>
                <w:szCs w:val="6"/>
                <w:color w:val="auto"/>
              </w:rPr>
            </w:pPr>
          </w:p>
        </w:tc>
        <w:tc>
          <w:tcPr>
            <w:tcW w:w="8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vMerge w:val="continue"/>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12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vMerge w:val="continue"/>
          </w:tcPr>
          <w:p>
            <w:pPr>
              <w:spacing w:after="0"/>
              <w:rPr>
                <w:sz w:val="6"/>
                <w:szCs w:val="6"/>
                <w:color w:val="auto"/>
              </w:rPr>
            </w:pPr>
          </w:p>
        </w:tc>
        <w:tc>
          <w:tcPr>
            <w:tcW w:w="520" w:type="dxa"/>
            <w:vAlign w:val="bottom"/>
            <w:vMerge w:val="continue"/>
          </w:tcPr>
          <w:p>
            <w:pPr>
              <w:spacing w:after="0"/>
              <w:rPr>
                <w:sz w:val="6"/>
                <w:szCs w:val="6"/>
                <w:color w:val="auto"/>
              </w:rPr>
            </w:pPr>
          </w:p>
        </w:tc>
        <w:tc>
          <w:tcPr>
            <w:tcW w:w="220" w:type="dxa"/>
            <w:vAlign w:val="bottom"/>
            <w:gridSpan w:val="2"/>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vMerge w:val="continue"/>
          </w:tcPr>
          <w:p>
            <w:pPr>
              <w:spacing w:after="0"/>
              <w:rPr>
                <w:sz w:val="6"/>
                <w:szCs w:val="6"/>
                <w:color w:val="auto"/>
              </w:rPr>
            </w:pPr>
          </w:p>
        </w:tc>
        <w:tc>
          <w:tcPr>
            <w:tcW w:w="640" w:type="dxa"/>
            <w:vAlign w:val="bottom"/>
            <w:gridSpan w:val="2"/>
            <w:vMerge w:val="continue"/>
          </w:tcPr>
          <w:p>
            <w:pPr>
              <w:spacing w:after="0"/>
              <w:rPr>
                <w:sz w:val="6"/>
                <w:szCs w:val="6"/>
                <w:color w:val="auto"/>
              </w:rPr>
            </w:pPr>
          </w:p>
        </w:tc>
        <w:tc>
          <w:tcPr>
            <w:tcW w:w="100" w:type="dxa"/>
            <w:vAlign w:val="bottom"/>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420" w:type="dxa"/>
            <w:vAlign w:val="bottom"/>
            <w:shd w:val="clear" w:color="auto" w:fill="CCEEFF"/>
          </w:tcPr>
          <w:p>
            <w:pPr>
              <w:ind w:left="40"/>
              <w:spacing w:after="0"/>
              <w:rPr>
                <w:sz w:val="20"/>
                <w:szCs w:val="20"/>
                <w:color w:val="auto"/>
              </w:rPr>
            </w:pPr>
            <w:r>
              <w:rPr>
                <w:rFonts w:ascii="Arial" w:cs="Arial" w:eastAsia="Arial" w:hAnsi="Arial"/>
                <w:sz w:val="14"/>
                <w:szCs w:val="14"/>
                <w:color w:val="auto"/>
              </w:rPr>
              <w:t>Common stock</w:t>
            </w:r>
          </w:p>
        </w:tc>
        <w:tc>
          <w:tcPr>
            <w:tcW w:w="140" w:type="dxa"/>
            <w:vAlign w:val="bottom"/>
            <w:shd w:val="clear" w:color="auto" w:fill="CCEEFF"/>
          </w:tcPr>
          <w:p>
            <w:pPr>
              <w:spacing w:after="0"/>
              <w:rPr>
                <w:sz w:val="17"/>
                <w:szCs w:val="17"/>
                <w:color w:val="auto"/>
              </w:rPr>
            </w:pPr>
          </w:p>
        </w:tc>
        <w:tc>
          <w:tcPr>
            <w:tcW w:w="780" w:type="dxa"/>
            <w:vAlign w:val="bottom"/>
            <w:vMerge w:val="restart"/>
            <w:shd w:val="clear" w:color="auto" w:fill="CCEEFF"/>
          </w:tcPr>
          <w:p>
            <w:pPr>
              <w:jc w:val="right"/>
              <w:ind w:right="50"/>
              <w:spacing w:after="0"/>
              <w:rPr>
                <w:sz w:val="20"/>
                <w:szCs w:val="20"/>
                <w:color w:val="auto"/>
              </w:rPr>
            </w:pPr>
            <w:r>
              <w:rPr>
                <w:rFonts w:ascii="Arial" w:cs="Arial" w:eastAsia="Arial" w:hAnsi="Arial"/>
                <w:sz w:val="14"/>
                <w:szCs w:val="14"/>
                <w:color w:val="auto"/>
              </w:rPr>
              <w:t>96</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40" w:type="dxa"/>
            <w:vAlign w:val="bottom"/>
            <w:vMerge w:val="restart"/>
            <w:shd w:val="clear" w:color="auto" w:fill="CCEEFF"/>
          </w:tcPr>
          <w:p>
            <w:pPr>
              <w:jc w:val="right"/>
              <w:ind w:right="49"/>
              <w:spacing w:after="0"/>
              <w:rPr>
                <w:sz w:val="20"/>
                <w:szCs w:val="20"/>
                <w:color w:val="auto"/>
              </w:rPr>
            </w:pPr>
            <w:r>
              <w:rPr>
                <w:rFonts w:ascii="Arial" w:cs="Arial" w:eastAsia="Arial" w:hAnsi="Arial"/>
                <w:sz w:val="14"/>
                <w:szCs w:val="14"/>
                <w:color w:val="auto"/>
              </w:rPr>
              <w:t>22</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vMerge w:val="restart"/>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120" w:type="dxa"/>
            <w:vAlign w:val="bottom"/>
            <w:vMerge w:val="restart"/>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vMerge w:val="restart"/>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120" w:type="dxa"/>
            <w:vAlign w:val="bottom"/>
            <w:vMerge w:val="restart"/>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vMerge w:val="restart"/>
            <w:shd w:val="clear" w:color="auto" w:fill="CCEEFF"/>
          </w:tcPr>
          <w:p>
            <w:pPr>
              <w:jc w:val="right"/>
              <w:ind w:right="70"/>
              <w:spacing w:after="0"/>
              <w:rPr>
                <w:sz w:val="20"/>
                <w:szCs w:val="20"/>
                <w:color w:val="auto"/>
              </w:rPr>
            </w:pPr>
            <w:r>
              <w:rPr>
                <w:rFonts w:ascii="Arial" w:cs="Arial" w:eastAsia="Arial" w:hAnsi="Arial"/>
                <w:sz w:val="14"/>
                <w:szCs w:val="14"/>
                <w:color w:val="auto"/>
              </w:rPr>
              <w:t>118</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vMerge w:val="restart"/>
            <w:shd w:val="clear" w:color="auto" w:fill="CCEEFF"/>
          </w:tcPr>
          <w:p>
            <w:pPr>
              <w:jc w:val="right"/>
              <w:ind w:right="30"/>
              <w:spacing w:after="0"/>
              <w:rPr>
                <w:sz w:val="20"/>
                <w:szCs w:val="20"/>
                <w:color w:val="auto"/>
              </w:rPr>
            </w:pPr>
            <w:r>
              <w:rPr>
                <w:rFonts w:ascii="Arial" w:cs="Arial" w:eastAsia="Arial" w:hAnsi="Arial"/>
                <w:sz w:val="14"/>
                <w:szCs w:val="14"/>
                <w:color w:val="auto"/>
              </w:rPr>
              <w:t>100</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23</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100" w:type="dxa"/>
            <w:vAlign w:val="bottom"/>
            <w:vMerge w:val="restart"/>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120" w:type="dxa"/>
            <w:vAlign w:val="bottom"/>
            <w:vMerge w:val="restart"/>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vMerge w:val="restart"/>
            <w:shd w:val="clear" w:color="auto" w:fill="CCEEFF"/>
          </w:tcPr>
          <w:p>
            <w:pPr>
              <w:jc w:val="right"/>
              <w:ind w:right="30"/>
              <w:spacing w:after="0"/>
              <w:rPr>
                <w:sz w:val="20"/>
                <w:szCs w:val="20"/>
                <w:color w:val="auto"/>
              </w:rPr>
            </w:pPr>
            <w:r>
              <w:rPr>
                <w:rFonts w:ascii="Arial" w:cs="Arial" w:eastAsia="Arial" w:hAnsi="Arial"/>
                <w:sz w:val="14"/>
                <w:szCs w:val="14"/>
                <w:color w:val="auto"/>
              </w:rPr>
              <w:t>123</w:t>
            </w:r>
          </w:p>
        </w:tc>
        <w:tc>
          <w:tcPr>
            <w:tcW w:w="0" w:type="dxa"/>
            <w:vAlign w:val="bottom"/>
          </w:tcPr>
          <w:p>
            <w:pPr>
              <w:spacing w:after="0"/>
              <w:rPr>
                <w:sz w:val="1"/>
                <w:szCs w:val="1"/>
                <w:color w:val="auto"/>
              </w:rPr>
            </w:pPr>
          </w:p>
        </w:tc>
      </w:tr>
      <w:tr>
        <w:trPr>
          <w:trHeight w:val="80"/>
        </w:trPr>
        <w:tc>
          <w:tcPr>
            <w:tcW w:w="2420" w:type="dxa"/>
            <w:vAlign w:val="bottom"/>
            <w:shd w:val="clear" w:color="auto" w:fill="CCEEFF"/>
          </w:tcPr>
          <w:p>
            <w:pPr>
              <w:spacing w:after="0"/>
              <w:rPr>
                <w:sz w:val="6"/>
                <w:szCs w:val="6"/>
                <w:color w:val="auto"/>
              </w:rPr>
            </w:pPr>
          </w:p>
        </w:tc>
        <w:tc>
          <w:tcPr>
            <w:tcW w:w="140" w:type="dxa"/>
            <w:vAlign w:val="bottom"/>
            <w:tcBorders>
              <w:bottom w:val="single" w:sz="8" w:color="auto"/>
            </w:tcBorders>
            <w:shd w:val="clear" w:color="auto" w:fill="CCEEFF"/>
          </w:tcPr>
          <w:p>
            <w:pPr>
              <w:spacing w:after="0"/>
              <w:rPr>
                <w:sz w:val="6"/>
                <w:szCs w:val="6"/>
                <w:color w:val="auto"/>
              </w:rPr>
            </w:pPr>
          </w:p>
        </w:tc>
        <w:tc>
          <w:tcPr>
            <w:tcW w:w="78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60" w:type="dxa"/>
            <w:vAlign w:val="bottom"/>
            <w:tcBorders>
              <w:bottom w:val="single" w:sz="8" w:color="auto"/>
            </w:tcBorders>
            <w:shd w:val="clear" w:color="auto" w:fill="CCEEFF"/>
          </w:tcPr>
          <w:p>
            <w:pPr>
              <w:spacing w:after="0"/>
              <w:rPr>
                <w:sz w:val="6"/>
                <w:szCs w:val="6"/>
                <w:color w:val="auto"/>
              </w:rPr>
            </w:pPr>
          </w:p>
        </w:tc>
        <w:tc>
          <w:tcPr>
            <w:tcW w:w="54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tcBorders>
              <w:bottom w:val="single" w:sz="8" w:color="auto"/>
            </w:tcBorders>
            <w:shd w:val="clear" w:color="auto" w:fill="CCEEFF"/>
          </w:tcPr>
          <w:p>
            <w:pPr>
              <w:spacing w:after="0"/>
              <w:rPr>
                <w:sz w:val="6"/>
                <w:szCs w:val="6"/>
                <w:color w:val="auto"/>
              </w:rPr>
            </w:pPr>
          </w:p>
        </w:tc>
        <w:tc>
          <w:tcPr>
            <w:tcW w:w="80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vMerge w:val="continue"/>
            <w:shd w:val="clear" w:color="auto" w:fill="CCEEFF"/>
          </w:tcPr>
          <w:p>
            <w:pPr>
              <w:spacing w:after="0"/>
              <w:rPr>
                <w:sz w:val="6"/>
                <w:szCs w:val="6"/>
                <w:color w:val="auto"/>
              </w:rPr>
            </w:pPr>
          </w:p>
        </w:tc>
        <w:tc>
          <w:tcPr>
            <w:tcW w:w="140" w:type="dxa"/>
            <w:vAlign w:val="bottom"/>
            <w:tcBorders>
              <w:bottom w:val="single" w:sz="8" w:color="auto"/>
            </w:tcBorders>
            <w:shd w:val="clear" w:color="auto" w:fill="CCEEFF"/>
          </w:tcPr>
          <w:p>
            <w:pPr>
              <w:spacing w:after="0"/>
              <w:rPr>
                <w:sz w:val="6"/>
                <w:szCs w:val="6"/>
                <w:color w:val="auto"/>
              </w:rPr>
            </w:pPr>
          </w:p>
        </w:tc>
        <w:tc>
          <w:tcPr>
            <w:tcW w:w="56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vMerge w:val="continue"/>
            <w:shd w:val="clear" w:color="auto" w:fill="CCEEFF"/>
          </w:tcPr>
          <w:p>
            <w:pPr>
              <w:spacing w:after="0"/>
              <w:rPr>
                <w:sz w:val="6"/>
                <w:szCs w:val="6"/>
                <w:color w:val="auto"/>
              </w:rPr>
            </w:pPr>
          </w:p>
        </w:tc>
        <w:tc>
          <w:tcPr>
            <w:tcW w:w="120" w:type="dxa"/>
            <w:vAlign w:val="bottom"/>
            <w:tcBorders>
              <w:bottom w:val="single" w:sz="8" w:color="auto"/>
            </w:tcBorders>
            <w:shd w:val="clear" w:color="auto" w:fill="CCEEFF"/>
          </w:tcPr>
          <w:p>
            <w:pPr>
              <w:spacing w:after="0"/>
              <w:rPr>
                <w:sz w:val="6"/>
                <w:szCs w:val="6"/>
                <w:color w:val="auto"/>
              </w:rPr>
            </w:pPr>
          </w:p>
        </w:tc>
        <w:tc>
          <w:tcPr>
            <w:tcW w:w="72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tcBorders>
              <w:bottom w:val="single" w:sz="8" w:color="auto"/>
            </w:tcBorders>
            <w:shd w:val="clear" w:color="auto" w:fill="CCEEFF"/>
          </w:tcPr>
          <w:p>
            <w:pPr>
              <w:spacing w:after="0"/>
              <w:rPr>
                <w:sz w:val="6"/>
                <w:szCs w:val="6"/>
                <w:color w:val="auto"/>
              </w:rPr>
            </w:pPr>
          </w:p>
        </w:tc>
        <w:tc>
          <w:tcPr>
            <w:tcW w:w="76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tcBorders>
              <w:bottom w:val="single" w:sz="8" w:color="auto"/>
            </w:tcBorders>
            <w:shd w:val="clear" w:color="auto" w:fill="CCEEFF"/>
          </w:tcPr>
          <w:p>
            <w:pPr>
              <w:spacing w:after="0"/>
              <w:rPr>
                <w:sz w:val="6"/>
                <w:szCs w:val="6"/>
                <w:color w:val="auto"/>
              </w:rPr>
            </w:pPr>
          </w:p>
        </w:tc>
        <w:tc>
          <w:tcPr>
            <w:tcW w:w="52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tcBorders>
              <w:bottom w:val="single" w:sz="8" w:color="auto"/>
            </w:tcBorders>
            <w:shd w:val="clear" w:color="auto" w:fill="CCEEFF"/>
          </w:tcPr>
          <w:p>
            <w:pPr>
              <w:spacing w:after="0"/>
              <w:rPr>
                <w:sz w:val="6"/>
                <w:szCs w:val="6"/>
                <w:color w:val="auto"/>
              </w:rPr>
            </w:pPr>
          </w:p>
        </w:tc>
        <w:tc>
          <w:tcPr>
            <w:tcW w:w="78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vMerge w:val="continue"/>
            <w:shd w:val="clear" w:color="auto" w:fill="CCEEFF"/>
          </w:tcPr>
          <w:p>
            <w:pPr>
              <w:spacing w:after="0"/>
              <w:rPr>
                <w:sz w:val="6"/>
                <w:szCs w:val="6"/>
                <w:color w:val="auto"/>
              </w:rPr>
            </w:pPr>
          </w:p>
        </w:tc>
        <w:tc>
          <w:tcPr>
            <w:tcW w:w="140" w:type="dxa"/>
            <w:vAlign w:val="bottom"/>
            <w:tcBorders>
              <w:bottom w:val="single" w:sz="8" w:color="auto"/>
            </w:tcBorders>
            <w:shd w:val="clear" w:color="auto" w:fill="CCEEFF"/>
          </w:tcPr>
          <w:p>
            <w:pPr>
              <w:spacing w:after="0"/>
              <w:rPr>
                <w:sz w:val="6"/>
                <w:szCs w:val="6"/>
                <w:color w:val="auto"/>
              </w:rPr>
            </w:pPr>
          </w:p>
        </w:tc>
        <w:tc>
          <w:tcPr>
            <w:tcW w:w="52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vMerge w:val="continue"/>
            <w:shd w:val="clear" w:color="auto" w:fill="CCEEFF"/>
          </w:tcPr>
          <w:p>
            <w:pPr>
              <w:spacing w:after="0"/>
              <w:rPr>
                <w:sz w:val="6"/>
                <w:szCs w:val="6"/>
                <w:color w:val="auto"/>
              </w:rPr>
            </w:pPr>
          </w:p>
        </w:tc>
        <w:tc>
          <w:tcPr>
            <w:tcW w:w="100" w:type="dxa"/>
            <w:vAlign w:val="bottom"/>
            <w:tcBorders>
              <w:bottom w:val="single" w:sz="8" w:color="auto"/>
            </w:tcBorders>
            <w:shd w:val="clear" w:color="auto" w:fill="CCEEFF"/>
          </w:tcPr>
          <w:p>
            <w:pPr>
              <w:spacing w:after="0"/>
              <w:rPr>
                <w:sz w:val="6"/>
                <w:szCs w:val="6"/>
                <w:color w:val="auto"/>
              </w:rPr>
            </w:pPr>
          </w:p>
        </w:tc>
        <w:tc>
          <w:tcPr>
            <w:tcW w:w="680" w:type="dxa"/>
            <w:vAlign w:val="bottom"/>
            <w:tcBorders>
              <w:bottom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03"/>
        </w:trPr>
        <w:tc>
          <w:tcPr>
            <w:tcW w:w="2420" w:type="dxa"/>
            <w:vAlign w:val="bottom"/>
          </w:tcPr>
          <w:p>
            <w:pPr>
              <w:ind w:left="200"/>
              <w:spacing w:after="0"/>
              <w:rPr>
                <w:sz w:val="20"/>
                <w:szCs w:val="20"/>
                <w:color w:val="auto"/>
              </w:rPr>
            </w:pPr>
            <w:r>
              <w:rPr>
                <w:rFonts w:ascii="Arial" w:cs="Arial" w:eastAsia="Arial" w:hAnsi="Arial"/>
                <w:sz w:val="14"/>
                <w:szCs w:val="14"/>
                <w:color w:val="auto"/>
              </w:rPr>
              <w:t>Total equity securities</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50"/>
              <w:spacing w:after="0"/>
              <w:rPr>
                <w:sz w:val="20"/>
                <w:szCs w:val="20"/>
                <w:color w:val="auto"/>
              </w:rPr>
            </w:pPr>
            <w:r>
              <w:rPr>
                <w:rFonts w:ascii="Arial" w:cs="Arial" w:eastAsia="Arial" w:hAnsi="Arial"/>
                <w:sz w:val="14"/>
                <w:szCs w:val="14"/>
                <w:color w:val="auto"/>
              </w:rPr>
              <w:t>234</w:t>
            </w:r>
          </w:p>
        </w:tc>
        <w:tc>
          <w:tcPr>
            <w:tcW w:w="12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540" w:type="dxa"/>
            <w:vAlign w:val="bottom"/>
          </w:tcPr>
          <w:p>
            <w:pPr>
              <w:jc w:val="right"/>
              <w:ind w:right="49"/>
              <w:spacing w:after="0"/>
              <w:rPr>
                <w:sz w:val="20"/>
                <w:szCs w:val="20"/>
                <w:color w:val="auto"/>
              </w:rPr>
            </w:pPr>
            <w:r>
              <w:rPr>
                <w:rFonts w:ascii="Arial" w:cs="Arial" w:eastAsia="Arial" w:hAnsi="Arial"/>
                <w:sz w:val="14"/>
                <w:szCs w:val="14"/>
                <w:color w:val="auto"/>
              </w:rPr>
              <w:t>32</w:t>
            </w:r>
          </w:p>
        </w:tc>
        <w:tc>
          <w:tcPr>
            <w:tcW w:w="260" w:type="dxa"/>
            <w:vAlign w:val="bottom"/>
            <w:gridSpan w:val="2"/>
          </w:tcPr>
          <w:p>
            <w:pPr>
              <w:ind w:left="160"/>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49"/>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70"/>
              <w:spacing w:after="0"/>
              <w:rPr>
                <w:sz w:val="20"/>
                <w:szCs w:val="20"/>
                <w:color w:val="auto"/>
              </w:rPr>
            </w:pPr>
            <w:r>
              <w:rPr>
                <w:rFonts w:ascii="Arial" w:cs="Arial" w:eastAsia="Arial" w:hAnsi="Arial"/>
                <w:sz w:val="14"/>
                <w:szCs w:val="14"/>
                <w:color w:val="auto"/>
              </w:rPr>
              <w:t>265</w:t>
            </w:r>
          </w:p>
        </w:tc>
        <w:tc>
          <w:tcPr>
            <w:tcW w:w="1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30"/>
              <w:spacing w:after="0"/>
              <w:rPr>
                <w:sz w:val="20"/>
                <w:szCs w:val="20"/>
                <w:color w:val="auto"/>
              </w:rPr>
            </w:pPr>
            <w:r>
              <w:rPr>
                <w:rFonts w:ascii="Arial" w:cs="Arial" w:eastAsia="Arial" w:hAnsi="Arial"/>
                <w:sz w:val="14"/>
                <w:szCs w:val="14"/>
                <w:color w:val="auto"/>
              </w:rPr>
              <w:t>280</w:t>
            </w:r>
          </w:p>
        </w:tc>
        <w:tc>
          <w:tcPr>
            <w:tcW w:w="12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520" w:type="dxa"/>
            <w:vAlign w:val="bottom"/>
          </w:tcPr>
          <w:p>
            <w:pPr>
              <w:jc w:val="right"/>
              <w:ind w:right="29"/>
              <w:spacing w:after="0"/>
              <w:rPr>
                <w:sz w:val="20"/>
                <w:szCs w:val="20"/>
                <w:color w:val="auto"/>
              </w:rPr>
            </w:pPr>
            <w:r>
              <w:rPr>
                <w:rFonts w:ascii="Arial" w:cs="Arial" w:eastAsia="Arial" w:hAnsi="Arial"/>
                <w:sz w:val="14"/>
                <w:szCs w:val="14"/>
                <w:color w:val="auto"/>
              </w:rPr>
              <w:t>29</w:t>
            </w:r>
          </w:p>
        </w:tc>
        <w:tc>
          <w:tcPr>
            <w:tcW w:w="22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29"/>
              <w:spacing w:after="0"/>
              <w:rPr>
                <w:sz w:val="20"/>
                <w:szCs w:val="20"/>
                <w:color w:val="auto"/>
              </w:rPr>
            </w:pPr>
            <w:r>
              <w:rPr>
                <w:rFonts w:ascii="Arial" w:cs="Arial" w:eastAsia="Arial" w:hAnsi="Arial"/>
                <w:sz w:val="14"/>
                <w:szCs w:val="14"/>
                <w:color w:val="auto"/>
              </w:rPr>
              <w:t>9</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6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30"/>
              <w:spacing w:after="0"/>
              <w:rPr>
                <w:sz w:val="20"/>
                <w:szCs w:val="20"/>
                <w:color w:val="auto"/>
              </w:rPr>
            </w:pPr>
            <w:r>
              <w:rPr>
                <w:rFonts w:ascii="Arial" w:cs="Arial" w:eastAsia="Arial" w:hAnsi="Arial"/>
                <w:sz w:val="14"/>
                <w:szCs w:val="14"/>
                <w:color w:val="auto"/>
              </w:rPr>
              <w:t>300</w:t>
            </w:r>
          </w:p>
        </w:tc>
        <w:tc>
          <w:tcPr>
            <w:tcW w:w="0" w:type="dxa"/>
            <w:vAlign w:val="bottom"/>
          </w:tcPr>
          <w:p>
            <w:pPr>
              <w:spacing w:after="0"/>
              <w:rPr>
                <w:sz w:val="1"/>
                <w:szCs w:val="1"/>
                <w:color w:val="auto"/>
              </w:rPr>
            </w:pPr>
          </w:p>
        </w:tc>
      </w:tr>
      <w:tr>
        <w:trPr>
          <w:trHeight w:val="20"/>
        </w:trPr>
        <w:tc>
          <w:tcPr>
            <w:tcW w:w="2420" w:type="dxa"/>
            <w:vAlign w:val="bottom"/>
            <w:vMerge w:val="restart"/>
          </w:tcPr>
          <w:p>
            <w:pPr>
              <w:spacing w:after="0"/>
              <w:rPr>
                <w:sz w:val="20"/>
                <w:szCs w:val="20"/>
                <w:color w:val="auto"/>
              </w:rPr>
            </w:pPr>
            <w:r>
              <w:rPr>
                <w:rFonts w:ascii="Arial" w:cs="Arial" w:eastAsia="Arial" w:hAnsi="Arial"/>
                <w:sz w:val="14"/>
                <w:szCs w:val="14"/>
                <w:color w:val="auto"/>
              </w:rPr>
              <w:t>__________________</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242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2" w:lineRule="exact"/>
        <w:rPr>
          <w:sz w:val="20"/>
          <w:szCs w:val="20"/>
          <w:color w:val="auto"/>
        </w:rPr>
      </w:pPr>
    </w:p>
    <w:p>
      <w:pPr>
        <w:ind w:left="500" w:hanging="492"/>
        <w:spacing w:after="0" w:line="342" w:lineRule="auto"/>
        <w:tabs>
          <w:tab w:leader="none" w:pos="500" w:val="left"/>
        </w:tabs>
        <w:numPr>
          <w:ilvl w:val="0"/>
          <w:numId w:val="9"/>
        </w:numPr>
        <w:rPr>
          <w:rFonts w:ascii="Arial" w:cs="Arial" w:eastAsia="Arial" w:hAnsi="Arial"/>
          <w:sz w:val="16"/>
          <w:szCs w:val="16"/>
          <w:color w:val="auto"/>
        </w:rPr>
      </w:pPr>
      <w:r>
        <w:rPr>
          <w:rFonts w:ascii="Arial" w:cs="Arial" w:eastAsia="Arial" w:hAnsi="Arial"/>
          <w:sz w:val="16"/>
          <w:szCs w:val="16"/>
          <w:color w:val="auto"/>
        </w:rPr>
        <w:t>Noncredit OTTI losses included in accumulated other comprehensive income (“AOCI”) in an unrealized gain position are due to increases in estimated fair value subsequent to initial recognition of noncredit losses on such securities. See also “— Net Unrealized Investment Gains (Losses).”</w:t>
      </w:r>
    </w:p>
    <w:p>
      <w:pPr>
        <w:spacing w:after="0" w:line="16" w:lineRule="exact"/>
        <w:rPr>
          <w:sz w:val="20"/>
          <w:szCs w:val="20"/>
          <w:color w:val="auto"/>
        </w:rPr>
      </w:pPr>
    </w:p>
    <w:p>
      <w:pPr>
        <w:ind w:left="180" w:right="20" w:firstLine="324"/>
        <w:spacing w:after="0" w:line="277" w:lineRule="auto"/>
        <w:rPr>
          <w:sz w:val="20"/>
          <w:szCs w:val="20"/>
          <w:color w:val="auto"/>
        </w:rPr>
      </w:pPr>
      <w:r>
        <w:rPr>
          <w:rFonts w:ascii="Arial" w:cs="Arial" w:eastAsia="Arial" w:hAnsi="Arial"/>
          <w:sz w:val="18"/>
          <w:szCs w:val="18"/>
          <w:color w:val="auto"/>
        </w:rPr>
        <w:t>The Company held non-income producing fixed maturity securities with an estimated fair value of $3 million and $5 million with unrealized gains (losses) of ($1) million and less than $1 million at September 30, 2017 and December 31, 2016, respectively.</w:t>
      </w:r>
    </w:p>
    <w:p>
      <w:pPr>
        <w:spacing w:after="0" w:line="62"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Maturities of Fixed Maturity Securities</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7"/>
          <w:szCs w:val="17"/>
          <w:color w:val="auto"/>
        </w:rPr>
        <w:t>The amortized cost and estimated fair value of fixed maturity securities, by contractual maturity date, were as follows at September 30, 2017:</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vMerge w:val="restart"/>
          </w:tcPr>
          <w:p>
            <w:pPr>
              <w:jc w:val="right"/>
              <w:ind w:right="223"/>
              <w:spacing w:after="0"/>
              <w:rPr>
                <w:sz w:val="20"/>
                <w:szCs w:val="20"/>
                <w:color w:val="auto"/>
              </w:rPr>
            </w:pPr>
            <w:r>
              <w:rPr>
                <w:rFonts w:ascii="Arial" w:cs="Arial" w:eastAsia="Arial" w:hAnsi="Arial"/>
                <w:sz w:val="14"/>
                <w:szCs w:val="14"/>
                <w:b w:val="1"/>
                <w:bCs w:val="1"/>
                <w:color w:val="auto"/>
              </w:rPr>
              <w:t>Due in One</w:t>
            </w:r>
          </w:p>
        </w:tc>
        <w:tc>
          <w:tcPr>
            <w:tcW w:w="260" w:type="dxa"/>
            <w:vAlign w:val="bottom"/>
          </w:tcPr>
          <w:p>
            <w:pPr>
              <w:spacing w:after="0"/>
              <w:rPr>
                <w:sz w:val="14"/>
                <w:szCs w:val="14"/>
                <w:color w:val="auto"/>
              </w:rPr>
            </w:pPr>
          </w:p>
        </w:tc>
        <w:tc>
          <w:tcPr>
            <w:tcW w:w="1140" w:type="dxa"/>
            <w:vAlign w:val="bottom"/>
          </w:tcPr>
          <w:p>
            <w:pPr>
              <w:jc w:val="center"/>
              <w:ind w:right="84"/>
              <w:spacing w:after="0"/>
              <w:rPr>
                <w:sz w:val="20"/>
                <w:szCs w:val="20"/>
                <w:color w:val="auto"/>
              </w:rPr>
            </w:pPr>
            <w:r>
              <w:rPr>
                <w:rFonts w:ascii="Arial" w:cs="Arial" w:eastAsia="Arial" w:hAnsi="Arial"/>
                <w:sz w:val="14"/>
                <w:szCs w:val="14"/>
                <w:b w:val="1"/>
                <w:bCs w:val="1"/>
                <w:color w:val="auto"/>
                <w:w w:val="95"/>
              </w:rPr>
              <w:t>Due After One</w:t>
            </w:r>
          </w:p>
        </w:tc>
        <w:tc>
          <w:tcPr>
            <w:tcW w:w="240" w:type="dxa"/>
            <w:vAlign w:val="bottom"/>
          </w:tcPr>
          <w:p>
            <w:pPr>
              <w:spacing w:after="0"/>
              <w:rPr>
                <w:sz w:val="14"/>
                <w:szCs w:val="14"/>
                <w:color w:val="auto"/>
              </w:rPr>
            </w:pPr>
          </w:p>
        </w:tc>
        <w:tc>
          <w:tcPr>
            <w:tcW w:w="1160" w:type="dxa"/>
            <w:vAlign w:val="bottom"/>
          </w:tcPr>
          <w:p>
            <w:pPr>
              <w:jc w:val="right"/>
              <w:ind w:right="144"/>
              <w:spacing w:after="0"/>
              <w:rPr>
                <w:sz w:val="20"/>
                <w:szCs w:val="20"/>
                <w:color w:val="auto"/>
              </w:rPr>
            </w:pPr>
            <w:r>
              <w:rPr>
                <w:rFonts w:ascii="Arial" w:cs="Arial" w:eastAsia="Arial" w:hAnsi="Arial"/>
                <w:sz w:val="14"/>
                <w:szCs w:val="14"/>
                <w:b w:val="1"/>
                <w:bCs w:val="1"/>
                <w:color w:val="auto"/>
                <w:w w:val="96"/>
              </w:rPr>
              <w:t>Due After Five</w:t>
            </w:r>
          </w:p>
        </w:tc>
        <w:tc>
          <w:tcPr>
            <w:tcW w:w="200" w:type="dxa"/>
            <w:vAlign w:val="bottom"/>
          </w:tcPr>
          <w:p>
            <w:pPr>
              <w:spacing w:after="0"/>
              <w:rPr>
                <w:sz w:val="14"/>
                <w:szCs w:val="14"/>
                <w:color w:val="auto"/>
              </w:rPr>
            </w:pPr>
          </w:p>
        </w:tc>
        <w:tc>
          <w:tcPr>
            <w:tcW w:w="1120" w:type="dxa"/>
            <w:vAlign w:val="bottom"/>
            <w:vMerge w:val="restart"/>
          </w:tcPr>
          <w:p>
            <w:pPr>
              <w:jc w:val="right"/>
              <w:ind w:right="123"/>
              <w:spacing w:after="0"/>
              <w:rPr>
                <w:sz w:val="20"/>
                <w:szCs w:val="20"/>
                <w:color w:val="auto"/>
              </w:rPr>
            </w:pPr>
            <w:r>
              <w:rPr>
                <w:rFonts w:ascii="Arial" w:cs="Arial" w:eastAsia="Arial" w:hAnsi="Arial"/>
                <w:sz w:val="14"/>
                <w:szCs w:val="14"/>
                <w:b w:val="1"/>
                <w:bCs w:val="1"/>
                <w:color w:val="auto"/>
                <w:w w:val="98"/>
              </w:rPr>
              <w:t>Due After Ten</w:t>
            </w:r>
          </w:p>
        </w:tc>
        <w:tc>
          <w:tcPr>
            <w:tcW w:w="280" w:type="dxa"/>
            <w:vAlign w:val="bottom"/>
          </w:tcPr>
          <w:p>
            <w:pPr>
              <w:spacing w:after="0"/>
              <w:rPr>
                <w:sz w:val="14"/>
                <w:szCs w:val="14"/>
                <w:color w:val="auto"/>
              </w:rPr>
            </w:pPr>
          </w:p>
        </w:tc>
        <w:tc>
          <w:tcPr>
            <w:tcW w:w="1060" w:type="dxa"/>
            <w:vAlign w:val="bottom"/>
            <w:vMerge w:val="restart"/>
          </w:tcPr>
          <w:p>
            <w:pPr>
              <w:jc w:val="right"/>
              <w:ind w:right="223"/>
              <w:spacing w:after="0"/>
              <w:rPr>
                <w:sz w:val="20"/>
                <w:szCs w:val="20"/>
                <w:color w:val="auto"/>
              </w:rPr>
            </w:pPr>
            <w:r>
              <w:rPr>
                <w:rFonts w:ascii="Arial" w:cs="Arial" w:eastAsia="Arial" w:hAnsi="Arial"/>
                <w:sz w:val="14"/>
                <w:szCs w:val="14"/>
                <w:b w:val="1"/>
                <w:bCs w:val="1"/>
                <w:color w:val="auto"/>
              </w:rPr>
              <w:t>Structured</w:t>
            </w:r>
          </w:p>
        </w:tc>
        <w:tc>
          <w:tcPr>
            <w:tcW w:w="280" w:type="dxa"/>
            <w:vAlign w:val="bottom"/>
          </w:tcPr>
          <w:p>
            <w:pPr>
              <w:spacing w:after="0"/>
              <w:rPr>
                <w:sz w:val="14"/>
                <w:szCs w:val="14"/>
                <w:color w:val="auto"/>
              </w:rPr>
            </w:pPr>
          </w:p>
        </w:tc>
        <w:tc>
          <w:tcPr>
            <w:tcW w:w="1060" w:type="dxa"/>
            <w:vAlign w:val="bottom"/>
          </w:tcPr>
          <w:p>
            <w:pPr>
              <w:jc w:val="center"/>
              <w:ind w:right="104"/>
              <w:spacing w:after="0"/>
              <w:rPr>
                <w:sz w:val="20"/>
                <w:szCs w:val="20"/>
                <w:color w:val="auto"/>
              </w:rPr>
            </w:pPr>
            <w:r>
              <w:rPr>
                <w:rFonts w:ascii="Arial" w:cs="Arial" w:eastAsia="Arial" w:hAnsi="Arial"/>
                <w:sz w:val="14"/>
                <w:szCs w:val="14"/>
                <w:b w:val="1"/>
                <w:bCs w:val="1"/>
                <w:color w:val="auto"/>
                <w:w w:val="91"/>
              </w:rPr>
              <w:t>Total Fixed</w:t>
            </w:r>
          </w:p>
        </w:tc>
        <w:tc>
          <w:tcPr>
            <w:tcW w:w="0" w:type="dxa"/>
            <w:vAlign w:val="bottom"/>
          </w:tcPr>
          <w:p>
            <w:pPr>
              <w:spacing w:after="0"/>
              <w:rPr>
                <w:sz w:val="1"/>
                <w:szCs w:val="1"/>
                <w:color w:val="auto"/>
              </w:rPr>
            </w:pPr>
          </w:p>
        </w:tc>
      </w:tr>
      <w:tr>
        <w:trPr>
          <w:trHeight w:val="149"/>
        </w:trPr>
        <w:tc>
          <w:tcPr>
            <w:tcW w:w="3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1140" w:type="dxa"/>
            <w:vAlign w:val="bottom"/>
          </w:tcPr>
          <w:p>
            <w:pPr>
              <w:jc w:val="center"/>
              <w:ind w:right="84"/>
              <w:spacing w:after="0" w:line="149" w:lineRule="exact"/>
              <w:rPr>
                <w:sz w:val="20"/>
                <w:szCs w:val="20"/>
                <w:color w:val="auto"/>
              </w:rPr>
            </w:pPr>
            <w:r>
              <w:rPr>
                <w:rFonts w:ascii="Arial" w:cs="Arial" w:eastAsia="Arial" w:hAnsi="Arial"/>
                <w:sz w:val="14"/>
                <w:szCs w:val="14"/>
                <w:b w:val="1"/>
                <w:bCs w:val="1"/>
                <w:color w:val="auto"/>
                <w:w w:val="94"/>
              </w:rPr>
              <w:t>Year Through</w:t>
            </w:r>
          </w:p>
        </w:tc>
        <w:tc>
          <w:tcPr>
            <w:tcW w:w="240" w:type="dxa"/>
            <w:vAlign w:val="bottom"/>
          </w:tcPr>
          <w:p>
            <w:pPr>
              <w:spacing w:after="0"/>
              <w:rPr>
                <w:sz w:val="12"/>
                <w:szCs w:val="12"/>
                <w:color w:val="auto"/>
              </w:rPr>
            </w:pPr>
          </w:p>
        </w:tc>
        <w:tc>
          <w:tcPr>
            <w:tcW w:w="1160" w:type="dxa"/>
            <w:vAlign w:val="bottom"/>
          </w:tcPr>
          <w:p>
            <w:pPr>
              <w:jc w:val="right"/>
              <w:ind w:right="424"/>
              <w:spacing w:after="0" w:line="149" w:lineRule="exact"/>
              <w:rPr>
                <w:sz w:val="20"/>
                <w:szCs w:val="20"/>
                <w:color w:val="auto"/>
              </w:rPr>
            </w:pPr>
            <w:r>
              <w:rPr>
                <w:rFonts w:ascii="Arial" w:cs="Arial" w:eastAsia="Arial" w:hAnsi="Arial"/>
                <w:sz w:val="14"/>
                <w:szCs w:val="14"/>
                <w:b w:val="1"/>
                <w:bCs w:val="1"/>
                <w:color w:val="auto"/>
              </w:rPr>
              <w:t>Years</w:t>
            </w:r>
          </w:p>
        </w:tc>
        <w:tc>
          <w:tcPr>
            <w:tcW w:w="200" w:type="dxa"/>
            <w:vAlign w:val="bottom"/>
          </w:tcPr>
          <w:p>
            <w:pPr>
              <w:spacing w:after="0"/>
              <w:rPr>
                <w:sz w:val="12"/>
                <w:szCs w:val="12"/>
                <w:color w:val="auto"/>
              </w:rPr>
            </w:pPr>
          </w:p>
        </w:tc>
        <w:tc>
          <w:tcPr>
            <w:tcW w:w="112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106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1060" w:type="dxa"/>
            <w:vAlign w:val="bottom"/>
          </w:tcPr>
          <w:p>
            <w:pPr>
              <w:jc w:val="center"/>
              <w:ind w:right="104"/>
              <w:spacing w:after="0" w:line="149" w:lineRule="exact"/>
              <w:rPr>
                <w:sz w:val="20"/>
                <w:szCs w:val="20"/>
                <w:color w:val="auto"/>
              </w:rPr>
            </w:pPr>
            <w:r>
              <w:rPr>
                <w:rFonts w:ascii="Arial" w:cs="Arial" w:eastAsia="Arial" w:hAnsi="Arial"/>
                <w:sz w:val="14"/>
                <w:szCs w:val="14"/>
                <w:b w:val="1"/>
                <w:bCs w:val="1"/>
                <w:color w:val="auto"/>
              </w:rPr>
              <w:t>Maturity</w:t>
            </w:r>
          </w:p>
        </w:tc>
        <w:tc>
          <w:tcPr>
            <w:tcW w:w="0" w:type="dxa"/>
            <w:vAlign w:val="bottom"/>
          </w:tcPr>
          <w:p>
            <w:pPr>
              <w:spacing w:after="0"/>
              <w:rPr>
                <w:sz w:val="1"/>
                <w:szCs w:val="1"/>
                <w:color w:val="auto"/>
              </w:rPr>
            </w:pPr>
          </w:p>
        </w:tc>
      </w:tr>
      <w:tr>
        <w:trPr>
          <w:trHeight w:val="192"/>
        </w:trPr>
        <w:tc>
          <w:tcPr>
            <w:tcW w:w="33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183"/>
              <w:spacing w:after="0"/>
              <w:rPr>
                <w:sz w:val="20"/>
                <w:szCs w:val="20"/>
                <w:color w:val="auto"/>
              </w:rPr>
            </w:pPr>
            <w:r>
              <w:rPr>
                <w:rFonts w:ascii="Arial" w:cs="Arial" w:eastAsia="Arial" w:hAnsi="Arial"/>
                <w:sz w:val="14"/>
                <w:szCs w:val="14"/>
                <w:b w:val="1"/>
                <w:bCs w:val="1"/>
                <w:color w:val="auto"/>
                <w:w w:val="97"/>
              </w:rPr>
              <w:t>Year or Less</w:t>
            </w:r>
          </w:p>
        </w:tc>
        <w:tc>
          <w:tcPr>
            <w:tcW w:w="2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64"/>
              <w:spacing w:after="0"/>
              <w:rPr>
                <w:sz w:val="20"/>
                <w:szCs w:val="20"/>
                <w:color w:val="auto"/>
              </w:rPr>
            </w:pPr>
            <w:r>
              <w:rPr>
                <w:rFonts w:ascii="Arial" w:cs="Arial" w:eastAsia="Arial" w:hAnsi="Arial"/>
                <w:sz w:val="14"/>
                <w:szCs w:val="14"/>
                <w:b w:val="1"/>
                <w:bCs w:val="1"/>
                <w:color w:val="auto"/>
                <w:w w:val="91"/>
              </w:rPr>
              <w:t>Five Years</w:t>
            </w:r>
          </w:p>
        </w:tc>
        <w:tc>
          <w:tcPr>
            <w:tcW w:w="1400" w:type="dxa"/>
            <w:vAlign w:val="bottom"/>
            <w:tcBorders>
              <w:bottom w:val="single" w:sz="8" w:color="auto"/>
            </w:tcBorders>
            <w:gridSpan w:val="2"/>
          </w:tcPr>
          <w:p>
            <w:pPr>
              <w:ind w:left="140"/>
              <w:spacing w:after="0"/>
              <w:rPr>
                <w:sz w:val="20"/>
                <w:szCs w:val="20"/>
                <w:color w:val="auto"/>
              </w:rPr>
            </w:pPr>
            <w:r>
              <w:rPr>
                <w:rFonts w:ascii="Arial" w:cs="Arial" w:eastAsia="Arial" w:hAnsi="Arial"/>
                <w:sz w:val="14"/>
                <w:szCs w:val="14"/>
                <w:b w:val="1"/>
                <w:bCs w:val="1"/>
                <w:color w:val="auto"/>
                <w:w w:val="97"/>
              </w:rPr>
              <w:t>Through Ten Years</w:t>
            </w:r>
          </w:p>
        </w:tc>
        <w:tc>
          <w:tcPr>
            <w:tcW w:w="2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03"/>
              <w:spacing w:after="0"/>
              <w:rPr>
                <w:sz w:val="20"/>
                <w:szCs w:val="20"/>
                <w:color w:val="auto"/>
              </w:rPr>
            </w:pPr>
            <w:r>
              <w:rPr>
                <w:rFonts w:ascii="Arial" w:cs="Arial" w:eastAsia="Arial" w:hAnsi="Arial"/>
                <w:sz w:val="14"/>
                <w:szCs w:val="14"/>
                <w:b w:val="1"/>
                <w:bCs w:val="1"/>
                <w:color w:val="auto"/>
              </w:rPr>
              <w:t>Years</w:t>
            </w:r>
          </w:p>
        </w:tc>
        <w:tc>
          <w:tcPr>
            <w:tcW w:w="2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263"/>
              <w:spacing w:after="0"/>
              <w:rPr>
                <w:sz w:val="20"/>
                <w:szCs w:val="20"/>
                <w:color w:val="auto"/>
              </w:rPr>
            </w:pPr>
            <w:r>
              <w:rPr>
                <w:rFonts w:ascii="Arial" w:cs="Arial" w:eastAsia="Arial" w:hAnsi="Arial"/>
                <w:sz w:val="14"/>
                <w:szCs w:val="14"/>
                <w:b w:val="1"/>
                <w:bCs w:val="1"/>
                <w:color w:val="auto"/>
              </w:rPr>
              <w:t>Securities</w:t>
            </w:r>
          </w:p>
        </w:tc>
        <w:tc>
          <w:tcPr>
            <w:tcW w:w="2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104"/>
              <w:spacing w:after="0"/>
              <w:rPr>
                <w:sz w:val="20"/>
                <w:szCs w:val="20"/>
                <w:color w:val="auto"/>
              </w:rPr>
            </w:pPr>
            <w:r>
              <w:rPr>
                <w:rFonts w:ascii="Arial" w:cs="Arial" w:eastAsia="Arial" w:hAnsi="Arial"/>
                <w:sz w:val="14"/>
                <w:szCs w:val="14"/>
                <w:b w:val="1"/>
                <w:bCs w:val="1"/>
                <w:color w:val="auto"/>
                <w:w w:val="89"/>
              </w:rPr>
              <w:t>Securities</w:t>
            </w:r>
          </w:p>
        </w:tc>
        <w:tc>
          <w:tcPr>
            <w:tcW w:w="0" w:type="dxa"/>
            <w:vAlign w:val="bottom"/>
          </w:tcPr>
          <w:p>
            <w:pPr>
              <w:spacing w:after="0"/>
              <w:rPr>
                <w:sz w:val="1"/>
                <w:szCs w:val="1"/>
                <w:color w:val="auto"/>
              </w:rPr>
            </w:pPr>
          </w:p>
        </w:tc>
      </w:tr>
      <w:tr>
        <w:trPr>
          <w:trHeight w:val="250"/>
        </w:trPr>
        <w:tc>
          <w:tcPr>
            <w:tcW w:w="33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480" w:type="dxa"/>
            <w:vAlign w:val="bottom"/>
            <w:gridSpan w:val="3"/>
          </w:tcPr>
          <w:p>
            <w:pPr>
              <w:jc w:val="right"/>
              <w:ind w:right="903"/>
              <w:spacing w:after="0"/>
              <w:rPr>
                <w:sz w:val="20"/>
                <w:szCs w:val="20"/>
                <w:color w:val="auto"/>
              </w:rPr>
            </w:pPr>
            <w:r>
              <w:rPr>
                <w:rFonts w:ascii="Arial" w:cs="Arial" w:eastAsia="Arial" w:hAnsi="Arial"/>
                <w:sz w:val="14"/>
                <w:szCs w:val="14"/>
                <w:b w:val="1"/>
                <w:bCs w:val="1"/>
                <w:color w:val="auto"/>
              </w:rPr>
              <w:t>(In millions)</w:t>
            </w:r>
          </w:p>
        </w:tc>
        <w:tc>
          <w:tcPr>
            <w:tcW w:w="2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Amortized cost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1,658</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ind w:right="44"/>
              <w:spacing w:after="0"/>
              <w:rPr>
                <w:sz w:val="20"/>
                <w:szCs w:val="20"/>
                <w:color w:val="auto"/>
              </w:rPr>
            </w:pPr>
            <w:r>
              <w:rPr>
                <w:rFonts w:ascii="Arial" w:cs="Arial" w:eastAsia="Arial" w:hAnsi="Arial"/>
                <w:sz w:val="16"/>
                <w:szCs w:val="16"/>
                <w:color w:val="auto"/>
              </w:rPr>
              <w:t>11,012</w:t>
            </w:r>
          </w:p>
        </w:tc>
        <w:tc>
          <w:tcPr>
            <w:tcW w:w="2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CCEEFF"/>
            </w:tcBorders>
            <w:shd w:val="clear" w:color="auto" w:fill="CCEEFF"/>
          </w:tcPr>
          <w:p>
            <w:pPr>
              <w:jc w:val="right"/>
              <w:ind w:right="84"/>
              <w:spacing w:after="0"/>
              <w:rPr>
                <w:sz w:val="20"/>
                <w:szCs w:val="20"/>
                <w:color w:val="auto"/>
              </w:rPr>
            </w:pPr>
            <w:r>
              <w:rPr>
                <w:rFonts w:ascii="Arial" w:cs="Arial" w:eastAsia="Arial" w:hAnsi="Arial"/>
                <w:sz w:val="16"/>
                <w:szCs w:val="16"/>
                <w:color w:val="auto"/>
              </w:rPr>
              <w:t>10,713</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22,894</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12,849</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shd w:val="clear" w:color="auto" w:fill="CCEEFF"/>
          </w:tcPr>
          <w:p>
            <w:pPr>
              <w:jc w:val="right"/>
              <w:ind w:right="24"/>
              <w:spacing w:after="0"/>
              <w:rPr>
                <w:sz w:val="20"/>
                <w:szCs w:val="20"/>
                <w:color w:val="auto"/>
              </w:rPr>
            </w:pPr>
            <w:r>
              <w:rPr>
                <w:rFonts w:ascii="Arial" w:cs="Arial" w:eastAsia="Arial" w:hAnsi="Arial"/>
                <w:sz w:val="16"/>
                <w:szCs w:val="16"/>
                <w:color w:val="auto"/>
              </w:rPr>
              <w:t>59,126</w:t>
            </w:r>
          </w:p>
        </w:tc>
        <w:tc>
          <w:tcPr>
            <w:tcW w:w="0" w:type="dxa"/>
            <w:vAlign w:val="bottom"/>
          </w:tcPr>
          <w:p>
            <w:pPr>
              <w:spacing w:after="0"/>
              <w:rPr>
                <w:sz w:val="1"/>
                <w:szCs w:val="1"/>
                <w:color w:val="auto"/>
              </w:rPr>
            </w:pPr>
          </w:p>
        </w:tc>
      </w:tr>
      <w:tr>
        <w:trPr>
          <w:trHeight w:val="237"/>
        </w:trPr>
        <w:tc>
          <w:tcPr>
            <w:tcW w:w="3340" w:type="dxa"/>
            <w:vAlign w:val="bottom"/>
          </w:tcPr>
          <w:p>
            <w:pPr>
              <w:ind w:left="40"/>
              <w:spacing w:after="0"/>
              <w:rPr>
                <w:sz w:val="20"/>
                <w:szCs w:val="20"/>
                <w:color w:val="auto"/>
              </w:rPr>
            </w:pPr>
            <w:r>
              <w:rPr>
                <w:rFonts w:ascii="Arial" w:cs="Arial" w:eastAsia="Arial" w:hAnsi="Arial"/>
                <w:sz w:val="16"/>
                <w:szCs w:val="16"/>
                <w:color w:val="auto"/>
              </w:rPr>
              <w:t>Estimated fair value</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ind w:right="43"/>
              <w:spacing w:after="0"/>
              <w:rPr>
                <w:sz w:val="20"/>
                <w:szCs w:val="20"/>
                <w:color w:val="auto"/>
              </w:rPr>
            </w:pPr>
            <w:r>
              <w:rPr>
                <w:rFonts w:ascii="Arial" w:cs="Arial" w:eastAsia="Arial" w:hAnsi="Arial"/>
                <w:sz w:val="16"/>
                <w:szCs w:val="16"/>
                <w:color w:val="auto"/>
              </w:rPr>
              <w:t>1,669</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44"/>
              <w:spacing w:after="0"/>
              <w:rPr>
                <w:sz w:val="20"/>
                <w:szCs w:val="20"/>
                <w:color w:val="auto"/>
              </w:rPr>
            </w:pPr>
            <w:r>
              <w:rPr>
                <w:rFonts w:ascii="Arial" w:cs="Arial" w:eastAsia="Arial" w:hAnsi="Arial"/>
                <w:sz w:val="16"/>
                <w:szCs w:val="16"/>
                <w:color w:val="auto"/>
              </w:rPr>
              <w:t>11,436</w:t>
            </w:r>
          </w:p>
        </w:tc>
        <w:tc>
          <w:tcPr>
            <w:tcW w:w="240" w:type="dxa"/>
            <w:vAlign w:val="bottom"/>
          </w:tcPr>
          <w:p>
            <w:pPr>
              <w:ind w:left="140"/>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ind w:right="84"/>
              <w:spacing w:after="0"/>
              <w:rPr>
                <w:sz w:val="20"/>
                <w:szCs w:val="20"/>
                <w:color w:val="auto"/>
              </w:rPr>
            </w:pPr>
            <w:r>
              <w:rPr>
                <w:rFonts w:ascii="Arial" w:cs="Arial" w:eastAsia="Arial" w:hAnsi="Arial"/>
                <w:sz w:val="16"/>
                <w:szCs w:val="16"/>
                <w:color w:val="auto"/>
              </w:rPr>
              <w:t>11,076</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43"/>
              <w:spacing w:after="0"/>
              <w:rPr>
                <w:sz w:val="20"/>
                <w:szCs w:val="20"/>
                <w:color w:val="auto"/>
              </w:rPr>
            </w:pPr>
            <w:r>
              <w:rPr>
                <w:rFonts w:ascii="Arial" w:cs="Arial" w:eastAsia="Arial" w:hAnsi="Arial"/>
                <w:sz w:val="16"/>
                <w:szCs w:val="16"/>
                <w:color w:val="auto"/>
              </w:rPr>
              <w:t>26,245</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43"/>
              <w:spacing w:after="0"/>
              <w:rPr>
                <w:sz w:val="20"/>
                <w:szCs w:val="20"/>
                <w:color w:val="auto"/>
              </w:rPr>
            </w:pPr>
            <w:r>
              <w:rPr>
                <w:rFonts w:ascii="Arial" w:cs="Arial" w:eastAsia="Arial" w:hAnsi="Arial"/>
                <w:sz w:val="16"/>
                <w:szCs w:val="16"/>
                <w:color w:val="auto"/>
              </w:rPr>
              <w:t>13,139</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24"/>
              <w:spacing w:after="0"/>
              <w:rPr>
                <w:sz w:val="20"/>
                <w:szCs w:val="20"/>
                <w:color w:val="auto"/>
              </w:rPr>
            </w:pPr>
            <w:r>
              <w:rPr>
                <w:rFonts w:ascii="Arial" w:cs="Arial" w:eastAsia="Arial" w:hAnsi="Arial"/>
                <w:sz w:val="16"/>
                <w:szCs w:val="16"/>
                <w:color w:val="auto"/>
              </w:rPr>
              <w:t>63,565</w:t>
            </w:r>
          </w:p>
        </w:tc>
        <w:tc>
          <w:tcPr>
            <w:tcW w:w="0" w:type="dxa"/>
            <w:vAlign w:val="bottom"/>
          </w:tcPr>
          <w:p>
            <w:pPr>
              <w:spacing w:after="0"/>
              <w:rPr>
                <w:sz w:val="1"/>
                <w:szCs w:val="1"/>
                <w:color w:val="auto"/>
              </w:rPr>
            </w:pPr>
          </w:p>
        </w:tc>
      </w:tr>
    </w:tbl>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288" w:right="239" w:bottom="1440" w:gutter="0" w:footer="0" w:header="0"/>
        </w:sectPr>
      </w:pPr>
    </w:p>
    <w:bookmarkStart w:id="18" w:name="page19"/>
    <w:bookmarkEnd w:id="18"/>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109" w:lineRule="exact"/>
        <w:rPr>
          <w:sz w:val="20"/>
          <w:szCs w:val="20"/>
          <w:color w:val="auto"/>
        </w:rPr>
      </w:pPr>
    </w:p>
    <w:p>
      <w:pPr>
        <w:ind w:left="4660"/>
        <w:spacing w:after="0"/>
        <w:rPr>
          <w:sz w:val="20"/>
          <w:szCs w:val="20"/>
          <w:color w:val="auto"/>
        </w:rPr>
      </w:pPr>
      <w:r>
        <w:rPr>
          <w:rFonts w:ascii="Arial" w:cs="Arial" w:eastAsia="Arial" w:hAnsi="Arial"/>
          <w:sz w:val="18"/>
          <w:szCs w:val="18"/>
          <w:b w:val="1"/>
          <w:bCs w:val="1"/>
          <w:color w:val="auto"/>
        </w:rPr>
        <w:t>Brighthouse Financial, Inc.</w:t>
      </w:r>
    </w:p>
    <w:p>
      <w:pPr>
        <w:spacing w:after="0" w:line="117" w:lineRule="exact"/>
        <w:rPr>
          <w:sz w:val="20"/>
          <w:szCs w:val="20"/>
          <w:color w:val="auto"/>
        </w:rPr>
      </w:pPr>
    </w:p>
    <w:p>
      <w:pPr>
        <w:ind w:left="1480"/>
        <w:spacing w:after="0"/>
        <w:rPr>
          <w:sz w:val="20"/>
          <w:szCs w:val="20"/>
          <w:color w:val="auto"/>
        </w:rPr>
      </w:pPr>
      <w:r>
        <w:rPr>
          <w:rFonts w:ascii="Arial" w:cs="Arial" w:eastAsia="Arial" w:hAnsi="Arial"/>
          <w:sz w:val="18"/>
          <w:szCs w:val="18"/>
          <w:b w:val="1"/>
          <w:bCs w:val="1"/>
          <w:color w:val="auto"/>
        </w:rPr>
        <w:t>Notes to the Interim Condensed Consolidated and Combined Financial Statements (Unaudited) — (continued)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Investments (continued)</w:t>
      </w:r>
    </w:p>
    <w:p>
      <w:pPr>
        <w:spacing w:after="0" w:line="364" w:lineRule="exact"/>
        <w:rPr>
          <w:sz w:val="20"/>
          <w:szCs w:val="20"/>
          <w:color w:val="auto"/>
        </w:rPr>
      </w:pPr>
    </w:p>
    <w:p>
      <w:pPr>
        <w:jc w:val="both"/>
        <w:ind w:left="180" w:right="20" w:firstLine="324"/>
        <w:spacing w:after="0" w:line="264" w:lineRule="auto"/>
        <w:rPr>
          <w:sz w:val="20"/>
          <w:szCs w:val="20"/>
          <w:color w:val="auto"/>
        </w:rPr>
      </w:pPr>
      <w:r>
        <w:rPr>
          <w:rFonts w:ascii="Arial" w:cs="Arial" w:eastAsia="Arial" w:hAnsi="Arial"/>
          <w:sz w:val="18"/>
          <w:szCs w:val="18"/>
          <w:color w:val="auto"/>
        </w:rPr>
        <w:t>Actual maturities may differ from contractual maturities due to the exercise of call or prepayment options. Fixed maturity securities not due at a single maturity date have been presented in the year of final contractual maturity. Structured Securities are shown separately, as they are not due at a single maturity.</w:t>
      </w:r>
    </w:p>
    <w:p>
      <w:pPr>
        <w:spacing w:after="0" w:line="73"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Continuous Gross Unrealized Losses for Fixed Maturity and Equity Securities AFS by Sector</w:t>
      </w:r>
    </w:p>
    <w:p>
      <w:pPr>
        <w:spacing w:after="0" w:line="117" w:lineRule="exact"/>
        <w:rPr>
          <w:sz w:val="20"/>
          <w:szCs w:val="20"/>
          <w:color w:val="auto"/>
        </w:rPr>
      </w:pPr>
    </w:p>
    <w:p>
      <w:pPr>
        <w:jc w:val="both"/>
        <w:ind w:left="180" w:right="20" w:firstLine="324"/>
        <w:spacing w:after="0" w:line="277" w:lineRule="auto"/>
        <w:rPr>
          <w:sz w:val="20"/>
          <w:szCs w:val="20"/>
          <w:color w:val="auto"/>
        </w:rPr>
      </w:pPr>
      <w:r>
        <w:rPr>
          <w:rFonts w:ascii="Arial" w:cs="Arial" w:eastAsia="Arial" w:hAnsi="Arial"/>
          <w:sz w:val="18"/>
          <w:szCs w:val="18"/>
          <w:color w:val="auto"/>
        </w:rPr>
        <w:t>The following table presents the estimated fair value and gross unrealized losses of fixed maturity and equity securities AFS in an unrealized loss position, aggregated by sector and by length of time that the securities have been in a continuous unrealized loss position at:</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5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060" w:type="dxa"/>
            <w:vAlign w:val="bottom"/>
            <w:tcBorders>
              <w:bottom w:val="single" w:sz="8" w:color="auto"/>
            </w:tcBorders>
            <w:gridSpan w:val="4"/>
          </w:tcPr>
          <w:p>
            <w:pPr>
              <w:jc w:val="right"/>
              <w:ind w:right="471"/>
              <w:spacing w:after="0"/>
              <w:rPr>
                <w:sz w:val="20"/>
                <w:szCs w:val="20"/>
                <w:color w:val="auto"/>
              </w:rPr>
            </w:pPr>
            <w:r>
              <w:rPr>
                <w:rFonts w:ascii="Arial" w:cs="Arial" w:eastAsia="Arial" w:hAnsi="Arial"/>
                <w:sz w:val="13"/>
                <w:szCs w:val="13"/>
                <w:b w:val="1"/>
                <w:bCs w:val="1"/>
                <w:color w:val="auto"/>
              </w:rPr>
              <w:t>September 30, 2017</w:t>
            </w:r>
          </w:p>
        </w:tc>
        <w:tc>
          <w:tcPr>
            <w:tcW w:w="1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980" w:type="dxa"/>
            <w:vAlign w:val="bottom"/>
            <w:tcBorders>
              <w:bottom w:val="single" w:sz="8" w:color="auto"/>
            </w:tcBorders>
            <w:gridSpan w:val="4"/>
          </w:tcPr>
          <w:p>
            <w:pPr>
              <w:jc w:val="right"/>
              <w:ind w:right="471"/>
              <w:spacing w:after="0"/>
              <w:rPr>
                <w:sz w:val="20"/>
                <w:szCs w:val="20"/>
                <w:color w:val="auto"/>
              </w:rPr>
            </w:pPr>
            <w:r>
              <w:rPr>
                <w:rFonts w:ascii="Arial" w:cs="Arial" w:eastAsia="Arial" w:hAnsi="Arial"/>
                <w:sz w:val="13"/>
                <w:szCs w:val="13"/>
                <w:b w:val="1"/>
                <w:bCs w:val="1"/>
                <w:color w:val="auto"/>
              </w:rPr>
              <w:t>December 31, 2016</w:t>
            </w:r>
          </w:p>
        </w:tc>
        <w:tc>
          <w:tcPr>
            <w:tcW w:w="1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4"/>
        </w:trPr>
        <w:tc>
          <w:tcPr>
            <w:tcW w:w="2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120" w:type="dxa"/>
            <w:vAlign w:val="bottom"/>
            <w:gridSpan w:val="5"/>
          </w:tcPr>
          <w:p>
            <w:pPr>
              <w:ind w:left="400"/>
              <w:spacing w:after="0" w:line="144" w:lineRule="exact"/>
              <w:rPr>
                <w:sz w:val="20"/>
                <w:szCs w:val="20"/>
                <w:color w:val="auto"/>
              </w:rPr>
            </w:pPr>
            <w:r>
              <w:rPr>
                <w:rFonts w:ascii="Arial" w:cs="Arial" w:eastAsia="Arial" w:hAnsi="Arial"/>
                <w:sz w:val="13"/>
                <w:szCs w:val="13"/>
                <w:b w:val="1"/>
                <w:bCs w:val="1"/>
                <w:color w:val="auto"/>
              </w:rPr>
              <w:t>Equal to or Greater</w:t>
            </w: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960" w:type="dxa"/>
            <w:vAlign w:val="bottom"/>
            <w:gridSpan w:val="4"/>
          </w:tcPr>
          <w:p>
            <w:pPr>
              <w:jc w:val="right"/>
              <w:ind w:right="450"/>
              <w:spacing w:after="0" w:line="144" w:lineRule="exact"/>
              <w:rPr>
                <w:sz w:val="20"/>
                <w:szCs w:val="20"/>
                <w:color w:val="auto"/>
              </w:rPr>
            </w:pPr>
            <w:r>
              <w:rPr>
                <w:rFonts w:ascii="Arial" w:cs="Arial" w:eastAsia="Arial" w:hAnsi="Arial"/>
                <w:sz w:val="13"/>
                <w:szCs w:val="13"/>
                <w:b w:val="1"/>
                <w:bCs w:val="1"/>
                <w:color w:val="auto"/>
              </w:rPr>
              <w:t>Equal to or Greater</w:t>
            </w:r>
          </w:p>
        </w:tc>
        <w:tc>
          <w:tcPr>
            <w:tcW w:w="0" w:type="dxa"/>
            <w:vAlign w:val="bottom"/>
          </w:tcPr>
          <w:p>
            <w:pPr>
              <w:spacing w:after="0"/>
              <w:rPr>
                <w:sz w:val="1"/>
                <w:szCs w:val="1"/>
                <w:color w:val="auto"/>
              </w:rPr>
            </w:pPr>
          </w:p>
        </w:tc>
      </w:tr>
      <w:tr>
        <w:trPr>
          <w:trHeight w:val="174"/>
        </w:trPr>
        <w:tc>
          <w:tcPr>
            <w:tcW w:w="25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960" w:type="dxa"/>
            <w:vAlign w:val="bottom"/>
            <w:tcBorders>
              <w:bottom w:val="single" w:sz="8" w:color="auto"/>
            </w:tcBorders>
            <w:gridSpan w:val="4"/>
          </w:tcPr>
          <w:p>
            <w:pPr>
              <w:jc w:val="right"/>
              <w:ind w:right="410"/>
              <w:spacing w:after="0"/>
              <w:rPr>
                <w:sz w:val="20"/>
                <w:szCs w:val="20"/>
                <w:color w:val="auto"/>
              </w:rPr>
            </w:pPr>
            <w:r>
              <w:rPr>
                <w:rFonts w:ascii="Arial" w:cs="Arial" w:eastAsia="Arial" w:hAnsi="Arial"/>
                <w:sz w:val="13"/>
                <w:szCs w:val="13"/>
                <w:b w:val="1"/>
                <w:bCs w:val="1"/>
                <w:color w:val="auto"/>
              </w:rPr>
              <w:t>Less than 12 Months</w:t>
            </w:r>
          </w:p>
        </w:tc>
        <w:tc>
          <w:tcPr>
            <w:tcW w:w="1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020" w:type="dxa"/>
            <w:vAlign w:val="bottom"/>
            <w:tcBorders>
              <w:bottom w:val="single" w:sz="8" w:color="auto"/>
            </w:tcBorders>
            <w:gridSpan w:val="4"/>
          </w:tcPr>
          <w:p>
            <w:pPr>
              <w:jc w:val="right"/>
              <w:ind w:right="590"/>
              <w:spacing w:after="0"/>
              <w:rPr>
                <w:sz w:val="20"/>
                <w:szCs w:val="20"/>
                <w:color w:val="auto"/>
              </w:rPr>
            </w:pPr>
            <w:r>
              <w:rPr>
                <w:rFonts w:ascii="Arial" w:cs="Arial" w:eastAsia="Arial" w:hAnsi="Arial"/>
                <w:sz w:val="13"/>
                <w:szCs w:val="13"/>
                <w:b w:val="1"/>
                <w:bCs w:val="1"/>
                <w:color w:val="auto"/>
              </w:rPr>
              <w:t>than 12 Months</w:t>
            </w:r>
          </w:p>
        </w:tc>
        <w:tc>
          <w:tcPr>
            <w:tcW w:w="1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960" w:type="dxa"/>
            <w:vAlign w:val="bottom"/>
            <w:tcBorders>
              <w:bottom w:val="single" w:sz="8" w:color="auto"/>
            </w:tcBorders>
            <w:gridSpan w:val="4"/>
          </w:tcPr>
          <w:p>
            <w:pPr>
              <w:jc w:val="right"/>
              <w:ind w:right="430"/>
              <w:spacing w:after="0"/>
              <w:rPr>
                <w:sz w:val="20"/>
                <w:szCs w:val="20"/>
                <w:color w:val="auto"/>
              </w:rPr>
            </w:pPr>
            <w:r>
              <w:rPr>
                <w:rFonts w:ascii="Arial" w:cs="Arial" w:eastAsia="Arial" w:hAnsi="Arial"/>
                <w:sz w:val="13"/>
                <w:szCs w:val="13"/>
                <w:b w:val="1"/>
                <w:bCs w:val="1"/>
                <w:color w:val="auto"/>
              </w:rPr>
              <w:t>Less than 12 Months</w:t>
            </w:r>
          </w:p>
        </w:tc>
        <w:tc>
          <w:tcPr>
            <w:tcW w:w="1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960" w:type="dxa"/>
            <w:vAlign w:val="bottom"/>
            <w:tcBorders>
              <w:bottom w:val="single" w:sz="8" w:color="auto"/>
            </w:tcBorders>
            <w:gridSpan w:val="4"/>
          </w:tcPr>
          <w:p>
            <w:pPr>
              <w:jc w:val="right"/>
              <w:ind w:right="550"/>
              <w:spacing w:after="0"/>
              <w:rPr>
                <w:sz w:val="20"/>
                <w:szCs w:val="20"/>
                <w:color w:val="auto"/>
              </w:rPr>
            </w:pPr>
            <w:r>
              <w:rPr>
                <w:rFonts w:ascii="Arial" w:cs="Arial" w:eastAsia="Arial" w:hAnsi="Arial"/>
                <w:sz w:val="13"/>
                <w:szCs w:val="13"/>
                <w:b w:val="1"/>
                <w:bCs w:val="1"/>
                <w:color w:val="auto"/>
              </w:rPr>
              <w:t>than 12 Months</w:t>
            </w:r>
          </w:p>
        </w:tc>
        <w:tc>
          <w:tcPr>
            <w:tcW w:w="0" w:type="dxa"/>
            <w:vAlign w:val="bottom"/>
          </w:tcPr>
          <w:p>
            <w:pPr>
              <w:spacing w:after="0"/>
              <w:rPr>
                <w:sz w:val="1"/>
                <w:szCs w:val="1"/>
                <w:color w:val="auto"/>
              </w:rPr>
            </w:pPr>
          </w:p>
        </w:tc>
      </w:tr>
      <w:tr>
        <w:trPr>
          <w:trHeight w:val="144"/>
        </w:trPr>
        <w:tc>
          <w:tcPr>
            <w:tcW w:w="2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jc w:val="center"/>
              <w:ind w:right="70"/>
              <w:spacing w:after="0" w:line="144" w:lineRule="exact"/>
              <w:rPr>
                <w:sz w:val="20"/>
                <w:szCs w:val="20"/>
                <w:color w:val="auto"/>
              </w:rPr>
            </w:pPr>
            <w:r>
              <w:rPr>
                <w:rFonts w:ascii="Arial" w:cs="Arial" w:eastAsia="Arial" w:hAnsi="Arial"/>
                <w:sz w:val="13"/>
                <w:szCs w:val="13"/>
                <w:b w:val="1"/>
                <w:bCs w:val="1"/>
                <w:color w:val="auto"/>
                <w:w w:val="86"/>
              </w:rPr>
              <w:t>Estimated</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gridSpan w:val="2"/>
          </w:tcPr>
          <w:p>
            <w:pPr>
              <w:jc w:val="center"/>
              <w:ind w:right="280"/>
              <w:spacing w:after="0" w:line="144" w:lineRule="exact"/>
              <w:rPr>
                <w:sz w:val="20"/>
                <w:szCs w:val="20"/>
                <w:color w:val="auto"/>
              </w:rPr>
            </w:pPr>
            <w:r>
              <w:rPr>
                <w:rFonts w:ascii="Arial" w:cs="Arial" w:eastAsia="Arial" w:hAnsi="Arial"/>
                <w:sz w:val="13"/>
                <w:szCs w:val="13"/>
                <w:b w:val="1"/>
                <w:bCs w:val="1"/>
                <w:color w:val="auto"/>
                <w:w w:val="85"/>
              </w:rPr>
              <w:t>Gross</w:t>
            </w:r>
          </w:p>
        </w:tc>
        <w:tc>
          <w:tcPr>
            <w:tcW w:w="180" w:type="dxa"/>
            <w:vAlign w:val="bottom"/>
          </w:tcPr>
          <w:p>
            <w:pPr>
              <w:spacing w:after="0"/>
              <w:rPr>
                <w:sz w:val="12"/>
                <w:szCs w:val="12"/>
                <w:color w:val="auto"/>
              </w:rPr>
            </w:pPr>
          </w:p>
        </w:tc>
        <w:tc>
          <w:tcPr>
            <w:tcW w:w="880" w:type="dxa"/>
            <w:vAlign w:val="bottom"/>
          </w:tcPr>
          <w:p>
            <w:pPr>
              <w:jc w:val="center"/>
              <w:ind w:right="111"/>
              <w:spacing w:after="0" w:line="144" w:lineRule="exact"/>
              <w:rPr>
                <w:sz w:val="20"/>
                <w:szCs w:val="20"/>
                <w:color w:val="auto"/>
              </w:rPr>
            </w:pPr>
            <w:r>
              <w:rPr>
                <w:rFonts w:ascii="Arial" w:cs="Arial" w:eastAsia="Arial" w:hAnsi="Arial"/>
                <w:sz w:val="13"/>
                <w:szCs w:val="13"/>
                <w:b w:val="1"/>
                <w:bCs w:val="1"/>
                <w:color w:val="auto"/>
                <w:w w:val="86"/>
              </w:rPr>
              <w:t>Estimated</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2"/>
          </w:tcPr>
          <w:p>
            <w:pPr>
              <w:jc w:val="center"/>
              <w:ind w:right="260"/>
              <w:spacing w:after="0" w:line="144" w:lineRule="exact"/>
              <w:rPr>
                <w:sz w:val="20"/>
                <w:szCs w:val="20"/>
                <w:color w:val="auto"/>
              </w:rPr>
            </w:pPr>
            <w:r>
              <w:rPr>
                <w:rFonts w:ascii="Arial" w:cs="Arial" w:eastAsia="Arial" w:hAnsi="Arial"/>
                <w:sz w:val="13"/>
                <w:szCs w:val="13"/>
                <w:b w:val="1"/>
                <w:bCs w:val="1"/>
                <w:color w:val="auto"/>
                <w:w w:val="79"/>
              </w:rPr>
              <w:t>Gross</w:t>
            </w:r>
          </w:p>
        </w:tc>
        <w:tc>
          <w:tcPr>
            <w:tcW w:w="180" w:type="dxa"/>
            <w:vAlign w:val="bottom"/>
          </w:tcPr>
          <w:p>
            <w:pPr>
              <w:spacing w:after="0"/>
              <w:rPr>
                <w:sz w:val="12"/>
                <w:szCs w:val="12"/>
                <w:color w:val="auto"/>
              </w:rPr>
            </w:pPr>
          </w:p>
        </w:tc>
        <w:tc>
          <w:tcPr>
            <w:tcW w:w="840" w:type="dxa"/>
            <w:vAlign w:val="bottom"/>
          </w:tcPr>
          <w:p>
            <w:pPr>
              <w:jc w:val="center"/>
              <w:ind w:right="110"/>
              <w:spacing w:after="0" w:line="144" w:lineRule="exact"/>
              <w:rPr>
                <w:sz w:val="20"/>
                <w:szCs w:val="20"/>
                <w:color w:val="auto"/>
              </w:rPr>
            </w:pPr>
            <w:r>
              <w:rPr>
                <w:rFonts w:ascii="Arial" w:cs="Arial" w:eastAsia="Arial" w:hAnsi="Arial"/>
                <w:sz w:val="13"/>
                <w:szCs w:val="13"/>
                <w:b w:val="1"/>
                <w:bCs w:val="1"/>
                <w:color w:val="auto"/>
                <w:w w:val="86"/>
              </w:rPr>
              <w:t>Estimated</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2"/>
          </w:tcPr>
          <w:p>
            <w:pPr>
              <w:jc w:val="center"/>
              <w:ind w:right="260"/>
              <w:spacing w:after="0" w:line="144" w:lineRule="exact"/>
              <w:rPr>
                <w:sz w:val="20"/>
                <w:szCs w:val="20"/>
                <w:color w:val="auto"/>
              </w:rPr>
            </w:pPr>
            <w:r>
              <w:rPr>
                <w:rFonts w:ascii="Arial" w:cs="Arial" w:eastAsia="Arial" w:hAnsi="Arial"/>
                <w:sz w:val="13"/>
                <w:szCs w:val="13"/>
                <w:b w:val="1"/>
                <w:bCs w:val="1"/>
                <w:color w:val="auto"/>
                <w:w w:val="79"/>
              </w:rPr>
              <w:t>Gross</w:t>
            </w:r>
          </w:p>
        </w:tc>
        <w:tc>
          <w:tcPr>
            <w:tcW w:w="180" w:type="dxa"/>
            <w:vAlign w:val="bottom"/>
          </w:tcPr>
          <w:p>
            <w:pPr>
              <w:spacing w:after="0"/>
              <w:rPr>
                <w:sz w:val="12"/>
                <w:szCs w:val="12"/>
                <w:color w:val="auto"/>
              </w:rPr>
            </w:pPr>
          </w:p>
        </w:tc>
        <w:tc>
          <w:tcPr>
            <w:tcW w:w="840" w:type="dxa"/>
            <w:vAlign w:val="bottom"/>
          </w:tcPr>
          <w:p>
            <w:pPr>
              <w:jc w:val="center"/>
              <w:ind w:right="111"/>
              <w:spacing w:after="0" w:line="144" w:lineRule="exact"/>
              <w:rPr>
                <w:sz w:val="20"/>
                <w:szCs w:val="20"/>
                <w:color w:val="auto"/>
              </w:rPr>
            </w:pPr>
            <w:r>
              <w:rPr>
                <w:rFonts w:ascii="Arial" w:cs="Arial" w:eastAsia="Arial" w:hAnsi="Arial"/>
                <w:sz w:val="13"/>
                <w:szCs w:val="13"/>
                <w:b w:val="1"/>
                <w:bCs w:val="1"/>
                <w:color w:val="auto"/>
                <w:w w:val="86"/>
              </w:rPr>
              <w:t>Estimated</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jc w:val="center"/>
              <w:ind w:right="90"/>
              <w:spacing w:after="0" w:line="144" w:lineRule="exact"/>
              <w:rPr>
                <w:sz w:val="20"/>
                <w:szCs w:val="20"/>
                <w:color w:val="auto"/>
              </w:rPr>
            </w:pPr>
            <w:r>
              <w:rPr>
                <w:rFonts w:ascii="Arial" w:cs="Arial" w:eastAsia="Arial" w:hAnsi="Arial"/>
                <w:sz w:val="13"/>
                <w:szCs w:val="13"/>
                <w:b w:val="1"/>
                <w:bCs w:val="1"/>
                <w:color w:val="auto"/>
                <w:w w:val="79"/>
              </w:rPr>
              <w:t>Gross</w:t>
            </w:r>
          </w:p>
        </w:tc>
        <w:tc>
          <w:tcPr>
            <w:tcW w:w="0" w:type="dxa"/>
            <w:vAlign w:val="bottom"/>
          </w:tcPr>
          <w:p>
            <w:pPr>
              <w:spacing w:after="0"/>
              <w:rPr>
                <w:sz w:val="1"/>
                <w:szCs w:val="1"/>
                <w:color w:val="auto"/>
              </w:rPr>
            </w:pPr>
          </w:p>
        </w:tc>
      </w:tr>
      <w:tr>
        <w:trPr>
          <w:trHeight w:val="135"/>
        </w:trPr>
        <w:tc>
          <w:tcPr>
            <w:tcW w:w="2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jc w:val="center"/>
              <w:ind w:right="70"/>
              <w:spacing w:after="0" w:line="135" w:lineRule="exact"/>
              <w:rPr>
                <w:sz w:val="20"/>
                <w:szCs w:val="20"/>
                <w:color w:val="auto"/>
              </w:rPr>
            </w:pPr>
            <w:r>
              <w:rPr>
                <w:rFonts w:ascii="Arial" w:cs="Arial" w:eastAsia="Arial" w:hAnsi="Arial"/>
                <w:sz w:val="13"/>
                <w:szCs w:val="13"/>
                <w:b w:val="1"/>
                <w:bCs w:val="1"/>
                <w:color w:val="auto"/>
                <w:w w:val="92"/>
              </w:rPr>
              <w:t>Fair</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0" w:type="dxa"/>
            <w:vAlign w:val="bottom"/>
            <w:gridSpan w:val="2"/>
          </w:tcPr>
          <w:p>
            <w:pPr>
              <w:jc w:val="center"/>
              <w:ind w:right="280"/>
              <w:spacing w:after="0" w:line="135" w:lineRule="exact"/>
              <w:rPr>
                <w:sz w:val="20"/>
                <w:szCs w:val="20"/>
                <w:color w:val="auto"/>
              </w:rPr>
            </w:pPr>
            <w:r>
              <w:rPr>
                <w:rFonts w:ascii="Arial" w:cs="Arial" w:eastAsia="Arial" w:hAnsi="Arial"/>
                <w:sz w:val="13"/>
                <w:szCs w:val="13"/>
                <w:b w:val="1"/>
                <w:bCs w:val="1"/>
                <w:color w:val="auto"/>
                <w:w w:val="91"/>
              </w:rPr>
              <w:t>Unrealized</w:t>
            </w:r>
          </w:p>
        </w:tc>
        <w:tc>
          <w:tcPr>
            <w:tcW w:w="180" w:type="dxa"/>
            <w:vAlign w:val="bottom"/>
          </w:tcPr>
          <w:p>
            <w:pPr>
              <w:spacing w:after="0"/>
              <w:rPr>
                <w:sz w:val="11"/>
                <w:szCs w:val="11"/>
                <w:color w:val="auto"/>
              </w:rPr>
            </w:pPr>
          </w:p>
        </w:tc>
        <w:tc>
          <w:tcPr>
            <w:tcW w:w="880" w:type="dxa"/>
            <w:vAlign w:val="bottom"/>
          </w:tcPr>
          <w:p>
            <w:pPr>
              <w:jc w:val="center"/>
              <w:ind w:right="91"/>
              <w:spacing w:after="0" w:line="135" w:lineRule="exact"/>
              <w:rPr>
                <w:sz w:val="20"/>
                <w:szCs w:val="20"/>
                <w:color w:val="auto"/>
              </w:rPr>
            </w:pPr>
            <w:r>
              <w:rPr>
                <w:rFonts w:ascii="Arial" w:cs="Arial" w:eastAsia="Arial" w:hAnsi="Arial"/>
                <w:sz w:val="13"/>
                <w:szCs w:val="13"/>
                <w:b w:val="1"/>
                <w:bCs w:val="1"/>
                <w:color w:val="auto"/>
              </w:rPr>
              <w:t>Fair</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60" w:type="dxa"/>
            <w:vAlign w:val="bottom"/>
            <w:gridSpan w:val="2"/>
          </w:tcPr>
          <w:p>
            <w:pPr>
              <w:jc w:val="center"/>
              <w:ind w:right="260"/>
              <w:spacing w:after="0" w:line="135" w:lineRule="exact"/>
              <w:rPr>
                <w:sz w:val="20"/>
                <w:szCs w:val="20"/>
                <w:color w:val="auto"/>
              </w:rPr>
            </w:pPr>
            <w:r>
              <w:rPr>
                <w:rFonts w:ascii="Arial" w:cs="Arial" w:eastAsia="Arial" w:hAnsi="Arial"/>
                <w:sz w:val="13"/>
                <w:szCs w:val="13"/>
                <w:b w:val="1"/>
                <w:bCs w:val="1"/>
                <w:color w:val="auto"/>
                <w:w w:val="88"/>
              </w:rPr>
              <w:t>Unrealized</w:t>
            </w:r>
          </w:p>
        </w:tc>
        <w:tc>
          <w:tcPr>
            <w:tcW w:w="180" w:type="dxa"/>
            <w:vAlign w:val="bottom"/>
          </w:tcPr>
          <w:p>
            <w:pPr>
              <w:spacing w:after="0"/>
              <w:rPr>
                <w:sz w:val="11"/>
                <w:szCs w:val="11"/>
                <w:color w:val="auto"/>
              </w:rPr>
            </w:pPr>
          </w:p>
        </w:tc>
        <w:tc>
          <w:tcPr>
            <w:tcW w:w="840" w:type="dxa"/>
            <w:vAlign w:val="bottom"/>
          </w:tcPr>
          <w:p>
            <w:pPr>
              <w:jc w:val="center"/>
              <w:ind w:right="110"/>
              <w:spacing w:after="0" w:line="135" w:lineRule="exact"/>
              <w:rPr>
                <w:sz w:val="20"/>
                <w:szCs w:val="20"/>
                <w:color w:val="auto"/>
              </w:rPr>
            </w:pPr>
            <w:r>
              <w:rPr>
                <w:rFonts w:ascii="Arial" w:cs="Arial" w:eastAsia="Arial" w:hAnsi="Arial"/>
                <w:sz w:val="13"/>
                <w:szCs w:val="13"/>
                <w:b w:val="1"/>
                <w:bCs w:val="1"/>
                <w:color w:val="auto"/>
                <w:w w:val="92"/>
              </w:rPr>
              <w:t>Fair</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60" w:type="dxa"/>
            <w:vAlign w:val="bottom"/>
            <w:gridSpan w:val="2"/>
          </w:tcPr>
          <w:p>
            <w:pPr>
              <w:jc w:val="center"/>
              <w:ind w:right="260"/>
              <w:spacing w:after="0" w:line="135" w:lineRule="exact"/>
              <w:rPr>
                <w:sz w:val="20"/>
                <w:szCs w:val="20"/>
                <w:color w:val="auto"/>
              </w:rPr>
            </w:pPr>
            <w:r>
              <w:rPr>
                <w:rFonts w:ascii="Arial" w:cs="Arial" w:eastAsia="Arial" w:hAnsi="Arial"/>
                <w:sz w:val="13"/>
                <w:szCs w:val="13"/>
                <w:b w:val="1"/>
                <w:bCs w:val="1"/>
                <w:color w:val="auto"/>
                <w:w w:val="88"/>
              </w:rPr>
              <w:t>Unrealized</w:t>
            </w:r>
          </w:p>
        </w:tc>
        <w:tc>
          <w:tcPr>
            <w:tcW w:w="180" w:type="dxa"/>
            <w:vAlign w:val="bottom"/>
          </w:tcPr>
          <w:p>
            <w:pPr>
              <w:spacing w:after="0"/>
              <w:rPr>
                <w:sz w:val="11"/>
                <w:szCs w:val="11"/>
                <w:color w:val="auto"/>
              </w:rPr>
            </w:pPr>
          </w:p>
        </w:tc>
        <w:tc>
          <w:tcPr>
            <w:tcW w:w="840" w:type="dxa"/>
            <w:vAlign w:val="bottom"/>
          </w:tcPr>
          <w:p>
            <w:pPr>
              <w:jc w:val="center"/>
              <w:ind w:right="111"/>
              <w:spacing w:after="0" w:line="135" w:lineRule="exact"/>
              <w:rPr>
                <w:sz w:val="20"/>
                <w:szCs w:val="20"/>
                <w:color w:val="auto"/>
              </w:rPr>
            </w:pPr>
            <w:r>
              <w:rPr>
                <w:rFonts w:ascii="Arial" w:cs="Arial" w:eastAsia="Arial" w:hAnsi="Arial"/>
                <w:sz w:val="13"/>
                <w:szCs w:val="13"/>
                <w:b w:val="1"/>
                <w:bCs w:val="1"/>
                <w:color w:val="auto"/>
                <w:w w:val="92"/>
              </w:rPr>
              <w:t>Fair</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jc w:val="center"/>
              <w:ind w:right="90"/>
              <w:spacing w:after="0" w:line="135" w:lineRule="exact"/>
              <w:rPr>
                <w:sz w:val="20"/>
                <w:szCs w:val="20"/>
                <w:color w:val="auto"/>
              </w:rPr>
            </w:pPr>
            <w:r>
              <w:rPr>
                <w:rFonts w:ascii="Arial" w:cs="Arial" w:eastAsia="Arial" w:hAnsi="Arial"/>
                <w:sz w:val="13"/>
                <w:szCs w:val="13"/>
                <w:b w:val="1"/>
                <w:bCs w:val="1"/>
                <w:color w:val="auto"/>
                <w:w w:val="88"/>
              </w:rPr>
              <w:t>Unrealized</w:t>
            </w:r>
          </w:p>
        </w:tc>
        <w:tc>
          <w:tcPr>
            <w:tcW w:w="0" w:type="dxa"/>
            <w:vAlign w:val="bottom"/>
          </w:tcPr>
          <w:p>
            <w:pPr>
              <w:spacing w:after="0"/>
              <w:rPr>
                <w:sz w:val="1"/>
                <w:szCs w:val="1"/>
                <w:color w:val="auto"/>
              </w:rPr>
            </w:pPr>
          </w:p>
        </w:tc>
      </w:tr>
      <w:tr>
        <w:trPr>
          <w:trHeight w:val="174"/>
        </w:trPr>
        <w:tc>
          <w:tcPr>
            <w:tcW w:w="25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center"/>
              <w:ind w:right="70"/>
              <w:spacing w:after="0"/>
              <w:rPr>
                <w:sz w:val="20"/>
                <w:szCs w:val="20"/>
                <w:color w:val="auto"/>
              </w:rPr>
            </w:pPr>
            <w:r>
              <w:rPr>
                <w:rFonts w:ascii="Arial" w:cs="Arial" w:eastAsia="Arial" w:hAnsi="Arial"/>
                <w:sz w:val="13"/>
                <w:szCs w:val="13"/>
                <w:b w:val="1"/>
                <w:bCs w:val="1"/>
                <w:color w:val="auto"/>
                <w:w w:val="86"/>
              </w:rPr>
              <w:t>Value</w:t>
            </w:r>
          </w:p>
        </w:tc>
        <w:tc>
          <w:tcPr>
            <w:tcW w:w="1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3"/>
                <w:szCs w:val="13"/>
                <w:b w:val="1"/>
                <w:bCs w:val="1"/>
                <w:color w:val="auto"/>
                <w:w w:val="80"/>
              </w:rPr>
              <w:t>Losses</w:t>
            </w:r>
          </w:p>
        </w:tc>
        <w:tc>
          <w:tcPr>
            <w:tcW w:w="18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center"/>
              <w:ind w:right="111"/>
              <w:spacing w:after="0"/>
              <w:rPr>
                <w:sz w:val="20"/>
                <w:szCs w:val="20"/>
                <w:color w:val="auto"/>
              </w:rPr>
            </w:pPr>
            <w:r>
              <w:rPr>
                <w:rFonts w:ascii="Arial" w:cs="Arial" w:eastAsia="Arial" w:hAnsi="Arial"/>
                <w:sz w:val="13"/>
                <w:szCs w:val="13"/>
                <w:b w:val="1"/>
                <w:bCs w:val="1"/>
                <w:color w:val="auto"/>
                <w:w w:val="86"/>
              </w:rPr>
              <w:t>Value</w:t>
            </w:r>
          </w:p>
        </w:tc>
        <w:tc>
          <w:tcPr>
            <w:tcW w:w="1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3"/>
                <w:szCs w:val="13"/>
                <w:b w:val="1"/>
                <w:bCs w:val="1"/>
                <w:color w:val="auto"/>
                <w:w w:val="75"/>
              </w:rPr>
              <w:t>Losses</w:t>
            </w:r>
          </w:p>
        </w:tc>
        <w:tc>
          <w:tcPr>
            <w:tcW w:w="18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center"/>
              <w:ind w:right="110"/>
              <w:spacing w:after="0"/>
              <w:rPr>
                <w:sz w:val="20"/>
                <w:szCs w:val="20"/>
                <w:color w:val="auto"/>
              </w:rPr>
            </w:pPr>
            <w:r>
              <w:rPr>
                <w:rFonts w:ascii="Arial" w:cs="Arial" w:eastAsia="Arial" w:hAnsi="Arial"/>
                <w:sz w:val="13"/>
                <w:szCs w:val="13"/>
                <w:b w:val="1"/>
                <w:bCs w:val="1"/>
                <w:color w:val="auto"/>
                <w:w w:val="86"/>
              </w:rPr>
              <w:t>Value</w:t>
            </w:r>
          </w:p>
        </w:tc>
        <w:tc>
          <w:tcPr>
            <w:tcW w:w="1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3"/>
                <w:szCs w:val="13"/>
                <w:b w:val="1"/>
                <w:bCs w:val="1"/>
                <w:color w:val="auto"/>
                <w:w w:val="75"/>
              </w:rPr>
              <w:t>Losses</w:t>
            </w:r>
          </w:p>
        </w:tc>
        <w:tc>
          <w:tcPr>
            <w:tcW w:w="18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center"/>
              <w:ind w:right="111"/>
              <w:spacing w:after="0"/>
              <w:rPr>
                <w:sz w:val="20"/>
                <w:szCs w:val="20"/>
                <w:color w:val="auto"/>
              </w:rPr>
            </w:pPr>
            <w:r>
              <w:rPr>
                <w:rFonts w:ascii="Arial" w:cs="Arial" w:eastAsia="Arial" w:hAnsi="Arial"/>
                <w:sz w:val="13"/>
                <w:szCs w:val="13"/>
                <w:b w:val="1"/>
                <w:bCs w:val="1"/>
                <w:color w:val="auto"/>
                <w:w w:val="86"/>
              </w:rPr>
              <w:t>Value</w:t>
            </w:r>
          </w:p>
        </w:tc>
        <w:tc>
          <w:tcPr>
            <w:tcW w:w="1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center"/>
              <w:ind w:right="90"/>
              <w:spacing w:after="0"/>
              <w:rPr>
                <w:sz w:val="20"/>
                <w:szCs w:val="20"/>
                <w:color w:val="auto"/>
              </w:rPr>
            </w:pPr>
            <w:r>
              <w:rPr>
                <w:rFonts w:ascii="Arial" w:cs="Arial" w:eastAsia="Arial" w:hAnsi="Arial"/>
                <w:sz w:val="13"/>
                <w:szCs w:val="13"/>
                <w:b w:val="1"/>
                <w:bCs w:val="1"/>
                <w:color w:val="auto"/>
                <w:w w:val="75"/>
              </w:rPr>
              <w:t>Losses</w:t>
            </w:r>
          </w:p>
        </w:tc>
        <w:tc>
          <w:tcPr>
            <w:tcW w:w="0" w:type="dxa"/>
            <w:vAlign w:val="bottom"/>
          </w:tcPr>
          <w:p>
            <w:pPr>
              <w:spacing w:after="0"/>
              <w:rPr>
                <w:sz w:val="1"/>
                <w:szCs w:val="1"/>
                <w:color w:val="auto"/>
              </w:rPr>
            </w:pPr>
          </w:p>
        </w:tc>
      </w:tr>
      <w:tr>
        <w:trPr>
          <w:trHeight w:val="249"/>
        </w:trPr>
        <w:tc>
          <w:tcPr>
            <w:tcW w:w="25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980" w:type="dxa"/>
            <w:vAlign w:val="bottom"/>
            <w:gridSpan w:val="4"/>
          </w:tcPr>
          <w:p>
            <w:pPr>
              <w:jc w:val="right"/>
              <w:ind w:right="470"/>
              <w:spacing w:after="0"/>
              <w:rPr>
                <w:sz w:val="20"/>
                <w:szCs w:val="20"/>
                <w:color w:val="auto"/>
              </w:rPr>
            </w:pPr>
            <w:r>
              <w:rPr>
                <w:rFonts w:ascii="Arial" w:cs="Arial" w:eastAsia="Arial" w:hAnsi="Arial"/>
                <w:sz w:val="13"/>
                <w:szCs w:val="13"/>
                <w:b w:val="1"/>
                <w:bCs w:val="1"/>
                <w:color w:val="auto"/>
              </w:rPr>
              <w:t>(Dollars in millions)</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9"/>
        </w:trPr>
        <w:tc>
          <w:tcPr>
            <w:tcW w:w="2520" w:type="dxa"/>
            <w:vAlign w:val="bottom"/>
            <w:shd w:val="clear" w:color="auto" w:fill="CCEEFF"/>
          </w:tcPr>
          <w:p>
            <w:pPr>
              <w:ind w:left="40"/>
              <w:spacing w:after="0"/>
              <w:rPr>
                <w:sz w:val="20"/>
                <w:szCs w:val="20"/>
                <w:color w:val="auto"/>
              </w:rPr>
            </w:pPr>
            <w:r>
              <w:rPr>
                <w:rFonts w:ascii="Arial" w:cs="Arial" w:eastAsia="Arial" w:hAnsi="Arial"/>
                <w:sz w:val="14"/>
                <w:szCs w:val="14"/>
                <w:color w:val="auto"/>
              </w:rPr>
              <w:t>Fixed maturity securities:</w:t>
            </w: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80"/>
        </w:trPr>
        <w:tc>
          <w:tcPr>
            <w:tcW w:w="25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8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88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88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86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8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86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8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86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2520" w:type="dxa"/>
            <w:vAlign w:val="bottom"/>
          </w:tcPr>
          <w:p>
            <w:pPr>
              <w:ind w:left="40"/>
              <w:spacing w:after="0"/>
              <w:rPr>
                <w:sz w:val="20"/>
                <w:szCs w:val="20"/>
                <w:color w:val="auto"/>
              </w:rPr>
            </w:pPr>
            <w:r>
              <w:rPr>
                <w:rFonts w:ascii="Arial" w:cs="Arial" w:eastAsia="Arial" w:hAnsi="Arial"/>
                <w:sz w:val="14"/>
                <w:szCs w:val="14"/>
                <w:color w:val="auto"/>
              </w:rPr>
              <w:t>U.S. corporate</w:t>
            </w:r>
          </w:p>
        </w:tc>
        <w:tc>
          <w:tcPr>
            <w:tcW w:w="1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00" w:type="dxa"/>
            <w:vAlign w:val="bottom"/>
            <w:vMerge w:val="restart"/>
          </w:tcPr>
          <w:p>
            <w:pPr>
              <w:jc w:val="right"/>
              <w:ind w:right="50"/>
              <w:spacing w:after="0"/>
              <w:rPr>
                <w:sz w:val="20"/>
                <w:szCs w:val="20"/>
                <w:color w:val="auto"/>
              </w:rPr>
            </w:pPr>
            <w:r>
              <w:rPr>
                <w:rFonts w:ascii="Arial" w:cs="Arial" w:eastAsia="Arial" w:hAnsi="Arial"/>
                <w:sz w:val="14"/>
                <w:szCs w:val="14"/>
                <w:color w:val="auto"/>
              </w:rPr>
              <w:t>2,322</w:t>
            </w:r>
          </w:p>
        </w:tc>
        <w:tc>
          <w:tcPr>
            <w:tcW w:w="280" w:type="dxa"/>
            <w:vAlign w:val="bottom"/>
            <w:gridSpan w:val="2"/>
            <w:vMerge w:val="restart"/>
          </w:tcPr>
          <w:p>
            <w:pPr>
              <w:jc w:val="right"/>
              <w:ind w:right="60"/>
              <w:spacing w:after="0"/>
              <w:rPr>
                <w:sz w:val="20"/>
                <w:szCs w:val="20"/>
                <w:color w:val="auto"/>
              </w:rPr>
            </w:pPr>
            <w:r>
              <w:rPr>
                <w:rFonts w:ascii="Arial" w:cs="Arial" w:eastAsia="Arial" w:hAnsi="Arial"/>
                <w:sz w:val="14"/>
                <w:szCs w:val="14"/>
                <w:color w:val="auto"/>
              </w:rPr>
              <w:t>$</w:t>
            </w:r>
          </w:p>
        </w:tc>
        <w:tc>
          <w:tcPr>
            <w:tcW w:w="880" w:type="dxa"/>
            <w:vAlign w:val="bottom"/>
            <w:vMerge w:val="restart"/>
          </w:tcPr>
          <w:p>
            <w:pPr>
              <w:jc w:val="right"/>
              <w:ind w:right="50"/>
              <w:spacing w:after="0"/>
              <w:rPr>
                <w:sz w:val="20"/>
                <w:szCs w:val="20"/>
                <w:color w:val="auto"/>
              </w:rPr>
            </w:pPr>
            <w:r>
              <w:rPr>
                <w:rFonts w:ascii="Arial" w:cs="Arial" w:eastAsia="Arial" w:hAnsi="Arial"/>
                <w:sz w:val="14"/>
                <w:szCs w:val="14"/>
                <w:color w:val="auto"/>
              </w:rPr>
              <w:t>53</w:t>
            </w:r>
          </w:p>
        </w:tc>
        <w:tc>
          <w:tcPr>
            <w:tcW w:w="120" w:type="dxa"/>
            <w:vAlign w:val="bottom"/>
          </w:tcPr>
          <w:p>
            <w:pPr>
              <w:spacing w:after="0"/>
              <w:rPr>
                <w:sz w:val="16"/>
                <w:szCs w:val="16"/>
                <w:color w:val="auto"/>
              </w:rPr>
            </w:pPr>
          </w:p>
        </w:tc>
        <w:tc>
          <w:tcPr>
            <w:tcW w:w="180" w:type="dxa"/>
            <w:vAlign w:val="bottom"/>
            <w:vMerge w:val="restart"/>
          </w:tcPr>
          <w:p>
            <w:pPr>
              <w:jc w:val="right"/>
              <w:ind w:right="8"/>
              <w:spacing w:after="0"/>
              <w:rPr>
                <w:sz w:val="20"/>
                <w:szCs w:val="20"/>
                <w:color w:val="auto"/>
              </w:rPr>
            </w:pPr>
            <w:r>
              <w:rPr>
                <w:rFonts w:ascii="Arial" w:cs="Arial" w:eastAsia="Arial" w:hAnsi="Arial"/>
                <w:sz w:val="14"/>
                <w:szCs w:val="14"/>
                <w:color w:val="auto"/>
              </w:rPr>
              <w:t>$</w:t>
            </w:r>
          </w:p>
        </w:tc>
        <w:tc>
          <w:tcPr>
            <w:tcW w:w="880" w:type="dxa"/>
            <w:vAlign w:val="bottom"/>
            <w:vMerge w:val="restart"/>
          </w:tcPr>
          <w:p>
            <w:pPr>
              <w:jc w:val="right"/>
              <w:ind w:right="51"/>
              <w:spacing w:after="0"/>
              <w:rPr>
                <w:sz w:val="20"/>
                <w:szCs w:val="20"/>
                <w:color w:val="auto"/>
              </w:rPr>
            </w:pPr>
            <w:r>
              <w:rPr>
                <w:rFonts w:ascii="Arial" w:cs="Arial" w:eastAsia="Arial" w:hAnsi="Arial"/>
                <w:sz w:val="14"/>
                <w:szCs w:val="14"/>
                <w:color w:val="auto"/>
              </w:rPr>
              <w:t>750</w:t>
            </w:r>
          </w:p>
        </w:tc>
        <w:tc>
          <w:tcPr>
            <w:tcW w:w="280" w:type="dxa"/>
            <w:vAlign w:val="bottom"/>
            <w:gridSpan w:val="2"/>
            <w:vMerge w:val="restart"/>
          </w:tcPr>
          <w:p>
            <w:pPr>
              <w:jc w:val="right"/>
              <w:ind w:right="60"/>
              <w:spacing w:after="0"/>
              <w:rPr>
                <w:sz w:val="20"/>
                <w:szCs w:val="20"/>
                <w:color w:val="auto"/>
              </w:rPr>
            </w:pPr>
            <w:r>
              <w:rPr>
                <w:rFonts w:ascii="Arial" w:cs="Arial" w:eastAsia="Arial" w:hAnsi="Arial"/>
                <w:sz w:val="14"/>
                <w:szCs w:val="14"/>
                <w:color w:val="auto"/>
              </w:rPr>
              <w:t>$</w:t>
            </w:r>
          </w:p>
        </w:tc>
        <w:tc>
          <w:tcPr>
            <w:tcW w:w="860" w:type="dxa"/>
            <w:vAlign w:val="bottom"/>
            <w:vMerge w:val="restart"/>
          </w:tcPr>
          <w:p>
            <w:pPr>
              <w:jc w:val="right"/>
              <w:ind w:right="50"/>
              <w:spacing w:after="0"/>
              <w:rPr>
                <w:sz w:val="20"/>
                <w:szCs w:val="20"/>
                <w:color w:val="auto"/>
              </w:rPr>
            </w:pPr>
            <w:r>
              <w:rPr>
                <w:rFonts w:ascii="Arial" w:cs="Arial" w:eastAsia="Arial" w:hAnsi="Arial"/>
                <w:sz w:val="14"/>
                <w:szCs w:val="14"/>
                <w:color w:val="auto"/>
              </w:rPr>
              <w:t>48</w:t>
            </w:r>
          </w:p>
        </w:tc>
        <w:tc>
          <w:tcPr>
            <w:tcW w:w="100" w:type="dxa"/>
            <w:vAlign w:val="bottom"/>
          </w:tcPr>
          <w:p>
            <w:pPr>
              <w:spacing w:after="0"/>
              <w:rPr>
                <w:sz w:val="16"/>
                <w:szCs w:val="16"/>
                <w:color w:val="auto"/>
              </w:rPr>
            </w:pPr>
          </w:p>
        </w:tc>
        <w:tc>
          <w:tcPr>
            <w:tcW w:w="180" w:type="dxa"/>
            <w:vAlign w:val="bottom"/>
            <w:vMerge w:val="restart"/>
          </w:tcPr>
          <w:p>
            <w:pPr>
              <w:jc w:val="right"/>
              <w:ind w:right="8"/>
              <w:spacing w:after="0"/>
              <w:rPr>
                <w:sz w:val="20"/>
                <w:szCs w:val="20"/>
                <w:color w:val="auto"/>
              </w:rPr>
            </w:pPr>
            <w:r>
              <w:rPr>
                <w:rFonts w:ascii="Arial" w:cs="Arial" w:eastAsia="Arial" w:hAnsi="Arial"/>
                <w:sz w:val="14"/>
                <w:szCs w:val="14"/>
                <w:color w:val="auto"/>
              </w:rPr>
              <w:t>$</w:t>
            </w:r>
          </w:p>
        </w:tc>
        <w:tc>
          <w:tcPr>
            <w:tcW w:w="840" w:type="dxa"/>
            <w:vAlign w:val="bottom"/>
            <w:vMerge w:val="restart"/>
          </w:tcPr>
          <w:p>
            <w:pPr>
              <w:jc w:val="right"/>
              <w:ind w:right="50"/>
              <w:spacing w:after="0"/>
              <w:rPr>
                <w:sz w:val="20"/>
                <w:szCs w:val="20"/>
                <w:color w:val="auto"/>
              </w:rPr>
            </w:pPr>
            <w:r>
              <w:rPr>
                <w:rFonts w:ascii="Arial" w:cs="Arial" w:eastAsia="Arial" w:hAnsi="Arial"/>
                <w:sz w:val="14"/>
                <w:szCs w:val="14"/>
                <w:color w:val="auto"/>
              </w:rPr>
              <w:t>4,676</w:t>
            </w:r>
          </w:p>
        </w:tc>
        <w:tc>
          <w:tcPr>
            <w:tcW w:w="260" w:type="dxa"/>
            <w:vAlign w:val="bottom"/>
            <w:gridSpan w:val="2"/>
            <w:vMerge w:val="restart"/>
          </w:tcPr>
          <w:p>
            <w:pPr>
              <w:jc w:val="right"/>
              <w:ind w:right="60"/>
              <w:spacing w:after="0"/>
              <w:rPr>
                <w:sz w:val="20"/>
                <w:szCs w:val="20"/>
                <w:color w:val="auto"/>
              </w:rPr>
            </w:pPr>
            <w:r>
              <w:rPr>
                <w:rFonts w:ascii="Arial" w:cs="Arial" w:eastAsia="Arial" w:hAnsi="Arial"/>
                <w:sz w:val="14"/>
                <w:szCs w:val="14"/>
                <w:color w:val="auto"/>
              </w:rPr>
              <w:t>$</w:t>
            </w:r>
          </w:p>
        </w:tc>
        <w:tc>
          <w:tcPr>
            <w:tcW w:w="860" w:type="dxa"/>
            <w:vAlign w:val="bottom"/>
            <w:vMerge w:val="restart"/>
          </w:tcPr>
          <w:p>
            <w:pPr>
              <w:jc w:val="right"/>
              <w:ind w:right="30"/>
              <w:spacing w:after="0"/>
              <w:rPr>
                <w:sz w:val="20"/>
                <w:szCs w:val="20"/>
                <w:color w:val="auto"/>
              </w:rPr>
            </w:pPr>
            <w:r>
              <w:rPr>
                <w:rFonts w:ascii="Arial" w:cs="Arial" w:eastAsia="Arial" w:hAnsi="Arial"/>
                <w:sz w:val="14"/>
                <w:szCs w:val="14"/>
                <w:color w:val="auto"/>
              </w:rPr>
              <w:t>189</w:t>
            </w:r>
          </w:p>
        </w:tc>
        <w:tc>
          <w:tcPr>
            <w:tcW w:w="100" w:type="dxa"/>
            <w:vAlign w:val="bottom"/>
          </w:tcPr>
          <w:p>
            <w:pPr>
              <w:spacing w:after="0"/>
              <w:rPr>
                <w:sz w:val="16"/>
                <w:szCs w:val="16"/>
                <w:color w:val="auto"/>
              </w:rPr>
            </w:pPr>
          </w:p>
        </w:tc>
        <w:tc>
          <w:tcPr>
            <w:tcW w:w="180" w:type="dxa"/>
            <w:vAlign w:val="bottom"/>
            <w:vMerge w:val="restart"/>
          </w:tcPr>
          <w:p>
            <w:pPr>
              <w:jc w:val="right"/>
              <w:ind w:right="8"/>
              <w:spacing w:after="0"/>
              <w:rPr>
                <w:sz w:val="20"/>
                <w:szCs w:val="20"/>
                <w:color w:val="auto"/>
              </w:rPr>
            </w:pPr>
            <w:r>
              <w:rPr>
                <w:rFonts w:ascii="Arial" w:cs="Arial" w:eastAsia="Arial" w:hAnsi="Arial"/>
                <w:sz w:val="14"/>
                <w:szCs w:val="14"/>
                <w:color w:val="auto"/>
              </w:rPr>
              <w:t>$</w:t>
            </w:r>
          </w:p>
        </w:tc>
        <w:tc>
          <w:tcPr>
            <w:tcW w:w="840" w:type="dxa"/>
            <w:vAlign w:val="bottom"/>
            <w:vMerge w:val="restart"/>
          </w:tcPr>
          <w:p>
            <w:pPr>
              <w:jc w:val="right"/>
              <w:ind w:right="31"/>
              <w:spacing w:after="0"/>
              <w:rPr>
                <w:sz w:val="20"/>
                <w:szCs w:val="20"/>
                <w:color w:val="auto"/>
              </w:rPr>
            </w:pPr>
            <w:r>
              <w:rPr>
                <w:rFonts w:ascii="Arial" w:cs="Arial" w:eastAsia="Arial" w:hAnsi="Arial"/>
                <w:sz w:val="14"/>
                <w:szCs w:val="14"/>
                <w:color w:val="auto"/>
              </w:rPr>
              <w:t>745</w:t>
            </w:r>
          </w:p>
        </w:tc>
        <w:tc>
          <w:tcPr>
            <w:tcW w:w="260" w:type="dxa"/>
            <w:vAlign w:val="bottom"/>
            <w:gridSpan w:val="2"/>
            <w:vMerge w:val="restart"/>
          </w:tcPr>
          <w:p>
            <w:pPr>
              <w:jc w:val="right"/>
              <w:ind w:right="60"/>
              <w:spacing w:after="0"/>
              <w:rPr>
                <w:sz w:val="20"/>
                <w:szCs w:val="20"/>
                <w:color w:val="auto"/>
              </w:rPr>
            </w:pPr>
            <w:r>
              <w:rPr>
                <w:rFonts w:ascii="Arial" w:cs="Arial" w:eastAsia="Arial" w:hAnsi="Arial"/>
                <w:sz w:val="14"/>
                <w:szCs w:val="14"/>
                <w:color w:val="auto"/>
              </w:rPr>
              <w:t>$</w:t>
            </w:r>
          </w:p>
        </w:tc>
        <w:tc>
          <w:tcPr>
            <w:tcW w:w="860" w:type="dxa"/>
            <w:vAlign w:val="bottom"/>
            <w:vMerge w:val="restart"/>
          </w:tcPr>
          <w:p>
            <w:pPr>
              <w:jc w:val="right"/>
              <w:ind w:right="30"/>
              <w:spacing w:after="0"/>
              <w:rPr>
                <w:sz w:val="20"/>
                <w:szCs w:val="20"/>
                <w:color w:val="auto"/>
              </w:rPr>
            </w:pPr>
            <w:r>
              <w:rPr>
                <w:rFonts w:ascii="Arial" w:cs="Arial" w:eastAsia="Arial" w:hAnsi="Arial"/>
                <w:sz w:val="14"/>
                <w:szCs w:val="14"/>
                <w:color w:val="auto"/>
              </w:rPr>
              <w:t>102</w:t>
            </w:r>
          </w:p>
        </w:tc>
        <w:tc>
          <w:tcPr>
            <w:tcW w:w="0" w:type="dxa"/>
            <w:vAlign w:val="bottom"/>
          </w:tcPr>
          <w:p>
            <w:pPr>
              <w:spacing w:after="0"/>
              <w:rPr>
                <w:sz w:val="1"/>
                <w:szCs w:val="1"/>
                <w:color w:val="auto"/>
              </w:rPr>
            </w:pPr>
          </w:p>
        </w:tc>
      </w:tr>
      <w:tr>
        <w:trPr>
          <w:trHeight w:val="74"/>
        </w:trPr>
        <w:tc>
          <w:tcPr>
            <w:tcW w:w="2520" w:type="dxa"/>
            <w:vAlign w:val="bottom"/>
          </w:tcPr>
          <w:p>
            <w:pPr>
              <w:spacing w:after="0"/>
              <w:rPr>
                <w:sz w:val="6"/>
                <w:szCs w:val="6"/>
                <w:color w:val="auto"/>
              </w:rPr>
            </w:pPr>
          </w:p>
        </w:tc>
        <w:tc>
          <w:tcPr>
            <w:tcW w:w="140" w:type="dxa"/>
            <w:vAlign w:val="bottom"/>
            <w:vMerge w:val="continue"/>
          </w:tcPr>
          <w:p>
            <w:pPr>
              <w:spacing w:after="0"/>
              <w:rPr>
                <w:sz w:val="6"/>
                <w:szCs w:val="6"/>
                <w:color w:val="auto"/>
              </w:rPr>
            </w:pPr>
          </w:p>
        </w:tc>
        <w:tc>
          <w:tcPr>
            <w:tcW w:w="800" w:type="dxa"/>
            <w:vAlign w:val="bottom"/>
            <w:vMerge w:val="continue"/>
          </w:tcPr>
          <w:p>
            <w:pPr>
              <w:spacing w:after="0"/>
              <w:rPr>
                <w:sz w:val="6"/>
                <w:szCs w:val="6"/>
                <w:color w:val="auto"/>
              </w:rPr>
            </w:pPr>
          </w:p>
        </w:tc>
        <w:tc>
          <w:tcPr>
            <w:tcW w:w="280" w:type="dxa"/>
            <w:vAlign w:val="bottom"/>
            <w:gridSpan w:val="2"/>
            <w:vMerge w:val="continue"/>
          </w:tcPr>
          <w:p>
            <w:pPr>
              <w:spacing w:after="0"/>
              <w:rPr>
                <w:sz w:val="6"/>
                <w:szCs w:val="6"/>
                <w:color w:val="auto"/>
              </w:rPr>
            </w:pPr>
          </w:p>
        </w:tc>
        <w:tc>
          <w:tcPr>
            <w:tcW w:w="8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80" w:type="dxa"/>
            <w:vAlign w:val="bottom"/>
            <w:vMerge w:val="continue"/>
          </w:tcPr>
          <w:p>
            <w:pPr>
              <w:spacing w:after="0"/>
              <w:rPr>
                <w:sz w:val="6"/>
                <w:szCs w:val="6"/>
                <w:color w:val="auto"/>
              </w:rPr>
            </w:pPr>
          </w:p>
        </w:tc>
        <w:tc>
          <w:tcPr>
            <w:tcW w:w="880" w:type="dxa"/>
            <w:vAlign w:val="bottom"/>
            <w:vMerge w:val="continue"/>
          </w:tcPr>
          <w:p>
            <w:pPr>
              <w:spacing w:after="0"/>
              <w:rPr>
                <w:sz w:val="6"/>
                <w:szCs w:val="6"/>
                <w:color w:val="auto"/>
              </w:rPr>
            </w:pPr>
          </w:p>
        </w:tc>
        <w:tc>
          <w:tcPr>
            <w:tcW w:w="280" w:type="dxa"/>
            <w:vAlign w:val="bottom"/>
            <w:gridSpan w:val="2"/>
            <w:vMerge w:val="continue"/>
          </w:tcPr>
          <w:p>
            <w:pPr>
              <w:spacing w:after="0"/>
              <w:rPr>
                <w:sz w:val="6"/>
                <w:szCs w:val="6"/>
                <w:color w:val="auto"/>
              </w:rPr>
            </w:pPr>
          </w:p>
        </w:tc>
        <w:tc>
          <w:tcPr>
            <w:tcW w:w="86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80" w:type="dxa"/>
            <w:vAlign w:val="bottom"/>
            <w:vMerge w:val="continue"/>
          </w:tcPr>
          <w:p>
            <w:pPr>
              <w:spacing w:after="0"/>
              <w:rPr>
                <w:sz w:val="6"/>
                <w:szCs w:val="6"/>
                <w:color w:val="auto"/>
              </w:rPr>
            </w:pPr>
          </w:p>
        </w:tc>
        <w:tc>
          <w:tcPr>
            <w:tcW w:w="840" w:type="dxa"/>
            <w:vAlign w:val="bottom"/>
            <w:vMerge w:val="continue"/>
          </w:tcPr>
          <w:p>
            <w:pPr>
              <w:spacing w:after="0"/>
              <w:rPr>
                <w:sz w:val="6"/>
                <w:szCs w:val="6"/>
                <w:color w:val="auto"/>
              </w:rPr>
            </w:pPr>
          </w:p>
        </w:tc>
        <w:tc>
          <w:tcPr>
            <w:tcW w:w="260" w:type="dxa"/>
            <w:vAlign w:val="bottom"/>
            <w:gridSpan w:val="2"/>
            <w:vMerge w:val="continue"/>
          </w:tcPr>
          <w:p>
            <w:pPr>
              <w:spacing w:after="0"/>
              <w:rPr>
                <w:sz w:val="6"/>
                <w:szCs w:val="6"/>
                <w:color w:val="auto"/>
              </w:rPr>
            </w:pPr>
          </w:p>
        </w:tc>
        <w:tc>
          <w:tcPr>
            <w:tcW w:w="86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80" w:type="dxa"/>
            <w:vAlign w:val="bottom"/>
            <w:vMerge w:val="continue"/>
          </w:tcPr>
          <w:p>
            <w:pPr>
              <w:spacing w:after="0"/>
              <w:rPr>
                <w:sz w:val="6"/>
                <w:szCs w:val="6"/>
                <w:color w:val="auto"/>
              </w:rPr>
            </w:pPr>
          </w:p>
        </w:tc>
        <w:tc>
          <w:tcPr>
            <w:tcW w:w="840" w:type="dxa"/>
            <w:vAlign w:val="bottom"/>
            <w:vMerge w:val="continue"/>
          </w:tcPr>
          <w:p>
            <w:pPr>
              <w:spacing w:after="0"/>
              <w:rPr>
                <w:sz w:val="6"/>
                <w:szCs w:val="6"/>
                <w:color w:val="auto"/>
              </w:rPr>
            </w:pPr>
          </w:p>
        </w:tc>
        <w:tc>
          <w:tcPr>
            <w:tcW w:w="260" w:type="dxa"/>
            <w:vAlign w:val="bottom"/>
            <w:gridSpan w:val="2"/>
            <w:vMerge w:val="continue"/>
          </w:tcPr>
          <w:p>
            <w:pPr>
              <w:spacing w:after="0"/>
              <w:rPr>
                <w:sz w:val="6"/>
                <w:szCs w:val="6"/>
                <w:color w:val="auto"/>
              </w:rPr>
            </w:pPr>
          </w:p>
        </w:tc>
        <w:tc>
          <w:tcPr>
            <w:tcW w:w="8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76"/>
        </w:trPr>
        <w:tc>
          <w:tcPr>
            <w:tcW w:w="2520" w:type="dxa"/>
            <w:vAlign w:val="bottom"/>
            <w:shd w:val="clear" w:color="auto" w:fill="CCEEFF"/>
          </w:tcPr>
          <w:p>
            <w:pPr>
              <w:ind w:left="40"/>
              <w:spacing w:after="0"/>
              <w:rPr>
                <w:sz w:val="20"/>
                <w:szCs w:val="20"/>
                <w:color w:val="auto"/>
              </w:rPr>
            </w:pPr>
            <w:r>
              <w:rPr>
                <w:rFonts w:ascii="Arial" w:cs="Arial" w:eastAsia="Arial" w:hAnsi="Arial"/>
                <w:sz w:val="14"/>
                <w:szCs w:val="14"/>
                <w:color w:val="auto"/>
              </w:rPr>
              <w:t>U.S. government and agency</w:t>
            </w:r>
          </w:p>
        </w:tc>
        <w:tc>
          <w:tcPr>
            <w:tcW w:w="14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5,384</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72</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rPr>
              <w:t>529</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55</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4,396</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236</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1"/>
        </w:trPr>
        <w:tc>
          <w:tcPr>
            <w:tcW w:w="2520" w:type="dxa"/>
            <w:vAlign w:val="bottom"/>
          </w:tcPr>
          <w:p>
            <w:pPr>
              <w:ind w:left="40"/>
              <w:spacing w:after="0"/>
              <w:rPr>
                <w:sz w:val="20"/>
                <w:szCs w:val="20"/>
                <w:color w:val="auto"/>
              </w:rPr>
            </w:pPr>
            <w:r>
              <w:rPr>
                <w:rFonts w:ascii="Arial" w:cs="Arial" w:eastAsia="Arial" w:hAnsi="Arial"/>
                <w:sz w:val="14"/>
                <w:szCs w:val="14"/>
                <w:color w:val="auto"/>
              </w:rPr>
              <w:t>RMBS</w:t>
            </w:r>
          </w:p>
        </w:tc>
        <w:tc>
          <w:tcPr>
            <w:tcW w:w="140" w:type="dxa"/>
            <w:vAlign w:val="bottom"/>
          </w:tcPr>
          <w:p>
            <w:pPr>
              <w:spacing w:after="0"/>
              <w:rPr>
                <w:sz w:val="16"/>
                <w:szCs w:val="16"/>
                <w:color w:val="auto"/>
              </w:rPr>
            </w:pPr>
          </w:p>
        </w:tc>
        <w:tc>
          <w:tcPr>
            <w:tcW w:w="800" w:type="dxa"/>
            <w:vAlign w:val="bottom"/>
            <w:vMerge w:val="restart"/>
          </w:tcPr>
          <w:p>
            <w:pPr>
              <w:jc w:val="right"/>
              <w:ind w:right="50"/>
              <w:spacing w:after="0"/>
              <w:rPr>
                <w:sz w:val="20"/>
                <w:szCs w:val="20"/>
                <w:color w:val="auto"/>
              </w:rPr>
            </w:pPr>
            <w:r>
              <w:rPr>
                <w:rFonts w:ascii="Arial" w:cs="Arial" w:eastAsia="Arial" w:hAnsi="Arial"/>
                <w:sz w:val="14"/>
                <w:szCs w:val="14"/>
                <w:color w:val="auto"/>
              </w:rPr>
              <w:t>2,232</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vMerge w:val="restart"/>
          </w:tcPr>
          <w:p>
            <w:pPr>
              <w:jc w:val="right"/>
              <w:ind w:right="50"/>
              <w:spacing w:after="0"/>
              <w:rPr>
                <w:sz w:val="20"/>
                <w:szCs w:val="20"/>
                <w:color w:val="auto"/>
              </w:rPr>
            </w:pPr>
            <w:r>
              <w:rPr>
                <w:rFonts w:ascii="Arial" w:cs="Arial" w:eastAsia="Arial" w:hAnsi="Arial"/>
                <w:sz w:val="14"/>
                <w:szCs w:val="14"/>
                <w:color w:val="auto"/>
              </w:rPr>
              <w:t>44</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vMerge w:val="restart"/>
          </w:tcPr>
          <w:p>
            <w:pPr>
              <w:jc w:val="right"/>
              <w:ind w:right="51"/>
              <w:spacing w:after="0"/>
              <w:rPr>
                <w:sz w:val="20"/>
                <w:szCs w:val="20"/>
                <w:color w:val="auto"/>
              </w:rPr>
            </w:pPr>
            <w:r>
              <w:rPr>
                <w:rFonts w:ascii="Arial" w:cs="Arial" w:eastAsia="Arial" w:hAnsi="Arial"/>
                <w:sz w:val="14"/>
                <w:szCs w:val="14"/>
                <w:color w:val="auto"/>
              </w:rPr>
              <w:t>395</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vMerge w:val="restart"/>
          </w:tcPr>
          <w:p>
            <w:pPr>
              <w:jc w:val="right"/>
              <w:ind w:right="50"/>
              <w:spacing w:after="0"/>
              <w:rPr>
                <w:sz w:val="20"/>
                <w:szCs w:val="20"/>
                <w:color w:val="auto"/>
              </w:rPr>
            </w:pPr>
            <w:r>
              <w:rPr>
                <w:rFonts w:ascii="Arial" w:cs="Arial" w:eastAsia="Arial" w:hAnsi="Arial"/>
                <w:sz w:val="14"/>
                <w:szCs w:val="14"/>
                <w:color w:val="auto"/>
              </w:rPr>
              <w:t>14</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vMerge w:val="restart"/>
          </w:tcPr>
          <w:p>
            <w:pPr>
              <w:jc w:val="right"/>
              <w:ind w:right="50"/>
              <w:spacing w:after="0"/>
              <w:rPr>
                <w:sz w:val="20"/>
                <w:szCs w:val="20"/>
                <w:color w:val="auto"/>
              </w:rPr>
            </w:pPr>
            <w:r>
              <w:rPr>
                <w:rFonts w:ascii="Arial" w:cs="Arial" w:eastAsia="Arial" w:hAnsi="Arial"/>
                <w:sz w:val="14"/>
                <w:szCs w:val="14"/>
                <w:color w:val="auto"/>
              </w:rPr>
              <w:t>3,494</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vMerge w:val="restart"/>
          </w:tcPr>
          <w:p>
            <w:pPr>
              <w:jc w:val="right"/>
              <w:ind w:right="30"/>
              <w:spacing w:after="0"/>
              <w:rPr>
                <w:sz w:val="20"/>
                <w:szCs w:val="20"/>
                <w:color w:val="auto"/>
              </w:rPr>
            </w:pPr>
            <w:r>
              <w:rPr>
                <w:rFonts w:ascii="Arial" w:cs="Arial" w:eastAsia="Arial" w:hAnsi="Arial"/>
                <w:sz w:val="14"/>
                <w:szCs w:val="14"/>
                <w:color w:val="auto"/>
              </w:rPr>
              <w:t>112</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vMerge w:val="restart"/>
          </w:tcPr>
          <w:p>
            <w:pPr>
              <w:jc w:val="right"/>
              <w:ind w:right="31"/>
              <w:spacing w:after="0"/>
              <w:rPr>
                <w:sz w:val="20"/>
                <w:szCs w:val="20"/>
                <w:color w:val="auto"/>
              </w:rPr>
            </w:pPr>
            <w:r>
              <w:rPr>
                <w:rFonts w:ascii="Arial" w:cs="Arial" w:eastAsia="Arial" w:hAnsi="Arial"/>
                <w:sz w:val="14"/>
                <w:szCs w:val="14"/>
                <w:color w:val="auto"/>
              </w:rPr>
              <w:t>818</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vMerge w:val="restart"/>
          </w:tcPr>
          <w:p>
            <w:pPr>
              <w:jc w:val="right"/>
              <w:ind w:right="30"/>
              <w:spacing w:after="0"/>
              <w:rPr>
                <w:sz w:val="20"/>
                <w:szCs w:val="20"/>
                <w:color w:val="auto"/>
              </w:rPr>
            </w:pPr>
            <w:r>
              <w:rPr>
                <w:rFonts w:ascii="Arial" w:cs="Arial" w:eastAsia="Arial" w:hAnsi="Arial"/>
                <w:sz w:val="14"/>
                <w:szCs w:val="14"/>
                <w:color w:val="auto"/>
              </w:rPr>
              <w:t>32</w:t>
            </w:r>
          </w:p>
        </w:tc>
        <w:tc>
          <w:tcPr>
            <w:tcW w:w="0" w:type="dxa"/>
            <w:vAlign w:val="bottom"/>
          </w:tcPr>
          <w:p>
            <w:pPr>
              <w:spacing w:after="0"/>
              <w:rPr>
                <w:sz w:val="1"/>
                <w:szCs w:val="1"/>
                <w:color w:val="auto"/>
              </w:rPr>
            </w:pPr>
          </w:p>
        </w:tc>
      </w:tr>
      <w:tr>
        <w:trPr>
          <w:trHeight w:val="74"/>
        </w:trPr>
        <w:tc>
          <w:tcPr>
            <w:tcW w:w="2520" w:type="dxa"/>
            <w:vAlign w:val="bottom"/>
          </w:tcPr>
          <w:p>
            <w:pPr>
              <w:spacing w:after="0"/>
              <w:rPr>
                <w:sz w:val="6"/>
                <w:szCs w:val="6"/>
                <w:color w:val="auto"/>
              </w:rPr>
            </w:pPr>
          </w:p>
        </w:tc>
        <w:tc>
          <w:tcPr>
            <w:tcW w:w="14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8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80" w:type="dxa"/>
            <w:vAlign w:val="bottom"/>
          </w:tcPr>
          <w:p>
            <w:pPr>
              <w:spacing w:after="0"/>
              <w:rPr>
                <w:sz w:val="6"/>
                <w:szCs w:val="6"/>
                <w:color w:val="auto"/>
              </w:rPr>
            </w:pPr>
          </w:p>
        </w:tc>
        <w:tc>
          <w:tcPr>
            <w:tcW w:w="8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86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80" w:type="dxa"/>
            <w:vAlign w:val="bottom"/>
          </w:tcPr>
          <w:p>
            <w:pPr>
              <w:spacing w:after="0"/>
              <w:rPr>
                <w:sz w:val="6"/>
                <w:szCs w:val="6"/>
                <w:color w:val="auto"/>
              </w:rPr>
            </w:pPr>
          </w:p>
        </w:tc>
        <w:tc>
          <w:tcPr>
            <w:tcW w:w="84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86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80" w:type="dxa"/>
            <w:vAlign w:val="bottom"/>
          </w:tcPr>
          <w:p>
            <w:pPr>
              <w:spacing w:after="0"/>
              <w:rPr>
                <w:sz w:val="6"/>
                <w:szCs w:val="6"/>
                <w:color w:val="auto"/>
              </w:rPr>
            </w:pPr>
          </w:p>
        </w:tc>
        <w:tc>
          <w:tcPr>
            <w:tcW w:w="84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8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520" w:type="dxa"/>
            <w:vAlign w:val="bottom"/>
            <w:shd w:val="clear" w:color="auto" w:fill="CCEEFF"/>
          </w:tcPr>
          <w:p>
            <w:pPr>
              <w:ind w:left="40"/>
              <w:spacing w:after="0"/>
              <w:rPr>
                <w:sz w:val="20"/>
                <w:szCs w:val="20"/>
                <w:color w:val="auto"/>
              </w:rPr>
            </w:pPr>
            <w:r>
              <w:rPr>
                <w:rFonts w:ascii="Arial" w:cs="Arial" w:eastAsia="Arial" w:hAnsi="Arial"/>
                <w:sz w:val="14"/>
                <w:szCs w:val="14"/>
                <w:color w:val="auto"/>
              </w:rPr>
              <w:t>Foreign corporate</w:t>
            </w:r>
          </w:p>
        </w:tc>
        <w:tc>
          <w:tcPr>
            <w:tcW w:w="140" w:type="dxa"/>
            <w:vAlign w:val="bottom"/>
            <w:shd w:val="clear" w:color="auto" w:fill="CCEEFF"/>
          </w:tcPr>
          <w:p>
            <w:pPr>
              <w:spacing w:after="0"/>
              <w:rPr>
                <w:sz w:val="17"/>
                <w:szCs w:val="17"/>
                <w:color w:val="auto"/>
              </w:rPr>
            </w:pPr>
          </w:p>
        </w:tc>
        <w:tc>
          <w:tcPr>
            <w:tcW w:w="800" w:type="dxa"/>
            <w:vAlign w:val="bottom"/>
            <w:vMerge w:val="restart"/>
            <w:shd w:val="clear" w:color="auto" w:fill="CCEEFF"/>
          </w:tcPr>
          <w:p>
            <w:pPr>
              <w:jc w:val="right"/>
              <w:ind w:right="50"/>
              <w:spacing w:after="0"/>
              <w:rPr>
                <w:sz w:val="20"/>
                <w:szCs w:val="20"/>
                <w:color w:val="auto"/>
              </w:rPr>
            </w:pPr>
            <w:r>
              <w:rPr>
                <w:rFonts w:ascii="Arial" w:cs="Arial" w:eastAsia="Arial" w:hAnsi="Arial"/>
                <w:sz w:val="14"/>
                <w:szCs w:val="14"/>
                <w:color w:val="auto"/>
              </w:rPr>
              <w:t>561</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vMerge w:val="restart"/>
            <w:shd w:val="clear" w:color="auto" w:fill="CCEEFF"/>
          </w:tcPr>
          <w:p>
            <w:pPr>
              <w:jc w:val="right"/>
              <w:ind w:right="50"/>
              <w:spacing w:after="0"/>
              <w:rPr>
                <w:sz w:val="20"/>
                <w:szCs w:val="20"/>
                <w:color w:val="auto"/>
              </w:rPr>
            </w:pPr>
            <w:r>
              <w:rPr>
                <w:rFonts w:ascii="Arial" w:cs="Arial" w:eastAsia="Arial" w:hAnsi="Arial"/>
                <w:sz w:val="14"/>
                <w:szCs w:val="14"/>
                <w:color w:val="auto"/>
              </w:rPr>
              <w:t>12</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vMerge w:val="restart"/>
            <w:shd w:val="clear" w:color="auto" w:fill="CCEEFF"/>
          </w:tcPr>
          <w:p>
            <w:pPr>
              <w:jc w:val="right"/>
              <w:ind w:right="51"/>
              <w:spacing w:after="0"/>
              <w:rPr>
                <w:sz w:val="20"/>
                <w:szCs w:val="20"/>
                <w:color w:val="auto"/>
              </w:rPr>
            </w:pPr>
            <w:r>
              <w:rPr>
                <w:rFonts w:ascii="Arial" w:cs="Arial" w:eastAsia="Arial" w:hAnsi="Arial"/>
                <w:sz w:val="14"/>
                <w:szCs w:val="14"/>
                <w:color w:val="auto"/>
              </w:rPr>
              <w:t>594</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vMerge w:val="restart"/>
            <w:shd w:val="clear" w:color="auto" w:fill="CCEEFF"/>
          </w:tcPr>
          <w:p>
            <w:pPr>
              <w:jc w:val="right"/>
              <w:ind w:right="50"/>
              <w:spacing w:after="0"/>
              <w:rPr>
                <w:sz w:val="20"/>
                <w:szCs w:val="20"/>
                <w:color w:val="auto"/>
              </w:rPr>
            </w:pPr>
            <w:r>
              <w:rPr>
                <w:rFonts w:ascii="Arial" w:cs="Arial" w:eastAsia="Arial" w:hAnsi="Arial"/>
                <w:sz w:val="14"/>
                <w:szCs w:val="14"/>
                <w:color w:val="auto"/>
              </w:rPr>
              <w:t>63</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vMerge w:val="restart"/>
            <w:shd w:val="clear" w:color="auto" w:fill="CCEEFF"/>
          </w:tcPr>
          <w:p>
            <w:pPr>
              <w:jc w:val="right"/>
              <w:ind w:right="50"/>
              <w:spacing w:after="0"/>
              <w:rPr>
                <w:sz w:val="20"/>
                <w:szCs w:val="20"/>
                <w:color w:val="auto"/>
              </w:rPr>
            </w:pPr>
            <w:r>
              <w:rPr>
                <w:rFonts w:ascii="Arial" w:cs="Arial" w:eastAsia="Arial" w:hAnsi="Arial"/>
                <w:sz w:val="14"/>
                <w:szCs w:val="14"/>
                <w:color w:val="auto"/>
              </w:rPr>
              <w:t>1,466</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vMerge w:val="restart"/>
            <w:shd w:val="clear" w:color="auto" w:fill="CCEEFF"/>
          </w:tcPr>
          <w:p>
            <w:pPr>
              <w:jc w:val="right"/>
              <w:ind w:right="30"/>
              <w:spacing w:after="0"/>
              <w:rPr>
                <w:sz w:val="20"/>
                <w:szCs w:val="20"/>
                <w:color w:val="auto"/>
              </w:rPr>
            </w:pPr>
            <w:r>
              <w:rPr>
                <w:rFonts w:ascii="Arial" w:cs="Arial" w:eastAsia="Arial" w:hAnsi="Arial"/>
                <w:sz w:val="14"/>
                <w:szCs w:val="14"/>
                <w:color w:val="auto"/>
              </w:rPr>
              <w:t>66</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vMerge w:val="restart"/>
            <w:shd w:val="clear" w:color="auto" w:fill="CCEEFF"/>
          </w:tcPr>
          <w:p>
            <w:pPr>
              <w:jc w:val="right"/>
              <w:ind w:right="31"/>
              <w:spacing w:after="0"/>
              <w:rPr>
                <w:sz w:val="20"/>
                <w:szCs w:val="20"/>
                <w:color w:val="auto"/>
              </w:rPr>
            </w:pPr>
            <w:r>
              <w:rPr>
                <w:rFonts w:ascii="Arial" w:cs="Arial" w:eastAsia="Arial" w:hAnsi="Arial"/>
                <w:sz w:val="14"/>
                <w:szCs w:val="14"/>
                <w:color w:val="auto"/>
              </w:rPr>
              <w:t>633</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vMerge w:val="restart"/>
            <w:shd w:val="clear" w:color="auto" w:fill="CCEEFF"/>
          </w:tcPr>
          <w:p>
            <w:pPr>
              <w:jc w:val="right"/>
              <w:ind w:right="30"/>
              <w:spacing w:after="0"/>
              <w:rPr>
                <w:sz w:val="20"/>
                <w:szCs w:val="20"/>
                <w:color w:val="auto"/>
              </w:rPr>
            </w:pPr>
            <w:r>
              <w:rPr>
                <w:rFonts w:ascii="Arial" w:cs="Arial" w:eastAsia="Arial" w:hAnsi="Arial"/>
                <w:sz w:val="14"/>
                <w:szCs w:val="14"/>
                <w:color w:val="auto"/>
              </w:rPr>
              <w:t>114</w:t>
            </w:r>
          </w:p>
        </w:tc>
        <w:tc>
          <w:tcPr>
            <w:tcW w:w="0" w:type="dxa"/>
            <w:vAlign w:val="bottom"/>
          </w:tcPr>
          <w:p>
            <w:pPr>
              <w:spacing w:after="0"/>
              <w:rPr>
                <w:sz w:val="1"/>
                <w:szCs w:val="1"/>
                <w:color w:val="auto"/>
              </w:rPr>
            </w:pPr>
          </w:p>
        </w:tc>
      </w:tr>
      <w:tr>
        <w:trPr>
          <w:trHeight w:val="80"/>
        </w:trPr>
        <w:tc>
          <w:tcPr>
            <w:tcW w:w="25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80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88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88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86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84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86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84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86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64"/>
        </w:trPr>
        <w:tc>
          <w:tcPr>
            <w:tcW w:w="2520" w:type="dxa"/>
            <w:vAlign w:val="bottom"/>
          </w:tcPr>
          <w:p>
            <w:pPr>
              <w:ind w:left="40"/>
              <w:spacing w:after="0"/>
              <w:rPr>
                <w:sz w:val="20"/>
                <w:szCs w:val="20"/>
                <w:color w:val="auto"/>
              </w:rPr>
            </w:pPr>
            <w:r>
              <w:rPr>
                <w:rFonts w:ascii="Arial" w:cs="Arial" w:eastAsia="Arial" w:hAnsi="Arial"/>
                <w:sz w:val="14"/>
                <w:szCs w:val="14"/>
                <w:color w:val="auto"/>
              </w:rPr>
              <w:t>State and political subdivision</w:t>
            </w:r>
          </w:p>
        </w:tc>
        <w:tc>
          <w:tcPr>
            <w:tcW w:w="140" w:type="dxa"/>
            <w:vAlign w:val="bottom"/>
          </w:tcPr>
          <w:p>
            <w:pPr>
              <w:spacing w:after="0"/>
              <w:rPr>
                <w:sz w:val="22"/>
                <w:szCs w:val="22"/>
                <w:color w:val="auto"/>
              </w:rPr>
            </w:pPr>
          </w:p>
        </w:tc>
        <w:tc>
          <w:tcPr>
            <w:tcW w:w="800" w:type="dxa"/>
            <w:vAlign w:val="bottom"/>
          </w:tcPr>
          <w:p>
            <w:pPr>
              <w:jc w:val="right"/>
              <w:ind w:right="50"/>
              <w:spacing w:after="0"/>
              <w:rPr>
                <w:sz w:val="20"/>
                <w:szCs w:val="20"/>
                <w:color w:val="auto"/>
              </w:rPr>
            </w:pPr>
            <w:r>
              <w:rPr>
                <w:rFonts w:ascii="Arial" w:cs="Arial" w:eastAsia="Arial" w:hAnsi="Arial"/>
                <w:sz w:val="14"/>
                <w:szCs w:val="14"/>
                <w:color w:val="auto"/>
              </w:rPr>
              <w:t>300</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80" w:type="dxa"/>
            <w:vAlign w:val="bottom"/>
          </w:tcPr>
          <w:p>
            <w:pPr>
              <w:jc w:val="right"/>
              <w:ind w:right="50"/>
              <w:spacing w:after="0"/>
              <w:rPr>
                <w:sz w:val="20"/>
                <w:szCs w:val="20"/>
                <w:color w:val="auto"/>
              </w:rPr>
            </w:pPr>
            <w:r>
              <w:rPr>
                <w:rFonts w:ascii="Arial" w:cs="Arial" w:eastAsia="Arial" w:hAnsi="Arial"/>
                <w:sz w:val="14"/>
                <w:szCs w:val="14"/>
                <w:color w:val="auto"/>
              </w:rPr>
              <w:t>6</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80" w:type="dxa"/>
            <w:vAlign w:val="bottom"/>
          </w:tcPr>
          <w:p>
            <w:pPr>
              <w:jc w:val="right"/>
              <w:ind w:right="51"/>
              <w:spacing w:after="0"/>
              <w:rPr>
                <w:sz w:val="20"/>
                <w:szCs w:val="20"/>
                <w:color w:val="auto"/>
              </w:rPr>
            </w:pPr>
            <w:r>
              <w:rPr>
                <w:rFonts w:ascii="Arial" w:cs="Arial" w:eastAsia="Arial" w:hAnsi="Arial"/>
                <w:sz w:val="14"/>
                <w:szCs w:val="14"/>
                <w:color w:val="auto"/>
              </w:rPr>
              <w:t>43</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60" w:type="dxa"/>
            <w:vAlign w:val="bottom"/>
          </w:tcPr>
          <w:p>
            <w:pPr>
              <w:jc w:val="right"/>
              <w:ind w:right="50"/>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40" w:type="dxa"/>
            <w:vAlign w:val="bottom"/>
          </w:tcPr>
          <w:p>
            <w:pPr>
              <w:jc w:val="right"/>
              <w:ind w:right="50"/>
              <w:spacing w:after="0"/>
              <w:rPr>
                <w:sz w:val="20"/>
                <w:szCs w:val="20"/>
                <w:color w:val="auto"/>
              </w:rPr>
            </w:pPr>
            <w:r>
              <w:rPr>
                <w:rFonts w:ascii="Arial" w:cs="Arial" w:eastAsia="Arial" w:hAnsi="Arial"/>
                <w:sz w:val="14"/>
                <w:szCs w:val="14"/>
                <w:color w:val="auto"/>
              </w:rPr>
              <w:t>889</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60" w:type="dxa"/>
            <w:vAlign w:val="bottom"/>
          </w:tcPr>
          <w:p>
            <w:pPr>
              <w:jc w:val="right"/>
              <w:ind w:right="30"/>
              <w:spacing w:after="0"/>
              <w:rPr>
                <w:sz w:val="20"/>
                <w:szCs w:val="20"/>
                <w:color w:val="auto"/>
              </w:rPr>
            </w:pPr>
            <w:r>
              <w:rPr>
                <w:rFonts w:ascii="Arial" w:cs="Arial" w:eastAsia="Arial" w:hAnsi="Arial"/>
                <w:sz w:val="14"/>
                <w:szCs w:val="14"/>
                <w:color w:val="auto"/>
              </w:rPr>
              <w:t>35</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40" w:type="dxa"/>
            <w:vAlign w:val="bottom"/>
          </w:tcPr>
          <w:p>
            <w:pPr>
              <w:jc w:val="right"/>
              <w:ind w:right="31"/>
              <w:spacing w:after="0"/>
              <w:rPr>
                <w:sz w:val="20"/>
                <w:szCs w:val="20"/>
                <w:color w:val="auto"/>
              </w:rPr>
            </w:pPr>
            <w:r>
              <w:rPr>
                <w:rFonts w:ascii="Arial" w:cs="Arial" w:eastAsia="Arial" w:hAnsi="Arial"/>
                <w:sz w:val="14"/>
                <w:szCs w:val="14"/>
                <w:color w:val="auto"/>
              </w:rPr>
              <w:t>29</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60" w:type="dxa"/>
            <w:vAlign w:val="bottom"/>
          </w:tcPr>
          <w:p>
            <w:pPr>
              <w:jc w:val="right"/>
              <w:ind w:right="30"/>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197"/>
        </w:trPr>
        <w:tc>
          <w:tcPr>
            <w:tcW w:w="2520" w:type="dxa"/>
            <w:vAlign w:val="bottom"/>
            <w:shd w:val="clear" w:color="auto" w:fill="CCEEFF"/>
          </w:tcPr>
          <w:p>
            <w:pPr>
              <w:ind w:left="40"/>
              <w:spacing w:after="0"/>
              <w:rPr>
                <w:sz w:val="20"/>
                <w:szCs w:val="20"/>
                <w:color w:val="auto"/>
              </w:rPr>
            </w:pPr>
            <w:r>
              <w:rPr>
                <w:rFonts w:ascii="Arial" w:cs="Arial" w:eastAsia="Arial" w:hAnsi="Arial"/>
                <w:sz w:val="14"/>
                <w:szCs w:val="14"/>
                <w:color w:val="auto"/>
              </w:rPr>
              <w:t>CMBS</w:t>
            </w:r>
          </w:p>
        </w:tc>
        <w:tc>
          <w:tcPr>
            <w:tcW w:w="140" w:type="dxa"/>
            <w:vAlign w:val="bottom"/>
            <w:shd w:val="clear" w:color="auto" w:fill="CCEEFF"/>
          </w:tcPr>
          <w:p>
            <w:pPr>
              <w:spacing w:after="0"/>
              <w:rPr>
                <w:sz w:val="17"/>
                <w:szCs w:val="17"/>
                <w:color w:val="auto"/>
              </w:rPr>
            </w:pPr>
          </w:p>
        </w:tc>
        <w:tc>
          <w:tcPr>
            <w:tcW w:w="800" w:type="dxa"/>
            <w:vAlign w:val="bottom"/>
            <w:vMerge w:val="restart"/>
            <w:shd w:val="clear" w:color="auto" w:fill="CCEEFF"/>
          </w:tcPr>
          <w:p>
            <w:pPr>
              <w:jc w:val="right"/>
              <w:ind w:right="50"/>
              <w:spacing w:after="0"/>
              <w:rPr>
                <w:sz w:val="20"/>
                <w:szCs w:val="20"/>
                <w:color w:val="auto"/>
              </w:rPr>
            </w:pPr>
            <w:r>
              <w:rPr>
                <w:rFonts w:ascii="Arial" w:cs="Arial" w:eastAsia="Arial" w:hAnsi="Arial"/>
                <w:sz w:val="14"/>
                <w:szCs w:val="14"/>
                <w:color w:val="auto"/>
              </w:rPr>
              <w:t>681</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vMerge w:val="restart"/>
            <w:shd w:val="clear" w:color="auto" w:fill="CCEEFF"/>
          </w:tcPr>
          <w:p>
            <w:pPr>
              <w:jc w:val="right"/>
              <w:ind w:right="50"/>
              <w:spacing w:after="0"/>
              <w:rPr>
                <w:sz w:val="20"/>
                <w:szCs w:val="20"/>
                <w:color w:val="auto"/>
              </w:rPr>
            </w:pPr>
            <w:r>
              <w:rPr>
                <w:rFonts w:ascii="Arial" w:cs="Arial" w:eastAsia="Arial" w:hAnsi="Arial"/>
                <w:sz w:val="14"/>
                <w:szCs w:val="14"/>
                <w:color w:val="auto"/>
              </w:rPr>
              <w:t>10</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vMerge w:val="restart"/>
            <w:shd w:val="clear" w:color="auto" w:fill="CCEEFF"/>
          </w:tcPr>
          <w:p>
            <w:pPr>
              <w:jc w:val="right"/>
              <w:ind w:right="51"/>
              <w:spacing w:after="0"/>
              <w:rPr>
                <w:sz w:val="20"/>
                <w:szCs w:val="20"/>
                <w:color w:val="auto"/>
              </w:rPr>
            </w:pPr>
            <w:r>
              <w:rPr>
                <w:rFonts w:ascii="Arial" w:cs="Arial" w:eastAsia="Arial" w:hAnsi="Arial"/>
                <w:sz w:val="14"/>
                <w:szCs w:val="14"/>
                <w:color w:val="auto"/>
              </w:rPr>
              <w:t>92</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vMerge w:val="restart"/>
            <w:shd w:val="clear" w:color="auto" w:fill="CCEEFF"/>
          </w:tcPr>
          <w:p>
            <w:pPr>
              <w:jc w:val="right"/>
              <w:ind w:right="50"/>
              <w:spacing w:after="0"/>
              <w:rPr>
                <w:sz w:val="20"/>
                <w:szCs w:val="20"/>
                <w:color w:val="auto"/>
              </w:rPr>
            </w:pPr>
            <w:r>
              <w:rPr>
                <w:rFonts w:ascii="Arial" w:cs="Arial" w:eastAsia="Arial" w:hAnsi="Arial"/>
                <w:sz w:val="14"/>
                <w:szCs w:val="14"/>
                <w:color w:val="auto"/>
              </w:rPr>
              <w:t>5</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vMerge w:val="restart"/>
            <w:shd w:val="clear" w:color="auto" w:fill="CCEEFF"/>
          </w:tcPr>
          <w:p>
            <w:pPr>
              <w:jc w:val="right"/>
              <w:ind w:right="50"/>
              <w:spacing w:after="0"/>
              <w:rPr>
                <w:sz w:val="20"/>
                <w:szCs w:val="20"/>
                <w:color w:val="auto"/>
              </w:rPr>
            </w:pPr>
            <w:r>
              <w:rPr>
                <w:rFonts w:ascii="Arial" w:cs="Arial" w:eastAsia="Arial" w:hAnsi="Arial"/>
                <w:sz w:val="14"/>
                <w:szCs w:val="14"/>
                <w:color w:val="auto"/>
              </w:rPr>
              <w:t>1,572</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vMerge w:val="restart"/>
            <w:shd w:val="clear" w:color="auto" w:fill="CCEEFF"/>
          </w:tcPr>
          <w:p>
            <w:pPr>
              <w:jc w:val="right"/>
              <w:ind w:right="30"/>
              <w:spacing w:after="0"/>
              <w:rPr>
                <w:sz w:val="20"/>
                <w:szCs w:val="20"/>
                <w:color w:val="auto"/>
              </w:rPr>
            </w:pPr>
            <w:r>
              <w:rPr>
                <w:rFonts w:ascii="Arial" w:cs="Arial" w:eastAsia="Arial" w:hAnsi="Arial"/>
                <w:sz w:val="14"/>
                <w:szCs w:val="14"/>
                <w:color w:val="auto"/>
              </w:rPr>
              <w:t>27</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vMerge w:val="restart"/>
            <w:shd w:val="clear" w:color="auto" w:fill="CCEEFF"/>
          </w:tcPr>
          <w:p>
            <w:pPr>
              <w:jc w:val="right"/>
              <w:ind w:right="31"/>
              <w:spacing w:after="0"/>
              <w:rPr>
                <w:sz w:val="20"/>
                <w:szCs w:val="20"/>
                <w:color w:val="auto"/>
              </w:rPr>
            </w:pPr>
            <w:r>
              <w:rPr>
                <w:rFonts w:ascii="Arial" w:cs="Arial" w:eastAsia="Arial" w:hAnsi="Arial"/>
                <w:sz w:val="14"/>
                <w:szCs w:val="14"/>
                <w:color w:val="auto"/>
              </w:rPr>
              <w:t>171</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vMerge w:val="restart"/>
            <w:shd w:val="clear" w:color="auto" w:fill="CCEEFF"/>
          </w:tcPr>
          <w:p>
            <w:pPr>
              <w:jc w:val="right"/>
              <w:ind w:right="30"/>
              <w:spacing w:after="0"/>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80"/>
        </w:trPr>
        <w:tc>
          <w:tcPr>
            <w:tcW w:w="25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80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88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88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86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84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86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84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86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2520" w:type="dxa"/>
            <w:vAlign w:val="bottom"/>
          </w:tcPr>
          <w:p>
            <w:pPr>
              <w:ind w:left="40"/>
              <w:spacing w:after="0"/>
              <w:rPr>
                <w:sz w:val="20"/>
                <w:szCs w:val="20"/>
                <w:color w:val="auto"/>
              </w:rPr>
            </w:pPr>
            <w:r>
              <w:rPr>
                <w:rFonts w:ascii="Arial" w:cs="Arial" w:eastAsia="Arial" w:hAnsi="Arial"/>
                <w:sz w:val="14"/>
                <w:szCs w:val="14"/>
                <w:color w:val="auto"/>
              </w:rPr>
              <w:t>ABS</w:t>
            </w:r>
          </w:p>
        </w:tc>
        <w:tc>
          <w:tcPr>
            <w:tcW w:w="140" w:type="dxa"/>
            <w:vAlign w:val="bottom"/>
          </w:tcPr>
          <w:p>
            <w:pPr>
              <w:spacing w:after="0"/>
              <w:rPr>
                <w:sz w:val="16"/>
                <w:szCs w:val="16"/>
                <w:color w:val="auto"/>
              </w:rPr>
            </w:pPr>
          </w:p>
        </w:tc>
        <w:tc>
          <w:tcPr>
            <w:tcW w:w="800" w:type="dxa"/>
            <w:vAlign w:val="bottom"/>
            <w:vMerge w:val="restart"/>
          </w:tcPr>
          <w:p>
            <w:pPr>
              <w:jc w:val="right"/>
              <w:ind w:right="50"/>
              <w:spacing w:after="0"/>
              <w:rPr>
                <w:sz w:val="20"/>
                <w:szCs w:val="20"/>
                <w:color w:val="auto"/>
              </w:rPr>
            </w:pPr>
            <w:r>
              <w:rPr>
                <w:rFonts w:ascii="Arial" w:cs="Arial" w:eastAsia="Arial" w:hAnsi="Arial"/>
                <w:sz w:val="14"/>
                <w:szCs w:val="14"/>
                <w:color w:val="auto"/>
              </w:rPr>
              <w:t>122</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880" w:type="dxa"/>
            <w:vAlign w:val="bottom"/>
            <w:vMerge w:val="restart"/>
          </w:tcPr>
          <w:p>
            <w:pPr>
              <w:jc w:val="right"/>
              <w:ind w:right="51"/>
              <w:spacing w:after="0"/>
              <w:rPr>
                <w:sz w:val="20"/>
                <w:szCs w:val="20"/>
                <w:color w:val="auto"/>
              </w:rPr>
            </w:pPr>
            <w:r>
              <w:rPr>
                <w:rFonts w:ascii="Arial" w:cs="Arial" w:eastAsia="Arial" w:hAnsi="Arial"/>
                <w:sz w:val="14"/>
                <w:szCs w:val="14"/>
                <w:color w:val="auto"/>
              </w:rPr>
              <w:t>97</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vMerge w:val="restart"/>
          </w:tcPr>
          <w:p>
            <w:pPr>
              <w:jc w:val="right"/>
              <w:ind w:right="50"/>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vMerge w:val="restart"/>
          </w:tcPr>
          <w:p>
            <w:pPr>
              <w:jc w:val="right"/>
              <w:ind w:right="50"/>
              <w:spacing w:after="0"/>
              <w:rPr>
                <w:sz w:val="20"/>
                <w:szCs w:val="20"/>
                <w:color w:val="auto"/>
              </w:rPr>
            </w:pPr>
            <w:r>
              <w:rPr>
                <w:rFonts w:ascii="Arial" w:cs="Arial" w:eastAsia="Arial" w:hAnsi="Arial"/>
                <w:sz w:val="14"/>
                <w:szCs w:val="14"/>
                <w:color w:val="auto"/>
              </w:rPr>
              <w:t>478</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vMerge w:val="restart"/>
          </w:tcPr>
          <w:p>
            <w:pPr>
              <w:jc w:val="right"/>
              <w:ind w:right="30"/>
              <w:spacing w:after="0"/>
              <w:rPr>
                <w:sz w:val="20"/>
                <w:szCs w:val="20"/>
                <w:color w:val="auto"/>
              </w:rPr>
            </w:pPr>
            <w:r>
              <w:rPr>
                <w:rFonts w:ascii="Arial" w:cs="Arial" w:eastAsia="Arial" w:hAnsi="Arial"/>
                <w:sz w:val="14"/>
                <w:szCs w:val="14"/>
                <w:color w:val="auto"/>
              </w:rPr>
              <w:t>6</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vMerge w:val="restart"/>
          </w:tcPr>
          <w:p>
            <w:pPr>
              <w:jc w:val="right"/>
              <w:ind w:right="31"/>
              <w:spacing w:after="0"/>
              <w:rPr>
                <w:sz w:val="20"/>
                <w:szCs w:val="20"/>
                <w:color w:val="auto"/>
              </w:rPr>
            </w:pPr>
            <w:r>
              <w:rPr>
                <w:rFonts w:ascii="Arial" w:cs="Arial" w:eastAsia="Arial" w:hAnsi="Arial"/>
                <w:sz w:val="14"/>
                <w:szCs w:val="14"/>
                <w:color w:val="auto"/>
              </w:rPr>
              <w:t>461</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vMerge w:val="restart"/>
          </w:tcPr>
          <w:p>
            <w:pPr>
              <w:jc w:val="right"/>
              <w:ind w:right="30"/>
              <w:spacing w:after="0"/>
              <w:rPr>
                <w:sz w:val="20"/>
                <w:szCs w:val="20"/>
                <w:color w:val="auto"/>
              </w:rPr>
            </w:pPr>
            <w:r>
              <w:rPr>
                <w:rFonts w:ascii="Arial" w:cs="Arial" w:eastAsia="Arial" w:hAnsi="Arial"/>
                <w:sz w:val="14"/>
                <w:szCs w:val="14"/>
                <w:color w:val="auto"/>
              </w:rPr>
              <w:t>8</w:t>
            </w:r>
          </w:p>
        </w:tc>
        <w:tc>
          <w:tcPr>
            <w:tcW w:w="0" w:type="dxa"/>
            <w:vAlign w:val="bottom"/>
          </w:tcPr>
          <w:p>
            <w:pPr>
              <w:spacing w:after="0"/>
              <w:rPr>
                <w:sz w:val="1"/>
                <w:szCs w:val="1"/>
                <w:color w:val="auto"/>
              </w:rPr>
            </w:pPr>
          </w:p>
        </w:tc>
      </w:tr>
      <w:tr>
        <w:trPr>
          <w:trHeight w:val="74"/>
        </w:trPr>
        <w:tc>
          <w:tcPr>
            <w:tcW w:w="2520" w:type="dxa"/>
            <w:vAlign w:val="bottom"/>
          </w:tcPr>
          <w:p>
            <w:pPr>
              <w:spacing w:after="0"/>
              <w:rPr>
                <w:sz w:val="6"/>
                <w:szCs w:val="6"/>
                <w:color w:val="auto"/>
              </w:rPr>
            </w:pPr>
          </w:p>
        </w:tc>
        <w:tc>
          <w:tcPr>
            <w:tcW w:w="14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00" w:type="dxa"/>
            <w:vAlign w:val="bottom"/>
            <w:gridSpan w:val="2"/>
            <w:vMerge w:val="continue"/>
          </w:tcPr>
          <w:p>
            <w:pPr>
              <w:spacing w:after="0"/>
              <w:rPr>
                <w:sz w:val="6"/>
                <w:szCs w:val="6"/>
                <w:color w:val="auto"/>
              </w:rPr>
            </w:pPr>
          </w:p>
        </w:tc>
        <w:tc>
          <w:tcPr>
            <w:tcW w:w="180" w:type="dxa"/>
            <w:vAlign w:val="bottom"/>
          </w:tcPr>
          <w:p>
            <w:pPr>
              <w:spacing w:after="0"/>
              <w:rPr>
                <w:sz w:val="6"/>
                <w:szCs w:val="6"/>
                <w:color w:val="auto"/>
              </w:rPr>
            </w:pPr>
          </w:p>
        </w:tc>
        <w:tc>
          <w:tcPr>
            <w:tcW w:w="8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86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80" w:type="dxa"/>
            <w:vAlign w:val="bottom"/>
          </w:tcPr>
          <w:p>
            <w:pPr>
              <w:spacing w:after="0"/>
              <w:rPr>
                <w:sz w:val="6"/>
                <w:szCs w:val="6"/>
                <w:color w:val="auto"/>
              </w:rPr>
            </w:pPr>
          </w:p>
        </w:tc>
        <w:tc>
          <w:tcPr>
            <w:tcW w:w="84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86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80" w:type="dxa"/>
            <w:vAlign w:val="bottom"/>
          </w:tcPr>
          <w:p>
            <w:pPr>
              <w:spacing w:after="0"/>
              <w:rPr>
                <w:sz w:val="6"/>
                <w:szCs w:val="6"/>
                <w:color w:val="auto"/>
              </w:rPr>
            </w:pPr>
          </w:p>
        </w:tc>
        <w:tc>
          <w:tcPr>
            <w:tcW w:w="84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8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520" w:type="dxa"/>
            <w:vAlign w:val="bottom"/>
            <w:shd w:val="clear" w:color="auto" w:fill="CCEEFF"/>
          </w:tcPr>
          <w:p>
            <w:pPr>
              <w:ind w:left="40"/>
              <w:spacing w:after="0"/>
              <w:rPr>
                <w:sz w:val="20"/>
                <w:szCs w:val="20"/>
                <w:color w:val="auto"/>
              </w:rPr>
            </w:pPr>
            <w:r>
              <w:rPr>
                <w:rFonts w:ascii="Arial" w:cs="Arial" w:eastAsia="Arial" w:hAnsi="Arial"/>
                <w:sz w:val="14"/>
                <w:szCs w:val="14"/>
                <w:color w:val="auto"/>
              </w:rPr>
              <w:t>Foreign government</w:t>
            </w:r>
          </w:p>
        </w:tc>
        <w:tc>
          <w:tcPr>
            <w:tcW w:w="140" w:type="dxa"/>
            <w:vAlign w:val="bottom"/>
            <w:shd w:val="clear" w:color="auto" w:fill="CCEEFF"/>
          </w:tcPr>
          <w:p>
            <w:pPr>
              <w:spacing w:after="0"/>
              <w:rPr>
                <w:sz w:val="17"/>
                <w:szCs w:val="17"/>
                <w:color w:val="auto"/>
              </w:rPr>
            </w:pPr>
          </w:p>
        </w:tc>
        <w:tc>
          <w:tcPr>
            <w:tcW w:w="800" w:type="dxa"/>
            <w:vAlign w:val="bottom"/>
            <w:vMerge w:val="restart"/>
            <w:shd w:val="clear" w:color="auto" w:fill="CCEEFF"/>
          </w:tcPr>
          <w:p>
            <w:pPr>
              <w:jc w:val="right"/>
              <w:ind w:right="50"/>
              <w:spacing w:after="0"/>
              <w:rPr>
                <w:sz w:val="20"/>
                <w:szCs w:val="20"/>
                <w:color w:val="auto"/>
              </w:rPr>
            </w:pPr>
            <w:r>
              <w:rPr>
                <w:rFonts w:ascii="Arial" w:cs="Arial" w:eastAsia="Arial" w:hAnsi="Arial"/>
                <w:sz w:val="14"/>
                <w:szCs w:val="14"/>
                <w:color w:val="auto"/>
              </w:rPr>
              <w:t>149</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vMerge w:val="restart"/>
            <w:shd w:val="clear" w:color="auto" w:fill="CCEEFF"/>
          </w:tcPr>
          <w:p>
            <w:pPr>
              <w:jc w:val="right"/>
              <w:ind w:right="50"/>
              <w:spacing w:after="0"/>
              <w:rPr>
                <w:sz w:val="20"/>
                <w:szCs w:val="20"/>
                <w:color w:val="auto"/>
              </w:rPr>
            </w:pPr>
            <w:r>
              <w:rPr>
                <w:rFonts w:ascii="Arial" w:cs="Arial" w:eastAsia="Arial" w:hAnsi="Arial"/>
                <w:sz w:val="14"/>
                <w:szCs w:val="14"/>
                <w:color w:val="auto"/>
              </w:rPr>
              <w:t>2</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vMerge w:val="restart"/>
            <w:shd w:val="clear" w:color="auto" w:fill="CCEEFF"/>
          </w:tcPr>
          <w:p>
            <w:pPr>
              <w:jc w:val="right"/>
              <w:ind w:right="51"/>
              <w:spacing w:after="0"/>
              <w:rPr>
                <w:sz w:val="20"/>
                <w:szCs w:val="20"/>
                <w:color w:val="auto"/>
              </w:rPr>
            </w:pPr>
            <w:r>
              <w:rPr>
                <w:rFonts w:ascii="Arial" w:cs="Arial" w:eastAsia="Arial" w:hAnsi="Arial"/>
                <w:sz w:val="14"/>
                <w:szCs w:val="14"/>
                <w:color w:val="auto"/>
              </w:rPr>
              <w:t>14</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vMerge w:val="restart"/>
            <w:shd w:val="clear" w:color="auto" w:fill="CCEEFF"/>
          </w:tcPr>
          <w:p>
            <w:pPr>
              <w:jc w:val="right"/>
              <w:ind w:right="50"/>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vMerge w:val="restart"/>
            <w:shd w:val="clear" w:color="auto" w:fill="CCEEFF"/>
          </w:tcPr>
          <w:p>
            <w:pPr>
              <w:jc w:val="right"/>
              <w:ind w:right="50"/>
              <w:spacing w:after="0"/>
              <w:rPr>
                <w:sz w:val="20"/>
                <w:szCs w:val="20"/>
                <w:color w:val="auto"/>
              </w:rPr>
            </w:pPr>
            <w:r>
              <w:rPr>
                <w:rFonts w:ascii="Arial" w:cs="Arial" w:eastAsia="Arial" w:hAnsi="Arial"/>
                <w:sz w:val="14"/>
                <w:szCs w:val="14"/>
                <w:color w:val="auto"/>
              </w:rPr>
              <w:t>273</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vMerge w:val="restart"/>
            <w:shd w:val="clear" w:color="auto" w:fill="CCEEFF"/>
          </w:tcPr>
          <w:p>
            <w:pPr>
              <w:jc w:val="right"/>
              <w:ind w:right="30"/>
              <w:spacing w:after="0"/>
              <w:rPr>
                <w:sz w:val="20"/>
                <w:szCs w:val="20"/>
                <w:color w:val="auto"/>
              </w:rPr>
            </w:pPr>
            <w:r>
              <w:rPr>
                <w:rFonts w:ascii="Arial" w:cs="Arial" w:eastAsia="Arial" w:hAnsi="Arial"/>
                <w:sz w:val="14"/>
                <w:szCs w:val="14"/>
                <w:color w:val="auto"/>
              </w:rPr>
              <w:t>11</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vMerge w:val="restart"/>
            <w:shd w:val="clear" w:color="auto" w:fill="CCEEFF"/>
          </w:tcPr>
          <w:p>
            <w:pPr>
              <w:jc w:val="right"/>
              <w:ind w:right="31"/>
              <w:spacing w:after="0"/>
              <w:rPr>
                <w:sz w:val="20"/>
                <w:szCs w:val="20"/>
                <w:color w:val="auto"/>
              </w:rPr>
            </w:pPr>
            <w:r>
              <w:rPr>
                <w:rFonts w:ascii="Arial" w:cs="Arial" w:eastAsia="Arial" w:hAnsi="Arial"/>
                <w:sz w:val="14"/>
                <w:szCs w:val="14"/>
                <w:color w:val="auto"/>
              </w:rPr>
              <w:t>6</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vMerge w:val="restart"/>
            <w:shd w:val="clear" w:color="auto" w:fill="CCEEFF"/>
          </w:tcPr>
          <w:p>
            <w:pPr>
              <w:jc w:val="right"/>
              <w:ind w:right="30"/>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80"/>
        </w:trPr>
        <w:tc>
          <w:tcPr>
            <w:tcW w:w="2520" w:type="dxa"/>
            <w:vAlign w:val="bottom"/>
            <w:shd w:val="clear" w:color="auto" w:fill="CCEEFF"/>
          </w:tcPr>
          <w:p>
            <w:pPr>
              <w:spacing w:after="0"/>
              <w:rPr>
                <w:sz w:val="6"/>
                <w:szCs w:val="6"/>
                <w:color w:val="auto"/>
              </w:rPr>
            </w:pPr>
          </w:p>
        </w:tc>
        <w:tc>
          <w:tcPr>
            <w:tcW w:w="140" w:type="dxa"/>
            <w:vAlign w:val="bottom"/>
            <w:tcBorders>
              <w:bottom w:val="single" w:sz="8" w:color="auto"/>
            </w:tcBorders>
            <w:shd w:val="clear" w:color="auto" w:fill="CCEEFF"/>
          </w:tcPr>
          <w:p>
            <w:pPr>
              <w:spacing w:after="0"/>
              <w:rPr>
                <w:sz w:val="6"/>
                <w:szCs w:val="6"/>
                <w:color w:val="auto"/>
              </w:rPr>
            </w:pPr>
          </w:p>
        </w:tc>
        <w:tc>
          <w:tcPr>
            <w:tcW w:w="80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60" w:type="dxa"/>
            <w:vAlign w:val="bottom"/>
            <w:tcBorders>
              <w:bottom w:val="single" w:sz="8" w:color="auto"/>
            </w:tcBorders>
            <w:shd w:val="clear" w:color="auto" w:fill="CCEEFF"/>
          </w:tcPr>
          <w:p>
            <w:pPr>
              <w:spacing w:after="0"/>
              <w:rPr>
                <w:sz w:val="6"/>
                <w:szCs w:val="6"/>
                <w:color w:val="auto"/>
              </w:rPr>
            </w:pPr>
          </w:p>
        </w:tc>
        <w:tc>
          <w:tcPr>
            <w:tcW w:w="88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80" w:type="dxa"/>
            <w:vAlign w:val="bottom"/>
            <w:tcBorders>
              <w:bottom w:val="single" w:sz="8" w:color="auto"/>
            </w:tcBorders>
            <w:shd w:val="clear" w:color="auto" w:fill="CCEEFF"/>
          </w:tcPr>
          <w:p>
            <w:pPr>
              <w:spacing w:after="0"/>
              <w:rPr>
                <w:sz w:val="6"/>
                <w:szCs w:val="6"/>
                <w:color w:val="auto"/>
              </w:rPr>
            </w:pPr>
          </w:p>
        </w:tc>
        <w:tc>
          <w:tcPr>
            <w:tcW w:w="88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60" w:type="dxa"/>
            <w:vAlign w:val="bottom"/>
            <w:tcBorders>
              <w:bottom w:val="single" w:sz="8" w:color="auto"/>
            </w:tcBorders>
            <w:shd w:val="clear" w:color="auto" w:fill="CCEEFF"/>
          </w:tcPr>
          <w:p>
            <w:pPr>
              <w:spacing w:after="0"/>
              <w:rPr>
                <w:sz w:val="6"/>
                <w:szCs w:val="6"/>
                <w:color w:val="auto"/>
              </w:rPr>
            </w:pPr>
          </w:p>
        </w:tc>
        <w:tc>
          <w:tcPr>
            <w:tcW w:w="86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80" w:type="dxa"/>
            <w:vAlign w:val="bottom"/>
            <w:tcBorders>
              <w:bottom w:val="single" w:sz="8" w:color="auto"/>
            </w:tcBorders>
            <w:shd w:val="clear" w:color="auto" w:fill="CCEEFF"/>
          </w:tcPr>
          <w:p>
            <w:pPr>
              <w:spacing w:after="0"/>
              <w:rPr>
                <w:sz w:val="6"/>
                <w:szCs w:val="6"/>
                <w:color w:val="auto"/>
              </w:rPr>
            </w:pPr>
          </w:p>
        </w:tc>
        <w:tc>
          <w:tcPr>
            <w:tcW w:w="84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60" w:type="dxa"/>
            <w:vAlign w:val="bottom"/>
            <w:tcBorders>
              <w:bottom w:val="single" w:sz="8" w:color="auto"/>
            </w:tcBorders>
            <w:shd w:val="clear" w:color="auto" w:fill="CCEEFF"/>
          </w:tcPr>
          <w:p>
            <w:pPr>
              <w:spacing w:after="0"/>
              <w:rPr>
                <w:sz w:val="6"/>
                <w:szCs w:val="6"/>
                <w:color w:val="auto"/>
              </w:rPr>
            </w:pPr>
          </w:p>
        </w:tc>
        <w:tc>
          <w:tcPr>
            <w:tcW w:w="86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80" w:type="dxa"/>
            <w:vAlign w:val="bottom"/>
            <w:tcBorders>
              <w:bottom w:val="single" w:sz="8" w:color="auto"/>
            </w:tcBorders>
            <w:shd w:val="clear" w:color="auto" w:fill="CCEEFF"/>
          </w:tcPr>
          <w:p>
            <w:pPr>
              <w:spacing w:after="0"/>
              <w:rPr>
                <w:sz w:val="6"/>
                <w:szCs w:val="6"/>
                <w:color w:val="auto"/>
              </w:rPr>
            </w:pPr>
          </w:p>
        </w:tc>
        <w:tc>
          <w:tcPr>
            <w:tcW w:w="84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60" w:type="dxa"/>
            <w:vAlign w:val="bottom"/>
            <w:tcBorders>
              <w:bottom w:val="single" w:sz="8" w:color="auto"/>
            </w:tcBorders>
            <w:shd w:val="clear" w:color="auto" w:fill="CCEEFF"/>
          </w:tcPr>
          <w:p>
            <w:pPr>
              <w:spacing w:after="0"/>
              <w:rPr>
                <w:sz w:val="6"/>
                <w:szCs w:val="6"/>
                <w:color w:val="auto"/>
              </w:rPr>
            </w:pPr>
          </w:p>
        </w:tc>
        <w:tc>
          <w:tcPr>
            <w:tcW w:w="860" w:type="dxa"/>
            <w:vAlign w:val="bottom"/>
            <w:tcBorders>
              <w:bottom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44"/>
        </w:trPr>
        <w:tc>
          <w:tcPr>
            <w:tcW w:w="2520" w:type="dxa"/>
            <w:vAlign w:val="bottom"/>
          </w:tcPr>
          <w:p>
            <w:pPr>
              <w:ind w:left="200"/>
              <w:spacing w:after="0"/>
              <w:rPr>
                <w:sz w:val="20"/>
                <w:szCs w:val="20"/>
                <w:color w:val="auto"/>
              </w:rPr>
            </w:pPr>
            <w:r>
              <w:rPr>
                <w:rFonts w:ascii="Arial" w:cs="Arial" w:eastAsia="Arial" w:hAnsi="Arial"/>
                <w:sz w:val="14"/>
                <w:szCs w:val="14"/>
                <w:color w:val="auto"/>
              </w:rPr>
              <w:t>Total fixed maturity securities</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50"/>
              <w:spacing w:after="0"/>
              <w:rPr>
                <w:sz w:val="20"/>
                <w:szCs w:val="20"/>
                <w:color w:val="auto"/>
              </w:rPr>
            </w:pPr>
            <w:r>
              <w:rPr>
                <w:rFonts w:ascii="Arial" w:cs="Arial" w:eastAsia="Arial" w:hAnsi="Arial"/>
                <w:sz w:val="14"/>
                <w:szCs w:val="14"/>
                <w:color w:val="auto"/>
              </w:rPr>
              <w:t>11,751</w:t>
            </w:r>
          </w:p>
        </w:tc>
        <w:tc>
          <w:tcPr>
            <w:tcW w:w="28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50"/>
              <w:spacing w:after="0"/>
              <w:rPr>
                <w:sz w:val="20"/>
                <w:szCs w:val="20"/>
                <w:color w:val="auto"/>
              </w:rPr>
            </w:pPr>
            <w:r>
              <w:rPr>
                <w:rFonts w:ascii="Arial" w:cs="Arial" w:eastAsia="Arial" w:hAnsi="Arial"/>
                <w:sz w:val="14"/>
                <w:szCs w:val="14"/>
                <w:color w:val="auto"/>
              </w:rPr>
              <w:t>199</w:t>
            </w:r>
          </w:p>
        </w:tc>
        <w:tc>
          <w:tcPr>
            <w:tcW w:w="120" w:type="dxa"/>
            <w:vAlign w:val="bottom"/>
          </w:tcPr>
          <w:p>
            <w:pPr>
              <w:spacing w:after="0"/>
              <w:rPr>
                <w:sz w:val="21"/>
                <w:szCs w:val="21"/>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51"/>
              <w:spacing w:after="0"/>
              <w:rPr>
                <w:sz w:val="20"/>
                <w:szCs w:val="20"/>
                <w:color w:val="auto"/>
              </w:rPr>
            </w:pPr>
            <w:r>
              <w:rPr>
                <w:rFonts w:ascii="Arial" w:cs="Arial" w:eastAsia="Arial" w:hAnsi="Arial"/>
                <w:sz w:val="14"/>
                <w:szCs w:val="14"/>
                <w:color w:val="auto"/>
              </w:rPr>
              <w:t>2,514</w:t>
            </w:r>
          </w:p>
        </w:tc>
        <w:tc>
          <w:tcPr>
            <w:tcW w:w="28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50"/>
              <w:spacing w:after="0"/>
              <w:rPr>
                <w:sz w:val="20"/>
                <w:szCs w:val="20"/>
                <w:color w:val="auto"/>
              </w:rPr>
            </w:pPr>
            <w:r>
              <w:rPr>
                <w:rFonts w:ascii="Arial" w:cs="Arial" w:eastAsia="Arial" w:hAnsi="Arial"/>
                <w:sz w:val="14"/>
                <w:szCs w:val="14"/>
                <w:color w:val="auto"/>
              </w:rPr>
              <w:t>191</w:t>
            </w:r>
          </w:p>
        </w:tc>
        <w:tc>
          <w:tcPr>
            <w:tcW w:w="100" w:type="dxa"/>
            <w:vAlign w:val="bottom"/>
          </w:tcPr>
          <w:p>
            <w:pPr>
              <w:spacing w:after="0"/>
              <w:rPr>
                <w:sz w:val="21"/>
                <w:szCs w:val="21"/>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50"/>
              <w:spacing w:after="0"/>
              <w:rPr>
                <w:sz w:val="20"/>
                <w:szCs w:val="20"/>
                <w:color w:val="auto"/>
              </w:rPr>
            </w:pPr>
            <w:r>
              <w:rPr>
                <w:rFonts w:ascii="Arial" w:cs="Arial" w:eastAsia="Arial" w:hAnsi="Arial"/>
                <w:sz w:val="14"/>
                <w:szCs w:val="14"/>
                <w:color w:val="auto"/>
              </w:rPr>
              <w:t>17,244</w:t>
            </w:r>
          </w:p>
        </w:tc>
        <w:tc>
          <w:tcPr>
            <w:tcW w:w="26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30"/>
              <w:spacing w:after="0"/>
              <w:rPr>
                <w:sz w:val="20"/>
                <w:szCs w:val="20"/>
                <w:color w:val="auto"/>
              </w:rPr>
            </w:pPr>
            <w:r>
              <w:rPr>
                <w:rFonts w:ascii="Arial" w:cs="Arial" w:eastAsia="Arial" w:hAnsi="Arial"/>
                <w:sz w:val="14"/>
                <w:szCs w:val="14"/>
                <w:color w:val="auto"/>
              </w:rPr>
              <w:t>682</w:t>
            </w:r>
          </w:p>
        </w:tc>
        <w:tc>
          <w:tcPr>
            <w:tcW w:w="100" w:type="dxa"/>
            <w:vAlign w:val="bottom"/>
          </w:tcPr>
          <w:p>
            <w:pPr>
              <w:spacing w:after="0"/>
              <w:rPr>
                <w:sz w:val="21"/>
                <w:szCs w:val="21"/>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31"/>
              <w:spacing w:after="0"/>
              <w:rPr>
                <w:sz w:val="20"/>
                <w:szCs w:val="20"/>
                <w:color w:val="auto"/>
              </w:rPr>
            </w:pPr>
            <w:r>
              <w:rPr>
                <w:rFonts w:ascii="Arial" w:cs="Arial" w:eastAsia="Arial" w:hAnsi="Arial"/>
                <w:sz w:val="14"/>
                <w:szCs w:val="14"/>
                <w:color w:val="auto"/>
              </w:rPr>
              <w:t>2,863</w:t>
            </w:r>
          </w:p>
        </w:tc>
        <w:tc>
          <w:tcPr>
            <w:tcW w:w="26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30"/>
              <w:spacing w:after="0"/>
              <w:rPr>
                <w:sz w:val="20"/>
                <w:szCs w:val="20"/>
                <w:color w:val="auto"/>
              </w:rPr>
            </w:pPr>
            <w:r>
              <w:rPr>
                <w:rFonts w:ascii="Arial" w:cs="Arial" w:eastAsia="Arial" w:hAnsi="Arial"/>
                <w:sz w:val="14"/>
                <w:szCs w:val="14"/>
                <w:color w:val="auto"/>
              </w:rPr>
              <w:t>264</w:t>
            </w:r>
          </w:p>
        </w:tc>
        <w:tc>
          <w:tcPr>
            <w:tcW w:w="0" w:type="dxa"/>
            <w:vAlign w:val="bottom"/>
          </w:tcPr>
          <w:p>
            <w:pPr>
              <w:spacing w:after="0"/>
              <w:rPr>
                <w:sz w:val="1"/>
                <w:szCs w:val="1"/>
                <w:color w:val="auto"/>
              </w:rPr>
            </w:pPr>
          </w:p>
        </w:tc>
      </w:tr>
      <w:tr>
        <w:trPr>
          <w:trHeight w:val="150"/>
        </w:trPr>
        <w:tc>
          <w:tcPr>
            <w:tcW w:w="2520" w:type="dxa"/>
            <w:vAlign w:val="bottom"/>
            <w:tcBorders>
              <w:top w:val="single" w:sz="8" w:color="CCEEFF"/>
            </w:tcBorders>
            <w:shd w:val="clear" w:color="auto" w:fill="CCEEFF"/>
          </w:tcPr>
          <w:p>
            <w:pPr>
              <w:ind w:left="40"/>
              <w:spacing w:after="0" w:line="150" w:lineRule="exact"/>
              <w:rPr>
                <w:sz w:val="20"/>
                <w:szCs w:val="20"/>
                <w:color w:val="auto"/>
              </w:rPr>
            </w:pPr>
            <w:r>
              <w:rPr>
                <w:rFonts w:ascii="Arial" w:cs="Arial" w:eastAsia="Arial" w:hAnsi="Arial"/>
                <w:sz w:val="14"/>
                <w:szCs w:val="14"/>
                <w:color w:val="auto"/>
              </w:rPr>
              <w:t>Equity securities:</w:t>
            </w:r>
          </w:p>
        </w:tc>
        <w:tc>
          <w:tcPr>
            <w:tcW w:w="140" w:type="dxa"/>
            <w:vAlign w:val="bottom"/>
            <w:tcBorders>
              <w:top w:val="single" w:sz="8" w:color="auto"/>
            </w:tcBorders>
            <w:shd w:val="clear" w:color="auto" w:fill="CCEEFF"/>
          </w:tcPr>
          <w:p>
            <w:pPr>
              <w:spacing w:after="0"/>
              <w:rPr>
                <w:sz w:val="13"/>
                <w:szCs w:val="13"/>
                <w:color w:val="auto"/>
              </w:rPr>
            </w:pPr>
          </w:p>
        </w:tc>
        <w:tc>
          <w:tcPr>
            <w:tcW w:w="80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88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spacing w:after="0"/>
              <w:rPr>
                <w:sz w:val="13"/>
                <w:szCs w:val="13"/>
                <w:color w:val="auto"/>
              </w:rPr>
            </w:pPr>
          </w:p>
        </w:tc>
        <w:tc>
          <w:tcPr>
            <w:tcW w:w="88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86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spacing w:after="0"/>
              <w:rPr>
                <w:sz w:val="13"/>
                <w:szCs w:val="13"/>
                <w:color w:val="auto"/>
              </w:rPr>
            </w:pPr>
          </w:p>
        </w:tc>
        <w:tc>
          <w:tcPr>
            <w:tcW w:w="84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86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spacing w:after="0"/>
              <w:rPr>
                <w:sz w:val="13"/>
                <w:szCs w:val="13"/>
                <w:color w:val="auto"/>
              </w:rPr>
            </w:pPr>
          </w:p>
        </w:tc>
        <w:tc>
          <w:tcPr>
            <w:tcW w:w="84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86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25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8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8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8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8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8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8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8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86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91"/>
        </w:trPr>
        <w:tc>
          <w:tcPr>
            <w:tcW w:w="2520" w:type="dxa"/>
            <w:vAlign w:val="bottom"/>
          </w:tcPr>
          <w:p>
            <w:pPr>
              <w:ind w:left="40"/>
              <w:spacing w:after="0"/>
              <w:rPr>
                <w:sz w:val="20"/>
                <w:szCs w:val="20"/>
                <w:color w:val="auto"/>
              </w:rPr>
            </w:pPr>
            <w:r>
              <w:rPr>
                <w:rFonts w:ascii="Arial" w:cs="Arial" w:eastAsia="Arial" w:hAnsi="Arial"/>
                <w:sz w:val="14"/>
                <w:szCs w:val="14"/>
                <w:color w:val="auto"/>
              </w:rPr>
              <w:t>Non-redeemable preferred stock</w:t>
            </w:r>
          </w:p>
        </w:tc>
        <w:tc>
          <w:tcPr>
            <w:tcW w:w="1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00" w:type="dxa"/>
            <w:vAlign w:val="bottom"/>
            <w:vMerge w:val="restart"/>
          </w:tcPr>
          <w:p>
            <w:pPr>
              <w:jc w:val="right"/>
              <w:ind w:right="50"/>
              <w:spacing w:after="0"/>
              <w:rPr>
                <w:sz w:val="20"/>
                <w:szCs w:val="20"/>
                <w:color w:val="auto"/>
              </w:rPr>
            </w:pPr>
            <w:r>
              <w:rPr>
                <w:rFonts w:ascii="Arial" w:cs="Arial" w:eastAsia="Arial" w:hAnsi="Arial"/>
                <w:sz w:val="14"/>
                <w:szCs w:val="14"/>
                <w:color w:val="auto"/>
              </w:rPr>
              <w:t>—</w:t>
            </w:r>
          </w:p>
        </w:tc>
        <w:tc>
          <w:tcPr>
            <w:tcW w:w="280" w:type="dxa"/>
            <w:vAlign w:val="bottom"/>
            <w:gridSpan w:val="2"/>
            <w:vMerge w:val="restart"/>
          </w:tcPr>
          <w:p>
            <w:pPr>
              <w:jc w:val="right"/>
              <w:ind w:right="60"/>
              <w:spacing w:after="0"/>
              <w:rPr>
                <w:sz w:val="20"/>
                <w:szCs w:val="20"/>
                <w:color w:val="auto"/>
              </w:rPr>
            </w:pPr>
            <w:r>
              <w:rPr>
                <w:rFonts w:ascii="Arial" w:cs="Arial" w:eastAsia="Arial" w:hAnsi="Arial"/>
                <w:sz w:val="14"/>
                <w:szCs w:val="14"/>
                <w:color w:val="auto"/>
              </w:rPr>
              <w:t>$</w:t>
            </w:r>
          </w:p>
        </w:tc>
        <w:tc>
          <w:tcPr>
            <w:tcW w:w="100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vMerge w:val="restart"/>
          </w:tcPr>
          <w:p>
            <w:pPr>
              <w:jc w:val="right"/>
              <w:ind w:right="8"/>
              <w:spacing w:after="0"/>
              <w:rPr>
                <w:sz w:val="20"/>
                <w:szCs w:val="20"/>
                <w:color w:val="auto"/>
              </w:rPr>
            </w:pPr>
            <w:r>
              <w:rPr>
                <w:rFonts w:ascii="Arial" w:cs="Arial" w:eastAsia="Arial" w:hAnsi="Arial"/>
                <w:sz w:val="14"/>
                <w:szCs w:val="14"/>
                <w:color w:val="auto"/>
              </w:rPr>
              <w:t>$</w:t>
            </w:r>
          </w:p>
        </w:tc>
        <w:tc>
          <w:tcPr>
            <w:tcW w:w="880" w:type="dxa"/>
            <w:vAlign w:val="bottom"/>
            <w:vMerge w:val="restart"/>
          </w:tcPr>
          <w:p>
            <w:pPr>
              <w:jc w:val="right"/>
              <w:ind w:right="51"/>
              <w:spacing w:after="0"/>
              <w:rPr>
                <w:sz w:val="20"/>
                <w:szCs w:val="20"/>
                <w:color w:val="auto"/>
              </w:rPr>
            </w:pPr>
            <w:r>
              <w:rPr>
                <w:rFonts w:ascii="Arial" w:cs="Arial" w:eastAsia="Arial" w:hAnsi="Arial"/>
                <w:sz w:val="14"/>
                <w:szCs w:val="14"/>
                <w:color w:val="auto"/>
              </w:rPr>
              <w:t>16</w:t>
            </w:r>
          </w:p>
        </w:tc>
        <w:tc>
          <w:tcPr>
            <w:tcW w:w="280" w:type="dxa"/>
            <w:vAlign w:val="bottom"/>
            <w:gridSpan w:val="2"/>
            <w:vMerge w:val="restart"/>
          </w:tcPr>
          <w:p>
            <w:pPr>
              <w:jc w:val="right"/>
              <w:ind w:right="60"/>
              <w:spacing w:after="0"/>
              <w:rPr>
                <w:sz w:val="20"/>
                <w:szCs w:val="20"/>
                <w:color w:val="auto"/>
              </w:rPr>
            </w:pPr>
            <w:r>
              <w:rPr>
                <w:rFonts w:ascii="Arial" w:cs="Arial" w:eastAsia="Arial" w:hAnsi="Arial"/>
                <w:sz w:val="14"/>
                <w:szCs w:val="14"/>
                <w:color w:val="auto"/>
              </w:rPr>
              <w:t>$</w:t>
            </w:r>
          </w:p>
        </w:tc>
        <w:tc>
          <w:tcPr>
            <w:tcW w:w="860" w:type="dxa"/>
            <w:vAlign w:val="bottom"/>
            <w:vMerge w:val="restart"/>
          </w:tcPr>
          <w:p>
            <w:pPr>
              <w:jc w:val="right"/>
              <w:ind w:right="50"/>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6"/>
                <w:szCs w:val="16"/>
                <w:color w:val="auto"/>
              </w:rPr>
            </w:pPr>
          </w:p>
        </w:tc>
        <w:tc>
          <w:tcPr>
            <w:tcW w:w="180" w:type="dxa"/>
            <w:vAlign w:val="bottom"/>
            <w:vMerge w:val="restart"/>
          </w:tcPr>
          <w:p>
            <w:pPr>
              <w:jc w:val="right"/>
              <w:ind w:right="8"/>
              <w:spacing w:after="0"/>
              <w:rPr>
                <w:sz w:val="20"/>
                <w:szCs w:val="20"/>
                <w:color w:val="auto"/>
              </w:rPr>
            </w:pPr>
            <w:r>
              <w:rPr>
                <w:rFonts w:ascii="Arial" w:cs="Arial" w:eastAsia="Arial" w:hAnsi="Arial"/>
                <w:sz w:val="14"/>
                <w:szCs w:val="14"/>
                <w:color w:val="auto"/>
              </w:rPr>
              <w:t>$</w:t>
            </w:r>
          </w:p>
        </w:tc>
        <w:tc>
          <w:tcPr>
            <w:tcW w:w="840" w:type="dxa"/>
            <w:vAlign w:val="bottom"/>
            <w:vMerge w:val="restart"/>
          </w:tcPr>
          <w:p>
            <w:pPr>
              <w:jc w:val="right"/>
              <w:ind w:right="50"/>
              <w:spacing w:after="0"/>
              <w:rPr>
                <w:sz w:val="20"/>
                <w:szCs w:val="20"/>
                <w:color w:val="auto"/>
              </w:rPr>
            </w:pPr>
            <w:r>
              <w:rPr>
                <w:rFonts w:ascii="Arial" w:cs="Arial" w:eastAsia="Arial" w:hAnsi="Arial"/>
                <w:sz w:val="14"/>
                <w:szCs w:val="14"/>
                <w:color w:val="auto"/>
              </w:rPr>
              <w:t>57</w:t>
            </w:r>
          </w:p>
        </w:tc>
        <w:tc>
          <w:tcPr>
            <w:tcW w:w="260" w:type="dxa"/>
            <w:vAlign w:val="bottom"/>
            <w:gridSpan w:val="2"/>
            <w:vMerge w:val="restart"/>
          </w:tcPr>
          <w:p>
            <w:pPr>
              <w:jc w:val="right"/>
              <w:ind w:right="60"/>
              <w:spacing w:after="0"/>
              <w:rPr>
                <w:sz w:val="20"/>
                <w:szCs w:val="20"/>
                <w:color w:val="auto"/>
              </w:rPr>
            </w:pPr>
            <w:r>
              <w:rPr>
                <w:rFonts w:ascii="Arial" w:cs="Arial" w:eastAsia="Arial" w:hAnsi="Arial"/>
                <w:sz w:val="14"/>
                <w:szCs w:val="14"/>
                <w:color w:val="auto"/>
              </w:rPr>
              <w:t>$</w:t>
            </w:r>
          </w:p>
        </w:tc>
        <w:tc>
          <w:tcPr>
            <w:tcW w:w="860" w:type="dxa"/>
            <w:vAlign w:val="bottom"/>
            <w:vMerge w:val="restart"/>
          </w:tcPr>
          <w:p>
            <w:pPr>
              <w:jc w:val="right"/>
              <w:ind w:right="30"/>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16"/>
                <w:szCs w:val="16"/>
                <w:color w:val="auto"/>
              </w:rPr>
            </w:pPr>
          </w:p>
        </w:tc>
        <w:tc>
          <w:tcPr>
            <w:tcW w:w="180" w:type="dxa"/>
            <w:vAlign w:val="bottom"/>
            <w:vMerge w:val="restart"/>
          </w:tcPr>
          <w:p>
            <w:pPr>
              <w:jc w:val="right"/>
              <w:ind w:right="8"/>
              <w:spacing w:after="0"/>
              <w:rPr>
                <w:sz w:val="20"/>
                <w:szCs w:val="20"/>
                <w:color w:val="auto"/>
              </w:rPr>
            </w:pPr>
            <w:r>
              <w:rPr>
                <w:rFonts w:ascii="Arial" w:cs="Arial" w:eastAsia="Arial" w:hAnsi="Arial"/>
                <w:sz w:val="14"/>
                <w:szCs w:val="14"/>
                <w:color w:val="auto"/>
              </w:rPr>
              <w:t>$</w:t>
            </w:r>
          </w:p>
        </w:tc>
        <w:tc>
          <w:tcPr>
            <w:tcW w:w="840" w:type="dxa"/>
            <w:vAlign w:val="bottom"/>
            <w:vMerge w:val="restart"/>
          </w:tcPr>
          <w:p>
            <w:pPr>
              <w:jc w:val="right"/>
              <w:ind w:right="31"/>
              <w:spacing w:after="0"/>
              <w:rPr>
                <w:sz w:val="20"/>
                <w:szCs w:val="20"/>
                <w:color w:val="auto"/>
              </w:rPr>
            </w:pPr>
            <w:r>
              <w:rPr>
                <w:rFonts w:ascii="Arial" w:cs="Arial" w:eastAsia="Arial" w:hAnsi="Arial"/>
                <w:sz w:val="14"/>
                <w:szCs w:val="14"/>
                <w:color w:val="auto"/>
              </w:rPr>
              <w:t>40</w:t>
            </w:r>
          </w:p>
        </w:tc>
        <w:tc>
          <w:tcPr>
            <w:tcW w:w="260" w:type="dxa"/>
            <w:vAlign w:val="bottom"/>
            <w:gridSpan w:val="2"/>
            <w:vMerge w:val="restart"/>
          </w:tcPr>
          <w:p>
            <w:pPr>
              <w:jc w:val="right"/>
              <w:ind w:right="60"/>
              <w:spacing w:after="0"/>
              <w:rPr>
                <w:sz w:val="20"/>
                <w:szCs w:val="20"/>
                <w:color w:val="auto"/>
              </w:rPr>
            </w:pPr>
            <w:r>
              <w:rPr>
                <w:rFonts w:ascii="Arial" w:cs="Arial" w:eastAsia="Arial" w:hAnsi="Arial"/>
                <w:sz w:val="14"/>
                <w:szCs w:val="14"/>
                <w:color w:val="auto"/>
              </w:rPr>
              <w:t>$</w:t>
            </w:r>
          </w:p>
        </w:tc>
        <w:tc>
          <w:tcPr>
            <w:tcW w:w="860" w:type="dxa"/>
            <w:vAlign w:val="bottom"/>
            <w:vMerge w:val="restart"/>
          </w:tcPr>
          <w:p>
            <w:pPr>
              <w:jc w:val="right"/>
              <w:ind w:right="30"/>
              <w:spacing w:after="0"/>
              <w:rPr>
                <w:sz w:val="20"/>
                <w:szCs w:val="20"/>
                <w:color w:val="auto"/>
              </w:rPr>
            </w:pPr>
            <w:r>
              <w:rPr>
                <w:rFonts w:ascii="Arial" w:cs="Arial" w:eastAsia="Arial" w:hAnsi="Arial"/>
                <w:sz w:val="14"/>
                <w:szCs w:val="14"/>
                <w:color w:val="auto"/>
              </w:rPr>
              <w:t>7</w:t>
            </w:r>
          </w:p>
        </w:tc>
        <w:tc>
          <w:tcPr>
            <w:tcW w:w="0" w:type="dxa"/>
            <w:vAlign w:val="bottom"/>
          </w:tcPr>
          <w:p>
            <w:pPr>
              <w:spacing w:after="0"/>
              <w:rPr>
                <w:sz w:val="1"/>
                <w:szCs w:val="1"/>
                <w:color w:val="auto"/>
              </w:rPr>
            </w:pPr>
          </w:p>
        </w:tc>
      </w:tr>
      <w:tr>
        <w:trPr>
          <w:trHeight w:val="74"/>
        </w:trPr>
        <w:tc>
          <w:tcPr>
            <w:tcW w:w="2520" w:type="dxa"/>
            <w:vAlign w:val="bottom"/>
          </w:tcPr>
          <w:p>
            <w:pPr>
              <w:spacing w:after="0"/>
              <w:rPr>
                <w:sz w:val="6"/>
                <w:szCs w:val="6"/>
                <w:color w:val="auto"/>
              </w:rPr>
            </w:pPr>
          </w:p>
        </w:tc>
        <w:tc>
          <w:tcPr>
            <w:tcW w:w="140" w:type="dxa"/>
            <w:vAlign w:val="bottom"/>
            <w:vMerge w:val="continue"/>
          </w:tcPr>
          <w:p>
            <w:pPr>
              <w:spacing w:after="0"/>
              <w:rPr>
                <w:sz w:val="6"/>
                <w:szCs w:val="6"/>
                <w:color w:val="auto"/>
              </w:rPr>
            </w:pPr>
          </w:p>
        </w:tc>
        <w:tc>
          <w:tcPr>
            <w:tcW w:w="800" w:type="dxa"/>
            <w:vAlign w:val="bottom"/>
            <w:vMerge w:val="continue"/>
          </w:tcPr>
          <w:p>
            <w:pPr>
              <w:spacing w:after="0"/>
              <w:rPr>
                <w:sz w:val="6"/>
                <w:szCs w:val="6"/>
                <w:color w:val="auto"/>
              </w:rPr>
            </w:pPr>
          </w:p>
        </w:tc>
        <w:tc>
          <w:tcPr>
            <w:tcW w:w="280" w:type="dxa"/>
            <w:vAlign w:val="bottom"/>
            <w:gridSpan w:val="2"/>
            <w:vMerge w:val="continue"/>
          </w:tcPr>
          <w:p>
            <w:pPr>
              <w:spacing w:after="0"/>
              <w:rPr>
                <w:sz w:val="6"/>
                <w:szCs w:val="6"/>
                <w:color w:val="auto"/>
              </w:rPr>
            </w:pPr>
          </w:p>
        </w:tc>
        <w:tc>
          <w:tcPr>
            <w:tcW w:w="1000" w:type="dxa"/>
            <w:vAlign w:val="bottom"/>
            <w:gridSpan w:val="2"/>
            <w:vMerge w:val="continue"/>
          </w:tcPr>
          <w:p>
            <w:pPr>
              <w:spacing w:after="0"/>
              <w:rPr>
                <w:sz w:val="6"/>
                <w:szCs w:val="6"/>
                <w:color w:val="auto"/>
              </w:rPr>
            </w:pPr>
          </w:p>
        </w:tc>
        <w:tc>
          <w:tcPr>
            <w:tcW w:w="180" w:type="dxa"/>
            <w:vAlign w:val="bottom"/>
            <w:vMerge w:val="continue"/>
          </w:tcPr>
          <w:p>
            <w:pPr>
              <w:spacing w:after="0"/>
              <w:rPr>
                <w:sz w:val="6"/>
                <w:szCs w:val="6"/>
                <w:color w:val="auto"/>
              </w:rPr>
            </w:pPr>
          </w:p>
        </w:tc>
        <w:tc>
          <w:tcPr>
            <w:tcW w:w="880" w:type="dxa"/>
            <w:vAlign w:val="bottom"/>
            <w:vMerge w:val="continue"/>
          </w:tcPr>
          <w:p>
            <w:pPr>
              <w:spacing w:after="0"/>
              <w:rPr>
                <w:sz w:val="6"/>
                <w:szCs w:val="6"/>
                <w:color w:val="auto"/>
              </w:rPr>
            </w:pPr>
          </w:p>
        </w:tc>
        <w:tc>
          <w:tcPr>
            <w:tcW w:w="280" w:type="dxa"/>
            <w:vAlign w:val="bottom"/>
            <w:gridSpan w:val="2"/>
            <w:vMerge w:val="continue"/>
          </w:tcPr>
          <w:p>
            <w:pPr>
              <w:spacing w:after="0"/>
              <w:rPr>
                <w:sz w:val="6"/>
                <w:szCs w:val="6"/>
                <w:color w:val="auto"/>
              </w:rPr>
            </w:pPr>
          </w:p>
        </w:tc>
        <w:tc>
          <w:tcPr>
            <w:tcW w:w="86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80" w:type="dxa"/>
            <w:vAlign w:val="bottom"/>
            <w:vMerge w:val="continue"/>
          </w:tcPr>
          <w:p>
            <w:pPr>
              <w:spacing w:after="0"/>
              <w:rPr>
                <w:sz w:val="6"/>
                <w:szCs w:val="6"/>
                <w:color w:val="auto"/>
              </w:rPr>
            </w:pPr>
          </w:p>
        </w:tc>
        <w:tc>
          <w:tcPr>
            <w:tcW w:w="840" w:type="dxa"/>
            <w:vAlign w:val="bottom"/>
            <w:vMerge w:val="continue"/>
          </w:tcPr>
          <w:p>
            <w:pPr>
              <w:spacing w:after="0"/>
              <w:rPr>
                <w:sz w:val="6"/>
                <w:szCs w:val="6"/>
                <w:color w:val="auto"/>
              </w:rPr>
            </w:pPr>
          </w:p>
        </w:tc>
        <w:tc>
          <w:tcPr>
            <w:tcW w:w="260" w:type="dxa"/>
            <w:vAlign w:val="bottom"/>
            <w:gridSpan w:val="2"/>
            <w:vMerge w:val="continue"/>
          </w:tcPr>
          <w:p>
            <w:pPr>
              <w:spacing w:after="0"/>
              <w:rPr>
                <w:sz w:val="6"/>
                <w:szCs w:val="6"/>
                <w:color w:val="auto"/>
              </w:rPr>
            </w:pPr>
          </w:p>
        </w:tc>
        <w:tc>
          <w:tcPr>
            <w:tcW w:w="86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80" w:type="dxa"/>
            <w:vAlign w:val="bottom"/>
            <w:vMerge w:val="continue"/>
          </w:tcPr>
          <w:p>
            <w:pPr>
              <w:spacing w:after="0"/>
              <w:rPr>
                <w:sz w:val="6"/>
                <w:szCs w:val="6"/>
                <w:color w:val="auto"/>
              </w:rPr>
            </w:pPr>
          </w:p>
        </w:tc>
        <w:tc>
          <w:tcPr>
            <w:tcW w:w="840" w:type="dxa"/>
            <w:vAlign w:val="bottom"/>
            <w:vMerge w:val="continue"/>
          </w:tcPr>
          <w:p>
            <w:pPr>
              <w:spacing w:after="0"/>
              <w:rPr>
                <w:sz w:val="6"/>
                <w:szCs w:val="6"/>
                <w:color w:val="auto"/>
              </w:rPr>
            </w:pPr>
          </w:p>
        </w:tc>
        <w:tc>
          <w:tcPr>
            <w:tcW w:w="260" w:type="dxa"/>
            <w:vAlign w:val="bottom"/>
            <w:gridSpan w:val="2"/>
            <w:vMerge w:val="continue"/>
          </w:tcPr>
          <w:p>
            <w:pPr>
              <w:spacing w:after="0"/>
              <w:rPr>
                <w:sz w:val="6"/>
                <w:szCs w:val="6"/>
                <w:color w:val="auto"/>
              </w:rPr>
            </w:pPr>
          </w:p>
        </w:tc>
        <w:tc>
          <w:tcPr>
            <w:tcW w:w="8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520" w:type="dxa"/>
            <w:vAlign w:val="bottom"/>
            <w:shd w:val="clear" w:color="auto" w:fill="CCEEFF"/>
          </w:tcPr>
          <w:p>
            <w:pPr>
              <w:ind w:left="40"/>
              <w:spacing w:after="0"/>
              <w:rPr>
                <w:sz w:val="20"/>
                <w:szCs w:val="20"/>
                <w:color w:val="auto"/>
              </w:rPr>
            </w:pPr>
            <w:r>
              <w:rPr>
                <w:rFonts w:ascii="Arial" w:cs="Arial" w:eastAsia="Arial" w:hAnsi="Arial"/>
                <w:sz w:val="14"/>
                <w:szCs w:val="14"/>
                <w:color w:val="auto"/>
              </w:rPr>
              <w:t>Common stock</w:t>
            </w:r>
          </w:p>
        </w:tc>
        <w:tc>
          <w:tcPr>
            <w:tcW w:w="140" w:type="dxa"/>
            <w:vAlign w:val="bottom"/>
            <w:shd w:val="clear" w:color="auto" w:fill="CCEEFF"/>
          </w:tcPr>
          <w:p>
            <w:pPr>
              <w:spacing w:after="0"/>
              <w:rPr>
                <w:sz w:val="17"/>
                <w:szCs w:val="17"/>
                <w:color w:val="auto"/>
              </w:rPr>
            </w:pPr>
          </w:p>
        </w:tc>
        <w:tc>
          <w:tcPr>
            <w:tcW w:w="800" w:type="dxa"/>
            <w:vAlign w:val="bottom"/>
            <w:vMerge w:val="restart"/>
            <w:shd w:val="clear" w:color="auto" w:fill="CCEEFF"/>
          </w:tcPr>
          <w:p>
            <w:pPr>
              <w:jc w:val="right"/>
              <w:ind w:right="50"/>
              <w:spacing w:after="0"/>
              <w:rPr>
                <w:sz w:val="20"/>
                <w:szCs w:val="20"/>
                <w:color w:val="auto"/>
              </w:rPr>
            </w:pPr>
            <w:r>
              <w:rPr>
                <w:rFonts w:ascii="Arial" w:cs="Arial" w:eastAsia="Arial" w:hAnsi="Arial"/>
                <w:sz w:val="14"/>
                <w:szCs w:val="14"/>
                <w:color w:val="auto"/>
              </w:rPr>
              <w:t>1</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vMerge w:val="restart"/>
            <w:shd w:val="clear" w:color="auto" w:fill="CCEEFF"/>
          </w:tcPr>
          <w:p>
            <w:pPr>
              <w:jc w:val="right"/>
              <w:ind w:right="50"/>
              <w:spacing w:after="0"/>
              <w:rPr>
                <w:sz w:val="20"/>
                <w:szCs w:val="20"/>
                <w:color w:val="auto"/>
              </w:rPr>
            </w:pPr>
            <w:r>
              <w:rPr>
                <w:rFonts w:ascii="Arial" w:cs="Arial" w:eastAsia="Arial" w:hAnsi="Arial"/>
                <w:sz w:val="14"/>
                <w:szCs w:val="14"/>
                <w:color w:val="auto"/>
              </w:rPr>
              <w:t>—</w:t>
            </w:r>
          </w:p>
        </w:tc>
        <w:tc>
          <w:tcPr>
            <w:tcW w:w="120" w:type="dxa"/>
            <w:vAlign w:val="bottom"/>
            <w:vMerge w:val="restart"/>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vMerge w:val="restart"/>
            <w:shd w:val="clear" w:color="auto" w:fill="CCEEFF"/>
          </w:tcPr>
          <w:p>
            <w:pPr>
              <w:jc w:val="right"/>
              <w:ind w:right="51"/>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vMerge w:val="restart"/>
            <w:shd w:val="clear" w:color="auto" w:fill="CCEEFF"/>
          </w:tcPr>
          <w:p>
            <w:pPr>
              <w:jc w:val="right"/>
              <w:ind w:right="50"/>
              <w:spacing w:after="0"/>
              <w:rPr>
                <w:sz w:val="20"/>
                <w:szCs w:val="20"/>
                <w:color w:val="auto"/>
              </w:rPr>
            </w:pPr>
            <w:r>
              <w:rPr>
                <w:rFonts w:ascii="Arial" w:cs="Arial" w:eastAsia="Arial" w:hAnsi="Arial"/>
                <w:sz w:val="14"/>
                <w:szCs w:val="14"/>
                <w:color w:val="auto"/>
              </w:rPr>
              <w:t>—</w:t>
            </w:r>
          </w:p>
        </w:tc>
        <w:tc>
          <w:tcPr>
            <w:tcW w:w="100" w:type="dxa"/>
            <w:vAlign w:val="bottom"/>
            <w:vMerge w:val="restart"/>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vMerge w:val="restart"/>
            <w:shd w:val="clear" w:color="auto" w:fill="CCEEFF"/>
          </w:tcPr>
          <w:p>
            <w:pPr>
              <w:jc w:val="right"/>
              <w:ind w:right="5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vMerge w:val="restart"/>
            <w:shd w:val="clear" w:color="auto" w:fill="CCEEFF"/>
          </w:tcPr>
          <w:p>
            <w:pPr>
              <w:jc w:val="right"/>
              <w:ind w:right="30"/>
              <w:spacing w:after="0"/>
              <w:rPr>
                <w:sz w:val="20"/>
                <w:szCs w:val="20"/>
                <w:color w:val="auto"/>
              </w:rPr>
            </w:pPr>
            <w:r>
              <w:rPr>
                <w:rFonts w:ascii="Arial" w:cs="Arial" w:eastAsia="Arial" w:hAnsi="Arial"/>
                <w:sz w:val="14"/>
                <w:szCs w:val="14"/>
                <w:color w:val="auto"/>
              </w:rPr>
              <w:t>—</w:t>
            </w:r>
          </w:p>
        </w:tc>
        <w:tc>
          <w:tcPr>
            <w:tcW w:w="100" w:type="dxa"/>
            <w:vAlign w:val="bottom"/>
            <w:vMerge w:val="restart"/>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vMerge w:val="restart"/>
            <w:shd w:val="clear" w:color="auto" w:fill="CCEEFF"/>
          </w:tcPr>
          <w:p>
            <w:pPr>
              <w:jc w:val="right"/>
              <w:ind w:right="31"/>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vMerge w:val="restart"/>
            <w:shd w:val="clear" w:color="auto" w:fill="CCEEFF"/>
          </w:tcPr>
          <w:p>
            <w:pPr>
              <w:jc w:val="right"/>
              <w:ind w:right="3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80"/>
        </w:trPr>
        <w:tc>
          <w:tcPr>
            <w:tcW w:w="2520" w:type="dxa"/>
            <w:vAlign w:val="bottom"/>
            <w:shd w:val="clear" w:color="auto" w:fill="CCEEFF"/>
          </w:tcPr>
          <w:p>
            <w:pPr>
              <w:spacing w:after="0"/>
              <w:rPr>
                <w:sz w:val="6"/>
                <w:szCs w:val="6"/>
                <w:color w:val="auto"/>
              </w:rPr>
            </w:pPr>
          </w:p>
        </w:tc>
        <w:tc>
          <w:tcPr>
            <w:tcW w:w="140" w:type="dxa"/>
            <w:vAlign w:val="bottom"/>
            <w:tcBorders>
              <w:bottom w:val="single" w:sz="8" w:color="auto"/>
            </w:tcBorders>
            <w:shd w:val="clear" w:color="auto" w:fill="CCEEFF"/>
          </w:tcPr>
          <w:p>
            <w:pPr>
              <w:spacing w:after="0"/>
              <w:rPr>
                <w:sz w:val="6"/>
                <w:szCs w:val="6"/>
                <w:color w:val="auto"/>
              </w:rPr>
            </w:pPr>
          </w:p>
        </w:tc>
        <w:tc>
          <w:tcPr>
            <w:tcW w:w="80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60" w:type="dxa"/>
            <w:vAlign w:val="bottom"/>
            <w:tcBorders>
              <w:bottom w:val="single" w:sz="8" w:color="auto"/>
            </w:tcBorders>
            <w:shd w:val="clear" w:color="auto" w:fill="CCEEFF"/>
          </w:tcPr>
          <w:p>
            <w:pPr>
              <w:spacing w:after="0"/>
              <w:rPr>
                <w:sz w:val="6"/>
                <w:szCs w:val="6"/>
                <w:color w:val="auto"/>
              </w:rPr>
            </w:pPr>
          </w:p>
        </w:tc>
        <w:tc>
          <w:tcPr>
            <w:tcW w:w="88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vMerge w:val="continue"/>
            <w:shd w:val="clear" w:color="auto" w:fill="CCEEFF"/>
          </w:tcPr>
          <w:p>
            <w:pPr>
              <w:spacing w:after="0"/>
              <w:rPr>
                <w:sz w:val="6"/>
                <w:szCs w:val="6"/>
                <w:color w:val="auto"/>
              </w:rPr>
            </w:pPr>
          </w:p>
        </w:tc>
        <w:tc>
          <w:tcPr>
            <w:tcW w:w="180" w:type="dxa"/>
            <w:vAlign w:val="bottom"/>
            <w:tcBorders>
              <w:bottom w:val="single" w:sz="8" w:color="auto"/>
            </w:tcBorders>
            <w:shd w:val="clear" w:color="auto" w:fill="CCEEFF"/>
          </w:tcPr>
          <w:p>
            <w:pPr>
              <w:spacing w:after="0"/>
              <w:rPr>
                <w:sz w:val="6"/>
                <w:szCs w:val="6"/>
                <w:color w:val="auto"/>
              </w:rPr>
            </w:pPr>
          </w:p>
        </w:tc>
        <w:tc>
          <w:tcPr>
            <w:tcW w:w="88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60" w:type="dxa"/>
            <w:vAlign w:val="bottom"/>
            <w:tcBorders>
              <w:bottom w:val="single" w:sz="8" w:color="auto"/>
            </w:tcBorders>
            <w:shd w:val="clear" w:color="auto" w:fill="CCEEFF"/>
          </w:tcPr>
          <w:p>
            <w:pPr>
              <w:spacing w:after="0"/>
              <w:rPr>
                <w:sz w:val="6"/>
                <w:szCs w:val="6"/>
                <w:color w:val="auto"/>
              </w:rPr>
            </w:pPr>
          </w:p>
        </w:tc>
        <w:tc>
          <w:tcPr>
            <w:tcW w:w="86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vMerge w:val="continue"/>
            <w:shd w:val="clear" w:color="auto" w:fill="CCEEFF"/>
          </w:tcPr>
          <w:p>
            <w:pPr>
              <w:spacing w:after="0"/>
              <w:rPr>
                <w:sz w:val="6"/>
                <w:szCs w:val="6"/>
                <w:color w:val="auto"/>
              </w:rPr>
            </w:pPr>
          </w:p>
        </w:tc>
        <w:tc>
          <w:tcPr>
            <w:tcW w:w="180" w:type="dxa"/>
            <w:vAlign w:val="bottom"/>
            <w:tcBorders>
              <w:bottom w:val="single" w:sz="8" w:color="auto"/>
            </w:tcBorders>
            <w:shd w:val="clear" w:color="auto" w:fill="CCEEFF"/>
          </w:tcPr>
          <w:p>
            <w:pPr>
              <w:spacing w:after="0"/>
              <w:rPr>
                <w:sz w:val="6"/>
                <w:szCs w:val="6"/>
                <w:color w:val="auto"/>
              </w:rPr>
            </w:pPr>
          </w:p>
        </w:tc>
        <w:tc>
          <w:tcPr>
            <w:tcW w:w="84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60" w:type="dxa"/>
            <w:vAlign w:val="bottom"/>
            <w:tcBorders>
              <w:bottom w:val="single" w:sz="8" w:color="auto"/>
            </w:tcBorders>
            <w:shd w:val="clear" w:color="auto" w:fill="CCEEFF"/>
          </w:tcPr>
          <w:p>
            <w:pPr>
              <w:spacing w:after="0"/>
              <w:rPr>
                <w:sz w:val="6"/>
                <w:szCs w:val="6"/>
                <w:color w:val="auto"/>
              </w:rPr>
            </w:pPr>
          </w:p>
        </w:tc>
        <w:tc>
          <w:tcPr>
            <w:tcW w:w="86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vMerge w:val="continue"/>
            <w:shd w:val="clear" w:color="auto" w:fill="CCEEFF"/>
          </w:tcPr>
          <w:p>
            <w:pPr>
              <w:spacing w:after="0"/>
              <w:rPr>
                <w:sz w:val="6"/>
                <w:szCs w:val="6"/>
                <w:color w:val="auto"/>
              </w:rPr>
            </w:pPr>
          </w:p>
        </w:tc>
        <w:tc>
          <w:tcPr>
            <w:tcW w:w="180" w:type="dxa"/>
            <w:vAlign w:val="bottom"/>
            <w:tcBorders>
              <w:bottom w:val="single" w:sz="8" w:color="auto"/>
            </w:tcBorders>
            <w:shd w:val="clear" w:color="auto" w:fill="CCEEFF"/>
          </w:tcPr>
          <w:p>
            <w:pPr>
              <w:spacing w:after="0"/>
              <w:rPr>
                <w:sz w:val="6"/>
                <w:szCs w:val="6"/>
                <w:color w:val="auto"/>
              </w:rPr>
            </w:pPr>
          </w:p>
        </w:tc>
        <w:tc>
          <w:tcPr>
            <w:tcW w:w="84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60" w:type="dxa"/>
            <w:vAlign w:val="bottom"/>
            <w:tcBorders>
              <w:bottom w:val="single" w:sz="8" w:color="auto"/>
            </w:tcBorders>
            <w:shd w:val="clear" w:color="auto" w:fill="CCEEFF"/>
          </w:tcPr>
          <w:p>
            <w:pPr>
              <w:spacing w:after="0"/>
              <w:rPr>
                <w:sz w:val="6"/>
                <w:szCs w:val="6"/>
                <w:color w:val="auto"/>
              </w:rPr>
            </w:pPr>
          </w:p>
        </w:tc>
        <w:tc>
          <w:tcPr>
            <w:tcW w:w="860" w:type="dxa"/>
            <w:vAlign w:val="bottom"/>
            <w:tcBorders>
              <w:bottom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44"/>
        </w:trPr>
        <w:tc>
          <w:tcPr>
            <w:tcW w:w="2520" w:type="dxa"/>
            <w:vAlign w:val="bottom"/>
          </w:tcPr>
          <w:p>
            <w:pPr>
              <w:ind w:left="200"/>
              <w:spacing w:after="0"/>
              <w:rPr>
                <w:sz w:val="20"/>
                <w:szCs w:val="20"/>
                <w:color w:val="auto"/>
              </w:rPr>
            </w:pPr>
            <w:r>
              <w:rPr>
                <w:rFonts w:ascii="Arial" w:cs="Arial" w:eastAsia="Arial" w:hAnsi="Arial"/>
                <w:sz w:val="14"/>
                <w:szCs w:val="14"/>
                <w:color w:val="auto"/>
              </w:rPr>
              <w:t>Total equity securities</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50"/>
              <w:spacing w:after="0"/>
              <w:rPr>
                <w:sz w:val="20"/>
                <w:szCs w:val="20"/>
                <w:color w:val="auto"/>
              </w:rPr>
            </w:pPr>
            <w:r>
              <w:rPr>
                <w:rFonts w:ascii="Arial" w:cs="Arial" w:eastAsia="Arial" w:hAnsi="Arial"/>
                <w:sz w:val="14"/>
                <w:szCs w:val="14"/>
                <w:color w:val="auto"/>
              </w:rPr>
              <w:t>1</w:t>
            </w:r>
          </w:p>
        </w:tc>
        <w:tc>
          <w:tcPr>
            <w:tcW w:w="28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51"/>
              <w:spacing w:after="0"/>
              <w:rPr>
                <w:sz w:val="20"/>
                <w:szCs w:val="20"/>
                <w:color w:val="auto"/>
              </w:rPr>
            </w:pPr>
            <w:r>
              <w:rPr>
                <w:rFonts w:ascii="Arial" w:cs="Arial" w:eastAsia="Arial" w:hAnsi="Arial"/>
                <w:sz w:val="14"/>
                <w:szCs w:val="14"/>
                <w:color w:val="auto"/>
              </w:rPr>
              <w:t>16</w:t>
            </w:r>
          </w:p>
        </w:tc>
        <w:tc>
          <w:tcPr>
            <w:tcW w:w="28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50"/>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21"/>
                <w:szCs w:val="21"/>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50"/>
              <w:spacing w:after="0"/>
              <w:rPr>
                <w:sz w:val="20"/>
                <w:szCs w:val="20"/>
                <w:color w:val="auto"/>
              </w:rPr>
            </w:pPr>
            <w:r>
              <w:rPr>
                <w:rFonts w:ascii="Arial" w:cs="Arial" w:eastAsia="Arial" w:hAnsi="Arial"/>
                <w:sz w:val="14"/>
                <w:szCs w:val="14"/>
                <w:color w:val="auto"/>
              </w:rPr>
              <w:t>57</w:t>
            </w:r>
          </w:p>
        </w:tc>
        <w:tc>
          <w:tcPr>
            <w:tcW w:w="26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30"/>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21"/>
                <w:szCs w:val="21"/>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31"/>
              <w:spacing w:after="0"/>
              <w:rPr>
                <w:sz w:val="20"/>
                <w:szCs w:val="20"/>
                <w:color w:val="auto"/>
              </w:rPr>
            </w:pPr>
            <w:r>
              <w:rPr>
                <w:rFonts w:ascii="Arial" w:cs="Arial" w:eastAsia="Arial" w:hAnsi="Arial"/>
                <w:sz w:val="14"/>
                <w:szCs w:val="14"/>
                <w:color w:val="auto"/>
              </w:rPr>
              <w:t>40</w:t>
            </w:r>
          </w:p>
        </w:tc>
        <w:tc>
          <w:tcPr>
            <w:tcW w:w="26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30"/>
              <w:spacing w:after="0"/>
              <w:rPr>
                <w:sz w:val="20"/>
                <w:szCs w:val="20"/>
                <w:color w:val="auto"/>
              </w:rPr>
            </w:pPr>
            <w:r>
              <w:rPr>
                <w:rFonts w:ascii="Arial" w:cs="Arial" w:eastAsia="Arial" w:hAnsi="Arial"/>
                <w:sz w:val="14"/>
                <w:szCs w:val="14"/>
                <w:color w:val="auto"/>
              </w:rPr>
              <w:t>7</w:t>
            </w:r>
          </w:p>
        </w:tc>
        <w:tc>
          <w:tcPr>
            <w:tcW w:w="0" w:type="dxa"/>
            <w:vAlign w:val="bottom"/>
          </w:tcPr>
          <w:p>
            <w:pPr>
              <w:spacing w:after="0"/>
              <w:rPr>
                <w:sz w:val="1"/>
                <w:szCs w:val="1"/>
                <w:color w:val="auto"/>
              </w:rPr>
            </w:pPr>
          </w:p>
        </w:tc>
      </w:tr>
      <w:tr>
        <w:trPr>
          <w:trHeight w:val="116"/>
        </w:trPr>
        <w:tc>
          <w:tcPr>
            <w:tcW w:w="2520" w:type="dxa"/>
            <w:vAlign w:val="bottom"/>
            <w:tcBorders>
              <w:top w:val="single" w:sz="8" w:color="CCEEFF"/>
            </w:tcBorders>
            <w:shd w:val="clear" w:color="auto" w:fill="CCEEFF"/>
          </w:tcPr>
          <w:p>
            <w:pPr>
              <w:ind w:left="40"/>
              <w:spacing w:after="0" w:line="116" w:lineRule="exact"/>
              <w:rPr>
                <w:sz w:val="20"/>
                <w:szCs w:val="20"/>
                <w:color w:val="auto"/>
              </w:rPr>
            </w:pPr>
            <w:r>
              <w:rPr>
                <w:rFonts w:ascii="Arial" w:cs="Arial" w:eastAsia="Arial" w:hAnsi="Arial"/>
                <w:sz w:val="13"/>
                <w:szCs w:val="13"/>
                <w:color w:val="auto"/>
              </w:rPr>
              <w:t>Total number of securities in an</w:t>
            </w:r>
          </w:p>
        </w:tc>
        <w:tc>
          <w:tcPr>
            <w:tcW w:w="140" w:type="dxa"/>
            <w:vAlign w:val="bottom"/>
            <w:tcBorders>
              <w:top w:val="single" w:sz="8" w:color="auto"/>
            </w:tcBorders>
            <w:shd w:val="clear" w:color="auto" w:fill="CCEEFF"/>
          </w:tcPr>
          <w:p>
            <w:pPr>
              <w:spacing w:after="0"/>
              <w:rPr>
                <w:sz w:val="10"/>
                <w:szCs w:val="10"/>
                <w:color w:val="auto"/>
              </w:rPr>
            </w:pPr>
          </w:p>
        </w:tc>
        <w:tc>
          <w:tcPr>
            <w:tcW w:w="800" w:type="dxa"/>
            <w:vAlign w:val="bottom"/>
            <w:tcBorders>
              <w:top w:val="single" w:sz="8" w:color="auto"/>
            </w:tcBorders>
            <w:vMerge w:val="restart"/>
            <w:shd w:val="clear" w:color="auto" w:fill="CCEEFF"/>
          </w:tcPr>
          <w:p>
            <w:pPr>
              <w:jc w:val="right"/>
              <w:ind w:right="50"/>
              <w:spacing w:after="0"/>
              <w:rPr>
                <w:sz w:val="20"/>
                <w:szCs w:val="20"/>
                <w:color w:val="auto"/>
              </w:rPr>
            </w:pPr>
            <w:r>
              <w:rPr>
                <w:rFonts w:ascii="Arial" w:cs="Arial" w:eastAsia="Arial" w:hAnsi="Arial"/>
                <w:sz w:val="14"/>
                <w:szCs w:val="14"/>
                <w:color w:val="auto"/>
              </w:rPr>
              <w:t>1,037</w:t>
            </w:r>
          </w:p>
        </w:tc>
        <w:tc>
          <w:tcPr>
            <w:tcW w:w="120" w:type="dxa"/>
            <w:vAlign w:val="bottom"/>
            <w:tcBorders>
              <w:top w:val="single" w:sz="8" w:color="CCEEFF"/>
            </w:tcBorders>
            <w:shd w:val="clear" w:color="auto" w:fill="CCEEFF"/>
          </w:tcPr>
          <w:p>
            <w:pPr>
              <w:spacing w:after="0"/>
              <w:rPr>
                <w:sz w:val="10"/>
                <w:szCs w:val="10"/>
                <w:color w:val="auto"/>
              </w:rPr>
            </w:pPr>
          </w:p>
        </w:tc>
        <w:tc>
          <w:tcPr>
            <w:tcW w:w="160" w:type="dxa"/>
            <w:vAlign w:val="bottom"/>
            <w:tcBorders>
              <w:top w:val="single" w:sz="8" w:color="auto"/>
            </w:tcBorders>
            <w:shd w:val="clear" w:color="auto" w:fill="CCEEFF"/>
          </w:tcPr>
          <w:p>
            <w:pPr>
              <w:spacing w:after="0"/>
              <w:rPr>
                <w:sz w:val="10"/>
                <w:szCs w:val="10"/>
                <w:color w:val="auto"/>
              </w:rPr>
            </w:pPr>
          </w:p>
        </w:tc>
        <w:tc>
          <w:tcPr>
            <w:tcW w:w="880" w:type="dxa"/>
            <w:vAlign w:val="bottom"/>
            <w:tcBorders>
              <w:top w:val="single" w:sz="8" w:color="auto"/>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180" w:type="dxa"/>
            <w:vAlign w:val="bottom"/>
            <w:tcBorders>
              <w:top w:val="single" w:sz="8" w:color="auto"/>
            </w:tcBorders>
            <w:shd w:val="clear" w:color="auto" w:fill="CCEEFF"/>
          </w:tcPr>
          <w:p>
            <w:pPr>
              <w:spacing w:after="0"/>
              <w:rPr>
                <w:sz w:val="10"/>
                <w:szCs w:val="10"/>
                <w:color w:val="auto"/>
              </w:rPr>
            </w:pPr>
          </w:p>
        </w:tc>
        <w:tc>
          <w:tcPr>
            <w:tcW w:w="880" w:type="dxa"/>
            <w:vAlign w:val="bottom"/>
            <w:tcBorders>
              <w:top w:val="single" w:sz="8" w:color="auto"/>
            </w:tcBorders>
            <w:vMerge w:val="restart"/>
            <w:shd w:val="clear" w:color="auto" w:fill="CCEEFF"/>
          </w:tcPr>
          <w:p>
            <w:pPr>
              <w:jc w:val="right"/>
              <w:ind w:right="51"/>
              <w:spacing w:after="0"/>
              <w:rPr>
                <w:sz w:val="20"/>
                <w:szCs w:val="20"/>
                <w:color w:val="auto"/>
              </w:rPr>
            </w:pPr>
            <w:r>
              <w:rPr>
                <w:rFonts w:ascii="Arial" w:cs="Arial" w:eastAsia="Arial" w:hAnsi="Arial"/>
                <w:sz w:val="14"/>
                <w:szCs w:val="14"/>
                <w:color w:val="auto"/>
              </w:rPr>
              <w:t>375</w:t>
            </w:r>
          </w:p>
        </w:tc>
        <w:tc>
          <w:tcPr>
            <w:tcW w:w="120" w:type="dxa"/>
            <w:vAlign w:val="bottom"/>
            <w:tcBorders>
              <w:top w:val="single" w:sz="8" w:color="CCEEFF"/>
            </w:tcBorders>
            <w:shd w:val="clear" w:color="auto" w:fill="CCEEFF"/>
          </w:tcPr>
          <w:p>
            <w:pPr>
              <w:spacing w:after="0"/>
              <w:rPr>
                <w:sz w:val="10"/>
                <w:szCs w:val="10"/>
                <w:color w:val="auto"/>
              </w:rPr>
            </w:pPr>
          </w:p>
        </w:tc>
        <w:tc>
          <w:tcPr>
            <w:tcW w:w="160" w:type="dxa"/>
            <w:vAlign w:val="bottom"/>
            <w:tcBorders>
              <w:top w:val="single" w:sz="8" w:color="auto"/>
            </w:tcBorders>
            <w:shd w:val="clear" w:color="auto" w:fill="CCEEFF"/>
          </w:tcPr>
          <w:p>
            <w:pPr>
              <w:spacing w:after="0"/>
              <w:rPr>
                <w:sz w:val="10"/>
                <w:szCs w:val="10"/>
                <w:color w:val="auto"/>
              </w:rPr>
            </w:pPr>
          </w:p>
        </w:tc>
        <w:tc>
          <w:tcPr>
            <w:tcW w:w="86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180" w:type="dxa"/>
            <w:vAlign w:val="bottom"/>
            <w:tcBorders>
              <w:top w:val="single" w:sz="8" w:color="auto"/>
            </w:tcBorders>
            <w:shd w:val="clear" w:color="auto" w:fill="CCEEFF"/>
          </w:tcPr>
          <w:p>
            <w:pPr>
              <w:spacing w:after="0"/>
              <w:rPr>
                <w:sz w:val="10"/>
                <w:szCs w:val="10"/>
                <w:color w:val="auto"/>
              </w:rPr>
            </w:pPr>
          </w:p>
        </w:tc>
        <w:tc>
          <w:tcPr>
            <w:tcW w:w="840" w:type="dxa"/>
            <w:vAlign w:val="bottom"/>
            <w:tcBorders>
              <w:top w:val="single" w:sz="8" w:color="auto"/>
            </w:tcBorders>
            <w:vMerge w:val="restart"/>
            <w:shd w:val="clear" w:color="auto" w:fill="CCEEFF"/>
          </w:tcPr>
          <w:p>
            <w:pPr>
              <w:jc w:val="right"/>
              <w:ind w:right="50"/>
              <w:spacing w:after="0"/>
              <w:rPr>
                <w:sz w:val="20"/>
                <w:szCs w:val="20"/>
                <w:color w:val="auto"/>
              </w:rPr>
            </w:pPr>
            <w:r>
              <w:rPr>
                <w:rFonts w:ascii="Arial" w:cs="Arial" w:eastAsia="Arial" w:hAnsi="Arial"/>
                <w:sz w:val="14"/>
                <w:szCs w:val="14"/>
                <w:color w:val="auto"/>
              </w:rPr>
              <w:t>1,741</w:t>
            </w:r>
          </w:p>
        </w:tc>
        <w:tc>
          <w:tcPr>
            <w:tcW w:w="100" w:type="dxa"/>
            <w:vAlign w:val="bottom"/>
            <w:tcBorders>
              <w:top w:val="single" w:sz="8" w:color="CCEEFF"/>
            </w:tcBorders>
            <w:shd w:val="clear" w:color="auto" w:fill="CCEEFF"/>
          </w:tcPr>
          <w:p>
            <w:pPr>
              <w:spacing w:after="0"/>
              <w:rPr>
                <w:sz w:val="10"/>
                <w:szCs w:val="10"/>
                <w:color w:val="auto"/>
              </w:rPr>
            </w:pPr>
          </w:p>
        </w:tc>
        <w:tc>
          <w:tcPr>
            <w:tcW w:w="160" w:type="dxa"/>
            <w:vAlign w:val="bottom"/>
            <w:tcBorders>
              <w:top w:val="single" w:sz="8" w:color="auto"/>
            </w:tcBorders>
            <w:shd w:val="clear" w:color="auto" w:fill="CCEEFF"/>
          </w:tcPr>
          <w:p>
            <w:pPr>
              <w:spacing w:after="0"/>
              <w:rPr>
                <w:sz w:val="10"/>
                <w:szCs w:val="10"/>
                <w:color w:val="auto"/>
              </w:rPr>
            </w:pPr>
          </w:p>
        </w:tc>
        <w:tc>
          <w:tcPr>
            <w:tcW w:w="86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180" w:type="dxa"/>
            <w:vAlign w:val="bottom"/>
            <w:tcBorders>
              <w:top w:val="single" w:sz="8" w:color="auto"/>
            </w:tcBorders>
            <w:shd w:val="clear" w:color="auto" w:fill="CCEEFF"/>
          </w:tcPr>
          <w:p>
            <w:pPr>
              <w:spacing w:after="0"/>
              <w:rPr>
                <w:sz w:val="10"/>
                <w:szCs w:val="10"/>
                <w:color w:val="auto"/>
              </w:rPr>
            </w:pPr>
          </w:p>
        </w:tc>
        <w:tc>
          <w:tcPr>
            <w:tcW w:w="840" w:type="dxa"/>
            <w:vAlign w:val="bottom"/>
            <w:tcBorders>
              <w:top w:val="single" w:sz="8" w:color="auto"/>
            </w:tcBorders>
            <w:vMerge w:val="restart"/>
            <w:shd w:val="clear" w:color="auto" w:fill="CCEEFF"/>
          </w:tcPr>
          <w:p>
            <w:pPr>
              <w:jc w:val="right"/>
              <w:ind w:right="31"/>
              <w:spacing w:after="0"/>
              <w:rPr>
                <w:sz w:val="20"/>
                <w:szCs w:val="20"/>
                <w:color w:val="auto"/>
              </w:rPr>
            </w:pPr>
            <w:r>
              <w:rPr>
                <w:rFonts w:ascii="Arial" w:cs="Arial" w:eastAsia="Arial" w:hAnsi="Arial"/>
                <w:sz w:val="14"/>
                <w:szCs w:val="14"/>
                <w:color w:val="auto"/>
              </w:rPr>
              <w:t>483</w:t>
            </w:r>
          </w:p>
        </w:tc>
        <w:tc>
          <w:tcPr>
            <w:tcW w:w="100" w:type="dxa"/>
            <w:vAlign w:val="bottom"/>
            <w:tcBorders>
              <w:top w:val="single" w:sz="8" w:color="CCEEFF"/>
            </w:tcBorders>
            <w:shd w:val="clear" w:color="auto" w:fill="CCEEFF"/>
          </w:tcPr>
          <w:p>
            <w:pPr>
              <w:spacing w:after="0"/>
              <w:rPr>
                <w:sz w:val="10"/>
                <w:szCs w:val="10"/>
                <w:color w:val="auto"/>
              </w:rPr>
            </w:pPr>
          </w:p>
        </w:tc>
        <w:tc>
          <w:tcPr>
            <w:tcW w:w="160" w:type="dxa"/>
            <w:vAlign w:val="bottom"/>
            <w:tcBorders>
              <w:top w:val="single" w:sz="8" w:color="auto"/>
            </w:tcBorders>
            <w:shd w:val="clear" w:color="auto" w:fill="CCEEFF"/>
          </w:tcPr>
          <w:p>
            <w:pPr>
              <w:spacing w:after="0"/>
              <w:rPr>
                <w:sz w:val="10"/>
                <w:szCs w:val="10"/>
                <w:color w:val="auto"/>
              </w:rPr>
            </w:pPr>
          </w:p>
        </w:tc>
        <w:tc>
          <w:tcPr>
            <w:tcW w:w="860" w:type="dxa"/>
            <w:vAlign w:val="bottom"/>
            <w:tcBorders>
              <w:top w:val="single" w:sz="8" w:color="auto"/>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81"/>
        </w:trPr>
        <w:tc>
          <w:tcPr>
            <w:tcW w:w="25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4"/>
                <w:szCs w:val="14"/>
                <w:color w:val="auto"/>
              </w:rPr>
              <w:t>unrealized loss position</w:t>
            </w:r>
          </w:p>
        </w:tc>
        <w:tc>
          <w:tcPr>
            <w:tcW w:w="140" w:type="dxa"/>
            <w:vAlign w:val="bottom"/>
            <w:tcBorders>
              <w:bottom w:val="single" w:sz="8" w:color="auto"/>
            </w:tcBorders>
            <w:shd w:val="clear" w:color="auto" w:fill="CCEEFF"/>
          </w:tcPr>
          <w:p>
            <w:pPr>
              <w:spacing w:after="0"/>
              <w:rPr>
                <w:sz w:val="15"/>
                <w:szCs w:val="15"/>
                <w:color w:val="auto"/>
              </w:rPr>
            </w:pPr>
          </w:p>
        </w:tc>
        <w:tc>
          <w:tcPr>
            <w:tcW w:w="800" w:type="dxa"/>
            <w:vAlign w:val="bottom"/>
            <w:tcBorders>
              <w:bottom w:val="single" w:sz="8" w:color="auto"/>
            </w:tcBorders>
            <w:vMerge w:val="continue"/>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880" w:type="dxa"/>
            <w:vAlign w:val="bottom"/>
            <w:tcBorders>
              <w:bottom w:val="single" w:sz="8" w:color="auto"/>
            </w:tcBorders>
            <w:vMerge w:val="continue"/>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5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Evaluation of AFS Securities for OTTI and Evaluating Temporarily Impaired AFS Securities</w:t>
      </w:r>
    </w:p>
    <w:p>
      <w:pPr>
        <w:spacing w:after="0" w:line="117" w:lineRule="exact"/>
        <w:rPr>
          <w:sz w:val="20"/>
          <w:szCs w:val="20"/>
          <w:color w:val="auto"/>
        </w:rPr>
      </w:pPr>
    </w:p>
    <w:p>
      <w:pPr>
        <w:jc w:val="both"/>
        <w:ind w:left="180" w:firstLine="324"/>
        <w:spacing w:after="0" w:line="286" w:lineRule="auto"/>
        <w:rPr>
          <w:sz w:val="20"/>
          <w:szCs w:val="20"/>
          <w:color w:val="auto"/>
        </w:rPr>
      </w:pPr>
      <w:r>
        <w:rPr>
          <w:rFonts w:ascii="Arial" w:cs="Arial" w:eastAsia="Arial" w:hAnsi="Arial"/>
          <w:sz w:val="17"/>
          <w:szCs w:val="17"/>
          <w:color w:val="auto"/>
        </w:rPr>
        <w:t>As described more fully in Notes 1 and 7 of the Notes to the Combined Financial Statements included in the Form 10, the Company performs a regular evaluation of all investment classes for impairment, including fixed maturity securities, equity securities and perpetual hybrid securities, in accordance with its impairment policy, in order to evaluate whether such investments are other-than-temporarily impaired.</w:t>
      </w:r>
    </w:p>
    <w:p>
      <w:pPr>
        <w:spacing w:after="0" w:line="57" w:lineRule="exact"/>
        <w:rPr>
          <w:sz w:val="20"/>
          <w:szCs w:val="20"/>
          <w:color w:val="auto"/>
        </w:rPr>
      </w:pPr>
    </w:p>
    <w:p>
      <w:pPr>
        <w:ind w:left="340"/>
        <w:spacing w:after="0"/>
        <w:rPr>
          <w:sz w:val="20"/>
          <w:szCs w:val="20"/>
          <w:color w:val="auto"/>
        </w:rPr>
      </w:pPr>
      <w:r>
        <w:rPr>
          <w:rFonts w:ascii="Arial" w:cs="Arial" w:eastAsia="Arial" w:hAnsi="Arial"/>
          <w:sz w:val="18"/>
          <w:szCs w:val="18"/>
          <w:i w:val="1"/>
          <w:iCs w:val="1"/>
          <w:u w:val="single" w:color="auto"/>
          <w:color w:val="auto"/>
        </w:rPr>
        <w:t>Current Period Evaluation</w:t>
      </w:r>
    </w:p>
    <w:p>
      <w:pPr>
        <w:spacing w:after="0" w:line="117" w:lineRule="exact"/>
        <w:rPr>
          <w:sz w:val="20"/>
          <w:szCs w:val="20"/>
          <w:color w:val="auto"/>
        </w:rPr>
      </w:pPr>
    </w:p>
    <w:p>
      <w:pPr>
        <w:jc w:val="both"/>
        <w:ind w:left="340" w:firstLine="324"/>
        <w:spacing w:after="0" w:line="255" w:lineRule="auto"/>
        <w:rPr>
          <w:sz w:val="20"/>
          <w:szCs w:val="20"/>
          <w:color w:val="auto"/>
        </w:rPr>
      </w:pPr>
      <w:r>
        <w:rPr>
          <w:rFonts w:ascii="Arial" w:cs="Arial" w:eastAsia="Arial" w:hAnsi="Arial"/>
          <w:sz w:val="18"/>
          <w:szCs w:val="18"/>
          <w:color w:val="auto"/>
        </w:rPr>
        <w:t>Based on the Company’s current evaluation of its AFS securities in an unrealized loss position in accordance with its impairment policy, and the Company’s current intentions and assessments (as applicable to the type of security) about holding, selling and any requirements to sell these securities, the Company concluded that these securities were not other-than-temporarily impaired at September 30, 2017. Future OTTI will depend primarily on economic fundamentals, issuer performance (including changes in the present value of future cash flows expected to be collected), changes in credit ratings, collateral valuation, interest rates and credit spreads, as well as a change in the Company’s intention to hold or sell a security that is in an unrealized loss position. If economic fundamentals deteriorate or if there are adverse changes in the above factors, OTTI may be incurred in upcoming periods.</w:t>
      </w:r>
    </w:p>
    <w:p>
      <w:pPr>
        <w:spacing w:after="0" w:line="81" w:lineRule="exact"/>
        <w:rPr>
          <w:sz w:val="20"/>
          <w:szCs w:val="20"/>
          <w:color w:val="auto"/>
        </w:rPr>
      </w:pPr>
    </w:p>
    <w:p>
      <w:pPr>
        <w:jc w:val="both"/>
        <w:ind w:left="340" w:firstLine="324"/>
        <w:spacing w:after="0" w:line="264" w:lineRule="auto"/>
        <w:rPr>
          <w:sz w:val="20"/>
          <w:szCs w:val="20"/>
          <w:color w:val="auto"/>
        </w:rPr>
      </w:pPr>
      <w:r>
        <w:rPr>
          <w:rFonts w:ascii="Arial" w:cs="Arial" w:eastAsia="Arial" w:hAnsi="Arial"/>
          <w:sz w:val="18"/>
          <w:szCs w:val="18"/>
          <w:color w:val="auto"/>
        </w:rPr>
        <w:t>Gross unrealized losses on fixed maturity securities decreased $556 million during the nine months ended September 30, 2017 to $390 million. The decrease in gross unrealized losses for the nine months ended September 30, 2017 was primarily attributable to narrowing credit spreads and decreasing longer-term interest rates.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234" w:right="239" w:bottom="1440" w:gutter="0" w:footer="0" w:header="0"/>
        </w:sectPr>
      </w:pPr>
    </w:p>
    <w:bookmarkStart w:id="19" w:name="page20"/>
    <w:bookmarkEnd w:id="19"/>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109" w:lineRule="exact"/>
        <w:rPr>
          <w:sz w:val="20"/>
          <w:szCs w:val="20"/>
          <w:color w:val="auto"/>
        </w:rPr>
      </w:pPr>
    </w:p>
    <w:p>
      <w:pPr>
        <w:ind w:left="4660"/>
        <w:spacing w:after="0"/>
        <w:rPr>
          <w:sz w:val="20"/>
          <w:szCs w:val="20"/>
          <w:color w:val="auto"/>
        </w:rPr>
      </w:pPr>
      <w:r>
        <w:rPr>
          <w:rFonts w:ascii="Arial" w:cs="Arial" w:eastAsia="Arial" w:hAnsi="Arial"/>
          <w:sz w:val="18"/>
          <w:szCs w:val="18"/>
          <w:b w:val="1"/>
          <w:bCs w:val="1"/>
          <w:color w:val="auto"/>
        </w:rPr>
        <w:t>Brighthouse Financial, Inc.</w:t>
      </w:r>
    </w:p>
    <w:p>
      <w:pPr>
        <w:spacing w:after="0" w:line="117" w:lineRule="exact"/>
        <w:rPr>
          <w:sz w:val="20"/>
          <w:szCs w:val="20"/>
          <w:color w:val="auto"/>
        </w:rPr>
      </w:pPr>
    </w:p>
    <w:p>
      <w:pPr>
        <w:ind w:left="1480"/>
        <w:spacing w:after="0"/>
        <w:rPr>
          <w:sz w:val="20"/>
          <w:szCs w:val="20"/>
          <w:color w:val="auto"/>
        </w:rPr>
      </w:pPr>
      <w:r>
        <w:rPr>
          <w:rFonts w:ascii="Arial" w:cs="Arial" w:eastAsia="Arial" w:hAnsi="Arial"/>
          <w:sz w:val="18"/>
          <w:szCs w:val="18"/>
          <w:b w:val="1"/>
          <w:bCs w:val="1"/>
          <w:color w:val="auto"/>
        </w:rPr>
        <w:t>Notes to the Interim Condensed Consolidated and Combined Financial Statements (Unaudited) — (continued)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Investments (continued)</w:t>
      </w:r>
    </w:p>
    <w:p>
      <w:pPr>
        <w:spacing w:after="0" w:line="364" w:lineRule="exact"/>
        <w:rPr>
          <w:sz w:val="20"/>
          <w:szCs w:val="20"/>
          <w:color w:val="auto"/>
        </w:rPr>
      </w:pPr>
    </w:p>
    <w:p>
      <w:pPr>
        <w:jc w:val="both"/>
        <w:ind w:left="340" w:firstLine="324"/>
        <w:spacing w:after="0" w:line="277" w:lineRule="auto"/>
        <w:rPr>
          <w:sz w:val="20"/>
          <w:szCs w:val="20"/>
          <w:color w:val="auto"/>
        </w:rPr>
      </w:pPr>
      <w:r>
        <w:rPr>
          <w:rFonts w:ascii="Arial" w:cs="Arial" w:eastAsia="Arial" w:hAnsi="Arial"/>
          <w:sz w:val="18"/>
          <w:szCs w:val="18"/>
          <w:color w:val="auto"/>
        </w:rPr>
        <w:t>At September 30, 2017, $5 million of the total $390 million of gross unrealized losses were from eight fixed maturity securities with an unrealized loss position of 20% or more of amortized cost for six months or greater.</w:t>
      </w:r>
    </w:p>
    <w:p>
      <w:pPr>
        <w:spacing w:after="0" w:line="62" w:lineRule="exact"/>
        <w:rPr>
          <w:sz w:val="20"/>
          <w:szCs w:val="20"/>
          <w:color w:val="auto"/>
        </w:rPr>
      </w:pPr>
    </w:p>
    <w:p>
      <w:pPr>
        <w:ind w:left="340" w:right="1480" w:firstLine="324"/>
        <w:spacing w:after="0" w:line="375" w:lineRule="auto"/>
        <w:rPr>
          <w:sz w:val="20"/>
          <w:szCs w:val="20"/>
          <w:color w:val="auto"/>
        </w:rPr>
      </w:pPr>
      <w:r>
        <w:rPr>
          <w:rFonts w:ascii="Arial" w:cs="Arial" w:eastAsia="Arial" w:hAnsi="Arial"/>
          <w:sz w:val="18"/>
          <w:szCs w:val="18"/>
          <w:color w:val="auto"/>
        </w:rPr>
        <w:t xml:space="preserve">The change in gross unrealized losses on equity securities was not significant during the nine months ended September 30, 2017. </w:t>
      </w:r>
      <w:r>
        <w:rPr>
          <w:rFonts w:ascii="Arial" w:cs="Arial" w:eastAsia="Arial" w:hAnsi="Arial"/>
          <w:sz w:val="18"/>
          <w:szCs w:val="18"/>
          <w:i w:val="1"/>
          <w:iCs w:val="1"/>
          <w:u w:val="single" w:color="auto"/>
          <w:color w:val="auto"/>
        </w:rPr>
        <w:t>Investment Grade Fixed Maturity Securities</w:t>
      </w:r>
    </w:p>
    <w:p>
      <w:pPr>
        <w:spacing w:after="0" w:line="1" w:lineRule="exact"/>
        <w:rPr>
          <w:sz w:val="20"/>
          <w:szCs w:val="20"/>
          <w:color w:val="auto"/>
        </w:rPr>
      </w:pPr>
    </w:p>
    <w:p>
      <w:pPr>
        <w:jc w:val="both"/>
        <w:ind w:left="340" w:firstLine="324"/>
        <w:spacing w:after="0" w:line="259" w:lineRule="auto"/>
        <w:rPr>
          <w:sz w:val="20"/>
          <w:szCs w:val="20"/>
          <w:color w:val="auto"/>
        </w:rPr>
      </w:pPr>
      <w:r>
        <w:rPr>
          <w:rFonts w:ascii="Arial" w:cs="Arial" w:eastAsia="Arial" w:hAnsi="Arial"/>
          <w:sz w:val="18"/>
          <w:szCs w:val="18"/>
          <w:color w:val="auto"/>
        </w:rPr>
        <w:t>Of the $5 million of gross unrealized losses on fixed maturity securities with an unrealized loss of 20% or more of amortized cost for six months or greater, $3 million, or 60%, were related to gross unrealized losses on two investment grade fixed maturity securities. Unrealized losses on investment grade fixed maturity securities are principally related to widening credit spreads since purchase and, with respect to fixed-rate fixed maturity securities, rising interest rates since purchase.</w:t>
      </w:r>
    </w:p>
    <w:p>
      <w:pPr>
        <w:spacing w:after="0" w:line="79" w:lineRule="exact"/>
        <w:rPr>
          <w:sz w:val="20"/>
          <w:szCs w:val="20"/>
          <w:color w:val="auto"/>
        </w:rPr>
      </w:pPr>
    </w:p>
    <w:p>
      <w:pPr>
        <w:ind w:left="340"/>
        <w:spacing w:after="0"/>
        <w:rPr>
          <w:sz w:val="20"/>
          <w:szCs w:val="20"/>
          <w:color w:val="auto"/>
        </w:rPr>
      </w:pPr>
      <w:r>
        <w:rPr>
          <w:rFonts w:ascii="Arial" w:cs="Arial" w:eastAsia="Arial" w:hAnsi="Arial"/>
          <w:sz w:val="18"/>
          <w:szCs w:val="18"/>
          <w:i w:val="1"/>
          <w:iCs w:val="1"/>
          <w:u w:val="single" w:color="auto"/>
          <w:color w:val="auto"/>
        </w:rPr>
        <w:t>Below Investment Grade Fixed Maturity Securities</w:t>
      </w:r>
    </w:p>
    <w:p>
      <w:pPr>
        <w:spacing w:after="0" w:line="117" w:lineRule="exact"/>
        <w:rPr>
          <w:sz w:val="20"/>
          <w:szCs w:val="20"/>
          <w:color w:val="auto"/>
        </w:rPr>
      </w:pPr>
    </w:p>
    <w:p>
      <w:pPr>
        <w:jc w:val="both"/>
        <w:ind w:left="340" w:firstLine="324"/>
        <w:spacing w:after="0" w:line="273" w:lineRule="auto"/>
        <w:rPr>
          <w:sz w:val="20"/>
          <w:szCs w:val="20"/>
          <w:color w:val="auto"/>
        </w:rPr>
      </w:pPr>
      <w:r>
        <w:rPr>
          <w:rFonts w:ascii="Arial" w:cs="Arial" w:eastAsia="Arial" w:hAnsi="Arial"/>
          <w:sz w:val="17"/>
          <w:szCs w:val="17"/>
          <w:color w:val="auto"/>
        </w:rPr>
        <w:t>Of the $5 million of gross unrealized losses on fixed maturity securities with an unrealized loss of 20% or more of amortized cost for six months or greater, $2 million, or 40%, were related to gross unrealized losses on six below investment grade fixed maturity securities. Unrealized losses on below investment grade fixed maturity securities are principally related to U.S. and foreign corporate securities (primarily industrial securities) and are the result of significantly wider credit spreads resulting from higher risk premiums since purchase, largely due to economic and market uncertainties including concerns over lower oil prices in the energy sector. Management evaluates U.S. and foreign corporate securities based on factors such as expected cash flows and the financial condition and near-term and long-term prospects of the issuers.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Mortgage Loans</w:t>
      </w:r>
    </w:p>
    <w:p>
      <w:pPr>
        <w:spacing w:after="0" w:line="11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Mortgage Loans by Portfolio Segment</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Mortgage loans are summarized as follows at:</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9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440" w:type="dxa"/>
            <w:vAlign w:val="bottom"/>
            <w:tcBorders>
              <w:bottom w:val="single" w:sz="8" w:color="auto"/>
            </w:tcBorders>
            <w:gridSpan w:val="3"/>
          </w:tcPr>
          <w:p>
            <w:pPr>
              <w:jc w:val="right"/>
              <w:ind w:right="641"/>
              <w:spacing w:after="0"/>
              <w:rPr>
                <w:sz w:val="20"/>
                <w:szCs w:val="20"/>
                <w:color w:val="auto"/>
              </w:rPr>
            </w:pPr>
            <w:r>
              <w:rPr>
                <w:rFonts w:ascii="Arial" w:cs="Arial" w:eastAsia="Arial" w:hAnsi="Arial"/>
                <w:sz w:val="14"/>
                <w:szCs w:val="14"/>
                <w:b w:val="1"/>
                <w:bCs w:val="1"/>
                <w:color w:val="auto"/>
              </w:rPr>
              <w:t>September 30, 2017</w:t>
            </w:r>
          </w:p>
        </w:tc>
        <w:tc>
          <w:tcPr>
            <w:tcW w:w="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440" w:type="dxa"/>
            <w:vAlign w:val="bottom"/>
            <w:tcBorders>
              <w:bottom w:val="single" w:sz="8" w:color="auto"/>
            </w:tcBorders>
            <w:gridSpan w:val="3"/>
          </w:tcPr>
          <w:p>
            <w:pPr>
              <w:jc w:val="right"/>
              <w:ind w:right="661"/>
              <w:spacing w:after="0"/>
              <w:rPr>
                <w:sz w:val="20"/>
                <w:szCs w:val="20"/>
                <w:color w:val="auto"/>
              </w:rPr>
            </w:pPr>
            <w:r>
              <w:rPr>
                <w:rFonts w:ascii="Arial" w:cs="Arial" w:eastAsia="Arial" w:hAnsi="Arial"/>
                <w:sz w:val="14"/>
                <w:szCs w:val="14"/>
                <w:b w:val="1"/>
                <w:bCs w:val="1"/>
                <w:color w:val="auto"/>
              </w:rPr>
              <w:t>December 31, 2016</w:t>
            </w:r>
          </w:p>
        </w:tc>
        <w:tc>
          <w:tcPr>
            <w:tcW w:w="0" w:type="dxa"/>
            <w:vAlign w:val="bottom"/>
          </w:tcPr>
          <w:p>
            <w:pPr>
              <w:spacing w:after="0"/>
              <w:rPr>
                <w:sz w:val="1"/>
                <w:szCs w:val="1"/>
                <w:color w:val="auto"/>
              </w:rPr>
            </w:pPr>
          </w:p>
        </w:tc>
      </w:tr>
      <w:tr>
        <w:trPr>
          <w:trHeight w:val="152"/>
        </w:trPr>
        <w:tc>
          <w:tcPr>
            <w:tcW w:w="59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20" w:type="dxa"/>
            <w:vAlign w:val="bottom"/>
            <w:gridSpan w:val="2"/>
          </w:tcPr>
          <w:p>
            <w:pPr>
              <w:jc w:val="center"/>
              <w:ind w:right="360"/>
              <w:spacing w:after="0" w:line="153" w:lineRule="exact"/>
              <w:rPr>
                <w:sz w:val="20"/>
                <w:szCs w:val="20"/>
                <w:color w:val="auto"/>
              </w:rPr>
            </w:pPr>
            <w:r>
              <w:rPr>
                <w:rFonts w:ascii="Arial" w:cs="Arial" w:eastAsia="Arial" w:hAnsi="Arial"/>
                <w:sz w:val="14"/>
                <w:szCs w:val="14"/>
                <w:b w:val="1"/>
                <w:bCs w:val="1"/>
                <w:color w:val="auto"/>
              </w:rPr>
              <w:t>Carrying</w:t>
            </w:r>
          </w:p>
        </w:tc>
        <w:tc>
          <w:tcPr>
            <w:tcW w:w="1340" w:type="dxa"/>
            <w:vAlign w:val="bottom"/>
            <w:gridSpan w:val="2"/>
          </w:tcPr>
          <w:p>
            <w:pPr>
              <w:ind w:left="460"/>
              <w:spacing w:after="0" w:line="153" w:lineRule="exact"/>
              <w:rPr>
                <w:sz w:val="20"/>
                <w:szCs w:val="20"/>
                <w:color w:val="auto"/>
              </w:rPr>
            </w:pPr>
            <w:r>
              <w:rPr>
                <w:rFonts w:ascii="Arial" w:cs="Arial" w:eastAsia="Arial" w:hAnsi="Arial"/>
                <w:sz w:val="14"/>
                <w:szCs w:val="14"/>
                <w:b w:val="1"/>
                <w:bCs w:val="1"/>
                <w:color w:val="auto"/>
              </w:rPr>
              <w:t>% of</w:t>
            </w:r>
          </w:p>
        </w:tc>
        <w:tc>
          <w:tcPr>
            <w:tcW w:w="240" w:type="dxa"/>
            <w:vAlign w:val="bottom"/>
          </w:tcPr>
          <w:p>
            <w:pPr>
              <w:spacing w:after="0"/>
              <w:rPr>
                <w:sz w:val="13"/>
                <w:szCs w:val="13"/>
                <w:color w:val="auto"/>
              </w:rPr>
            </w:pPr>
          </w:p>
        </w:tc>
        <w:tc>
          <w:tcPr>
            <w:tcW w:w="1220" w:type="dxa"/>
            <w:vAlign w:val="bottom"/>
            <w:gridSpan w:val="2"/>
          </w:tcPr>
          <w:p>
            <w:pPr>
              <w:jc w:val="center"/>
              <w:ind w:right="360"/>
              <w:spacing w:after="0" w:line="153" w:lineRule="exact"/>
              <w:rPr>
                <w:sz w:val="20"/>
                <w:szCs w:val="20"/>
                <w:color w:val="auto"/>
              </w:rPr>
            </w:pPr>
            <w:r>
              <w:rPr>
                <w:rFonts w:ascii="Arial" w:cs="Arial" w:eastAsia="Arial" w:hAnsi="Arial"/>
                <w:sz w:val="14"/>
                <w:szCs w:val="14"/>
                <w:b w:val="1"/>
                <w:bCs w:val="1"/>
                <w:color w:val="auto"/>
              </w:rPr>
              <w:t>Carrying</w:t>
            </w:r>
          </w:p>
        </w:tc>
        <w:tc>
          <w:tcPr>
            <w:tcW w:w="1220" w:type="dxa"/>
            <w:vAlign w:val="bottom"/>
          </w:tcPr>
          <w:p>
            <w:pPr>
              <w:jc w:val="right"/>
              <w:ind w:right="381"/>
              <w:spacing w:after="0" w:line="153" w:lineRule="exact"/>
              <w:rPr>
                <w:sz w:val="20"/>
                <w:szCs w:val="20"/>
                <w:color w:val="auto"/>
              </w:rPr>
            </w:pPr>
            <w:r>
              <w:rPr>
                <w:rFonts w:ascii="Arial" w:cs="Arial" w:eastAsia="Arial" w:hAnsi="Arial"/>
                <w:sz w:val="14"/>
                <w:szCs w:val="14"/>
                <w:b w:val="1"/>
                <w:bCs w:val="1"/>
                <w:color w:val="auto"/>
              </w:rPr>
              <w:t>% of</w:t>
            </w:r>
          </w:p>
        </w:tc>
        <w:tc>
          <w:tcPr>
            <w:tcW w:w="0" w:type="dxa"/>
            <w:vAlign w:val="bottom"/>
          </w:tcPr>
          <w:p>
            <w:pPr>
              <w:spacing w:after="0"/>
              <w:rPr>
                <w:sz w:val="1"/>
                <w:szCs w:val="1"/>
                <w:color w:val="auto"/>
              </w:rPr>
            </w:pPr>
          </w:p>
        </w:tc>
      </w:tr>
      <w:tr>
        <w:trPr>
          <w:trHeight w:val="192"/>
        </w:trPr>
        <w:tc>
          <w:tcPr>
            <w:tcW w:w="59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tcPr>
          <w:p>
            <w:pPr>
              <w:jc w:val="center"/>
              <w:ind w:right="360"/>
              <w:spacing w:after="0"/>
              <w:rPr>
                <w:sz w:val="20"/>
                <w:szCs w:val="20"/>
                <w:color w:val="auto"/>
              </w:rPr>
            </w:pPr>
            <w:r>
              <w:rPr>
                <w:rFonts w:ascii="Arial" w:cs="Arial" w:eastAsia="Arial" w:hAnsi="Arial"/>
                <w:sz w:val="14"/>
                <w:szCs w:val="14"/>
                <w:b w:val="1"/>
                <w:bCs w:val="1"/>
                <w:color w:val="auto"/>
                <w:w w:val="90"/>
              </w:rPr>
              <w:t>Value</w:t>
            </w:r>
          </w:p>
        </w:tc>
        <w:tc>
          <w:tcPr>
            <w:tcW w:w="1340" w:type="dxa"/>
            <w:vAlign w:val="bottom"/>
            <w:tcBorders>
              <w:bottom w:val="single" w:sz="8" w:color="auto"/>
            </w:tcBorders>
            <w:gridSpan w:val="2"/>
          </w:tcPr>
          <w:p>
            <w:pPr>
              <w:ind w:left="460"/>
              <w:spacing w:after="0"/>
              <w:rPr>
                <w:sz w:val="20"/>
                <w:szCs w:val="20"/>
                <w:color w:val="auto"/>
              </w:rPr>
            </w:pPr>
            <w:r>
              <w:rPr>
                <w:rFonts w:ascii="Arial" w:cs="Arial" w:eastAsia="Arial" w:hAnsi="Arial"/>
                <w:sz w:val="14"/>
                <w:szCs w:val="14"/>
                <w:b w:val="1"/>
                <w:bCs w:val="1"/>
                <w:color w:val="auto"/>
              </w:rPr>
              <w:t>Total</w:t>
            </w:r>
          </w:p>
        </w:tc>
        <w:tc>
          <w:tcPr>
            <w:tcW w:w="2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tcPr>
          <w:p>
            <w:pPr>
              <w:jc w:val="center"/>
              <w:ind w:right="360"/>
              <w:spacing w:after="0"/>
              <w:rPr>
                <w:sz w:val="20"/>
                <w:szCs w:val="20"/>
                <w:color w:val="auto"/>
              </w:rPr>
            </w:pPr>
            <w:r>
              <w:rPr>
                <w:rFonts w:ascii="Arial" w:cs="Arial" w:eastAsia="Arial" w:hAnsi="Arial"/>
                <w:sz w:val="14"/>
                <w:szCs w:val="14"/>
                <w:b w:val="1"/>
                <w:bCs w:val="1"/>
                <w:color w:val="auto"/>
                <w:w w:val="90"/>
              </w:rPr>
              <w:t>Value</w:t>
            </w:r>
          </w:p>
        </w:tc>
        <w:tc>
          <w:tcPr>
            <w:tcW w:w="1220" w:type="dxa"/>
            <w:vAlign w:val="bottom"/>
            <w:tcBorders>
              <w:bottom w:val="single" w:sz="8" w:color="auto"/>
            </w:tcBorders>
          </w:tcPr>
          <w:p>
            <w:pPr>
              <w:jc w:val="right"/>
              <w:ind w:right="38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50"/>
        </w:trPr>
        <w:tc>
          <w:tcPr>
            <w:tcW w:w="59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0" w:type="dxa"/>
            <w:vAlign w:val="bottom"/>
            <w:gridSpan w:val="5"/>
          </w:tcPr>
          <w:p>
            <w:pPr>
              <w:ind w:left="680"/>
              <w:spacing w:after="0"/>
              <w:rPr>
                <w:sz w:val="20"/>
                <w:szCs w:val="20"/>
                <w:color w:val="auto"/>
              </w:rPr>
            </w:pPr>
            <w:r>
              <w:rPr>
                <w:rFonts w:ascii="Arial" w:cs="Arial" w:eastAsia="Arial" w:hAnsi="Arial"/>
                <w:sz w:val="14"/>
                <w:szCs w:val="14"/>
                <w:b w:val="1"/>
                <w:bCs w:val="1"/>
                <w:color w:val="auto"/>
              </w:rPr>
              <w:t>(Dollars in millions)</w:t>
            </w: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5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Mortgage loans:</w:t>
            </w:r>
          </w:p>
        </w:tc>
        <w:tc>
          <w:tcPr>
            <w:tcW w:w="2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5940" w:type="dxa"/>
            <w:vAlign w:val="bottom"/>
          </w:tcPr>
          <w:p>
            <w:pPr>
              <w:ind w:left="40"/>
              <w:spacing w:after="0"/>
              <w:rPr>
                <w:sz w:val="20"/>
                <w:szCs w:val="20"/>
                <w:color w:val="auto"/>
              </w:rPr>
            </w:pPr>
            <w:r>
              <w:rPr>
                <w:rFonts w:ascii="Arial" w:cs="Arial" w:eastAsia="Arial" w:hAnsi="Arial"/>
                <w:sz w:val="16"/>
                <w:szCs w:val="16"/>
                <w:color w:val="auto"/>
              </w:rPr>
              <w:t>Commercial</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ind w:right="21"/>
              <w:spacing w:after="0"/>
              <w:rPr>
                <w:sz w:val="20"/>
                <w:szCs w:val="20"/>
                <w:color w:val="auto"/>
              </w:rPr>
            </w:pPr>
            <w:r>
              <w:rPr>
                <w:rFonts w:ascii="Arial" w:cs="Arial" w:eastAsia="Arial" w:hAnsi="Arial"/>
                <w:sz w:val="16"/>
                <w:szCs w:val="16"/>
                <w:color w:val="auto"/>
              </w:rPr>
              <w:t>7,039</w:t>
            </w:r>
          </w:p>
        </w:tc>
        <w:tc>
          <w:tcPr>
            <w:tcW w:w="12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67.5 %</w:t>
            </w:r>
          </w:p>
        </w:tc>
        <w:tc>
          <w:tcPr>
            <w:tcW w:w="120" w:type="dxa"/>
            <w:vAlign w:val="bottom"/>
          </w:tcPr>
          <w:p>
            <w:pPr>
              <w:spacing w:after="0"/>
              <w:rPr>
                <w:sz w:val="20"/>
                <w:szCs w:val="20"/>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ind w:right="21"/>
              <w:spacing w:after="0"/>
              <w:rPr>
                <w:sz w:val="20"/>
                <w:szCs w:val="20"/>
                <w:color w:val="auto"/>
              </w:rPr>
            </w:pPr>
            <w:r>
              <w:rPr>
                <w:rFonts w:ascii="Arial" w:cs="Arial" w:eastAsia="Arial" w:hAnsi="Arial"/>
                <w:sz w:val="16"/>
                <w:szCs w:val="16"/>
                <w:color w:val="auto"/>
              </w:rPr>
              <w:t>6,523</w:t>
            </w:r>
          </w:p>
        </w:tc>
        <w:tc>
          <w:tcPr>
            <w:tcW w:w="12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69.6 %</w:t>
            </w:r>
          </w:p>
        </w:tc>
        <w:tc>
          <w:tcPr>
            <w:tcW w:w="0" w:type="dxa"/>
            <w:vAlign w:val="bottom"/>
          </w:tcPr>
          <w:p>
            <w:pPr>
              <w:spacing w:after="0"/>
              <w:rPr>
                <w:sz w:val="1"/>
                <w:szCs w:val="1"/>
                <w:color w:val="auto"/>
              </w:rPr>
            </w:pPr>
          </w:p>
        </w:tc>
      </w:tr>
      <w:tr>
        <w:trPr>
          <w:trHeight w:val="33"/>
        </w:trPr>
        <w:tc>
          <w:tcPr>
            <w:tcW w:w="59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Agricultural</w:t>
            </w: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2,220</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21"/>
              <w:spacing w:after="0"/>
              <w:rPr>
                <w:sz w:val="20"/>
                <w:szCs w:val="20"/>
                <w:color w:val="auto"/>
              </w:rPr>
            </w:pPr>
            <w:r>
              <w:rPr>
                <w:rFonts w:ascii="Arial" w:cs="Arial" w:eastAsia="Arial" w:hAnsi="Arial"/>
                <w:sz w:val="16"/>
                <w:szCs w:val="16"/>
                <w:color w:val="auto"/>
              </w:rPr>
              <w:t>21.3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1,892</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21"/>
              <w:spacing w:after="0"/>
              <w:rPr>
                <w:sz w:val="20"/>
                <w:szCs w:val="20"/>
                <w:color w:val="auto"/>
              </w:rPr>
            </w:pPr>
            <w:r>
              <w:rPr>
                <w:rFonts w:ascii="Arial" w:cs="Arial" w:eastAsia="Arial" w:hAnsi="Arial"/>
                <w:sz w:val="16"/>
                <w:szCs w:val="16"/>
                <w:color w:val="auto"/>
              </w:rPr>
              <w:t>20.2</w:t>
            </w:r>
          </w:p>
        </w:tc>
        <w:tc>
          <w:tcPr>
            <w:tcW w:w="0" w:type="dxa"/>
            <w:vAlign w:val="bottom"/>
          </w:tcPr>
          <w:p>
            <w:pPr>
              <w:spacing w:after="0"/>
              <w:rPr>
                <w:sz w:val="1"/>
                <w:szCs w:val="1"/>
                <w:color w:val="auto"/>
              </w:rPr>
            </w:pPr>
          </w:p>
        </w:tc>
      </w:tr>
      <w:tr>
        <w:trPr>
          <w:trHeight w:val="237"/>
        </w:trPr>
        <w:tc>
          <w:tcPr>
            <w:tcW w:w="5940" w:type="dxa"/>
            <w:vAlign w:val="bottom"/>
          </w:tcPr>
          <w:p>
            <w:pPr>
              <w:ind w:left="40"/>
              <w:spacing w:after="0"/>
              <w:rPr>
                <w:sz w:val="20"/>
                <w:szCs w:val="20"/>
                <w:color w:val="auto"/>
              </w:rPr>
            </w:pPr>
            <w:r>
              <w:rPr>
                <w:rFonts w:ascii="Arial" w:cs="Arial" w:eastAsia="Arial" w:hAnsi="Arial"/>
                <w:sz w:val="16"/>
                <w:szCs w:val="16"/>
                <w:color w:val="auto"/>
              </w:rPr>
              <w:t>Residential</w:t>
            </w:r>
          </w:p>
        </w:tc>
        <w:tc>
          <w:tcPr>
            <w:tcW w:w="240" w:type="dxa"/>
            <w:vAlign w:val="bottom"/>
          </w:tcPr>
          <w:p>
            <w:pPr>
              <w:spacing w:after="0"/>
              <w:rPr>
                <w:sz w:val="20"/>
                <w:szCs w:val="20"/>
                <w:color w:val="auto"/>
              </w:rPr>
            </w:pPr>
          </w:p>
        </w:tc>
        <w:tc>
          <w:tcPr>
            <w:tcW w:w="1100" w:type="dxa"/>
            <w:vAlign w:val="bottom"/>
          </w:tcPr>
          <w:p>
            <w:pPr>
              <w:jc w:val="right"/>
              <w:ind w:right="21"/>
              <w:spacing w:after="0"/>
              <w:rPr>
                <w:sz w:val="20"/>
                <w:szCs w:val="20"/>
                <w:color w:val="auto"/>
              </w:rPr>
            </w:pPr>
            <w:r>
              <w:rPr>
                <w:rFonts w:ascii="Arial" w:cs="Arial" w:eastAsia="Arial" w:hAnsi="Arial"/>
                <w:sz w:val="16"/>
                <w:szCs w:val="16"/>
                <w:color w:val="auto"/>
              </w:rPr>
              <w:t>1,098</w:t>
            </w:r>
          </w:p>
        </w:tc>
        <w:tc>
          <w:tcPr>
            <w:tcW w:w="120" w:type="dxa"/>
            <w:vAlign w:val="bottom"/>
          </w:tcPr>
          <w:p>
            <w:pPr>
              <w:spacing w:after="0"/>
              <w:rPr>
                <w:sz w:val="20"/>
                <w:szCs w:val="20"/>
                <w:color w:val="auto"/>
              </w:rPr>
            </w:pPr>
          </w:p>
        </w:tc>
        <w:tc>
          <w:tcPr>
            <w:tcW w:w="1220" w:type="dxa"/>
            <w:vAlign w:val="bottom"/>
          </w:tcPr>
          <w:p>
            <w:pPr>
              <w:jc w:val="right"/>
              <w:ind w:right="121"/>
              <w:spacing w:after="0"/>
              <w:rPr>
                <w:sz w:val="20"/>
                <w:szCs w:val="20"/>
                <w:color w:val="auto"/>
              </w:rPr>
            </w:pPr>
            <w:r>
              <w:rPr>
                <w:rFonts w:ascii="Arial" w:cs="Arial" w:eastAsia="Arial" w:hAnsi="Arial"/>
                <w:sz w:val="16"/>
                <w:szCs w:val="16"/>
                <w:color w:val="auto"/>
              </w:rPr>
              <w:t>10.5</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jc w:val="right"/>
              <w:ind w:right="21"/>
              <w:spacing w:after="0"/>
              <w:rPr>
                <w:sz w:val="20"/>
                <w:szCs w:val="20"/>
                <w:color w:val="auto"/>
              </w:rPr>
            </w:pPr>
            <w:r>
              <w:rPr>
                <w:rFonts w:ascii="Arial" w:cs="Arial" w:eastAsia="Arial" w:hAnsi="Arial"/>
                <w:sz w:val="16"/>
                <w:szCs w:val="16"/>
                <w:color w:val="auto"/>
              </w:rPr>
              <w:t>867</w:t>
            </w:r>
          </w:p>
        </w:tc>
        <w:tc>
          <w:tcPr>
            <w:tcW w:w="120" w:type="dxa"/>
            <w:vAlign w:val="bottom"/>
          </w:tcPr>
          <w:p>
            <w:pPr>
              <w:spacing w:after="0"/>
              <w:rPr>
                <w:sz w:val="20"/>
                <w:szCs w:val="20"/>
                <w:color w:val="auto"/>
              </w:rPr>
            </w:pPr>
          </w:p>
        </w:tc>
        <w:tc>
          <w:tcPr>
            <w:tcW w:w="1220" w:type="dxa"/>
            <w:vAlign w:val="bottom"/>
          </w:tcPr>
          <w:p>
            <w:pPr>
              <w:jc w:val="right"/>
              <w:ind w:right="121"/>
              <w:spacing w:after="0"/>
              <w:rPr>
                <w:sz w:val="20"/>
                <w:szCs w:val="20"/>
                <w:color w:val="auto"/>
              </w:rPr>
            </w:pPr>
            <w:r>
              <w:rPr>
                <w:rFonts w:ascii="Arial" w:cs="Arial" w:eastAsia="Arial" w:hAnsi="Arial"/>
                <w:sz w:val="16"/>
                <w:szCs w:val="16"/>
                <w:color w:val="auto"/>
              </w:rPr>
              <w:t>9.2</w:t>
            </w:r>
          </w:p>
        </w:tc>
        <w:tc>
          <w:tcPr>
            <w:tcW w:w="0" w:type="dxa"/>
            <w:vAlign w:val="bottom"/>
          </w:tcPr>
          <w:p>
            <w:pPr>
              <w:spacing w:after="0"/>
              <w:rPr>
                <w:sz w:val="1"/>
                <w:szCs w:val="1"/>
                <w:color w:val="auto"/>
              </w:rPr>
            </w:pPr>
          </w:p>
        </w:tc>
      </w:tr>
      <w:tr>
        <w:trPr>
          <w:trHeight w:val="33"/>
        </w:trPr>
        <w:tc>
          <w:tcPr>
            <w:tcW w:w="59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59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Subtotal (1)</w:t>
            </w:r>
          </w:p>
        </w:tc>
        <w:tc>
          <w:tcPr>
            <w:tcW w:w="2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10,357</w:t>
            </w:r>
          </w:p>
        </w:tc>
        <w:tc>
          <w:tcPr>
            <w:tcW w:w="12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121"/>
              <w:spacing w:after="0"/>
              <w:rPr>
                <w:sz w:val="20"/>
                <w:szCs w:val="20"/>
                <w:color w:val="auto"/>
              </w:rPr>
            </w:pPr>
            <w:r>
              <w:rPr>
                <w:rFonts w:ascii="Arial" w:cs="Arial" w:eastAsia="Arial" w:hAnsi="Arial"/>
                <w:sz w:val="16"/>
                <w:szCs w:val="16"/>
                <w:color w:val="auto"/>
              </w:rPr>
              <w:t>99.3</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9,282</w:t>
            </w:r>
          </w:p>
        </w:tc>
        <w:tc>
          <w:tcPr>
            <w:tcW w:w="12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121"/>
              <w:spacing w:after="0"/>
              <w:rPr>
                <w:sz w:val="20"/>
                <w:szCs w:val="20"/>
                <w:color w:val="auto"/>
              </w:rPr>
            </w:pPr>
            <w:r>
              <w:rPr>
                <w:rFonts w:ascii="Arial" w:cs="Arial" w:eastAsia="Arial" w:hAnsi="Arial"/>
                <w:sz w:val="16"/>
                <w:szCs w:val="16"/>
                <w:color w:val="auto"/>
              </w:rPr>
              <w:t>99.0</w:t>
            </w:r>
          </w:p>
        </w:tc>
        <w:tc>
          <w:tcPr>
            <w:tcW w:w="0" w:type="dxa"/>
            <w:vAlign w:val="bottom"/>
          </w:tcPr>
          <w:p>
            <w:pPr>
              <w:spacing w:after="0"/>
              <w:rPr>
                <w:sz w:val="1"/>
                <w:szCs w:val="1"/>
                <w:color w:val="auto"/>
              </w:rPr>
            </w:pPr>
          </w:p>
        </w:tc>
      </w:tr>
      <w:tr>
        <w:trPr>
          <w:trHeight w:val="237"/>
        </w:trPr>
        <w:tc>
          <w:tcPr>
            <w:tcW w:w="5940" w:type="dxa"/>
            <w:vAlign w:val="bottom"/>
          </w:tcPr>
          <w:p>
            <w:pPr>
              <w:ind w:left="40"/>
              <w:spacing w:after="0"/>
              <w:rPr>
                <w:sz w:val="20"/>
                <w:szCs w:val="20"/>
                <w:color w:val="auto"/>
              </w:rPr>
            </w:pPr>
            <w:r>
              <w:rPr>
                <w:rFonts w:ascii="Arial" w:cs="Arial" w:eastAsia="Arial" w:hAnsi="Arial"/>
                <w:sz w:val="16"/>
                <w:szCs w:val="16"/>
                <w:color w:val="auto"/>
              </w:rPr>
              <w:t>Valuation allowances</w:t>
            </w:r>
          </w:p>
        </w:tc>
        <w:tc>
          <w:tcPr>
            <w:tcW w:w="2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(45)</w:t>
            </w:r>
          </w:p>
        </w:tc>
        <w:tc>
          <w:tcPr>
            <w:tcW w:w="120" w:type="dxa"/>
            <w:vAlign w:val="bottom"/>
          </w:tcPr>
          <w:p>
            <w:pPr>
              <w:spacing w:after="0"/>
              <w:rPr>
                <w:sz w:val="20"/>
                <w:szCs w:val="20"/>
                <w:color w:val="auto"/>
              </w:rPr>
            </w:pPr>
          </w:p>
        </w:tc>
        <w:tc>
          <w:tcPr>
            <w:tcW w:w="1220" w:type="dxa"/>
            <w:vAlign w:val="bottom"/>
          </w:tcPr>
          <w:p>
            <w:pPr>
              <w:jc w:val="right"/>
              <w:ind w:right="61"/>
              <w:spacing w:after="0"/>
              <w:rPr>
                <w:sz w:val="20"/>
                <w:szCs w:val="20"/>
                <w:color w:val="auto"/>
              </w:rPr>
            </w:pPr>
            <w:r>
              <w:rPr>
                <w:rFonts w:ascii="Arial" w:cs="Arial" w:eastAsia="Arial" w:hAnsi="Arial"/>
                <w:sz w:val="16"/>
                <w:szCs w:val="16"/>
                <w:color w:val="auto"/>
              </w:rPr>
              <w:t>(0.4)</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(40)</w:t>
            </w:r>
          </w:p>
        </w:tc>
        <w:tc>
          <w:tcPr>
            <w:tcW w:w="120" w:type="dxa"/>
            <w:vAlign w:val="bottom"/>
          </w:tcPr>
          <w:p>
            <w:pPr>
              <w:spacing w:after="0"/>
              <w:rPr>
                <w:sz w:val="20"/>
                <w:szCs w:val="20"/>
                <w:color w:val="auto"/>
              </w:rPr>
            </w:pPr>
          </w:p>
        </w:tc>
        <w:tc>
          <w:tcPr>
            <w:tcW w:w="1220" w:type="dxa"/>
            <w:vAlign w:val="bottom"/>
          </w:tcPr>
          <w:p>
            <w:pPr>
              <w:jc w:val="right"/>
              <w:ind w:right="61"/>
              <w:spacing w:after="0"/>
              <w:rPr>
                <w:sz w:val="20"/>
                <w:szCs w:val="20"/>
                <w:color w:val="auto"/>
              </w:rPr>
            </w:pPr>
            <w:r>
              <w:rPr>
                <w:rFonts w:ascii="Arial" w:cs="Arial" w:eastAsia="Arial" w:hAnsi="Arial"/>
                <w:sz w:val="16"/>
                <w:szCs w:val="16"/>
                <w:color w:val="auto"/>
              </w:rPr>
              <w:t>(0.4)</w:t>
            </w:r>
          </w:p>
        </w:tc>
        <w:tc>
          <w:tcPr>
            <w:tcW w:w="0" w:type="dxa"/>
            <w:vAlign w:val="bottom"/>
          </w:tcPr>
          <w:p>
            <w:pPr>
              <w:spacing w:after="0"/>
              <w:rPr>
                <w:sz w:val="1"/>
                <w:szCs w:val="1"/>
                <w:color w:val="auto"/>
              </w:rPr>
            </w:pPr>
          </w:p>
        </w:tc>
      </w:tr>
      <w:tr>
        <w:trPr>
          <w:trHeight w:val="33"/>
        </w:trPr>
        <w:tc>
          <w:tcPr>
            <w:tcW w:w="59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59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Subtotal mortgage loans, net</w:t>
            </w:r>
          </w:p>
        </w:tc>
        <w:tc>
          <w:tcPr>
            <w:tcW w:w="2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10,312</w:t>
            </w:r>
          </w:p>
        </w:tc>
        <w:tc>
          <w:tcPr>
            <w:tcW w:w="12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121"/>
              <w:spacing w:after="0"/>
              <w:rPr>
                <w:sz w:val="20"/>
                <w:szCs w:val="20"/>
                <w:color w:val="auto"/>
              </w:rPr>
            </w:pPr>
            <w:r>
              <w:rPr>
                <w:rFonts w:ascii="Arial" w:cs="Arial" w:eastAsia="Arial" w:hAnsi="Arial"/>
                <w:sz w:val="16"/>
                <w:szCs w:val="16"/>
                <w:color w:val="auto"/>
              </w:rPr>
              <w:t>98.9</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9,242</w:t>
            </w:r>
          </w:p>
        </w:tc>
        <w:tc>
          <w:tcPr>
            <w:tcW w:w="12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121"/>
              <w:spacing w:after="0"/>
              <w:rPr>
                <w:sz w:val="20"/>
                <w:szCs w:val="20"/>
                <w:color w:val="auto"/>
              </w:rPr>
            </w:pPr>
            <w:r>
              <w:rPr>
                <w:rFonts w:ascii="Arial" w:cs="Arial" w:eastAsia="Arial" w:hAnsi="Arial"/>
                <w:sz w:val="16"/>
                <w:szCs w:val="16"/>
                <w:color w:val="auto"/>
              </w:rPr>
              <w:t>98.6</w:t>
            </w:r>
          </w:p>
        </w:tc>
        <w:tc>
          <w:tcPr>
            <w:tcW w:w="0" w:type="dxa"/>
            <w:vAlign w:val="bottom"/>
          </w:tcPr>
          <w:p>
            <w:pPr>
              <w:spacing w:after="0"/>
              <w:rPr>
                <w:sz w:val="1"/>
                <w:szCs w:val="1"/>
                <w:color w:val="auto"/>
              </w:rPr>
            </w:pPr>
          </w:p>
        </w:tc>
      </w:tr>
      <w:tr>
        <w:trPr>
          <w:trHeight w:val="237"/>
        </w:trPr>
        <w:tc>
          <w:tcPr>
            <w:tcW w:w="5940" w:type="dxa"/>
            <w:vAlign w:val="bottom"/>
          </w:tcPr>
          <w:p>
            <w:pPr>
              <w:ind w:left="40"/>
              <w:spacing w:after="0"/>
              <w:rPr>
                <w:sz w:val="20"/>
                <w:szCs w:val="20"/>
                <w:color w:val="auto"/>
              </w:rPr>
            </w:pPr>
            <w:r>
              <w:rPr>
                <w:rFonts w:ascii="Arial" w:cs="Arial" w:eastAsia="Arial" w:hAnsi="Arial"/>
                <w:sz w:val="16"/>
                <w:szCs w:val="16"/>
                <w:color w:val="auto"/>
              </w:rPr>
              <w:t>Commercial mortgage loans held by CSEs — FVO</w:t>
            </w:r>
          </w:p>
        </w:tc>
        <w:tc>
          <w:tcPr>
            <w:tcW w:w="240" w:type="dxa"/>
            <w:vAlign w:val="bottom"/>
          </w:tcPr>
          <w:p>
            <w:pPr>
              <w:spacing w:after="0"/>
              <w:rPr>
                <w:sz w:val="20"/>
                <w:szCs w:val="20"/>
                <w:color w:val="auto"/>
              </w:rPr>
            </w:pPr>
          </w:p>
        </w:tc>
        <w:tc>
          <w:tcPr>
            <w:tcW w:w="1100" w:type="dxa"/>
            <w:vAlign w:val="bottom"/>
          </w:tcPr>
          <w:p>
            <w:pPr>
              <w:jc w:val="right"/>
              <w:ind w:right="21"/>
              <w:spacing w:after="0"/>
              <w:rPr>
                <w:sz w:val="20"/>
                <w:szCs w:val="20"/>
                <w:color w:val="auto"/>
              </w:rPr>
            </w:pPr>
            <w:r>
              <w:rPr>
                <w:rFonts w:ascii="Arial" w:cs="Arial" w:eastAsia="Arial" w:hAnsi="Arial"/>
                <w:sz w:val="16"/>
                <w:szCs w:val="16"/>
                <w:color w:val="auto"/>
              </w:rPr>
              <w:t>119</w:t>
            </w:r>
          </w:p>
        </w:tc>
        <w:tc>
          <w:tcPr>
            <w:tcW w:w="120" w:type="dxa"/>
            <w:vAlign w:val="bottom"/>
          </w:tcPr>
          <w:p>
            <w:pPr>
              <w:spacing w:after="0"/>
              <w:rPr>
                <w:sz w:val="20"/>
                <w:szCs w:val="20"/>
                <w:color w:val="auto"/>
              </w:rPr>
            </w:pPr>
          </w:p>
        </w:tc>
        <w:tc>
          <w:tcPr>
            <w:tcW w:w="1220" w:type="dxa"/>
            <w:vAlign w:val="bottom"/>
          </w:tcPr>
          <w:p>
            <w:pPr>
              <w:jc w:val="right"/>
              <w:ind w:right="121"/>
              <w:spacing w:after="0"/>
              <w:rPr>
                <w:sz w:val="20"/>
                <w:szCs w:val="20"/>
                <w:color w:val="auto"/>
              </w:rPr>
            </w:pPr>
            <w:r>
              <w:rPr>
                <w:rFonts w:ascii="Arial" w:cs="Arial" w:eastAsia="Arial" w:hAnsi="Arial"/>
                <w:sz w:val="16"/>
                <w:szCs w:val="16"/>
                <w:color w:val="auto"/>
              </w:rPr>
              <w:t>1.1</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jc w:val="right"/>
              <w:ind w:right="21"/>
              <w:spacing w:after="0"/>
              <w:rPr>
                <w:sz w:val="20"/>
                <w:szCs w:val="20"/>
                <w:color w:val="auto"/>
              </w:rPr>
            </w:pPr>
            <w:r>
              <w:rPr>
                <w:rFonts w:ascii="Arial" w:cs="Arial" w:eastAsia="Arial" w:hAnsi="Arial"/>
                <w:sz w:val="16"/>
                <w:szCs w:val="16"/>
                <w:color w:val="auto"/>
              </w:rPr>
              <w:t>136</w:t>
            </w:r>
          </w:p>
        </w:tc>
        <w:tc>
          <w:tcPr>
            <w:tcW w:w="120" w:type="dxa"/>
            <w:vAlign w:val="bottom"/>
          </w:tcPr>
          <w:p>
            <w:pPr>
              <w:spacing w:after="0"/>
              <w:rPr>
                <w:sz w:val="20"/>
                <w:szCs w:val="20"/>
                <w:color w:val="auto"/>
              </w:rPr>
            </w:pPr>
          </w:p>
        </w:tc>
        <w:tc>
          <w:tcPr>
            <w:tcW w:w="1220" w:type="dxa"/>
            <w:vAlign w:val="bottom"/>
          </w:tcPr>
          <w:p>
            <w:pPr>
              <w:jc w:val="right"/>
              <w:ind w:right="121"/>
              <w:spacing w:after="0"/>
              <w:rPr>
                <w:sz w:val="20"/>
                <w:szCs w:val="20"/>
                <w:color w:val="auto"/>
              </w:rPr>
            </w:pPr>
            <w:r>
              <w:rPr>
                <w:rFonts w:ascii="Arial" w:cs="Arial" w:eastAsia="Arial" w:hAnsi="Arial"/>
                <w:sz w:val="16"/>
                <w:szCs w:val="16"/>
                <w:color w:val="auto"/>
              </w:rPr>
              <w:t>1.4</w:t>
            </w:r>
          </w:p>
        </w:tc>
        <w:tc>
          <w:tcPr>
            <w:tcW w:w="0" w:type="dxa"/>
            <w:vAlign w:val="bottom"/>
          </w:tcPr>
          <w:p>
            <w:pPr>
              <w:spacing w:after="0"/>
              <w:rPr>
                <w:sz w:val="1"/>
                <w:szCs w:val="1"/>
                <w:color w:val="auto"/>
              </w:rPr>
            </w:pPr>
          </w:p>
        </w:tc>
      </w:tr>
      <w:tr>
        <w:trPr>
          <w:trHeight w:val="33"/>
        </w:trPr>
        <w:tc>
          <w:tcPr>
            <w:tcW w:w="59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59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Total mortgage loans, net</w:t>
            </w: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10,431</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100.0 %</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9,378</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100.0 %</w:t>
            </w:r>
          </w:p>
        </w:tc>
        <w:tc>
          <w:tcPr>
            <w:tcW w:w="0" w:type="dxa"/>
            <w:vAlign w:val="bottom"/>
          </w:tcPr>
          <w:p>
            <w:pPr>
              <w:spacing w:after="0"/>
              <w:rPr>
                <w:sz w:val="1"/>
                <w:szCs w:val="1"/>
                <w:color w:val="auto"/>
              </w:rPr>
            </w:pPr>
          </w:p>
        </w:tc>
      </w:tr>
      <w:tr>
        <w:trPr>
          <w:trHeight w:val="20"/>
        </w:trPr>
        <w:tc>
          <w:tcPr>
            <w:tcW w:w="594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4"/>
                <w:szCs w:val="14"/>
                <w:color w:val="auto"/>
              </w:rPr>
              <w:t>__________________</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594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92" w:lineRule="exact"/>
        <w:rPr>
          <w:sz w:val="20"/>
          <w:szCs w:val="20"/>
          <w:color w:val="auto"/>
        </w:rPr>
      </w:pPr>
    </w:p>
    <w:p>
      <w:pPr>
        <w:jc w:val="both"/>
        <w:ind w:left="500" w:hanging="492"/>
        <w:spacing w:after="0" w:line="264" w:lineRule="auto"/>
        <w:tabs>
          <w:tab w:leader="none" w:pos="5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Purchases of mortgage loans were $32 million and $339 million for the three months and nine months ended September 30, 2017, respectively, and $123 million and $354 million for the three months and nine months ended September 30, 2016, respectively, and were primarily comprised of residential mortgage loans.</w:t>
      </w:r>
    </w:p>
    <w:p>
      <w:pPr>
        <w:spacing w:after="0" w:line="73" w:lineRule="exact"/>
        <w:rPr>
          <w:rFonts w:ascii="Arial" w:cs="Arial" w:eastAsia="Arial" w:hAnsi="Arial"/>
          <w:sz w:val="18"/>
          <w:szCs w:val="18"/>
          <w:color w:val="auto"/>
        </w:rPr>
      </w:pPr>
    </w:p>
    <w:p>
      <w:pPr>
        <w:ind w:left="500"/>
        <w:spacing w:after="0"/>
        <w:rPr>
          <w:rFonts w:ascii="Arial" w:cs="Arial" w:eastAsia="Arial" w:hAnsi="Arial"/>
          <w:sz w:val="18"/>
          <w:szCs w:val="18"/>
          <w:color w:val="auto"/>
        </w:rPr>
      </w:pPr>
      <w:r>
        <w:rPr>
          <w:rFonts w:ascii="Arial" w:cs="Arial" w:eastAsia="Arial" w:hAnsi="Arial"/>
          <w:sz w:val="18"/>
          <w:szCs w:val="18"/>
          <w:color w:val="auto"/>
        </w:rPr>
        <w:t>See “— Variable Interest Entities” for discussion of consolidated securitization entities (“CSEs”).</w:t>
      </w:r>
    </w:p>
    <w:p>
      <w:pPr>
        <w:spacing w:after="0" w:line="117" w:lineRule="exact"/>
        <w:rPr>
          <w:sz w:val="20"/>
          <w:szCs w:val="20"/>
          <w:color w:val="auto"/>
        </w:rPr>
      </w:pPr>
    </w:p>
    <w:p>
      <w:pPr>
        <w:jc w:val="both"/>
        <w:ind w:left="180" w:firstLine="324"/>
        <w:spacing w:after="0" w:line="264" w:lineRule="auto"/>
        <w:rPr>
          <w:sz w:val="20"/>
          <w:szCs w:val="20"/>
          <w:color w:val="auto"/>
        </w:rPr>
      </w:pPr>
      <w:r>
        <w:rPr>
          <w:rFonts w:ascii="Arial" w:cs="Arial" w:eastAsia="Arial" w:hAnsi="Arial"/>
          <w:sz w:val="18"/>
          <w:szCs w:val="18"/>
          <w:color w:val="auto"/>
        </w:rPr>
        <w:t>Information on commercial, agricultural and residential mortgage loans is presented in the tables below. Information on commercial mortgage loans held by CSEs — FVO is presented in Note 6. The Company elects the FVO for certain commercial mortgage loans and related long-term debt that are managed on a total return basis.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234" w:right="239" w:bottom="1440" w:gutter="0" w:footer="0" w:header="0"/>
        </w:sectPr>
      </w:pPr>
    </w:p>
    <w:bookmarkStart w:id="20" w:name="page21"/>
    <w:bookmarkEnd w:id="20"/>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Brighthouse Financial, Inc.</w:t>
      </w:r>
    </w:p>
    <w:p>
      <w:pPr>
        <w:spacing w:after="0" w:line="117" w:lineRule="exact"/>
        <w:rPr>
          <w:sz w:val="20"/>
          <w:szCs w:val="20"/>
          <w:color w:val="auto"/>
        </w:rPr>
      </w:pPr>
    </w:p>
    <w:p>
      <w:pPr>
        <w:ind w:left="1480"/>
        <w:spacing w:after="0"/>
        <w:rPr>
          <w:sz w:val="20"/>
          <w:szCs w:val="20"/>
          <w:color w:val="auto"/>
        </w:rPr>
      </w:pPr>
      <w:r>
        <w:rPr>
          <w:rFonts w:ascii="Arial" w:cs="Arial" w:eastAsia="Arial" w:hAnsi="Arial"/>
          <w:sz w:val="18"/>
          <w:szCs w:val="18"/>
          <w:b w:val="1"/>
          <w:bCs w:val="1"/>
          <w:color w:val="auto"/>
        </w:rPr>
        <w:t>Notes to the Interim Condensed Consolidated and Combined Financial Statements (Unaudited) — (continued)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Investments (continued)</w:t>
      </w:r>
    </w:p>
    <w:p>
      <w:pPr>
        <w:spacing w:after="0" w:line="364"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Mortgage Loans, Valuation Allowance and Impaired Loans by Portfolio Segment</w:t>
      </w:r>
    </w:p>
    <w:p>
      <w:pPr>
        <w:spacing w:after="0" w:line="117" w:lineRule="exact"/>
        <w:rPr>
          <w:sz w:val="20"/>
          <w:szCs w:val="20"/>
          <w:color w:val="auto"/>
        </w:rPr>
      </w:pPr>
    </w:p>
    <w:p>
      <w:pPr>
        <w:jc w:val="both"/>
        <w:ind w:left="180" w:right="20" w:firstLine="324"/>
        <w:spacing w:after="0" w:line="277" w:lineRule="auto"/>
        <w:rPr>
          <w:sz w:val="20"/>
          <w:szCs w:val="20"/>
          <w:color w:val="auto"/>
        </w:rPr>
      </w:pPr>
      <w:r>
        <w:rPr>
          <w:rFonts w:ascii="Arial" w:cs="Arial" w:eastAsia="Arial" w:hAnsi="Arial"/>
          <w:sz w:val="18"/>
          <w:szCs w:val="18"/>
          <w:color w:val="auto"/>
        </w:rPr>
        <w:t>Mortgage loans by portfolio segment, by method of evaluation of credit loss, impaired mortgage loans including those modified in a troubled debt restructuring, and the related valuation allowances, were as follows at:</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440" w:type="dxa"/>
            <w:vAlign w:val="bottom"/>
            <w:gridSpan w:val="8"/>
            <w:vMerge w:val="restart"/>
          </w:tcPr>
          <w:p>
            <w:pPr>
              <w:ind w:left="440"/>
              <w:spacing w:after="0"/>
              <w:rPr>
                <w:sz w:val="20"/>
                <w:szCs w:val="20"/>
                <w:color w:val="auto"/>
              </w:rPr>
            </w:pPr>
            <w:r>
              <w:rPr>
                <w:rFonts w:ascii="Arial" w:cs="Arial" w:eastAsia="Arial" w:hAnsi="Arial"/>
                <w:sz w:val="14"/>
                <w:szCs w:val="14"/>
                <w:b w:val="1"/>
                <w:bCs w:val="1"/>
                <w:color w:val="auto"/>
              </w:rPr>
              <w:t>Evaluated Individually for Credit Losses</w:t>
            </w: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100" w:type="dxa"/>
            <w:vAlign w:val="bottom"/>
            <w:gridSpan w:val="5"/>
          </w:tcPr>
          <w:p>
            <w:pPr>
              <w:ind w:left="140"/>
              <w:spacing w:after="0"/>
              <w:rPr>
                <w:sz w:val="20"/>
                <w:szCs w:val="20"/>
                <w:color w:val="auto"/>
              </w:rPr>
            </w:pPr>
            <w:r>
              <w:rPr>
                <w:rFonts w:ascii="Arial" w:cs="Arial" w:eastAsia="Arial" w:hAnsi="Arial"/>
                <w:sz w:val="14"/>
                <w:szCs w:val="14"/>
                <w:b w:val="1"/>
                <w:bCs w:val="1"/>
                <w:color w:val="auto"/>
              </w:rPr>
              <w:t>Evaluated Collectively for</w:t>
            </w:r>
          </w:p>
        </w:tc>
        <w:tc>
          <w:tcPr>
            <w:tcW w:w="140" w:type="dxa"/>
            <w:vAlign w:val="bottom"/>
          </w:tcPr>
          <w:p>
            <w:pPr>
              <w:spacing w:after="0"/>
              <w:rPr>
                <w:sz w:val="14"/>
                <w:szCs w:val="14"/>
                <w:color w:val="auto"/>
              </w:rPr>
            </w:pPr>
          </w:p>
        </w:tc>
        <w:tc>
          <w:tcPr>
            <w:tcW w:w="760" w:type="dxa"/>
            <w:vAlign w:val="bottom"/>
          </w:tcPr>
          <w:p>
            <w:pPr>
              <w:jc w:val="center"/>
              <w:ind w:right="62"/>
              <w:spacing w:after="0"/>
              <w:rPr>
                <w:sz w:val="20"/>
                <w:szCs w:val="20"/>
                <w:color w:val="auto"/>
              </w:rPr>
            </w:pPr>
            <w:r>
              <w:rPr>
                <w:rFonts w:ascii="Arial" w:cs="Arial" w:eastAsia="Arial" w:hAnsi="Arial"/>
                <w:sz w:val="14"/>
                <w:szCs w:val="14"/>
                <w:b w:val="1"/>
                <w:bCs w:val="1"/>
                <w:color w:val="auto"/>
                <w:w w:val="99"/>
              </w:rPr>
              <w:t>Impaired</w:t>
            </w:r>
          </w:p>
        </w:tc>
        <w:tc>
          <w:tcPr>
            <w:tcW w:w="0" w:type="dxa"/>
            <w:vAlign w:val="bottom"/>
          </w:tcPr>
          <w:p>
            <w:pPr>
              <w:spacing w:after="0"/>
              <w:rPr>
                <w:sz w:val="1"/>
                <w:szCs w:val="1"/>
                <w:color w:val="auto"/>
              </w:rPr>
            </w:pPr>
          </w:p>
        </w:tc>
      </w:tr>
      <w:tr>
        <w:trPr>
          <w:trHeight w:val="192"/>
        </w:trPr>
        <w:tc>
          <w:tcPr>
            <w:tcW w:w="24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3440" w:type="dxa"/>
            <w:vAlign w:val="bottom"/>
            <w:tcBorders>
              <w:bottom w:val="single" w:sz="8" w:color="auto"/>
            </w:tcBorders>
            <w:gridSpan w:val="8"/>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000" w:type="dxa"/>
            <w:vAlign w:val="bottom"/>
            <w:tcBorders>
              <w:bottom w:val="single" w:sz="8" w:color="auto"/>
            </w:tcBorders>
            <w:gridSpan w:val="4"/>
          </w:tcPr>
          <w:p>
            <w:pPr>
              <w:jc w:val="right"/>
              <w:ind w:right="561"/>
              <w:spacing w:after="0"/>
              <w:rPr>
                <w:sz w:val="20"/>
                <w:szCs w:val="20"/>
                <w:color w:val="auto"/>
              </w:rPr>
            </w:pPr>
            <w:r>
              <w:rPr>
                <w:rFonts w:ascii="Arial" w:cs="Arial" w:eastAsia="Arial" w:hAnsi="Arial"/>
                <w:sz w:val="14"/>
                <w:szCs w:val="14"/>
                <w:b w:val="1"/>
                <w:bCs w:val="1"/>
                <w:color w:val="auto"/>
              </w:rPr>
              <w:t>Credit Losses</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center"/>
              <w:ind w:right="62"/>
              <w:spacing w:after="0"/>
              <w:rPr>
                <w:sz w:val="20"/>
                <w:szCs w:val="20"/>
                <w:color w:val="auto"/>
              </w:rPr>
            </w:pPr>
            <w:r>
              <w:rPr>
                <w:rFonts w:ascii="Arial" w:cs="Arial" w:eastAsia="Arial" w:hAnsi="Arial"/>
                <w:sz w:val="14"/>
                <w:szCs w:val="14"/>
                <w:b w:val="1"/>
                <w:bCs w:val="1"/>
                <w:color w:val="auto"/>
                <w:w w:val="92"/>
              </w:rPr>
              <w:t>Loans</w:t>
            </w:r>
          </w:p>
        </w:tc>
        <w:tc>
          <w:tcPr>
            <w:tcW w:w="0" w:type="dxa"/>
            <w:vAlign w:val="bottom"/>
          </w:tcPr>
          <w:p>
            <w:pPr>
              <w:spacing w:after="0"/>
              <w:rPr>
                <w:sz w:val="1"/>
                <w:szCs w:val="1"/>
                <w:color w:val="auto"/>
              </w:rPr>
            </w:pPr>
          </w:p>
        </w:tc>
      </w:tr>
      <w:tr>
        <w:trPr>
          <w:trHeight w:val="152"/>
        </w:trPr>
        <w:tc>
          <w:tcPr>
            <w:tcW w:w="24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460" w:type="dxa"/>
            <w:vAlign w:val="bottom"/>
            <w:gridSpan w:val="5"/>
          </w:tcPr>
          <w:p>
            <w:pPr>
              <w:jc w:val="right"/>
              <w:spacing w:after="0" w:line="153" w:lineRule="exact"/>
              <w:rPr>
                <w:sz w:val="20"/>
                <w:szCs w:val="20"/>
                <w:color w:val="auto"/>
              </w:rPr>
            </w:pPr>
            <w:r>
              <w:rPr>
                <w:rFonts w:ascii="Arial" w:cs="Arial" w:eastAsia="Arial" w:hAnsi="Arial"/>
                <w:sz w:val="14"/>
                <w:szCs w:val="14"/>
                <w:b w:val="1"/>
                <w:bCs w:val="1"/>
                <w:color w:val="auto"/>
                <w:w w:val="95"/>
              </w:rPr>
              <w:t>Impaired Loans with a</w:t>
            </w: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40" w:type="dxa"/>
            <w:vAlign w:val="bottom"/>
            <w:gridSpan w:val="5"/>
          </w:tcPr>
          <w:p>
            <w:pPr>
              <w:ind w:left="180"/>
              <w:spacing w:after="0" w:line="153" w:lineRule="exact"/>
              <w:rPr>
                <w:sz w:val="20"/>
                <w:szCs w:val="20"/>
                <w:color w:val="auto"/>
              </w:rPr>
            </w:pPr>
            <w:r>
              <w:rPr>
                <w:rFonts w:ascii="Arial" w:cs="Arial" w:eastAsia="Arial" w:hAnsi="Arial"/>
                <w:sz w:val="14"/>
                <w:szCs w:val="14"/>
                <w:b w:val="1"/>
                <w:bCs w:val="1"/>
                <w:color w:val="auto"/>
              </w:rPr>
              <w:t>Impaired Loans without a</w:t>
            </w:r>
          </w:p>
        </w:tc>
        <w:tc>
          <w:tcPr>
            <w:tcW w:w="1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2"/>
        </w:trPr>
        <w:tc>
          <w:tcPr>
            <w:tcW w:w="24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5"/>
          </w:tcPr>
          <w:p>
            <w:pPr>
              <w:jc w:val="right"/>
              <w:ind w:right="19"/>
              <w:spacing w:after="0"/>
              <w:rPr>
                <w:sz w:val="20"/>
                <w:szCs w:val="20"/>
                <w:color w:val="auto"/>
              </w:rPr>
            </w:pPr>
            <w:r>
              <w:rPr>
                <w:rFonts w:ascii="Arial" w:cs="Arial" w:eastAsia="Arial" w:hAnsi="Arial"/>
                <w:sz w:val="14"/>
                <w:szCs w:val="14"/>
                <w:b w:val="1"/>
                <w:bCs w:val="1"/>
                <w:color w:val="auto"/>
                <w:w w:val="98"/>
              </w:rPr>
              <w:t>Valuation Allowance</w:t>
            </w:r>
          </w:p>
        </w:tc>
        <w:tc>
          <w:tcPr>
            <w:tcW w:w="9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140" w:type="dxa"/>
            <w:vAlign w:val="bottom"/>
            <w:tcBorders>
              <w:bottom w:val="single" w:sz="8" w:color="auto"/>
            </w:tcBorders>
            <w:gridSpan w:val="4"/>
          </w:tcPr>
          <w:p>
            <w:pPr>
              <w:jc w:val="right"/>
              <w:ind w:right="461"/>
              <w:spacing w:after="0"/>
              <w:rPr>
                <w:sz w:val="20"/>
                <w:szCs w:val="20"/>
                <w:color w:val="auto"/>
              </w:rPr>
            </w:pPr>
            <w:r>
              <w:rPr>
                <w:rFonts w:ascii="Arial" w:cs="Arial" w:eastAsia="Arial" w:hAnsi="Arial"/>
                <w:sz w:val="14"/>
                <w:szCs w:val="14"/>
                <w:b w:val="1"/>
                <w:bCs w:val="1"/>
                <w:color w:val="auto"/>
              </w:rPr>
              <w:t>Valuation Allowance</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4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jc w:val="center"/>
              <w:ind w:right="61"/>
              <w:spacing w:after="0" w:line="153" w:lineRule="exact"/>
              <w:rPr>
                <w:sz w:val="20"/>
                <w:szCs w:val="20"/>
                <w:color w:val="auto"/>
              </w:rPr>
            </w:pPr>
            <w:r>
              <w:rPr>
                <w:rFonts w:ascii="Arial" w:cs="Arial" w:eastAsia="Arial" w:hAnsi="Arial"/>
                <w:sz w:val="14"/>
                <w:szCs w:val="14"/>
                <w:b w:val="1"/>
                <w:bCs w:val="1"/>
                <w:color w:val="auto"/>
                <w:w w:val="92"/>
              </w:rPr>
              <w:t>Unpaid</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2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89"/>
              </w:rPr>
              <w:t>Recorded</w:t>
            </w:r>
          </w:p>
        </w:tc>
        <w:tc>
          <w:tcPr>
            <w:tcW w:w="160" w:type="dxa"/>
            <w:vAlign w:val="bottom"/>
          </w:tcPr>
          <w:p>
            <w:pPr>
              <w:spacing w:after="0"/>
              <w:rPr>
                <w:sz w:val="13"/>
                <w:szCs w:val="13"/>
                <w:color w:val="auto"/>
              </w:rPr>
            </w:pPr>
          </w:p>
        </w:tc>
        <w:tc>
          <w:tcPr>
            <w:tcW w:w="102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Valuation</w:t>
            </w:r>
          </w:p>
        </w:tc>
        <w:tc>
          <w:tcPr>
            <w:tcW w:w="124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Unpaid Principal</w:t>
            </w:r>
          </w:p>
        </w:tc>
        <w:tc>
          <w:tcPr>
            <w:tcW w:w="160" w:type="dxa"/>
            <w:vAlign w:val="bottom"/>
          </w:tcPr>
          <w:p>
            <w:pPr>
              <w:spacing w:after="0"/>
              <w:rPr>
                <w:sz w:val="13"/>
                <w:szCs w:val="13"/>
                <w:color w:val="auto"/>
              </w:rPr>
            </w:pPr>
          </w:p>
        </w:tc>
        <w:tc>
          <w:tcPr>
            <w:tcW w:w="106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2"/>
              </w:rPr>
              <w:t>Recorded</w:t>
            </w:r>
          </w:p>
        </w:tc>
        <w:tc>
          <w:tcPr>
            <w:tcW w:w="140" w:type="dxa"/>
            <w:vAlign w:val="bottom"/>
          </w:tcPr>
          <w:p>
            <w:pPr>
              <w:spacing w:after="0"/>
              <w:rPr>
                <w:sz w:val="13"/>
                <w:szCs w:val="13"/>
                <w:color w:val="auto"/>
              </w:rPr>
            </w:pPr>
          </w:p>
        </w:tc>
        <w:tc>
          <w:tcPr>
            <w:tcW w:w="98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89"/>
              </w:rPr>
              <w:t>Recorded</w:t>
            </w:r>
          </w:p>
        </w:tc>
        <w:tc>
          <w:tcPr>
            <w:tcW w:w="140" w:type="dxa"/>
            <w:vAlign w:val="bottom"/>
          </w:tcPr>
          <w:p>
            <w:pPr>
              <w:spacing w:after="0"/>
              <w:rPr>
                <w:sz w:val="13"/>
                <w:szCs w:val="13"/>
                <w:color w:val="auto"/>
              </w:rPr>
            </w:pPr>
          </w:p>
        </w:tc>
        <w:tc>
          <w:tcPr>
            <w:tcW w:w="98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5"/>
              </w:rPr>
              <w:t>Valuation</w:t>
            </w:r>
          </w:p>
        </w:tc>
        <w:tc>
          <w:tcPr>
            <w:tcW w:w="140" w:type="dxa"/>
            <w:vAlign w:val="bottom"/>
          </w:tcPr>
          <w:p>
            <w:pPr>
              <w:spacing w:after="0"/>
              <w:rPr>
                <w:sz w:val="13"/>
                <w:szCs w:val="13"/>
                <w:color w:val="auto"/>
              </w:rPr>
            </w:pPr>
          </w:p>
        </w:tc>
        <w:tc>
          <w:tcPr>
            <w:tcW w:w="760" w:type="dxa"/>
            <w:vAlign w:val="bottom"/>
            <w:vMerge w:val="restart"/>
          </w:tcPr>
          <w:p>
            <w:pPr>
              <w:jc w:val="center"/>
              <w:ind w:right="42"/>
              <w:spacing w:after="0"/>
              <w:rPr>
                <w:sz w:val="20"/>
                <w:szCs w:val="20"/>
                <w:color w:val="auto"/>
              </w:rPr>
            </w:pPr>
            <w:r>
              <w:rPr>
                <w:rFonts w:ascii="Arial" w:cs="Arial" w:eastAsia="Arial" w:hAnsi="Arial"/>
                <w:sz w:val="14"/>
                <w:szCs w:val="14"/>
                <w:b w:val="1"/>
                <w:bCs w:val="1"/>
                <w:color w:val="auto"/>
                <w:w w:val="97"/>
              </w:rPr>
              <w:t>Carrying</w:t>
            </w:r>
          </w:p>
        </w:tc>
        <w:tc>
          <w:tcPr>
            <w:tcW w:w="0" w:type="dxa"/>
            <w:vAlign w:val="bottom"/>
          </w:tcPr>
          <w:p>
            <w:pPr>
              <w:spacing w:after="0"/>
              <w:rPr>
                <w:sz w:val="1"/>
                <w:szCs w:val="1"/>
                <w:color w:val="auto"/>
              </w:rPr>
            </w:pPr>
          </w:p>
        </w:tc>
      </w:tr>
      <w:tr>
        <w:trPr>
          <w:trHeight w:val="149"/>
        </w:trPr>
        <w:tc>
          <w:tcPr>
            <w:tcW w:w="2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jc w:val="center"/>
              <w:ind w:right="61"/>
              <w:spacing w:after="0" w:line="149" w:lineRule="exact"/>
              <w:rPr>
                <w:sz w:val="20"/>
                <w:szCs w:val="20"/>
                <w:color w:val="auto"/>
              </w:rPr>
            </w:pPr>
            <w:r>
              <w:rPr>
                <w:rFonts w:ascii="Arial" w:cs="Arial" w:eastAsia="Arial" w:hAnsi="Arial"/>
                <w:sz w:val="14"/>
                <w:szCs w:val="14"/>
                <w:b w:val="1"/>
                <w:bCs w:val="1"/>
                <w:color w:val="auto"/>
                <w:w w:val="94"/>
              </w:rPr>
              <w:t>Principal</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240" w:type="dxa"/>
            <w:vAlign w:val="bottom"/>
            <w:gridSpan w:val="3"/>
            <w:vMerge w:val="continue"/>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24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center"/>
              <w:ind w:right="61"/>
              <w:spacing w:after="0"/>
              <w:rPr>
                <w:sz w:val="20"/>
                <w:szCs w:val="20"/>
                <w:color w:val="auto"/>
              </w:rPr>
            </w:pPr>
            <w:r>
              <w:rPr>
                <w:rFonts w:ascii="Arial" w:cs="Arial" w:eastAsia="Arial" w:hAnsi="Arial"/>
                <w:sz w:val="14"/>
                <w:szCs w:val="14"/>
                <w:b w:val="1"/>
                <w:bCs w:val="1"/>
                <w:color w:val="auto"/>
                <w:w w:val="89"/>
              </w:rPr>
              <w:t>Balance</w:t>
            </w: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94"/>
              </w:rPr>
              <w:t>Investment</w:t>
            </w:r>
          </w:p>
        </w:tc>
        <w:tc>
          <w:tcPr>
            <w:tcW w:w="1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Allowances</w:t>
            </w:r>
          </w:p>
        </w:tc>
        <w:tc>
          <w:tcPr>
            <w:tcW w:w="2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Balance</w:t>
            </w:r>
          </w:p>
        </w:tc>
        <w:tc>
          <w:tcPr>
            <w:tcW w:w="1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1"/>
              </w:rPr>
              <w:t>Investment</w:t>
            </w: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94"/>
              </w:rPr>
              <w:t>Investment</w:t>
            </w: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90"/>
              </w:rPr>
              <w:t>Allowances</w:t>
            </w:r>
          </w:p>
        </w:tc>
        <w:tc>
          <w:tcPr>
            <w:tcW w:w="1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center"/>
              <w:ind w:right="62"/>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250"/>
        </w:trPr>
        <w:tc>
          <w:tcPr>
            <w:tcW w:w="24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240" w:type="dxa"/>
            <w:vAlign w:val="bottom"/>
            <w:gridSpan w:val="5"/>
          </w:tcPr>
          <w:p>
            <w:pPr>
              <w:ind w:left="520"/>
              <w:spacing w:after="0"/>
              <w:rPr>
                <w:sz w:val="20"/>
                <w:szCs w:val="20"/>
                <w:color w:val="auto"/>
              </w:rPr>
            </w:pPr>
            <w:r>
              <w:rPr>
                <w:rFonts w:ascii="Arial" w:cs="Arial" w:eastAsia="Arial" w:hAnsi="Arial"/>
                <w:sz w:val="14"/>
                <w:szCs w:val="14"/>
                <w:b w:val="1"/>
                <w:bCs w:val="1"/>
                <w:color w:val="auto"/>
              </w:rPr>
              <w:t>(In millions)</w:t>
            </w:r>
          </w:p>
        </w:tc>
        <w:tc>
          <w:tcPr>
            <w:tcW w:w="1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2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September 30, 2017</w:t>
            </w:r>
          </w:p>
        </w:tc>
        <w:tc>
          <w:tcPr>
            <w:tcW w:w="14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2420" w:type="dxa"/>
            <w:vAlign w:val="bottom"/>
          </w:tcPr>
          <w:p>
            <w:pPr>
              <w:ind w:left="40"/>
              <w:spacing w:after="0"/>
              <w:rPr>
                <w:sz w:val="20"/>
                <w:szCs w:val="20"/>
                <w:color w:val="auto"/>
              </w:rPr>
            </w:pPr>
            <w:r>
              <w:rPr>
                <w:rFonts w:ascii="Arial" w:cs="Arial" w:eastAsia="Arial" w:hAnsi="Arial"/>
                <w:sz w:val="16"/>
                <w:szCs w:val="16"/>
                <w:color w:val="auto"/>
              </w:rPr>
              <w:t>Commercial</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ind w:right="41"/>
              <w:spacing w:after="0"/>
              <w:rPr>
                <w:sz w:val="20"/>
                <w:szCs w:val="20"/>
                <w:color w:val="auto"/>
              </w:rPr>
            </w:pPr>
            <w:r>
              <w:rPr>
                <w:rFonts w:ascii="Arial" w:cs="Arial" w:eastAsia="Arial" w:hAnsi="Arial"/>
                <w:sz w:val="16"/>
                <w:szCs w:val="16"/>
                <w:color w:val="auto"/>
              </w:rPr>
              <w:t>—</w:t>
            </w:r>
          </w:p>
        </w:tc>
        <w:tc>
          <w:tcPr>
            <w:tcW w:w="2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gridSpan w:val="2"/>
          </w:tcPr>
          <w:p>
            <w:pPr>
              <w:ind w:left="620"/>
              <w:spacing w:after="0"/>
              <w:rPr>
                <w:sz w:val="20"/>
                <w:szCs w:val="20"/>
                <w:color w:val="auto"/>
              </w:rPr>
            </w:pPr>
            <w:r>
              <w:rPr>
                <w:rFonts w:ascii="Arial" w:cs="Arial" w:eastAsia="Arial" w:hAnsi="Arial"/>
                <w:sz w:val="16"/>
                <w:szCs w:val="16"/>
                <w:color w:val="auto"/>
              </w:rPr>
              <w:t>—</w:t>
            </w:r>
          </w:p>
        </w:tc>
        <w:tc>
          <w:tcPr>
            <w:tcW w:w="220" w:type="dxa"/>
            <w:vAlign w:val="bottom"/>
          </w:tcPr>
          <w:p>
            <w:pPr>
              <w:ind w:left="20"/>
              <w:spacing w:after="0"/>
              <w:rPr>
                <w:sz w:val="20"/>
                <w:szCs w:val="20"/>
                <w:color w:val="auto"/>
              </w:rPr>
            </w:pPr>
            <w:r>
              <w:rPr>
                <w:rFonts w:ascii="Arial" w:cs="Arial" w:eastAsia="Arial" w:hAnsi="Arial"/>
                <w:sz w:val="16"/>
                <w:szCs w:val="16"/>
                <w:color w:val="auto"/>
              </w:rPr>
              <w:t>$</w:t>
            </w:r>
          </w:p>
        </w:tc>
        <w:tc>
          <w:tcPr>
            <w:tcW w:w="10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22"/>
              <w:spacing w:after="0"/>
              <w:rPr>
                <w:sz w:val="20"/>
                <w:szCs w:val="20"/>
                <w:color w:val="auto"/>
              </w:rPr>
            </w:pPr>
            <w:r>
              <w:rPr>
                <w:rFonts w:ascii="Arial" w:cs="Arial" w:eastAsia="Arial" w:hAnsi="Arial"/>
                <w:sz w:val="16"/>
                <w:szCs w:val="16"/>
                <w:color w:val="auto"/>
              </w:rPr>
              <w:t>7,039</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21"/>
              <w:spacing w:after="0"/>
              <w:rPr>
                <w:sz w:val="20"/>
                <w:szCs w:val="20"/>
                <w:color w:val="auto"/>
              </w:rPr>
            </w:pPr>
            <w:r>
              <w:rPr>
                <w:rFonts w:ascii="Arial" w:cs="Arial" w:eastAsia="Arial" w:hAnsi="Arial"/>
                <w:sz w:val="16"/>
                <w:szCs w:val="16"/>
                <w:color w:val="auto"/>
              </w:rPr>
              <w:t>34</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22"/>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24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Agricultural</w:t>
            </w: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ind w:left="62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2,217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37"/>
        </w:trPr>
        <w:tc>
          <w:tcPr>
            <w:tcW w:w="2420" w:type="dxa"/>
            <w:vAlign w:val="bottom"/>
          </w:tcPr>
          <w:p>
            <w:pPr>
              <w:ind w:left="40"/>
              <w:spacing w:after="0"/>
              <w:rPr>
                <w:sz w:val="20"/>
                <w:szCs w:val="20"/>
                <w:color w:val="auto"/>
              </w:rPr>
            </w:pPr>
            <w:r>
              <w:rPr>
                <w:rFonts w:ascii="Arial" w:cs="Arial" w:eastAsia="Arial" w:hAnsi="Arial"/>
                <w:sz w:val="16"/>
                <w:szCs w:val="16"/>
                <w:color w:val="auto"/>
              </w:rPr>
              <w:t>Residential</w:t>
            </w:r>
          </w:p>
        </w:tc>
        <w:tc>
          <w:tcPr>
            <w:tcW w:w="140" w:type="dxa"/>
            <w:vAlign w:val="bottom"/>
          </w:tcPr>
          <w:p>
            <w:pPr>
              <w:spacing w:after="0"/>
              <w:rPr>
                <w:sz w:val="20"/>
                <w:szCs w:val="20"/>
                <w:color w:val="auto"/>
              </w:rPr>
            </w:pPr>
          </w:p>
        </w:tc>
        <w:tc>
          <w:tcPr>
            <w:tcW w:w="780" w:type="dxa"/>
            <w:vAlign w:val="bottom"/>
          </w:tcPr>
          <w:p>
            <w:pPr>
              <w:jc w:val="right"/>
              <w:ind w:right="41"/>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020" w:type="dxa"/>
            <w:vAlign w:val="bottom"/>
            <w:gridSpan w:val="2"/>
          </w:tcPr>
          <w:p>
            <w:pPr>
              <w:ind w:left="6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900" w:type="dxa"/>
            <w:vAlign w:val="bottom"/>
          </w:tcPr>
          <w:p>
            <w:pPr>
              <w:jc w:val="right"/>
              <w:ind w:right="22"/>
              <w:spacing w:after="0"/>
              <w:rPr>
                <w:sz w:val="20"/>
                <w:szCs w:val="20"/>
                <w:color w:val="auto"/>
              </w:rPr>
            </w:pPr>
            <w:r>
              <w:rPr>
                <w:rFonts w:ascii="Arial" w:cs="Arial" w:eastAsia="Arial" w:hAnsi="Arial"/>
                <w:sz w:val="16"/>
                <w:szCs w:val="16"/>
                <w:color w:val="auto"/>
              </w:rPr>
              <w:t>4</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jc w:val="right"/>
              <w:ind w:right="21"/>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ind w:right="22"/>
              <w:spacing w:after="0"/>
              <w:rPr>
                <w:sz w:val="20"/>
                <w:szCs w:val="20"/>
                <w:color w:val="auto"/>
              </w:rPr>
            </w:pPr>
            <w:r>
              <w:rPr>
                <w:rFonts w:ascii="Arial" w:cs="Arial" w:eastAsia="Arial" w:hAnsi="Arial"/>
                <w:sz w:val="16"/>
                <w:szCs w:val="16"/>
                <w:color w:val="auto"/>
              </w:rPr>
              <w:t>1,094</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ind w:right="21"/>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jc w:val="right"/>
              <w:ind w:right="22"/>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33"/>
        </w:trPr>
        <w:tc>
          <w:tcPr>
            <w:tcW w:w="24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420" w:type="dxa"/>
            <w:vAlign w:val="bottom"/>
            <w:shd w:val="clear" w:color="auto" w:fill="CCEEFF"/>
          </w:tcPr>
          <w:p>
            <w:pPr>
              <w:ind w:left="200"/>
              <w:spacing w:after="0"/>
              <w:rPr>
                <w:sz w:val="20"/>
                <w:szCs w:val="20"/>
                <w:color w:val="auto"/>
              </w:rPr>
            </w:pPr>
            <w:r>
              <w:rPr>
                <w:rFonts w:ascii="Arial" w:cs="Arial" w:eastAsia="Arial" w:hAnsi="Arial"/>
                <w:sz w:val="16"/>
                <w:szCs w:val="16"/>
                <w:color w:val="auto"/>
              </w:rPr>
              <w:t>Total</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4</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3</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gridSpan w:val="2"/>
            <w:shd w:val="clear" w:color="auto" w:fill="CCEEFF"/>
          </w:tcPr>
          <w:p>
            <w:pPr>
              <w:ind w:left="62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4</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4</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10,350</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45</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20"/>
        </w:trPr>
        <w:tc>
          <w:tcPr>
            <w:tcW w:w="242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6"/>
                <w:szCs w:val="16"/>
                <w:b w:val="1"/>
                <w:bCs w:val="1"/>
                <w:color w:val="auto"/>
              </w:rPr>
              <w:t>December 31, 2016</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242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4"/>
        </w:trPr>
        <w:tc>
          <w:tcPr>
            <w:tcW w:w="2420" w:type="dxa"/>
            <w:vAlign w:val="bottom"/>
          </w:tcPr>
          <w:p>
            <w:pPr>
              <w:spacing w:after="0"/>
              <w:rPr>
                <w:sz w:val="6"/>
                <w:szCs w:val="6"/>
                <w:color w:val="auto"/>
              </w:rPr>
            </w:pPr>
          </w:p>
        </w:tc>
        <w:tc>
          <w:tcPr>
            <w:tcW w:w="140" w:type="dxa"/>
            <w:vAlign w:val="bottom"/>
          </w:tcPr>
          <w:p>
            <w:pPr>
              <w:spacing w:after="0"/>
              <w:rPr>
                <w:sz w:val="6"/>
                <w:szCs w:val="6"/>
                <w:color w:val="auto"/>
              </w:rPr>
            </w:pPr>
          </w:p>
        </w:tc>
        <w:tc>
          <w:tcPr>
            <w:tcW w:w="7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9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900" w:type="dxa"/>
            <w:vAlign w:val="bottom"/>
          </w:tcPr>
          <w:p>
            <w:pPr>
              <w:spacing w:after="0"/>
              <w:rPr>
                <w:sz w:val="6"/>
                <w:szCs w:val="6"/>
                <w:color w:val="auto"/>
              </w:rPr>
            </w:pPr>
          </w:p>
        </w:tc>
        <w:tc>
          <w:tcPr>
            <w:tcW w:w="120" w:type="dxa"/>
            <w:vAlign w:val="bottom"/>
          </w:tcPr>
          <w:p>
            <w:pPr>
              <w:spacing w:after="0"/>
              <w:rPr>
                <w:sz w:val="6"/>
                <w:szCs w:val="6"/>
                <w:color w:val="auto"/>
              </w:rPr>
            </w:pPr>
          </w:p>
        </w:tc>
        <w:tc>
          <w:tcPr>
            <w:tcW w:w="220" w:type="dxa"/>
            <w:vAlign w:val="bottom"/>
          </w:tcPr>
          <w:p>
            <w:pPr>
              <w:spacing w:after="0"/>
              <w:rPr>
                <w:sz w:val="6"/>
                <w:szCs w:val="6"/>
                <w:color w:val="auto"/>
              </w:rPr>
            </w:pPr>
          </w:p>
        </w:tc>
        <w:tc>
          <w:tcPr>
            <w:tcW w:w="9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9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8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8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50"/>
        </w:trPr>
        <w:tc>
          <w:tcPr>
            <w:tcW w:w="2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Commercial</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CCEEFF"/>
            </w:tcBorders>
            <w:gridSpan w:val="2"/>
            <w:shd w:val="clear" w:color="auto" w:fill="CCEEFF"/>
          </w:tcPr>
          <w:p>
            <w:pPr>
              <w:ind w:left="62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6,523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32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2420" w:type="dxa"/>
            <w:vAlign w:val="bottom"/>
          </w:tcPr>
          <w:p>
            <w:pPr>
              <w:ind w:left="40"/>
              <w:spacing w:after="0"/>
              <w:rPr>
                <w:sz w:val="20"/>
                <w:szCs w:val="20"/>
                <w:color w:val="auto"/>
              </w:rPr>
            </w:pPr>
            <w:r>
              <w:rPr>
                <w:rFonts w:ascii="Arial" w:cs="Arial" w:eastAsia="Arial" w:hAnsi="Arial"/>
                <w:sz w:val="16"/>
                <w:szCs w:val="16"/>
                <w:color w:val="auto"/>
              </w:rPr>
              <w:t>Agricultural</w:t>
            </w:r>
          </w:p>
        </w:tc>
        <w:tc>
          <w:tcPr>
            <w:tcW w:w="140" w:type="dxa"/>
            <w:vAlign w:val="bottom"/>
          </w:tcPr>
          <w:p>
            <w:pPr>
              <w:spacing w:after="0"/>
              <w:rPr>
                <w:sz w:val="20"/>
                <w:szCs w:val="20"/>
                <w:color w:val="auto"/>
              </w:rPr>
            </w:pPr>
          </w:p>
        </w:tc>
        <w:tc>
          <w:tcPr>
            <w:tcW w:w="780" w:type="dxa"/>
            <w:vAlign w:val="bottom"/>
          </w:tcPr>
          <w:p>
            <w:pPr>
              <w:jc w:val="right"/>
              <w:ind w:right="41"/>
              <w:spacing w:after="0"/>
              <w:rPr>
                <w:sz w:val="20"/>
                <w:szCs w:val="20"/>
                <w:color w:val="auto"/>
              </w:rPr>
            </w:pPr>
            <w:r>
              <w:rPr>
                <w:rFonts w:ascii="Arial" w:cs="Arial" w:eastAsia="Arial" w:hAnsi="Arial"/>
                <w:sz w:val="16"/>
                <w:szCs w:val="16"/>
                <w:color w:val="auto"/>
              </w:rPr>
              <w:t>4</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jc w:val="right"/>
              <w:ind w:right="41"/>
              <w:spacing w:after="0"/>
              <w:rPr>
                <w:sz w:val="20"/>
                <w:szCs w:val="20"/>
                <w:color w:val="auto"/>
              </w:rPr>
            </w:pPr>
            <w:r>
              <w:rPr>
                <w:rFonts w:ascii="Arial" w:cs="Arial" w:eastAsia="Arial" w:hAnsi="Arial"/>
                <w:sz w:val="16"/>
                <w:szCs w:val="16"/>
                <w:color w:val="auto"/>
              </w:rPr>
              <w:t>3</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gridSpan w:val="2"/>
          </w:tcPr>
          <w:p>
            <w:pPr>
              <w:ind w:left="6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880" w:type="dxa"/>
            <w:vAlign w:val="bottom"/>
          </w:tcPr>
          <w:p>
            <w:pPr>
              <w:jc w:val="right"/>
              <w:ind w:right="22"/>
              <w:spacing w:after="0"/>
              <w:rPr>
                <w:sz w:val="20"/>
                <w:szCs w:val="20"/>
                <w:color w:val="auto"/>
              </w:rPr>
            </w:pPr>
            <w:r>
              <w:rPr>
                <w:rFonts w:ascii="Arial" w:cs="Arial" w:eastAsia="Arial" w:hAnsi="Arial"/>
                <w:sz w:val="16"/>
                <w:szCs w:val="16"/>
                <w:color w:val="auto"/>
              </w:rPr>
              <w:t>1,889</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ind w:right="21"/>
              <w:spacing w:after="0"/>
              <w:rPr>
                <w:sz w:val="20"/>
                <w:szCs w:val="20"/>
                <w:color w:val="auto"/>
              </w:rPr>
            </w:pPr>
            <w:r>
              <w:rPr>
                <w:rFonts w:ascii="Arial" w:cs="Arial" w:eastAsia="Arial" w:hAnsi="Arial"/>
                <w:sz w:val="16"/>
                <w:szCs w:val="16"/>
                <w:color w:val="auto"/>
              </w:rPr>
              <w:t>5</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jc w:val="right"/>
              <w:ind w:right="22"/>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33"/>
        </w:trPr>
        <w:tc>
          <w:tcPr>
            <w:tcW w:w="24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Residential</w:t>
            </w:r>
          </w:p>
        </w:tc>
        <w:tc>
          <w:tcPr>
            <w:tcW w:w="1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gridSpan w:val="2"/>
            <w:shd w:val="clear" w:color="auto" w:fill="CCEEFF"/>
          </w:tcPr>
          <w:p>
            <w:pPr>
              <w:ind w:left="62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866</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3</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44"/>
        </w:trPr>
        <w:tc>
          <w:tcPr>
            <w:tcW w:w="2420" w:type="dxa"/>
            <w:vAlign w:val="bottom"/>
          </w:tcPr>
          <w:p>
            <w:pPr>
              <w:ind w:left="200"/>
              <w:spacing w:after="0"/>
              <w:rPr>
                <w:sz w:val="20"/>
                <w:szCs w:val="20"/>
                <w:color w:val="auto"/>
              </w:rPr>
            </w:pPr>
            <w:r>
              <w:rPr>
                <w:rFonts w:ascii="Arial" w:cs="Arial" w:eastAsia="Arial" w:hAnsi="Arial"/>
                <w:sz w:val="16"/>
                <w:szCs w:val="16"/>
                <w:color w:val="auto"/>
              </w:rPr>
              <w:t>Total</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Borders>
              <w:top w:val="single" w:sz="8" w:color="auto"/>
              <w:bottom w:val="single" w:sz="8" w:color="auto"/>
            </w:tcBorders>
          </w:tcPr>
          <w:p>
            <w:pPr>
              <w:jc w:val="right"/>
              <w:ind w:right="41"/>
              <w:spacing w:after="0"/>
              <w:rPr>
                <w:sz w:val="20"/>
                <w:szCs w:val="20"/>
                <w:color w:val="auto"/>
              </w:rPr>
            </w:pPr>
            <w:r>
              <w:rPr>
                <w:rFonts w:ascii="Arial" w:cs="Arial" w:eastAsia="Arial" w:hAnsi="Arial"/>
                <w:sz w:val="16"/>
                <w:szCs w:val="16"/>
                <w:color w:val="auto"/>
              </w:rPr>
              <w:t>4</w:t>
            </w:r>
          </w:p>
        </w:tc>
        <w:tc>
          <w:tcPr>
            <w:tcW w:w="12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top w:val="single" w:sz="8" w:color="auto"/>
              <w:bottom w:val="single" w:sz="8" w:color="auto"/>
            </w:tcBorders>
          </w:tcPr>
          <w:p>
            <w:pPr>
              <w:jc w:val="right"/>
              <w:ind w:right="41"/>
              <w:spacing w:after="0"/>
              <w:rPr>
                <w:sz w:val="20"/>
                <w:szCs w:val="20"/>
                <w:color w:val="auto"/>
              </w:rPr>
            </w:pPr>
            <w:r>
              <w:rPr>
                <w:rFonts w:ascii="Arial" w:cs="Arial" w:eastAsia="Arial" w:hAnsi="Arial"/>
                <w:sz w:val="16"/>
                <w:szCs w:val="16"/>
                <w:color w:val="auto"/>
              </w:rPr>
              <w:t>3</w:t>
            </w:r>
          </w:p>
        </w:tc>
        <w:tc>
          <w:tcPr>
            <w:tcW w:w="12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bottom w:val="single" w:sz="8" w:color="auto"/>
            </w:tcBorders>
          </w:tcPr>
          <w:p>
            <w:pPr>
              <w:ind w:left="6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1"/>
                <w:szCs w:val="21"/>
                <w:color w:val="auto"/>
              </w:rPr>
            </w:pPr>
          </w:p>
        </w:tc>
        <w:tc>
          <w:tcPr>
            <w:tcW w:w="2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900" w:type="dxa"/>
            <w:vAlign w:val="bottom"/>
            <w:tcBorders>
              <w:top w:val="single" w:sz="8" w:color="auto"/>
              <w:bottom w:val="single" w:sz="8" w:color="auto"/>
            </w:tcBorders>
          </w:tcPr>
          <w:p>
            <w:pPr>
              <w:jc w:val="right"/>
              <w:ind w:right="22"/>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bottom w:val="single" w:sz="8" w:color="auto"/>
            </w:tcBorders>
          </w:tcPr>
          <w:p>
            <w:pPr>
              <w:jc w:val="right"/>
              <w:ind w:right="21"/>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top w:val="single" w:sz="8" w:color="auto"/>
              <w:bottom w:val="single" w:sz="8" w:color="auto"/>
            </w:tcBorders>
          </w:tcPr>
          <w:p>
            <w:pPr>
              <w:jc w:val="right"/>
              <w:ind w:right="22"/>
              <w:spacing w:after="0"/>
              <w:rPr>
                <w:sz w:val="20"/>
                <w:szCs w:val="20"/>
                <w:color w:val="auto"/>
              </w:rPr>
            </w:pPr>
            <w:r>
              <w:rPr>
                <w:rFonts w:ascii="Arial" w:cs="Arial" w:eastAsia="Arial" w:hAnsi="Arial"/>
                <w:sz w:val="16"/>
                <w:szCs w:val="16"/>
                <w:color w:val="auto"/>
              </w:rPr>
              <w:t>9,278</w:t>
            </w:r>
          </w:p>
        </w:tc>
        <w:tc>
          <w:tcPr>
            <w:tcW w:w="10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top w:val="single" w:sz="8" w:color="auto"/>
              <w:bottom w:val="single" w:sz="8" w:color="auto"/>
            </w:tcBorders>
          </w:tcPr>
          <w:p>
            <w:pPr>
              <w:jc w:val="right"/>
              <w:ind w:right="21"/>
              <w:spacing w:after="0"/>
              <w:rPr>
                <w:sz w:val="20"/>
                <w:szCs w:val="20"/>
                <w:color w:val="auto"/>
              </w:rPr>
            </w:pPr>
            <w:r>
              <w:rPr>
                <w:rFonts w:ascii="Arial" w:cs="Arial" w:eastAsia="Arial" w:hAnsi="Arial"/>
                <w:sz w:val="16"/>
                <w:szCs w:val="16"/>
                <w:color w:val="auto"/>
              </w:rPr>
              <w:t>40</w:t>
            </w:r>
          </w:p>
        </w:tc>
        <w:tc>
          <w:tcPr>
            <w:tcW w:w="10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top w:val="single" w:sz="8" w:color="auto"/>
              <w:bottom w:val="single" w:sz="8" w:color="auto"/>
            </w:tcBorders>
          </w:tcPr>
          <w:p>
            <w:pPr>
              <w:jc w:val="right"/>
              <w:ind w:right="22"/>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0"/>
        </w:trPr>
        <w:tc>
          <w:tcPr>
            <w:tcW w:w="24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jc w:val="both"/>
        <w:ind w:left="180" w:firstLine="324"/>
        <w:spacing w:after="0" w:line="259" w:lineRule="auto"/>
        <w:rPr>
          <w:sz w:val="20"/>
          <w:szCs w:val="20"/>
          <w:color w:val="auto"/>
        </w:rPr>
      </w:pPr>
      <w:r>
        <w:rPr>
          <w:rFonts w:ascii="Arial" w:cs="Arial" w:eastAsia="Arial" w:hAnsi="Arial"/>
          <w:sz w:val="18"/>
          <w:szCs w:val="18"/>
          <w:color w:val="auto"/>
        </w:rPr>
        <w:t>The average recorded investment for impaired commercial, agricultural and residential mortgage loans was $0, $3 million and $4 million, respectively, for the three months ended September 30, 2017 and $0, $3 million and $2 million, respectively, for the nine months ended September 30, 2017. The average recorded investment for impaired commercial, agricultural and residential mortgage loans was $0, $3 million and $0, respectively, for both the three months and nine months ended September 30, 2016.</w:t>
      </w:r>
    </w:p>
    <w:p>
      <w:pPr>
        <w:spacing w:after="0" w:line="79"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Valuation Allowance Rollforward by Portfolio Segment</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changes in the valuation allowance, by portfolio segment, were as follows: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60" w:type="dxa"/>
            <w:vAlign w:val="bottom"/>
            <w:gridSpan w:val="5"/>
          </w:tcPr>
          <w:p>
            <w:pPr>
              <w:ind w:left="360"/>
              <w:spacing w:after="0"/>
              <w:rPr>
                <w:sz w:val="20"/>
                <w:szCs w:val="20"/>
                <w:color w:val="auto"/>
              </w:rPr>
            </w:pPr>
            <w:r>
              <w:rPr>
                <w:rFonts w:ascii="Arial" w:cs="Arial" w:eastAsia="Arial" w:hAnsi="Arial"/>
                <w:sz w:val="14"/>
                <w:szCs w:val="14"/>
                <w:b w:val="1"/>
                <w:bCs w:val="1"/>
                <w:color w:val="auto"/>
              </w:rPr>
              <w:t>Nine Months</w:t>
            </w: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49"/>
        </w:trPr>
        <w:tc>
          <w:tcPr>
            <w:tcW w:w="2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80" w:type="dxa"/>
            <w:vAlign w:val="bottom"/>
            <w:gridSpan w:val="3"/>
          </w:tcPr>
          <w:p>
            <w:pPr>
              <w:jc w:val="right"/>
              <w:spacing w:after="0" w:line="149" w:lineRule="exact"/>
              <w:rPr>
                <w:sz w:val="20"/>
                <w:szCs w:val="20"/>
                <w:color w:val="auto"/>
              </w:rPr>
            </w:pPr>
            <w:r>
              <w:rPr>
                <w:rFonts w:ascii="Arial" w:cs="Arial" w:eastAsia="Arial" w:hAnsi="Arial"/>
                <w:sz w:val="14"/>
                <w:szCs w:val="14"/>
                <w:b w:val="1"/>
                <w:bCs w:val="1"/>
                <w:color w:val="auto"/>
              </w:rPr>
              <w:t>Ended</w:t>
            </w: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r>
      <w:tr>
        <w:trPr>
          <w:trHeight w:val="192"/>
        </w:trPr>
        <w:tc>
          <w:tcPr>
            <w:tcW w:w="21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060" w:type="dxa"/>
            <w:vAlign w:val="bottom"/>
            <w:tcBorders>
              <w:bottom w:val="single" w:sz="8" w:color="auto"/>
            </w:tcBorders>
            <w:gridSpan w:val="5"/>
          </w:tcPr>
          <w:p>
            <w:pPr>
              <w:ind w:left="320"/>
              <w:spacing w:after="0"/>
              <w:rPr>
                <w:sz w:val="20"/>
                <w:szCs w:val="20"/>
                <w:color w:val="auto"/>
              </w:rPr>
            </w:pPr>
            <w:r>
              <w:rPr>
                <w:rFonts w:ascii="Arial" w:cs="Arial" w:eastAsia="Arial" w:hAnsi="Arial"/>
                <w:sz w:val="14"/>
                <w:szCs w:val="14"/>
                <w:b w:val="1"/>
                <w:bCs w:val="1"/>
                <w:color w:val="auto"/>
              </w:rPr>
              <w:t>September 30,</w:t>
            </w: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r>
      <w:tr>
        <w:trPr>
          <w:trHeight w:val="196"/>
        </w:trPr>
        <w:tc>
          <w:tcPr>
            <w:tcW w:w="218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4"/>
                <w:szCs w:val="14"/>
                <w:b w:val="1"/>
                <w:bCs w:val="1"/>
                <w:color w:val="auto"/>
              </w:rPr>
              <w:t>2017</w:t>
            </w:r>
          </w:p>
        </w:tc>
        <w:tc>
          <w:tcPr>
            <w:tcW w:w="1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4"/>
                <w:szCs w:val="14"/>
                <w:b w:val="1"/>
                <w:bCs w:val="1"/>
                <w:color w:val="auto"/>
              </w:rPr>
              <w:t>2016</w:t>
            </w:r>
          </w:p>
        </w:tc>
        <w:tc>
          <w:tcPr>
            <w:tcW w:w="1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r>
      <w:tr>
        <w:trPr>
          <w:trHeight w:val="264"/>
        </w:trPr>
        <w:tc>
          <w:tcPr>
            <w:tcW w:w="218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Commercial</w:t>
            </w:r>
          </w:p>
        </w:tc>
        <w:tc>
          <w:tcPr>
            <w:tcW w:w="1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gridSpan w:val="2"/>
          </w:tcPr>
          <w:p>
            <w:pPr>
              <w:jc w:val="right"/>
              <w:ind w:right="300"/>
              <w:spacing w:after="0"/>
              <w:rPr>
                <w:sz w:val="20"/>
                <w:szCs w:val="20"/>
                <w:color w:val="auto"/>
              </w:rPr>
            </w:pPr>
            <w:r>
              <w:rPr>
                <w:rFonts w:ascii="Arial" w:cs="Arial" w:eastAsia="Arial" w:hAnsi="Arial"/>
                <w:sz w:val="14"/>
                <w:szCs w:val="14"/>
                <w:b w:val="1"/>
                <w:bCs w:val="1"/>
                <w:color w:val="auto"/>
              </w:rPr>
              <w:t>Agricultural</w:t>
            </w:r>
          </w:p>
        </w:tc>
        <w:tc>
          <w:tcPr>
            <w:tcW w:w="16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Residential</w:t>
            </w:r>
          </w:p>
        </w:tc>
        <w:tc>
          <w:tcPr>
            <w:tcW w:w="20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Total</w:t>
            </w:r>
          </w:p>
        </w:tc>
        <w:tc>
          <w:tcPr>
            <w:tcW w:w="16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Commercial</w:t>
            </w:r>
          </w:p>
        </w:tc>
        <w:tc>
          <w:tcPr>
            <w:tcW w:w="14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gridSpan w:val="2"/>
          </w:tcPr>
          <w:p>
            <w:pPr>
              <w:jc w:val="right"/>
              <w:ind w:right="280"/>
              <w:spacing w:after="0"/>
              <w:rPr>
                <w:sz w:val="20"/>
                <w:szCs w:val="20"/>
                <w:color w:val="auto"/>
              </w:rPr>
            </w:pPr>
            <w:r>
              <w:rPr>
                <w:rFonts w:ascii="Arial" w:cs="Arial" w:eastAsia="Arial" w:hAnsi="Arial"/>
                <w:sz w:val="14"/>
                <w:szCs w:val="14"/>
                <w:b w:val="1"/>
                <w:bCs w:val="1"/>
                <w:color w:val="auto"/>
                <w:w w:val="99"/>
              </w:rPr>
              <w:t>Agricultural</w:t>
            </w:r>
          </w:p>
        </w:tc>
        <w:tc>
          <w:tcPr>
            <w:tcW w:w="14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Residential</w:t>
            </w:r>
          </w:p>
        </w:tc>
        <w:tc>
          <w:tcPr>
            <w:tcW w:w="20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201"/>
              <w:spacing w:after="0"/>
              <w:rPr>
                <w:sz w:val="20"/>
                <w:szCs w:val="20"/>
                <w:color w:val="auto"/>
              </w:rPr>
            </w:pPr>
            <w:r>
              <w:rPr>
                <w:rFonts w:ascii="Arial" w:cs="Arial" w:eastAsia="Arial" w:hAnsi="Arial"/>
                <w:sz w:val="14"/>
                <w:szCs w:val="14"/>
                <w:b w:val="1"/>
                <w:bCs w:val="1"/>
                <w:color w:val="auto"/>
              </w:rPr>
              <w:t>Total</w:t>
            </w:r>
          </w:p>
        </w:tc>
      </w:tr>
      <w:tr>
        <w:trPr>
          <w:trHeight w:val="196"/>
        </w:trPr>
        <w:tc>
          <w:tcPr>
            <w:tcW w:w="2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60" w:type="dxa"/>
            <w:vAlign w:val="bottom"/>
            <w:gridSpan w:val="5"/>
          </w:tcPr>
          <w:p>
            <w:pPr>
              <w:ind w:left="320"/>
              <w:spacing w:after="0"/>
              <w:rPr>
                <w:sz w:val="20"/>
                <w:szCs w:val="20"/>
                <w:color w:val="auto"/>
              </w:rPr>
            </w:pPr>
            <w:r>
              <w:rPr>
                <w:rFonts w:ascii="Arial" w:cs="Arial" w:eastAsia="Arial" w:hAnsi="Arial"/>
                <w:sz w:val="14"/>
                <w:szCs w:val="14"/>
                <w:b w:val="1"/>
                <w:bCs w:val="1"/>
                <w:color w:val="auto"/>
              </w:rPr>
              <w:t>(In millions)</w:t>
            </w: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r>
      <w:tr>
        <w:trPr>
          <w:trHeight w:val="256"/>
        </w:trPr>
        <w:tc>
          <w:tcPr>
            <w:tcW w:w="2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Balance, beginning of period</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32</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5</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3</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CCEEFF"/>
            </w:tcBorders>
            <w:shd w:val="clear" w:color="auto" w:fill="CCEEFF"/>
          </w:tcPr>
          <w:p>
            <w:pPr>
              <w:jc w:val="right"/>
              <w:ind w:right="25"/>
              <w:spacing w:after="0"/>
              <w:rPr>
                <w:sz w:val="20"/>
                <w:szCs w:val="20"/>
                <w:color w:val="auto"/>
              </w:rPr>
            </w:pPr>
            <w:r>
              <w:rPr>
                <w:rFonts w:ascii="Arial" w:cs="Arial" w:eastAsia="Arial" w:hAnsi="Arial"/>
                <w:sz w:val="16"/>
                <w:szCs w:val="16"/>
                <w:color w:val="auto"/>
              </w:rPr>
              <w:t>40</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29</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5</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3</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37</w:t>
            </w:r>
          </w:p>
        </w:tc>
      </w:tr>
      <w:tr>
        <w:trPr>
          <w:trHeight w:val="237"/>
        </w:trPr>
        <w:tc>
          <w:tcPr>
            <w:tcW w:w="2180" w:type="dxa"/>
            <w:vAlign w:val="bottom"/>
          </w:tcPr>
          <w:p>
            <w:pPr>
              <w:ind w:left="40"/>
              <w:spacing w:after="0"/>
              <w:rPr>
                <w:sz w:val="20"/>
                <w:szCs w:val="20"/>
                <w:color w:val="auto"/>
              </w:rPr>
            </w:pPr>
            <w:r>
              <w:rPr>
                <w:rFonts w:ascii="Arial" w:cs="Arial" w:eastAsia="Arial" w:hAnsi="Arial"/>
                <w:sz w:val="16"/>
                <w:szCs w:val="16"/>
                <w:color w:val="auto"/>
              </w:rPr>
              <w:t>Provision (release)</w:t>
            </w:r>
          </w:p>
        </w:tc>
        <w:tc>
          <w:tcPr>
            <w:tcW w:w="160" w:type="dxa"/>
            <w:vAlign w:val="bottom"/>
          </w:tcPr>
          <w:p>
            <w:pPr>
              <w:spacing w:after="0"/>
              <w:rPr>
                <w:sz w:val="20"/>
                <w:szCs w:val="20"/>
                <w:color w:val="auto"/>
              </w:rPr>
            </w:pPr>
          </w:p>
        </w:tc>
        <w:tc>
          <w:tcPr>
            <w:tcW w:w="1000" w:type="dxa"/>
            <w:vAlign w:val="bottom"/>
          </w:tcPr>
          <w:p>
            <w:pPr>
              <w:jc w:val="right"/>
              <w:ind w:right="41"/>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jc w:val="right"/>
              <w:ind w:right="43"/>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jc w:val="right"/>
              <w:ind w:right="41"/>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jc w:val="right"/>
              <w:ind w:right="25"/>
              <w:spacing w:after="0"/>
              <w:rPr>
                <w:sz w:val="20"/>
                <w:szCs w:val="20"/>
                <w:color w:val="auto"/>
              </w:rPr>
            </w:pPr>
            <w:r>
              <w:rPr>
                <w:rFonts w:ascii="Arial" w:cs="Arial" w:eastAsia="Arial" w:hAnsi="Arial"/>
                <w:sz w:val="16"/>
                <w:szCs w:val="16"/>
                <w:color w:val="auto"/>
              </w:rPr>
              <w:t>5</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ind w:right="41"/>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880" w:type="dxa"/>
            <w:vAlign w:val="bottom"/>
          </w:tcPr>
          <w:p>
            <w:pPr>
              <w:jc w:val="right"/>
              <w:ind w:right="21"/>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ind w:right="21"/>
              <w:spacing w:after="0"/>
              <w:rPr>
                <w:sz w:val="20"/>
                <w:szCs w:val="20"/>
                <w:color w:val="auto"/>
              </w:rPr>
            </w:pPr>
            <w:r>
              <w:rPr>
                <w:rFonts w:ascii="Arial" w:cs="Arial" w:eastAsia="Arial" w:hAnsi="Arial"/>
                <w:sz w:val="16"/>
                <w:szCs w:val="16"/>
                <w:color w:val="auto"/>
              </w:rPr>
              <w:t>6</w:t>
            </w:r>
          </w:p>
        </w:tc>
      </w:tr>
      <w:tr>
        <w:trPr>
          <w:trHeight w:val="33"/>
        </w:trPr>
        <w:tc>
          <w:tcPr>
            <w:tcW w:w="21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55"/>
        </w:trPr>
        <w:tc>
          <w:tcPr>
            <w:tcW w:w="2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Balance, end of period</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34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CCEEFF"/>
            </w:tcBorders>
            <w:shd w:val="clear" w:color="auto" w:fill="CCEEFF"/>
          </w:tcPr>
          <w:p>
            <w:pPr>
              <w:jc w:val="right"/>
              <w:ind w:right="25"/>
              <w:spacing w:after="0"/>
              <w:rPr>
                <w:sz w:val="20"/>
                <w:szCs w:val="20"/>
                <w:color w:val="auto"/>
              </w:rPr>
            </w:pPr>
            <w:r>
              <w:rPr>
                <w:rFonts w:ascii="Arial" w:cs="Arial" w:eastAsia="Arial" w:hAnsi="Arial"/>
                <w:sz w:val="16"/>
                <w:szCs w:val="16"/>
                <w:color w:val="auto"/>
              </w:rPr>
              <w:t>45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33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43</w:t>
            </w:r>
          </w:p>
        </w:tc>
      </w:tr>
      <w:tr>
        <w:trPr>
          <w:trHeight w:val="20"/>
        </w:trPr>
        <w:tc>
          <w:tcPr>
            <w:tcW w:w="21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234" w:right="239" w:bottom="1440" w:gutter="0" w:footer="0" w:header="0"/>
        </w:sectPr>
      </w:pPr>
    </w:p>
    <w:bookmarkStart w:id="21" w:name="page22"/>
    <w:bookmarkEnd w:id="21"/>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Brighthouse Financial,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Interim Condensed Consolidated and Combined Financial Statements (Unaudited) — (continued)</w:t>
      </w:r>
    </w:p>
    <w:p>
      <w:pPr>
        <w:spacing w:after="0" w:line="117" w:lineRule="exact"/>
        <w:rPr>
          <w:sz w:val="20"/>
          <w:szCs w:val="20"/>
          <w:color w:val="auto"/>
        </w:rPr>
      </w:pPr>
    </w:p>
    <w:p>
      <w:pPr>
        <w:ind w:left="180" w:hanging="172"/>
        <w:spacing w:after="0"/>
        <w:tabs>
          <w:tab w:leader="none" w:pos="18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Investments (continued)</w:t>
      </w:r>
    </w:p>
    <w:p>
      <w:pPr>
        <w:spacing w:after="0" w:line="364" w:lineRule="exact"/>
        <w:rPr>
          <w:rFonts w:ascii="Arial" w:cs="Arial" w:eastAsia="Arial" w:hAnsi="Arial"/>
          <w:sz w:val="18"/>
          <w:szCs w:val="18"/>
          <w:b w:val="1"/>
          <w:bCs w:val="1"/>
          <w:color w:val="auto"/>
        </w:rPr>
      </w:pPr>
    </w:p>
    <w:p>
      <w:pPr>
        <w:ind w:left="180"/>
        <w:spacing w:after="0"/>
        <w:rPr>
          <w:rFonts w:ascii="Arial" w:cs="Arial" w:eastAsia="Arial" w:hAnsi="Arial"/>
          <w:sz w:val="18"/>
          <w:szCs w:val="18"/>
          <w:b w:val="1"/>
          <w:bCs w:val="1"/>
          <w:color w:val="auto"/>
        </w:rPr>
      </w:pPr>
      <w:r>
        <w:rPr>
          <w:rFonts w:ascii="Arial" w:cs="Arial" w:eastAsia="Arial" w:hAnsi="Arial"/>
          <w:sz w:val="18"/>
          <w:szCs w:val="18"/>
          <w:b w:val="1"/>
          <w:bCs w:val="1"/>
          <w:i w:val="1"/>
          <w:iCs w:val="1"/>
          <w:u w:val="single" w:color="auto"/>
          <w:color w:val="auto"/>
        </w:rPr>
        <w:t>Credit Quality of Commercial Mortgage Loans</w:t>
      </w:r>
    </w:p>
    <w:p>
      <w:pPr>
        <w:spacing w:after="0" w:line="117" w:lineRule="exact"/>
        <w:rPr>
          <w:rFonts w:ascii="Arial" w:cs="Arial" w:eastAsia="Arial" w:hAnsi="Arial"/>
          <w:sz w:val="18"/>
          <w:szCs w:val="18"/>
          <w:b w:val="1"/>
          <w:bCs w:val="1"/>
          <w:color w:val="auto"/>
        </w:rPr>
      </w:pPr>
    </w:p>
    <w:p>
      <w:pPr>
        <w:ind w:left="500"/>
        <w:spacing w:after="0"/>
        <w:rPr>
          <w:rFonts w:ascii="Arial" w:cs="Arial" w:eastAsia="Arial" w:hAnsi="Arial"/>
          <w:sz w:val="18"/>
          <w:szCs w:val="18"/>
          <w:b w:val="1"/>
          <w:bCs w:val="1"/>
          <w:color w:val="auto"/>
        </w:rPr>
      </w:pPr>
      <w:r>
        <w:rPr>
          <w:rFonts w:ascii="Arial" w:cs="Arial" w:eastAsia="Arial" w:hAnsi="Arial"/>
          <w:sz w:val="18"/>
          <w:szCs w:val="18"/>
          <w:color w:val="auto"/>
        </w:rPr>
        <w:t>The credit quality of commercial mortgage loans was as follows at:</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3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400" w:type="dxa"/>
            <w:vAlign w:val="bottom"/>
            <w:tcBorders>
              <w:bottom w:val="single" w:sz="8" w:color="auto"/>
            </w:tcBorders>
            <w:gridSpan w:val="5"/>
          </w:tcPr>
          <w:p>
            <w:pPr>
              <w:ind w:left="860"/>
              <w:spacing w:after="0"/>
              <w:rPr>
                <w:sz w:val="20"/>
                <w:szCs w:val="20"/>
                <w:color w:val="auto"/>
              </w:rPr>
            </w:pPr>
            <w:r>
              <w:rPr>
                <w:rFonts w:ascii="Arial" w:cs="Arial" w:eastAsia="Arial" w:hAnsi="Arial"/>
                <w:sz w:val="14"/>
                <w:szCs w:val="14"/>
                <w:b w:val="1"/>
                <w:bCs w:val="1"/>
                <w:color w:val="auto"/>
              </w:rPr>
              <w:t>Recorded Investment</w:t>
            </w: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40" w:type="dxa"/>
            <w:vAlign w:val="bottom"/>
            <w:gridSpan w:val="6"/>
          </w:tcPr>
          <w:p>
            <w:pPr>
              <w:jc w:val="center"/>
              <w:ind w:left="580"/>
              <w:spacing w:after="0"/>
              <w:rPr>
                <w:sz w:val="20"/>
                <w:szCs w:val="20"/>
                <w:color w:val="auto"/>
              </w:rPr>
            </w:pPr>
            <w:r>
              <w:rPr>
                <w:rFonts w:ascii="Arial" w:cs="Arial" w:eastAsia="Arial" w:hAnsi="Arial"/>
                <w:sz w:val="14"/>
                <w:szCs w:val="14"/>
                <w:b w:val="1"/>
                <w:bCs w:val="1"/>
                <w:color w:val="auto"/>
                <w:w w:val="91"/>
              </w:rPr>
              <w:t>Debt Service Coverage Ratios</w:t>
            </w: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2"/>
              </w:rPr>
              <w:t>Estimated</w:t>
            </w: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4"/>
        </w:trPr>
        <w:tc>
          <w:tcPr>
            <w:tcW w:w="3340" w:type="dxa"/>
            <w:vAlign w:val="bottom"/>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860" w:type="dxa"/>
            <w:vAlign w:val="bottom"/>
          </w:tcPr>
          <w:p>
            <w:pPr>
              <w:spacing w:after="0"/>
              <w:rPr>
                <w:sz w:val="4"/>
                <w:szCs w:val="4"/>
                <w:color w:val="auto"/>
              </w:rPr>
            </w:pPr>
          </w:p>
        </w:tc>
        <w:tc>
          <w:tcPr>
            <w:tcW w:w="100" w:type="dxa"/>
            <w:vAlign w:val="bottom"/>
          </w:tcPr>
          <w:p>
            <w:pPr>
              <w:spacing w:after="0"/>
              <w:rPr>
                <w:sz w:val="4"/>
                <w:szCs w:val="4"/>
                <w:color w:val="auto"/>
              </w:rPr>
            </w:pPr>
          </w:p>
        </w:tc>
        <w:tc>
          <w:tcPr>
            <w:tcW w:w="960" w:type="dxa"/>
            <w:vAlign w:val="bottom"/>
            <w:gridSpan w:val="2"/>
            <w:vMerge w:val="restart"/>
          </w:tcPr>
          <w:p>
            <w:pPr>
              <w:ind w:left="280"/>
              <w:spacing w:after="0" w:line="139" w:lineRule="exact"/>
              <w:rPr>
                <w:sz w:val="20"/>
                <w:szCs w:val="20"/>
                <w:color w:val="auto"/>
              </w:rPr>
            </w:pPr>
            <w:r>
              <w:rPr>
                <w:rFonts w:ascii="Arial" w:cs="Arial" w:eastAsia="Arial" w:hAnsi="Arial"/>
                <w:sz w:val="14"/>
                <w:szCs w:val="14"/>
                <w:b w:val="1"/>
                <w:bCs w:val="1"/>
                <w:color w:val="auto"/>
              </w:rPr>
              <w:t>% of</w:t>
            </w:r>
          </w:p>
        </w:tc>
        <w:tc>
          <w:tcPr>
            <w:tcW w:w="180" w:type="dxa"/>
            <w:vAlign w:val="bottom"/>
          </w:tcPr>
          <w:p>
            <w:pPr>
              <w:spacing w:after="0"/>
              <w:rPr>
                <w:sz w:val="4"/>
                <w:szCs w:val="4"/>
                <w:color w:val="auto"/>
              </w:rPr>
            </w:pPr>
          </w:p>
        </w:tc>
        <w:tc>
          <w:tcPr>
            <w:tcW w:w="1040" w:type="dxa"/>
            <w:vAlign w:val="bottom"/>
            <w:gridSpan w:val="2"/>
            <w:vMerge w:val="restart"/>
          </w:tcPr>
          <w:p>
            <w:pPr>
              <w:jc w:val="center"/>
              <w:ind w:right="300"/>
              <w:spacing w:after="0" w:line="139" w:lineRule="exact"/>
              <w:rPr>
                <w:sz w:val="20"/>
                <w:szCs w:val="20"/>
                <w:color w:val="auto"/>
              </w:rPr>
            </w:pPr>
            <w:r>
              <w:rPr>
                <w:rFonts w:ascii="Arial" w:cs="Arial" w:eastAsia="Arial" w:hAnsi="Arial"/>
                <w:sz w:val="14"/>
                <w:szCs w:val="14"/>
                <w:b w:val="1"/>
                <w:bCs w:val="1"/>
                <w:color w:val="auto"/>
              </w:rPr>
              <w:t>Fair</w:t>
            </w:r>
          </w:p>
        </w:tc>
        <w:tc>
          <w:tcPr>
            <w:tcW w:w="840" w:type="dxa"/>
            <w:vAlign w:val="bottom"/>
            <w:vMerge w:val="restart"/>
          </w:tcPr>
          <w:p>
            <w:pPr>
              <w:jc w:val="right"/>
              <w:ind w:right="180"/>
              <w:spacing w:after="0" w:line="139" w:lineRule="exact"/>
              <w:rPr>
                <w:sz w:val="20"/>
                <w:szCs w:val="20"/>
                <w:color w:val="auto"/>
              </w:rPr>
            </w:pPr>
            <w:r>
              <w:rPr>
                <w:rFonts w:ascii="Arial" w:cs="Arial" w:eastAsia="Arial" w:hAnsi="Arial"/>
                <w:sz w:val="14"/>
                <w:szCs w:val="14"/>
                <w:b w:val="1"/>
                <w:bCs w:val="1"/>
                <w:color w:val="auto"/>
              </w:rPr>
              <w:t>% of</w:t>
            </w:r>
          </w:p>
        </w:tc>
        <w:tc>
          <w:tcPr>
            <w:tcW w:w="0" w:type="dxa"/>
            <w:vAlign w:val="bottom"/>
          </w:tcPr>
          <w:p>
            <w:pPr>
              <w:spacing w:after="0"/>
              <w:rPr>
                <w:sz w:val="1"/>
                <w:szCs w:val="1"/>
                <w:color w:val="auto"/>
              </w:rPr>
            </w:pPr>
          </w:p>
        </w:tc>
      </w:tr>
      <w:tr>
        <w:trPr>
          <w:trHeight w:val="65"/>
        </w:trPr>
        <w:tc>
          <w:tcPr>
            <w:tcW w:w="334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4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&gt; 1.20x</w:t>
            </w:r>
          </w:p>
        </w:tc>
        <w:tc>
          <w:tcPr>
            <w:tcW w:w="180" w:type="dxa"/>
            <w:vAlign w:val="bottom"/>
          </w:tcPr>
          <w:p>
            <w:pPr>
              <w:spacing w:after="0"/>
              <w:rPr>
                <w:sz w:val="5"/>
                <w:szCs w:val="5"/>
                <w:color w:val="auto"/>
              </w:rPr>
            </w:pPr>
          </w:p>
        </w:tc>
        <w:tc>
          <w:tcPr>
            <w:tcW w:w="118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2"/>
              </w:rPr>
              <w:t>1.00x - 1.20x</w:t>
            </w:r>
          </w:p>
        </w:tc>
        <w:tc>
          <w:tcPr>
            <w:tcW w:w="240" w:type="dxa"/>
            <w:vAlign w:val="bottom"/>
          </w:tcPr>
          <w:p>
            <w:pPr>
              <w:spacing w:after="0"/>
              <w:rPr>
                <w:sz w:val="5"/>
                <w:szCs w:val="5"/>
                <w:color w:val="auto"/>
              </w:rPr>
            </w:pPr>
          </w:p>
        </w:tc>
        <w:tc>
          <w:tcPr>
            <w:tcW w:w="98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&lt; 1.00x</w:t>
            </w:r>
          </w:p>
        </w:tc>
        <w:tc>
          <w:tcPr>
            <w:tcW w:w="260" w:type="dxa"/>
            <w:vAlign w:val="bottom"/>
          </w:tcPr>
          <w:p>
            <w:pPr>
              <w:spacing w:after="0"/>
              <w:rPr>
                <w:sz w:val="5"/>
                <w:szCs w:val="5"/>
                <w:color w:val="auto"/>
              </w:rPr>
            </w:pPr>
          </w:p>
        </w:tc>
        <w:tc>
          <w:tcPr>
            <w:tcW w:w="96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Total</w:t>
            </w:r>
          </w:p>
        </w:tc>
        <w:tc>
          <w:tcPr>
            <w:tcW w:w="960" w:type="dxa"/>
            <w:vAlign w:val="bottom"/>
            <w:gridSpan w:val="2"/>
            <w:vMerge w:val="continue"/>
          </w:tcPr>
          <w:p>
            <w:pPr>
              <w:spacing w:after="0"/>
              <w:rPr>
                <w:sz w:val="5"/>
                <w:szCs w:val="5"/>
                <w:color w:val="auto"/>
              </w:rPr>
            </w:pPr>
          </w:p>
        </w:tc>
        <w:tc>
          <w:tcPr>
            <w:tcW w:w="180" w:type="dxa"/>
            <w:vAlign w:val="bottom"/>
          </w:tcPr>
          <w:p>
            <w:pPr>
              <w:spacing w:after="0"/>
              <w:rPr>
                <w:sz w:val="5"/>
                <w:szCs w:val="5"/>
                <w:color w:val="auto"/>
              </w:rPr>
            </w:pPr>
          </w:p>
        </w:tc>
        <w:tc>
          <w:tcPr>
            <w:tcW w:w="1040" w:type="dxa"/>
            <w:vAlign w:val="bottom"/>
            <w:gridSpan w:val="2"/>
            <w:vMerge w:val="continue"/>
          </w:tcPr>
          <w:p>
            <w:pPr>
              <w:spacing w:after="0"/>
              <w:rPr>
                <w:sz w:val="5"/>
                <w:szCs w:val="5"/>
                <w:color w:val="auto"/>
              </w:rPr>
            </w:pPr>
          </w:p>
        </w:tc>
        <w:tc>
          <w:tcPr>
            <w:tcW w:w="8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33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2"/>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2"/>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gridSpan w:val="2"/>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gridSpan w:val="2"/>
            <w:vMerge w:val="continue"/>
          </w:tcPr>
          <w:p>
            <w:pPr>
              <w:spacing w:after="0"/>
              <w:rPr>
                <w:sz w:val="16"/>
                <w:szCs w:val="16"/>
                <w:color w:val="auto"/>
              </w:rPr>
            </w:pPr>
          </w:p>
        </w:tc>
        <w:tc>
          <w:tcPr>
            <w:tcW w:w="960" w:type="dxa"/>
            <w:vAlign w:val="bottom"/>
            <w:tcBorders>
              <w:bottom w:val="single" w:sz="8" w:color="auto"/>
            </w:tcBorders>
            <w:gridSpan w:val="2"/>
          </w:tcPr>
          <w:p>
            <w:pPr>
              <w:ind w:left="260"/>
              <w:spacing w:after="0"/>
              <w:rPr>
                <w:sz w:val="20"/>
                <w:szCs w:val="20"/>
                <w:color w:val="auto"/>
              </w:rPr>
            </w:pPr>
            <w:r>
              <w:rPr>
                <w:rFonts w:ascii="Arial" w:cs="Arial" w:eastAsia="Arial" w:hAnsi="Arial"/>
                <w:sz w:val="14"/>
                <w:szCs w:val="14"/>
                <w:b w:val="1"/>
                <w:bCs w:val="1"/>
                <w:color w:val="auto"/>
              </w:rPr>
              <w:t>Total</w:t>
            </w:r>
          </w:p>
        </w:tc>
        <w:tc>
          <w:tcPr>
            <w:tcW w:w="1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w w:val="90"/>
              </w:rPr>
              <w:t>Value</w:t>
            </w:r>
          </w:p>
        </w:tc>
        <w:tc>
          <w:tcPr>
            <w:tcW w:w="840" w:type="dxa"/>
            <w:vAlign w:val="bottom"/>
            <w:tcBorders>
              <w:bottom w:val="single" w:sz="8" w:color="auto"/>
            </w:tcBorders>
          </w:tcPr>
          <w:p>
            <w:pPr>
              <w:jc w:val="right"/>
              <w:ind w:right="1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50"/>
        </w:trPr>
        <w:tc>
          <w:tcPr>
            <w:tcW w:w="33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200" w:type="dxa"/>
            <w:vAlign w:val="bottom"/>
            <w:gridSpan w:val="5"/>
          </w:tcPr>
          <w:p>
            <w:pPr>
              <w:ind w:left="580"/>
              <w:spacing w:after="0"/>
              <w:rPr>
                <w:sz w:val="20"/>
                <w:szCs w:val="20"/>
                <w:color w:val="auto"/>
              </w:rPr>
            </w:pPr>
            <w:r>
              <w:rPr>
                <w:rFonts w:ascii="Arial" w:cs="Arial" w:eastAsia="Arial" w:hAnsi="Arial"/>
                <w:sz w:val="14"/>
                <w:szCs w:val="14"/>
                <w:b w:val="1"/>
                <w:bCs w:val="1"/>
                <w:color w:val="auto"/>
              </w:rPr>
              <w:t>(Dollars in millions)</w:t>
            </w:r>
          </w:p>
        </w:tc>
        <w:tc>
          <w:tcPr>
            <w:tcW w:w="8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September 30, 2017</w:t>
            </w:r>
          </w:p>
        </w:tc>
        <w:tc>
          <w:tcPr>
            <w:tcW w:w="22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24"/>
        </w:trPr>
        <w:tc>
          <w:tcPr>
            <w:tcW w:w="3340" w:type="dxa"/>
            <w:vAlign w:val="bottom"/>
          </w:tcPr>
          <w:p>
            <w:pPr>
              <w:ind w:left="40"/>
              <w:spacing w:after="0"/>
              <w:rPr>
                <w:sz w:val="20"/>
                <w:szCs w:val="20"/>
                <w:color w:val="auto"/>
              </w:rPr>
            </w:pPr>
            <w:r>
              <w:rPr>
                <w:rFonts w:ascii="Arial" w:cs="Arial" w:eastAsia="Arial" w:hAnsi="Arial"/>
                <w:sz w:val="16"/>
                <w:szCs w:val="16"/>
                <w:color w:val="auto"/>
              </w:rPr>
              <w:t>Loan-to-value ratios:</w:t>
            </w:r>
          </w:p>
        </w:tc>
        <w:tc>
          <w:tcPr>
            <w:tcW w:w="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3340" w:type="dxa"/>
            <w:vAlign w:val="bottom"/>
          </w:tcPr>
          <w:p>
            <w:pPr>
              <w:spacing w:after="0"/>
              <w:rPr>
                <w:sz w:val="4"/>
                <w:szCs w:val="4"/>
                <w:color w:val="auto"/>
              </w:rPr>
            </w:pPr>
          </w:p>
        </w:tc>
        <w:tc>
          <w:tcPr>
            <w:tcW w:w="220" w:type="dxa"/>
            <w:vAlign w:val="bottom"/>
          </w:tcPr>
          <w:p>
            <w:pPr>
              <w:spacing w:after="0"/>
              <w:rPr>
                <w:sz w:val="4"/>
                <w:szCs w:val="4"/>
                <w:color w:val="auto"/>
              </w:rPr>
            </w:pPr>
          </w:p>
        </w:tc>
        <w:tc>
          <w:tcPr>
            <w:tcW w:w="9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40" w:type="dxa"/>
            <w:vAlign w:val="bottom"/>
          </w:tcPr>
          <w:p>
            <w:pPr>
              <w:spacing w:after="0"/>
              <w:rPr>
                <w:sz w:val="4"/>
                <w:szCs w:val="4"/>
                <w:color w:val="auto"/>
              </w:rPr>
            </w:pPr>
          </w:p>
        </w:tc>
        <w:tc>
          <w:tcPr>
            <w:tcW w:w="8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860" w:type="dxa"/>
            <w:vAlign w:val="bottom"/>
          </w:tcPr>
          <w:p>
            <w:pPr>
              <w:spacing w:after="0"/>
              <w:rPr>
                <w:sz w:val="4"/>
                <w:szCs w:val="4"/>
                <w:color w:val="auto"/>
              </w:rPr>
            </w:pPr>
          </w:p>
        </w:tc>
        <w:tc>
          <w:tcPr>
            <w:tcW w:w="100" w:type="dxa"/>
            <w:vAlign w:val="bottom"/>
          </w:tcPr>
          <w:p>
            <w:pPr>
              <w:spacing w:after="0"/>
              <w:rPr>
                <w:sz w:val="4"/>
                <w:szCs w:val="4"/>
                <w:color w:val="auto"/>
              </w:rPr>
            </w:pPr>
          </w:p>
        </w:tc>
        <w:tc>
          <w:tcPr>
            <w:tcW w:w="8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940" w:type="dxa"/>
            <w:vAlign w:val="bottom"/>
          </w:tcPr>
          <w:p>
            <w:pPr>
              <w:spacing w:after="0"/>
              <w:rPr>
                <w:sz w:val="4"/>
                <w:szCs w:val="4"/>
                <w:color w:val="auto"/>
              </w:rPr>
            </w:pPr>
          </w:p>
        </w:tc>
        <w:tc>
          <w:tcPr>
            <w:tcW w:w="100" w:type="dxa"/>
            <w:vAlign w:val="bottom"/>
          </w:tcPr>
          <w:p>
            <w:pPr>
              <w:spacing w:after="0"/>
              <w:rPr>
                <w:sz w:val="4"/>
                <w:szCs w:val="4"/>
                <w:color w:val="auto"/>
              </w:rPr>
            </w:pPr>
          </w:p>
        </w:tc>
        <w:tc>
          <w:tcPr>
            <w:tcW w:w="8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Less than 65%</w:t>
            </w: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6,084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300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6,417</w:t>
            </w: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91.2%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6,583</w:t>
            </w: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91.4%</w:t>
            </w:r>
          </w:p>
        </w:tc>
        <w:tc>
          <w:tcPr>
            <w:tcW w:w="0" w:type="dxa"/>
            <w:vAlign w:val="bottom"/>
          </w:tcPr>
          <w:p>
            <w:pPr>
              <w:spacing w:after="0"/>
              <w:rPr>
                <w:sz w:val="1"/>
                <w:szCs w:val="1"/>
                <w:color w:val="auto"/>
              </w:rPr>
            </w:pPr>
          </w:p>
        </w:tc>
      </w:tr>
      <w:tr>
        <w:trPr>
          <w:trHeight w:val="237"/>
        </w:trPr>
        <w:tc>
          <w:tcPr>
            <w:tcW w:w="3340" w:type="dxa"/>
            <w:vAlign w:val="bottom"/>
          </w:tcPr>
          <w:p>
            <w:pPr>
              <w:ind w:left="40"/>
              <w:spacing w:after="0"/>
              <w:rPr>
                <w:sz w:val="20"/>
                <w:szCs w:val="20"/>
                <w:color w:val="auto"/>
              </w:rPr>
            </w:pPr>
            <w:r>
              <w:rPr>
                <w:rFonts w:ascii="Arial" w:cs="Arial" w:eastAsia="Arial" w:hAnsi="Arial"/>
                <w:sz w:val="16"/>
                <w:szCs w:val="16"/>
                <w:color w:val="auto"/>
              </w:rPr>
              <w:t>65% to 75%</w:t>
            </w:r>
          </w:p>
        </w:tc>
        <w:tc>
          <w:tcPr>
            <w:tcW w:w="220" w:type="dxa"/>
            <w:vAlign w:val="bottom"/>
          </w:tcPr>
          <w:p>
            <w:pPr>
              <w:spacing w:after="0"/>
              <w:rPr>
                <w:sz w:val="20"/>
                <w:szCs w:val="20"/>
                <w:color w:val="auto"/>
              </w:rPr>
            </w:pPr>
          </w:p>
        </w:tc>
        <w:tc>
          <w:tcPr>
            <w:tcW w:w="940" w:type="dxa"/>
            <w:vAlign w:val="bottom"/>
          </w:tcPr>
          <w:p>
            <w:pPr>
              <w:jc w:val="right"/>
              <w:ind w:right="40"/>
              <w:spacing w:after="0"/>
              <w:rPr>
                <w:sz w:val="20"/>
                <w:szCs w:val="20"/>
                <w:color w:val="auto"/>
              </w:rPr>
            </w:pPr>
            <w:r>
              <w:rPr>
                <w:rFonts w:ascii="Arial" w:cs="Arial" w:eastAsia="Arial" w:hAnsi="Arial"/>
                <w:sz w:val="16"/>
                <w:szCs w:val="16"/>
                <w:color w:val="auto"/>
              </w:rPr>
              <w:t>519</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ind w:right="20"/>
              <w:spacing w:after="0"/>
              <w:rPr>
                <w:sz w:val="20"/>
                <w:szCs w:val="20"/>
                <w:color w:val="auto"/>
              </w:rPr>
            </w:pPr>
            <w:r>
              <w:rPr>
                <w:rFonts w:ascii="Arial" w:cs="Arial" w:eastAsia="Arial" w:hAnsi="Arial"/>
                <w:sz w:val="16"/>
                <w:szCs w:val="16"/>
                <w:color w:val="auto"/>
              </w:rPr>
              <w:t>9</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40"/>
              <w:spacing w:after="0"/>
              <w:rPr>
                <w:sz w:val="20"/>
                <w:szCs w:val="20"/>
                <w:color w:val="auto"/>
              </w:rPr>
            </w:pPr>
            <w:r>
              <w:rPr>
                <w:rFonts w:ascii="Arial" w:cs="Arial" w:eastAsia="Arial" w:hAnsi="Arial"/>
                <w:sz w:val="16"/>
                <w:szCs w:val="16"/>
                <w:color w:val="auto"/>
              </w:rPr>
              <w:t>18</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546</w:t>
            </w:r>
          </w:p>
        </w:tc>
        <w:tc>
          <w:tcPr>
            <w:tcW w:w="100" w:type="dxa"/>
            <w:vAlign w:val="bottom"/>
          </w:tcPr>
          <w:p>
            <w:pPr>
              <w:spacing w:after="0"/>
              <w:rPr>
                <w:sz w:val="20"/>
                <w:szCs w:val="20"/>
                <w:color w:val="auto"/>
              </w:rPr>
            </w:pPr>
          </w:p>
        </w:tc>
        <w:tc>
          <w:tcPr>
            <w:tcW w:w="840" w:type="dxa"/>
            <w:vAlign w:val="bottom"/>
          </w:tcPr>
          <w:p>
            <w:pPr>
              <w:jc w:val="right"/>
              <w:ind w:right="80"/>
              <w:spacing w:after="0"/>
              <w:rPr>
                <w:sz w:val="20"/>
                <w:szCs w:val="20"/>
                <w:color w:val="auto"/>
              </w:rPr>
            </w:pPr>
            <w:r>
              <w:rPr>
                <w:rFonts w:ascii="Arial" w:cs="Arial" w:eastAsia="Arial" w:hAnsi="Arial"/>
                <w:sz w:val="16"/>
                <w:szCs w:val="16"/>
                <w:color w:val="auto"/>
              </w:rPr>
              <w:t>7.8</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jc w:val="right"/>
              <w:ind w:right="41"/>
              <w:spacing w:after="0"/>
              <w:rPr>
                <w:sz w:val="20"/>
                <w:szCs w:val="20"/>
                <w:color w:val="auto"/>
              </w:rPr>
            </w:pPr>
            <w:r>
              <w:rPr>
                <w:rFonts w:ascii="Arial" w:cs="Arial" w:eastAsia="Arial" w:hAnsi="Arial"/>
                <w:sz w:val="16"/>
                <w:szCs w:val="16"/>
                <w:color w:val="auto"/>
              </w:rPr>
              <w:t>547</w:t>
            </w:r>
          </w:p>
        </w:tc>
        <w:tc>
          <w:tcPr>
            <w:tcW w:w="100" w:type="dxa"/>
            <w:vAlign w:val="bottom"/>
          </w:tcPr>
          <w:p>
            <w:pPr>
              <w:spacing w:after="0"/>
              <w:rPr>
                <w:sz w:val="20"/>
                <w:szCs w:val="20"/>
                <w:color w:val="auto"/>
              </w:rPr>
            </w:pPr>
          </w:p>
        </w:tc>
        <w:tc>
          <w:tcPr>
            <w:tcW w:w="840" w:type="dxa"/>
            <w:vAlign w:val="bottom"/>
          </w:tcPr>
          <w:p>
            <w:pPr>
              <w:jc w:val="right"/>
              <w:ind w:right="80"/>
              <w:spacing w:after="0"/>
              <w:rPr>
                <w:sz w:val="20"/>
                <w:szCs w:val="20"/>
                <w:color w:val="auto"/>
              </w:rPr>
            </w:pPr>
            <w:r>
              <w:rPr>
                <w:rFonts w:ascii="Arial" w:cs="Arial" w:eastAsia="Arial" w:hAnsi="Arial"/>
                <w:sz w:val="16"/>
                <w:szCs w:val="16"/>
                <w:color w:val="auto"/>
              </w:rPr>
              <w:t>7.6</w:t>
            </w:r>
          </w:p>
        </w:tc>
        <w:tc>
          <w:tcPr>
            <w:tcW w:w="0" w:type="dxa"/>
            <w:vAlign w:val="bottom"/>
          </w:tcPr>
          <w:p>
            <w:pPr>
              <w:spacing w:after="0"/>
              <w:rPr>
                <w:sz w:val="1"/>
                <w:szCs w:val="1"/>
                <w:color w:val="auto"/>
              </w:rPr>
            </w:pPr>
          </w:p>
        </w:tc>
      </w:tr>
      <w:tr>
        <w:trPr>
          <w:trHeight w:val="33"/>
        </w:trPr>
        <w:tc>
          <w:tcPr>
            <w:tcW w:w="3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76% to 80%</w:t>
            </w: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52</w:t>
            </w: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0.7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51</w:t>
            </w: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0.7</w:t>
            </w:r>
          </w:p>
        </w:tc>
        <w:tc>
          <w:tcPr>
            <w:tcW w:w="0" w:type="dxa"/>
            <w:vAlign w:val="bottom"/>
          </w:tcPr>
          <w:p>
            <w:pPr>
              <w:spacing w:after="0"/>
              <w:rPr>
                <w:sz w:val="1"/>
                <w:szCs w:val="1"/>
                <w:color w:val="auto"/>
              </w:rPr>
            </w:pPr>
          </w:p>
        </w:tc>
      </w:tr>
      <w:tr>
        <w:trPr>
          <w:trHeight w:val="237"/>
        </w:trPr>
        <w:tc>
          <w:tcPr>
            <w:tcW w:w="3340" w:type="dxa"/>
            <w:vAlign w:val="bottom"/>
          </w:tcPr>
          <w:p>
            <w:pPr>
              <w:ind w:left="40"/>
              <w:spacing w:after="0"/>
              <w:rPr>
                <w:sz w:val="20"/>
                <w:szCs w:val="20"/>
                <w:color w:val="auto"/>
              </w:rPr>
            </w:pPr>
            <w:r>
              <w:rPr>
                <w:rFonts w:ascii="Arial" w:cs="Arial" w:eastAsia="Arial" w:hAnsi="Arial"/>
                <w:sz w:val="16"/>
                <w:szCs w:val="16"/>
                <w:color w:val="auto"/>
              </w:rPr>
              <w:t>Greater than 80%</w:t>
            </w:r>
          </w:p>
        </w:tc>
        <w:tc>
          <w:tcPr>
            <w:tcW w:w="220" w:type="dxa"/>
            <w:vAlign w:val="bottom"/>
          </w:tcPr>
          <w:p>
            <w:pPr>
              <w:spacing w:after="0"/>
              <w:rPr>
                <w:sz w:val="20"/>
                <w:szCs w:val="20"/>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880" w:type="dxa"/>
            <w:vAlign w:val="bottom"/>
          </w:tcPr>
          <w:p>
            <w:pPr>
              <w:jc w:val="right"/>
              <w:ind w:right="40"/>
              <w:spacing w:after="0"/>
              <w:rPr>
                <w:sz w:val="20"/>
                <w:szCs w:val="20"/>
                <w:color w:val="auto"/>
              </w:rPr>
            </w:pPr>
            <w:r>
              <w:rPr>
                <w:rFonts w:ascii="Arial" w:cs="Arial" w:eastAsia="Arial" w:hAnsi="Arial"/>
                <w:sz w:val="16"/>
                <w:szCs w:val="16"/>
                <w:color w:val="auto"/>
              </w:rPr>
              <w:t>24</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24</w:t>
            </w:r>
          </w:p>
        </w:tc>
        <w:tc>
          <w:tcPr>
            <w:tcW w:w="100" w:type="dxa"/>
            <w:vAlign w:val="bottom"/>
          </w:tcPr>
          <w:p>
            <w:pPr>
              <w:spacing w:after="0"/>
              <w:rPr>
                <w:sz w:val="20"/>
                <w:szCs w:val="20"/>
                <w:color w:val="auto"/>
              </w:rPr>
            </w:pPr>
          </w:p>
        </w:tc>
        <w:tc>
          <w:tcPr>
            <w:tcW w:w="840" w:type="dxa"/>
            <w:vAlign w:val="bottom"/>
          </w:tcPr>
          <w:p>
            <w:pPr>
              <w:jc w:val="right"/>
              <w:ind w:right="80"/>
              <w:spacing w:after="0"/>
              <w:rPr>
                <w:sz w:val="20"/>
                <w:szCs w:val="20"/>
                <w:color w:val="auto"/>
              </w:rPr>
            </w:pPr>
            <w:r>
              <w:rPr>
                <w:rFonts w:ascii="Arial" w:cs="Arial" w:eastAsia="Arial" w:hAnsi="Arial"/>
                <w:sz w:val="16"/>
                <w:szCs w:val="16"/>
                <w:color w:val="auto"/>
              </w:rPr>
              <w:t>0.3</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jc w:val="right"/>
              <w:ind w:right="41"/>
              <w:spacing w:after="0"/>
              <w:rPr>
                <w:sz w:val="20"/>
                <w:szCs w:val="20"/>
                <w:color w:val="auto"/>
              </w:rPr>
            </w:pPr>
            <w:r>
              <w:rPr>
                <w:rFonts w:ascii="Arial" w:cs="Arial" w:eastAsia="Arial" w:hAnsi="Arial"/>
                <w:sz w:val="16"/>
                <w:szCs w:val="16"/>
                <w:color w:val="auto"/>
              </w:rPr>
              <w:t>23</w:t>
            </w:r>
          </w:p>
        </w:tc>
        <w:tc>
          <w:tcPr>
            <w:tcW w:w="100" w:type="dxa"/>
            <w:vAlign w:val="bottom"/>
          </w:tcPr>
          <w:p>
            <w:pPr>
              <w:spacing w:after="0"/>
              <w:rPr>
                <w:sz w:val="20"/>
                <w:szCs w:val="20"/>
                <w:color w:val="auto"/>
              </w:rPr>
            </w:pPr>
          </w:p>
        </w:tc>
        <w:tc>
          <w:tcPr>
            <w:tcW w:w="840" w:type="dxa"/>
            <w:vAlign w:val="bottom"/>
          </w:tcPr>
          <w:p>
            <w:pPr>
              <w:jc w:val="right"/>
              <w:ind w:right="80"/>
              <w:spacing w:after="0"/>
              <w:rPr>
                <w:sz w:val="20"/>
                <w:szCs w:val="20"/>
                <w:color w:val="auto"/>
              </w:rPr>
            </w:pPr>
            <w:r>
              <w:rPr>
                <w:rFonts w:ascii="Arial" w:cs="Arial" w:eastAsia="Arial" w:hAnsi="Arial"/>
                <w:sz w:val="16"/>
                <w:szCs w:val="16"/>
                <w:color w:val="auto"/>
              </w:rPr>
              <w:t>0.3</w:t>
            </w:r>
          </w:p>
        </w:tc>
        <w:tc>
          <w:tcPr>
            <w:tcW w:w="0" w:type="dxa"/>
            <w:vAlign w:val="bottom"/>
          </w:tcPr>
          <w:p>
            <w:pPr>
              <w:spacing w:after="0"/>
              <w:rPr>
                <w:sz w:val="1"/>
                <w:szCs w:val="1"/>
                <w:color w:val="auto"/>
              </w:rPr>
            </w:pPr>
          </w:p>
        </w:tc>
      </w:tr>
      <w:tr>
        <w:trPr>
          <w:trHeight w:val="33"/>
        </w:trPr>
        <w:tc>
          <w:tcPr>
            <w:tcW w:w="33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33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Total</w:t>
            </w: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6,613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342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84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7,039</w:t>
            </w: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7,204</w:t>
            </w: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0" w:type="dxa"/>
            <w:vAlign w:val="bottom"/>
          </w:tcPr>
          <w:p>
            <w:pPr>
              <w:spacing w:after="0"/>
              <w:rPr>
                <w:sz w:val="1"/>
                <w:szCs w:val="1"/>
                <w:color w:val="auto"/>
              </w:rPr>
            </w:pPr>
          </w:p>
        </w:tc>
      </w:tr>
      <w:tr>
        <w:trPr>
          <w:trHeight w:val="20"/>
        </w:trPr>
        <w:tc>
          <w:tcPr>
            <w:tcW w:w="33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5"/>
        </w:trPr>
        <w:tc>
          <w:tcPr>
            <w:tcW w:w="3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December 31, 2016</w:t>
            </w: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3340" w:type="dxa"/>
            <w:vAlign w:val="bottom"/>
          </w:tcPr>
          <w:p>
            <w:pPr>
              <w:ind w:left="40"/>
              <w:spacing w:after="0"/>
              <w:rPr>
                <w:sz w:val="20"/>
                <w:szCs w:val="20"/>
                <w:color w:val="auto"/>
              </w:rPr>
            </w:pPr>
            <w:r>
              <w:rPr>
                <w:rFonts w:ascii="Arial" w:cs="Arial" w:eastAsia="Arial" w:hAnsi="Arial"/>
                <w:sz w:val="16"/>
                <w:szCs w:val="16"/>
                <w:color w:val="auto"/>
              </w:rPr>
              <w:t>Loan-to-value ratios:</w:t>
            </w:r>
          </w:p>
        </w:tc>
        <w:tc>
          <w:tcPr>
            <w:tcW w:w="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3340" w:type="dxa"/>
            <w:vAlign w:val="bottom"/>
          </w:tcPr>
          <w:p>
            <w:pPr>
              <w:spacing w:after="0"/>
              <w:rPr>
                <w:sz w:val="4"/>
                <w:szCs w:val="4"/>
                <w:color w:val="auto"/>
              </w:rPr>
            </w:pPr>
          </w:p>
        </w:tc>
        <w:tc>
          <w:tcPr>
            <w:tcW w:w="220" w:type="dxa"/>
            <w:vAlign w:val="bottom"/>
          </w:tcPr>
          <w:p>
            <w:pPr>
              <w:spacing w:after="0"/>
              <w:rPr>
                <w:sz w:val="4"/>
                <w:szCs w:val="4"/>
                <w:color w:val="auto"/>
              </w:rPr>
            </w:pPr>
          </w:p>
        </w:tc>
        <w:tc>
          <w:tcPr>
            <w:tcW w:w="9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40" w:type="dxa"/>
            <w:vAlign w:val="bottom"/>
          </w:tcPr>
          <w:p>
            <w:pPr>
              <w:spacing w:after="0"/>
              <w:rPr>
                <w:sz w:val="4"/>
                <w:szCs w:val="4"/>
                <w:color w:val="auto"/>
              </w:rPr>
            </w:pPr>
          </w:p>
        </w:tc>
        <w:tc>
          <w:tcPr>
            <w:tcW w:w="8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860" w:type="dxa"/>
            <w:vAlign w:val="bottom"/>
          </w:tcPr>
          <w:p>
            <w:pPr>
              <w:spacing w:after="0"/>
              <w:rPr>
                <w:sz w:val="4"/>
                <w:szCs w:val="4"/>
                <w:color w:val="auto"/>
              </w:rPr>
            </w:pPr>
          </w:p>
        </w:tc>
        <w:tc>
          <w:tcPr>
            <w:tcW w:w="100" w:type="dxa"/>
            <w:vAlign w:val="bottom"/>
          </w:tcPr>
          <w:p>
            <w:pPr>
              <w:spacing w:after="0"/>
              <w:rPr>
                <w:sz w:val="4"/>
                <w:szCs w:val="4"/>
                <w:color w:val="auto"/>
              </w:rPr>
            </w:pPr>
          </w:p>
        </w:tc>
        <w:tc>
          <w:tcPr>
            <w:tcW w:w="8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940" w:type="dxa"/>
            <w:vAlign w:val="bottom"/>
          </w:tcPr>
          <w:p>
            <w:pPr>
              <w:spacing w:after="0"/>
              <w:rPr>
                <w:sz w:val="4"/>
                <w:szCs w:val="4"/>
                <w:color w:val="auto"/>
              </w:rPr>
            </w:pPr>
          </w:p>
        </w:tc>
        <w:tc>
          <w:tcPr>
            <w:tcW w:w="100" w:type="dxa"/>
            <w:vAlign w:val="bottom"/>
          </w:tcPr>
          <w:p>
            <w:pPr>
              <w:spacing w:after="0"/>
              <w:rPr>
                <w:sz w:val="4"/>
                <w:szCs w:val="4"/>
                <w:color w:val="auto"/>
              </w:rPr>
            </w:pPr>
          </w:p>
        </w:tc>
        <w:tc>
          <w:tcPr>
            <w:tcW w:w="8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Less than 65%</w:t>
            </w: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5,744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230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167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6,141</w:t>
            </w: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94.1%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6,222</w:t>
            </w: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94.3%</w:t>
            </w:r>
          </w:p>
        </w:tc>
        <w:tc>
          <w:tcPr>
            <w:tcW w:w="0" w:type="dxa"/>
            <w:vAlign w:val="bottom"/>
          </w:tcPr>
          <w:p>
            <w:pPr>
              <w:spacing w:after="0"/>
              <w:rPr>
                <w:sz w:val="1"/>
                <w:szCs w:val="1"/>
                <w:color w:val="auto"/>
              </w:rPr>
            </w:pPr>
          </w:p>
        </w:tc>
      </w:tr>
      <w:tr>
        <w:trPr>
          <w:trHeight w:val="237"/>
        </w:trPr>
        <w:tc>
          <w:tcPr>
            <w:tcW w:w="3340" w:type="dxa"/>
            <w:vAlign w:val="bottom"/>
          </w:tcPr>
          <w:p>
            <w:pPr>
              <w:ind w:left="40"/>
              <w:spacing w:after="0"/>
              <w:rPr>
                <w:sz w:val="20"/>
                <w:szCs w:val="20"/>
                <w:color w:val="auto"/>
              </w:rPr>
            </w:pPr>
            <w:r>
              <w:rPr>
                <w:rFonts w:ascii="Arial" w:cs="Arial" w:eastAsia="Arial" w:hAnsi="Arial"/>
                <w:sz w:val="16"/>
                <w:szCs w:val="16"/>
                <w:color w:val="auto"/>
              </w:rPr>
              <w:t>65% to 75%</w:t>
            </w:r>
          </w:p>
        </w:tc>
        <w:tc>
          <w:tcPr>
            <w:tcW w:w="220" w:type="dxa"/>
            <w:vAlign w:val="bottom"/>
          </w:tcPr>
          <w:p>
            <w:pPr>
              <w:spacing w:after="0"/>
              <w:rPr>
                <w:sz w:val="20"/>
                <w:szCs w:val="20"/>
                <w:color w:val="auto"/>
              </w:rPr>
            </w:pPr>
          </w:p>
        </w:tc>
        <w:tc>
          <w:tcPr>
            <w:tcW w:w="940" w:type="dxa"/>
            <w:vAlign w:val="bottom"/>
          </w:tcPr>
          <w:p>
            <w:pPr>
              <w:jc w:val="right"/>
              <w:ind w:right="40"/>
              <w:spacing w:after="0"/>
              <w:rPr>
                <w:sz w:val="20"/>
                <w:szCs w:val="20"/>
                <w:color w:val="auto"/>
              </w:rPr>
            </w:pPr>
            <w:r>
              <w:rPr>
                <w:rFonts w:ascii="Arial" w:cs="Arial" w:eastAsia="Arial" w:hAnsi="Arial"/>
                <w:sz w:val="16"/>
                <w:szCs w:val="16"/>
                <w:color w:val="auto"/>
              </w:rPr>
              <w:t>291</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880" w:type="dxa"/>
            <w:vAlign w:val="bottom"/>
          </w:tcPr>
          <w:p>
            <w:pPr>
              <w:jc w:val="right"/>
              <w:ind w:right="40"/>
              <w:spacing w:after="0"/>
              <w:rPr>
                <w:sz w:val="20"/>
                <w:szCs w:val="20"/>
                <w:color w:val="auto"/>
              </w:rPr>
            </w:pPr>
            <w:r>
              <w:rPr>
                <w:rFonts w:ascii="Arial" w:cs="Arial" w:eastAsia="Arial" w:hAnsi="Arial"/>
                <w:sz w:val="16"/>
                <w:szCs w:val="16"/>
                <w:color w:val="auto"/>
              </w:rPr>
              <w:t>19</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310</w:t>
            </w:r>
          </w:p>
        </w:tc>
        <w:tc>
          <w:tcPr>
            <w:tcW w:w="100" w:type="dxa"/>
            <w:vAlign w:val="bottom"/>
          </w:tcPr>
          <w:p>
            <w:pPr>
              <w:spacing w:after="0"/>
              <w:rPr>
                <w:sz w:val="20"/>
                <w:szCs w:val="20"/>
                <w:color w:val="auto"/>
              </w:rPr>
            </w:pPr>
          </w:p>
        </w:tc>
        <w:tc>
          <w:tcPr>
            <w:tcW w:w="840" w:type="dxa"/>
            <w:vAlign w:val="bottom"/>
          </w:tcPr>
          <w:p>
            <w:pPr>
              <w:jc w:val="right"/>
              <w:ind w:right="80"/>
              <w:spacing w:after="0"/>
              <w:rPr>
                <w:sz w:val="20"/>
                <w:szCs w:val="20"/>
                <w:color w:val="auto"/>
              </w:rPr>
            </w:pPr>
            <w:r>
              <w:rPr>
                <w:rFonts w:ascii="Arial" w:cs="Arial" w:eastAsia="Arial" w:hAnsi="Arial"/>
                <w:sz w:val="16"/>
                <w:szCs w:val="16"/>
                <w:color w:val="auto"/>
              </w:rPr>
              <w:t>4.8</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jc w:val="right"/>
              <w:ind w:right="41"/>
              <w:spacing w:after="0"/>
              <w:rPr>
                <w:sz w:val="20"/>
                <w:szCs w:val="20"/>
                <w:color w:val="auto"/>
              </w:rPr>
            </w:pPr>
            <w:r>
              <w:rPr>
                <w:rFonts w:ascii="Arial" w:cs="Arial" w:eastAsia="Arial" w:hAnsi="Arial"/>
                <w:sz w:val="16"/>
                <w:szCs w:val="16"/>
                <w:color w:val="auto"/>
              </w:rPr>
              <w:t>303</w:t>
            </w:r>
          </w:p>
        </w:tc>
        <w:tc>
          <w:tcPr>
            <w:tcW w:w="100" w:type="dxa"/>
            <w:vAlign w:val="bottom"/>
          </w:tcPr>
          <w:p>
            <w:pPr>
              <w:spacing w:after="0"/>
              <w:rPr>
                <w:sz w:val="20"/>
                <w:szCs w:val="20"/>
                <w:color w:val="auto"/>
              </w:rPr>
            </w:pPr>
          </w:p>
        </w:tc>
        <w:tc>
          <w:tcPr>
            <w:tcW w:w="840" w:type="dxa"/>
            <w:vAlign w:val="bottom"/>
          </w:tcPr>
          <w:p>
            <w:pPr>
              <w:jc w:val="right"/>
              <w:ind w:right="80"/>
              <w:spacing w:after="0"/>
              <w:rPr>
                <w:sz w:val="20"/>
                <w:szCs w:val="20"/>
                <w:color w:val="auto"/>
              </w:rPr>
            </w:pPr>
            <w:r>
              <w:rPr>
                <w:rFonts w:ascii="Arial" w:cs="Arial" w:eastAsia="Arial" w:hAnsi="Arial"/>
                <w:sz w:val="16"/>
                <w:szCs w:val="16"/>
                <w:color w:val="auto"/>
              </w:rPr>
              <w:t>4.6</w:t>
            </w:r>
          </w:p>
        </w:tc>
        <w:tc>
          <w:tcPr>
            <w:tcW w:w="0" w:type="dxa"/>
            <w:vAlign w:val="bottom"/>
          </w:tcPr>
          <w:p>
            <w:pPr>
              <w:spacing w:after="0"/>
              <w:rPr>
                <w:sz w:val="1"/>
                <w:szCs w:val="1"/>
                <w:color w:val="auto"/>
              </w:rPr>
            </w:pPr>
          </w:p>
        </w:tc>
      </w:tr>
      <w:tr>
        <w:trPr>
          <w:trHeight w:val="33"/>
        </w:trPr>
        <w:tc>
          <w:tcPr>
            <w:tcW w:w="3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76% to 80%</w:t>
            </w: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34</w:t>
            </w: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0.5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33</w:t>
            </w: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0.5</w:t>
            </w:r>
          </w:p>
        </w:tc>
        <w:tc>
          <w:tcPr>
            <w:tcW w:w="0" w:type="dxa"/>
            <w:vAlign w:val="bottom"/>
          </w:tcPr>
          <w:p>
            <w:pPr>
              <w:spacing w:after="0"/>
              <w:rPr>
                <w:sz w:val="1"/>
                <w:szCs w:val="1"/>
                <w:color w:val="auto"/>
              </w:rPr>
            </w:pPr>
          </w:p>
        </w:tc>
      </w:tr>
      <w:tr>
        <w:trPr>
          <w:trHeight w:val="237"/>
        </w:trPr>
        <w:tc>
          <w:tcPr>
            <w:tcW w:w="3340" w:type="dxa"/>
            <w:vAlign w:val="bottom"/>
          </w:tcPr>
          <w:p>
            <w:pPr>
              <w:ind w:left="40"/>
              <w:spacing w:after="0"/>
              <w:rPr>
                <w:sz w:val="20"/>
                <w:szCs w:val="20"/>
                <w:color w:val="auto"/>
              </w:rPr>
            </w:pPr>
            <w:r>
              <w:rPr>
                <w:rFonts w:ascii="Arial" w:cs="Arial" w:eastAsia="Arial" w:hAnsi="Arial"/>
                <w:sz w:val="16"/>
                <w:szCs w:val="16"/>
                <w:color w:val="auto"/>
              </w:rPr>
              <w:t>Greater than 80%</w:t>
            </w:r>
          </w:p>
        </w:tc>
        <w:tc>
          <w:tcPr>
            <w:tcW w:w="220" w:type="dxa"/>
            <w:vAlign w:val="bottom"/>
          </w:tcPr>
          <w:p>
            <w:pPr>
              <w:spacing w:after="0"/>
              <w:rPr>
                <w:sz w:val="20"/>
                <w:szCs w:val="20"/>
                <w:color w:val="auto"/>
              </w:rPr>
            </w:pPr>
          </w:p>
        </w:tc>
        <w:tc>
          <w:tcPr>
            <w:tcW w:w="940" w:type="dxa"/>
            <w:vAlign w:val="bottom"/>
          </w:tcPr>
          <w:p>
            <w:pPr>
              <w:jc w:val="right"/>
              <w:ind w:right="40"/>
              <w:spacing w:after="0"/>
              <w:rPr>
                <w:sz w:val="20"/>
                <w:szCs w:val="20"/>
                <w:color w:val="auto"/>
              </w:rPr>
            </w:pPr>
            <w:r>
              <w:rPr>
                <w:rFonts w:ascii="Arial" w:cs="Arial" w:eastAsia="Arial" w:hAnsi="Arial"/>
                <w:sz w:val="16"/>
                <w:szCs w:val="16"/>
                <w:color w:val="auto"/>
              </w:rPr>
              <w:t>24</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ind w:right="20"/>
              <w:spacing w:after="0"/>
              <w:rPr>
                <w:sz w:val="20"/>
                <w:szCs w:val="20"/>
                <w:color w:val="auto"/>
              </w:rPr>
            </w:pPr>
            <w:r>
              <w:rPr>
                <w:rFonts w:ascii="Arial" w:cs="Arial" w:eastAsia="Arial" w:hAnsi="Arial"/>
                <w:sz w:val="16"/>
                <w:szCs w:val="16"/>
                <w:color w:val="auto"/>
              </w:rPr>
              <w:t>14</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38</w:t>
            </w:r>
          </w:p>
        </w:tc>
        <w:tc>
          <w:tcPr>
            <w:tcW w:w="100" w:type="dxa"/>
            <w:vAlign w:val="bottom"/>
          </w:tcPr>
          <w:p>
            <w:pPr>
              <w:spacing w:after="0"/>
              <w:rPr>
                <w:sz w:val="20"/>
                <w:szCs w:val="20"/>
                <w:color w:val="auto"/>
              </w:rPr>
            </w:pPr>
          </w:p>
        </w:tc>
        <w:tc>
          <w:tcPr>
            <w:tcW w:w="840" w:type="dxa"/>
            <w:vAlign w:val="bottom"/>
          </w:tcPr>
          <w:p>
            <w:pPr>
              <w:jc w:val="right"/>
              <w:ind w:right="80"/>
              <w:spacing w:after="0"/>
              <w:rPr>
                <w:sz w:val="20"/>
                <w:szCs w:val="20"/>
                <w:color w:val="auto"/>
              </w:rPr>
            </w:pPr>
            <w:r>
              <w:rPr>
                <w:rFonts w:ascii="Arial" w:cs="Arial" w:eastAsia="Arial" w:hAnsi="Arial"/>
                <w:sz w:val="16"/>
                <w:szCs w:val="16"/>
                <w:color w:val="auto"/>
              </w:rPr>
              <w:t>0.6</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jc w:val="right"/>
              <w:ind w:right="41"/>
              <w:spacing w:after="0"/>
              <w:rPr>
                <w:sz w:val="20"/>
                <w:szCs w:val="20"/>
                <w:color w:val="auto"/>
              </w:rPr>
            </w:pPr>
            <w:r>
              <w:rPr>
                <w:rFonts w:ascii="Arial" w:cs="Arial" w:eastAsia="Arial" w:hAnsi="Arial"/>
                <w:sz w:val="16"/>
                <w:szCs w:val="16"/>
                <w:color w:val="auto"/>
              </w:rPr>
              <w:t>37</w:t>
            </w:r>
          </w:p>
        </w:tc>
        <w:tc>
          <w:tcPr>
            <w:tcW w:w="100" w:type="dxa"/>
            <w:vAlign w:val="bottom"/>
          </w:tcPr>
          <w:p>
            <w:pPr>
              <w:spacing w:after="0"/>
              <w:rPr>
                <w:sz w:val="20"/>
                <w:szCs w:val="20"/>
                <w:color w:val="auto"/>
              </w:rPr>
            </w:pPr>
          </w:p>
        </w:tc>
        <w:tc>
          <w:tcPr>
            <w:tcW w:w="840" w:type="dxa"/>
            <w:vAlign w:val="bottom"/>
          </w:tcPr>
          <w:p>
            <w:pPr>
              <w:jc w:val="right"/>
              <w:ind w:right="80"/>
              <w:spacing w:after="0"/>
              <w:rPr>
                <w:sz w:val="20"/>
                <w:szCs w:val="20"/>
                <w:color w:val="auto"/>
              </w:rPr>
            </w:pPr>
            <w:r>
              <w:rPr>
                <w:rFonts w:ascii="Arial" w:cs="Arial" w:eastAsia="Arial" w:hAnsi="Arial"/>
                <w:sz w:val="16"/>
                <w:szCs w:val="16"/>
                <w:color w:val="auto"/>
              </w:rPr>
              <w:t>0.6</w:t>
            </w:r>
          </w:p>
        </w:tc>
        <w:tc>
          <w:tcPr>
            <w:tcW w:w="0" w:type="dxa"/>
            <w:vAlign w:val="bottom"/>
          </w:tcPr>
          <w:p>
            <w:pPr>
              <w:spacing w:after="0"/>
              <w:rPr>
                <w:sz w:val="1"/>
                <w:szCs w:val="1"/>
                <w:color w:val="auto"/>
              </w:rPr>
            </w:pPr>
          </w:p>
        </w:tc>
      </w:tr>
      <w:tr>
        <w:trPr>
          <w:trHeight w:val="33"/>
        </w:trPr>
        <w:tc>
          <w:tcPr>
            <w:tcW w:w="33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3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Total</w:t>
            </w: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6,093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244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186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6,523</w:t>
            </w: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6,595</w:t>
            </w: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0" w:type="dxa"/>
            <w:vAlign w:val="bottom"/>
          </w:tcPr>
          <w:p>
            <w:pPr>
              <w:spacing w:after="0"/>
              <w:rPr>
                <w:sz w:val="1"/>
                <w:szCs w:val="1"/>
                <w:color w:val="auto"/>
              </w:rPr>
            </w:pPr>
          </w:p>
        </w:tc>
      </w:tr>
      <w:tr>
        <w:trPr>
          <w:trHeight w:val="20"/>
        </w:trPr>
        <w:tc>
          <w:tcPr>
            <w:tcW w:w="33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Credit Quality of Agricultural Mortgage Loans</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credit quality of agricultural mortgage loans was as follows at:</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5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100" w:type="dxa"/>
            <w:vAlign w:val="bottom"/>
            <w:tcBorders>
              <w:bottom w:val="single" w:sz="8" w:color="auto"/>
            </w:tcBorders>
            <w:gridSpan w:val="3"/>
          </w:tcPr>
          <w:p>
            <w:pPr>
              <w:jc w:val="right"/>
              <w:ind w:right="188"/>
              <w:spacing w:after="0"/>
              <w:rPr>
                <w:sz w:val="20"/>
                <w:szCs w:val="20"/>
                <w:color w:val="auto"/>
              </w:rPr>
            </w:pPr>
            <w:r>
              <w:rPr>
                <w:rFonts w:ascii="Arial" w:cs="Arial" w:eastAsia="Arial" w:hAnsi="Arial"/>
                <w:sz w:val="14"/>
                <w:szCs w:val="14"/>
                <w:b w:val="1"/>
                <w:bCs w:val="1"/>
                <w:color w:val="auto"/>
              </w:rPr>
              <w:t>September 30, 2017</w:t>
            </w:r>
          </w:p>
        </w:tc>
        <w:tc>
          <w:tcPr>
            <w:tcW w:w="5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660" w:type="dxa"/>
            <w:vAlign w:val="bottom"/>
            <w:tcBorders>
              <w:bottom w:val="single" w:sz="8" w:color="auto"/>
            </w:tcBorders>
            <w:gridSpan w:val="3"/>
          </w:tcPr>
          <w:p>
            <w:pPr>
              <w:jc w:val="right"/>
              <w:ind w:right="763"/>
              <w:spacing w:after="0"/>
              <w:rPr>
                <w:sz w:val="20"/>
                <w:szCs w:val="20"/>
                <w:color w:val="auto"/>
              </w:rPr>
            </w:pPr>
            <w:r>
              <w:rPr>
                <w:rFonts w:ascii="Arial" w:cs="Arial" w:eastAsia="Arial" w:hAnsi="Arial"/>
                <w:sz w:val="14"/>
                <w:szCs w:val="14"/>
                <w:b w:val="1"/>
                <w:bCs w:val="1"/>
                <w:color w:val="auto"/>
              </w:rPr>
              <w:t>December 31, 2016</w:t>
            </w:r>
          </w:p>
        </w:tc>
      </w:tr>
      <w:tr>
        <w:trPr>
          <w:trHeight w:val="152"/>
        </w:trPr>
        <w:tc>
          <w:tcPr>
            <w:tcW w:w="55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40" w:type="dxa"/>
            <w:vAlign w:val="bottom"/>
            <w:gridSpan w:val="2"/>
          </w:tcPr>
          <w:p>
            <w:pPr>
              <w:jc w:val="center"/>
              <w:ind w:right="320"/>
              <w:spacing w:after="0" w:line="153" w:lineRule="exact"/>
              <w:rPr>
                <w:sz w:val="20"/>
                <w:szCs w:val="20"/>
                <w:color w:val="auto"/>
              </w:rPr>
            </w:pPr>
            <w:r>
              <w:rPr>
                <w:rFonts w:ascii="Arial" w:cs="Arial" w:eastAsia="Arial" w:hAnsi="Arial"/>
                <w:sz w:val="14"/>
                <w:szCs w:val="14"/>
                <w:b w:val="1"/>
                <w:bCs w:val="1"/>
                <w:color w:val="auto"/>
                <w:w w:val="92"/>
              </w:rPr>
              <w:t>Recorded</w:t>
            </w:r>
          </w:p>
        </w:tc>
        <w:tc>
          <w:tcPr>
            <w:tcW w:w="860" w:type="dxa"/>
            <w:vAlign w:val="bottom"/>
          </w:tcPr>
          <w:p>
            <w:pPr>
              <w:jc w:val="right"/>
              <w:spacing w:after="0" w:line="153" w:lineRule="exact"/>
              <w:rPr>
                <w:sz w:val="20"/>
                <w:szCs w:val="20"/>
                <w:color w:val="auto"/>
              </w:rPr>
            </w:pPr>
            <w:r>
              <w:rPr>
                <w:rFonts w:ascii="Arial" w:cs="Arial" w:eastAsia="Arial" w:hAnsi="Arial"/>
                <w:sz w:val="14"/>
                <w:szCs w:val="14"/>
                <w:b w:val="1"/>
                <w:bCs w:val="1"/>
                <w:color w:val="auto"/>
              </w:rPr>
              <w:t>% of</w:t>
            </w: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60" w:type="dxa"/>
            <w:vAlign w:val="bottom"/>
            <w:gridSpan w:val="2"/>
          </w:tcPr>
          <w:p>
            <w:pPr>
              <w:jc w:val="center"/>
              <w:ind w:right="320"/>
              <w:spacing w:after="0" w:line="153" w:lineRule="exact"/>
              <w:rPr>
                <w:sz w:val="20"/>
                <w:szCs w:val="20"/>
                <w:color w:val="auto"/>
              </w:rPr>
            </w:pPr>
            <w:r>
              <w:rPr>
                <w:rFonts w:ascii="Arial" w:cs="Arial" w:eastAsia="Arial" w:hAnsi="Arial"/>
                <w:sz w:val="14"/>
                <w:szCs w:val="14"/>
                <w:b w:val="1"/>
                <w:bCs w:val="1"/>
                <w:color w:val="auto"/>
                <w:w w:val="89"/>
              </w:rPr>
              <w:t>Recorded</w:t>
            </w:r>
          </w:p>
        </w:tc>
        <w:tc>
          <w:tcPr>
            <w:tcW w:w="1400" w:type="dxa"/>
            <w:vAlign w:val="bottom"/>
          </w:tcPr>
          <w:p>
            <w:pPr>
              <w:jc w:val="right"/>
              <w:ind w:right="483"/>
              <w:spacing w:after="0" w:line="153" w:lineRule="exact"/>
              <w:rPr>
                <w:sz w:val="20"/>
                <w:szCs w:val="20"/>
                <w:color w:val="auto"/>
              </w:rPr>
            </w:pPr>
            <w:r>
              <w:rPr>
                <w:rFonts w:ascii="Arial" w:cs="Arial" w:eastAsia="Arial" w:hAnsi="Arial"/>
                <w:sz w:val="14"/>
                <w:szCs w:val="14"/>
                <w:b w:val="1"/>
                <w:bCs w:val="1"/>
                <w:color w:val="auto"/>
              </w:rPr>
              <w:t>% of</w:t>
            </w:r>
          </w:p>
        </w:tc>
      </w:tr>
      <w:tr>
        <w:trPr>
          <w:trHeight w:val="192"/>
        </w:trPr>
        <w:tc>
          <w:tcPr>
            <w:tcW w:w="55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w w:val="91"/>
              </w:rPr>
              <w:t>Investment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Total</w:t>
            </w:r>
          </w:p>
        </w:tc>
        <w:tc>
          <w:tcPr>
            <w:tcW w:w="5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4"/>
                <w:szCs w:val="14"/>
                <w:b w:val="1"/>
                <w:bCs w:val="1"/>
                <w:color w:val="auto"/>
                <w:w w:val="91"/>
              </w:rPr>
              <w:t>Investment</w:t>
            </w:r>
          </w:p>
        </w:tc>
        <w:tc>
          <w:tcPr>
            <w:tcW w:w="1400" w:type="dxa"/>
            <w:vAlign w:val="bottom"/>
            <w:tcBorders>
              <w:bottom w:val="single" w:sz="8" w:color="auto"/>
            </w:tcBorders>
          </w:tcPr>
          <w:p>
            <w:pPr>
              <w:jc w:val="right"/>
              <w:ind w:right="463"/>
              <w:spacing w:after="0"/>
              <w:rPr>
                <w:sz w:val="20"/>
                <w:szCs w:val="20"/>
                <w:color w:val="auto"/>
              </w:rPr>
            </w:pPr>
            <w:r>
              <w:rPr>
                <w:rFonts w:ascii="Arial" w:cs="Arial" w:eastAsia="Arial" w:hAnsi="Arial"/>
                <w:sz w:val="14"/>
                <w:szCs w:val="14"/>
                <w:b w:val="1"/>
                <w:bCs w:val="1"/>
                <w:color w:val="auto"/>
              </w:rPr>
              <w:t>Total</w:t>
            </w:r>
          </w:p>
        </w:tc>
      </w:tr>
      <w:tr>
        <w:trPr>
          <w:trHeight w:val="250"/>
        </w:trPr>
        <w:tc>
          <w:tcPr>
            <w:tcW w:w="55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120" w:type="dxa"/>
            <w:vAlign w:val="bottom"/>
            <w:gridSpan w:val="5"/>
          </w:tcPr>
          <w:p>
            <w:pPr>
              <w:spacing w:after="0"/>
              <w:rPr>
                <w:sz w:val="20"/>
                <w:szCs w:val="20"/>
                <w:color w:val="auto"/>
              </w:rPr>
            </w:pPr>
            <w:r>
              <w:rPr>
                <w:rFonts w:ascii="Arial" w:cs="Arial" w:eastAsia="Arial" w:hAnsi="Arial"/>
                <w:sz w:val="14"/>
                <w:szCs w:val="14"/>
                <w:b w:val="1"/>
                <w:bCs w:val="1"/>
                <w:color w:val="auto"/>
              </w:rPr>
              <w:t>(Dollars in millions)</w:t>
            </w:r>
          </w:p>
        </w:tc>
        <w:tc>
          <w:tcPr>
            <w:tcW w:w="1400" w:type="dxa"/>
            <w:vAlign w:val="bottom"/>
          </w:tcPr>
          <w:p>
            <w:pPr>
              <w:spacing w:after="0"/>
              <w:rPr>
                <w:sz w:val="21"/>
                <w:szCs w:val="21"/>
                <w:color w:val="auto"/>
              </w:rPr>
            </w:pPr>
          </w:p>
        </w:tc>
      </w:tr>
      <w:tr>
        <w:trPr>
          <w:trHeight w:val="256"/>
        </w:trPr>
        <w:tc>
          <w:tcPr>
            <w:tcW w:w="5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Loan-to-value ratios:</w:t>
            </w:r>
          </w:p>
        </w:tc>
        <w:tc>
          <w:tcPr>
            <w:tcW w:w="2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spacing w:after="0"/>
              <w:rPr>
                <w:sz w:val="22"/>
                <w:szCs w:val="22"/>
                <w:color w:val="auto"/>
              </w:rPr>
            </w:pPr>
          </w:p>
        </w:tc>
      </w:tr>
      <w:tr>
        <w:trPr>
          <w:trHeight w:val="237"/>
        </w:trPr>
        <w:tc>
          <w:tcPr>
            <w:tcW w:w="5580" w:type="dxa"/>
            <w:vAlign w:val="bottom"/>
          </w:tcPr>
          <w:p>
            <w:pPr>
              <w:ind w:left="40"/>
              <w:spacing w:after="0"/>
              <w:rPr>
                <w:sz w:val="20"/>
                <w:szCs w:val="20"/>
                <w:color w:val="auto"/>
              </w:rPr>
            </w:pPr>
            <w:r>
              <w:rPr>
                <w:rFonts w:ascii="Arial" w:cs="Arial" w:eastAsia="Arial" w:hAnsi="Arial"/>
                <w:sz w:val="16"/>
                <w:szCs w:val="16"/>
                <w:color w:val="auto"/>
              </w:rPr>
              <w:t>Less than 65%</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43"/>
              <w:spacing w:after="0"/>
              <w:rPr>
                <w:sz w:val="20"/>
                <w:szCs w:val="20"/>
                <w:color w:val="auto"/>
              </w:rPr>
            </w:pPr>
            <w:r>
              <w:rPr>
                <w:rFonts w:ascii="Arial" w:cs="Arial" w:eastAsia="Arial" w:hAnsi="Arial"/>
                <w:sz w:val="16"/>
                <w:szCs w:val="16"/>
                <w:color w:val="auto"/>
              </w:rPr>
              <w:t>2,086</w:t>
            </w: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94.0%</w:t>
            </w:r>
          </w:p>
        </w:tc>
        <w:tc>
          <w:tcPr>
            <w:tcW w:w="120" w:type="dxa"/>
            <w:vAlign w:val="bottom"/>
          </w:tcPr>
          <w:p>
            <w:pPr>
              <w:spacing w:after="0"/>
              <w:rPr>
                <w:sz w:val="20"/>
                <w:szCs w:val="20"/>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ind w:right="23"/>
              <w:spacing w:after="0"/>
              <w:rPr>
                <w:sz w:val="20"/>
                <w:szCs w:val="20"/>
                <w:color w:val="auto"/>
              </w:rPr>
            </w:pPr>
            <w:r>
              <w:rPr>
                <w:rFonts w:ascii="Arial" w:cs="Arial" w:eastAsia="Arial" w:hAnsi="Arial"/>
                <w:sz w:val="16"/>
                <w:szCs w:val="16"/>
                <w:color w:val="auto"/>
              </w:rPr>
              <w:t>1,849</w:t>
            </w:r>
          </w:p>
        </w:tc>
        <w:tc>
          <w:tcPr>
            <w:tcW w:w="12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97.7%</w:t>
            </w:r>
          </w:p>
        </w:tc>
      </w:tr>
      <w:tr>
        <w:trPr>
          <w:trHeight w:val="33"/>
        </w:trPr>
        <w:tc>
          <w:tcPr>
            <w:tcW w:w="5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70"/>
        </w:trPr>
        <w:tc>
          <w:tcPr>
            <w:tcW w:w="5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65% to 75%</w:t>
            </w:r>
          </w:p>
        </w:tc>
        <w:tc>
          <w:tcPr>
            <w:tcW w:w="2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134</w:t>
            </w:r>
          </w:p>
        </w:tc>
        <w:tc>
          <w:tcPr>
            <w:tcW w:w="10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rPr>
              <w:t>6.0</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43</w:t>
            </w:r>
          </w:p>
        </w:tc>
        <w:tc>
          <w:tcPr>
            <w:tcW w:w="12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83"/>
              <w:spacing w:after="0"/>
              <w:rPr>
                <w:sz w:val="20"/>
                <w:szCs w:val="20"/>
                <w:color w:val="auto"/>
              </w:rPr>
            </w:pPr>
            <w:r>
              <w:rPr>
                <w:rFonts w:ascii="Arial" w:cs="Arial" w:eastAsia="Arial" w:hAnsi="Arial"/>
                <w:sz w:val="16"/>
                <w:szCs w:val="16"/>
                <w:color w:val="auto"/>
              </w:rPr>
              <w:t>2.3</w:t>
            </w:r>
          </w:p>
        </w:tc>
      </w:tr>
      <w:tr>
        <w:trPr>
          <w:trHeight w:val="217"/>
        </w:trPr>
        <w:tc>
          <w:tcPr>
            <w:tcW w:w="5580" w:type="dxa"/>
            <w:vAlign w:val="bottom"/>
          </w:tcPr>
          <w:p>
            <w:pPr>
              <w:ind w:left="200"/>
              <w:spacing w:after="0"/>
              <w:rPr>
                <w:sz w:val="20"/>
                <w:szCs w:val="20"/>
                <w:color w:val="auto"/>
              </w:rPr>
            </w:pPr>
            <w:r>
              <w:rPr>
                <w:rFonts w:ascii="Arial" w:cs="Arial" w:eastAsia="Arial" w:hAnsi="Arial"/>
                <w:sz w:val="16"/>
                <w:szCs w:val="16"/>
                <w:color w:val="auto"/>
              </w:rPr>
              <w:t>Total</w:t>
            </w:r>
          </w:p>
        </w:tc>
        <w:tc>
          <w:tcPr>
            <w:tcW w:w="2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140" w:type="dxa"/>
            <w:vAlign w:val="bottom"/>
            <w:tcBorders>
              <w:top w:val="single" w:sz="8" w:color="auto"/>
            </w:tcBorders>
          </w:tcPr>
          <w:p>
            <w:pPr>
              <w:jc w:val="right"/>
              <w:ind w:right="43"/>
              <w:spacing w:after="0"/>
              <w:rPr>
                <w:sz w:val="20"/>
                <w:szCs w:val="20"/>
                <w:color w:val="auto"/>
              </w:rPr>
            </w:pPr>
            <w:r>
              <w:rPr>
                <w:rFonts w:ascii="Arial" w:cs="Arial" w:eastAsia="Arial" w:hAnsi="Arial"/>
                <w:sz w:val="16"/>
                <w:szCs w:val="16"/>
                <w:color w:val="auto"/>
              </w:rPr>
              <w:t>2,220</w:t>
            </w:r>
          </w:p>
        </w:tc>
        <w:tc>
          <w:tcPr>
            <w:tcW w:w="100" w:type="dxa"/>
            <w:vAlign w:val="bottom"/>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92"/>
              </w:rPr>
              <w:t>100.0%</w:t>
            </w:r>
          </w:p>
        </w:tc>
        <w:tc>
          <w:tcPr>
            <w:tcW w:w="120" w:type="dxa"/>
            <w:vAlign w:val="bottom"/>
          </w:tcPr>
          <w:p>
            <w:pPr>
              <w:spacing w:after="0"/>
              <w:rPr>
                <w:sz w:val="18"/>
                <w:szCs w:val="18"/>
                <w:color w:val="auto"/>
              </w:rPr>
            </w:pPr>
          </w:p>
        </w:tc>
        <w:tc>
          <w:tcPr>
            <w:tcW w:w="2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140" w:type="dxa"/>
            <w:vAlign w:val="bottom"/>
            <w:tcBorders>
              <w:top w:val="single" w:sz="8" w:color="auto"/>
            </w:tcBorders>
          </w:tcPr>
          <w:p>
            <w:pPr>
              <w:jc w:val="right"/>
              <w:ind w:right="23"/>
              <w:spacing w:after="0"/>
              <w:rPr>
                <w:sz w:val="20"/>
                <w:szCs w:val="20"/>
                <w:color w:val="auto"/>
              </w:rPr>
            </w:pPr>
            <w:r>
              <w:rPr>
                <w:rFonts w:ascii="Arial" w:cs="Arial" w:eastAsia="Arial" w:hAnsi="Arial"/>
                <w:sz w:val="16"/>
                <w:szCs w:val="16"/>
                <w:color w:val="auto"/>
              </w:rPr>
              <w:t>1,892</w:t>
            </w:r>
          </w:p>
        </w:tc>
        <w:tc>
          <w:tcPr>
            <w:tcW w:w="120" w:type="dxa"/>
            <w:vAlign w:val="bottom"/>
          </w:tcPr>
          <w:p>
            <w:pPr>
              <w:spacing w:after="0"/>
              <w:rPr>
                <w:sz w:val="18"/>
                <w:szCs w:val="18"/>
                <w:color w:val="auto"/>
              </w:rPr>
            </w:pP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100.0%</w:t>
            </w:r>
          </w:p>
        </w:tc>
      </w:tr>
      <w:tr>
        <w:trPr>
          <w:trHeight w:val="33"/>
        </w:trPr>
        <w:tc>
          <w:tcPr>
            <w:tcW w:w="55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0"/>
        </w:trPr>
        <w:tc>
          <w:tcPr>
            <w:tcW w:w="55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center"/>
        <w:ind w:left="340"/>
        <w:spacing w:after="0"/>
        <w:rPr>
          <w:sz w:val="20"/>
          <w:szCs w:val="20"/>
          <w:color w:val="auto"/>
        </w:rPr>
      </w:pPr>
      <w:r>
        <w:rPr>
          <w:rFonts w:ascii="Arial" w:cs="Arial" w:eastAsia="Arial" w:hAnsi="Arial"/>
          <w:sz w:val="16"/>
          <w:szCs w:val="16"/>
          <w:color w:val="auto"/>
        </w:rPr>
        <w:t>The estimated fair value of agricultural mortgage loans was $2.2 billion and $1.9 billion at September 30, 2017 and December 31, 2016, respectively.</w:t>
      </w: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234" w:right="239" w:bottom="1440" w:gutter="0" w:footer="0" w:header="0"/>
        </w:sectPr>
      </w:pPr>
    </w:p>
    <w:bookmarkStart w:id="22" w:name="page23"/>
    <w:bookmarkEnd w:id="22"/>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Brighthouse Financial,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Interim Condensed Consolidated and Combined Financial Statements (Unaudited) — (continued)</w:t>
      </w:r>
    </w:p>
    <w:p>
      <w:pPr>
        <w:spacing w:after="0" w:line="117" w:lineRule="exact"/>
        <w:rPr>
          <w:sz w:val="20"/>
          <w:szCs w:val="20"/>
          <w:color w:val="auto"/>
        </w:rPr>
      </w:pPr>
    </w:p>
    <w:p>
      <w:pPr>
        <w:ind w:left="180" w:hanging="172"/>
        <w:spacing w:after="0"/>
        <w:tabs>
          <w:tab w:leader="none" w:pos="18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Investments (continued)</w:t>
      </w:r>
    </w:p>
    <w:p>
      <w:pPr>
        <w:spacing w:after="0" w:line="364" w:lineRule="exact"/>
        <w:rPr>
          <w:rFonts w:ascii="Arial" w:cs="Arial" w:eastAsia="Arial" w:hAnsi="Arial"/>
          <w:sz w:val="18"/>
          <w:szCs w:val="18"/>
          <w:b w:val="1"/>
          <w:bCs w:val="1"/>
          <w:color w:val="auto"/>
        </w:rPr>
      </w:pPr>
    </w:p>
    <w:p>
      <w:pPr>
        <w:ind w:left="180"/>
        <w:spacing w:after="0"/>
        <w:rPr>
          <w:rFonts w:ascii="Arial" w:cs="Arial" w:eastAsia="Arial" w:hAnsi="Arial"/>
          <w:sz w:val="18"/>
          <w:szCs w:val="18"/>
          <w:b w:val="1"/>
          <w:bCs w:val="1"/>
          <w:color w:val="auto"/>
        </w:rPr>
      </w:pPr>
      <w:r>
        <w:rPr>
          <w:rFonts w:ascii="Arial" w:cs="Arial" w:eastAsia="Arial" w:hAnsi="Arial"/>
          <w:sz w:val="18"/>
          <w:szCs w:val="18"/>
          <w:b w:val="1"/>
          <w:bCs w:val="1"/>
          <w:i w:val="1"/>
          <w:iCs w:val="1"/>
          <w:u w:val="single" w:color="auto"/>
          <w:color w:val="auto"/>
        </w:rPr>
        <w:t>Credit Quality of Residential Mortgage Loans</w:t>
      </w:r>
    </w:p>
    <w:p>
      <w:pPr>
        <w:spacing w:after="0" w:line="117" w:lineRule="exact"/>
        <w:rPr>
          <w:rFonts w:ascii="Arial" w:cs="Arial" w:eastAsia="Arial" w:hAnsi="Arial"/>
          <w:sz w:val="18"/>
          <w:szCs w:val="18"/>
          <w:b w:val="1"/>
          <w:bCs w:val="1"/>
          <w:color w:val="auto"/>
        </w:rPr>
      </w:pPr>
    </w:p>
    <w:p>
      <w:pPr>
        <w:ind w:left="500"/>
        <w:spacing w:after="0"/>
        <w:rPr>
          <w:rFonts w:ascii="Arial" w:cs="Arial" w:eastAsia="Arial" w:hAnsi="Arial"/>
          <w:sz w:val="18"/>
          <w:szCs w:val="18"/>
          <w:b w:val="1"/>
          <w:bCs w:val="1"/>
          <w:color w:val="auto"/>
        </w:rPr>
      </w:pPr>
      <w:r>
        <w:rPr>
          <w:rFonts w:ascii="Arial" w:cs="Arial" w:eastAsia="Arial" w:hAnsi="Arial"/>
          <w:sz w:val="18"/>
          <w:szCs w:val="18"/>
          <w:color w:val="auto"/>
        </w:rPr>
        <w:t>The credit quality of residential mortgage loans was as follows at:</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5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100" w:type="dxa"/>
            <w:vAlign w:val="bottom"/>
            <w:tcBorders>
              <w:bottom w:val="single" w:sz="8" w:color="auto"/>
            </w:tcBorders>
            <w:gridSpan w:val="3"/>
          </w:tcPr>
          <w:p>
            <w:pPr>
              <w:jc w:val="right"/>
              <w:ind w:right="188"/>
              <w:spacing w:after="0"/>
              <w:rPr>
                <w:sz w:val="20"/>
                <w:szCs w:val="20"/>
                <w:color w:val="auto"/>
              </w:rPr>
            </w:pPr>
            <w:r>
              <w:rPr>
                <w:rFonts w:ascii="Arial" w:cs="Arial" w:eastAsia="Arial" w:hAnsi="Arial"/>
                <w:sz w:val="14"/>
                <w:szCs w:val="14"/>
                <w:b w:val="1"/>
                <w:bCs w:val="1"/>
                <w:color w:val="auto"/>
              </w:rPr>
              <w:t>September 30, 2017</w:t>
            </w:r>
          </w:p>
        </w:tc>
        <w:tc>
          <w:tcPr>
            <w:tcW w:w="5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640" w:type="dxa"/>
            <w:vAlign w:val="bottom"/>
            <w:tcBorders>
              <w:bottom w:val="single" w:sz="8" w:color="auto"/>
            </w:tcBorders>
            <w:gridSpan w:val="3"/>
          </w:tcPr>
          <w:p>
            <w:pPr>
              <w:jc w:val="right"/>
              <w:ind w:right="763"/>
              <w:spacing w:after="0"/>
              <w:rPr>
                <w:sz w:val="20"/>
                <w:szCs w:val="20"/>
                <w:color w:val="auto"/>
              </w:rPr>
            </w:pPr>
            <w:r>
              <w:rPr>
                <w:rFonts w:ascii="Arial" w:cs="Arial" w:eastAsia="Arial" w:hAnsi="Arial"/>
                <w:sz w:val="14"/>
                <w:szCs w:val="14"/>
                <w:b w:val="1"/>
                <w:bCs w:val="1"/>
                <w:color w:val="auto"/>
              </w:rPr>
              <w:t>December 31, 2016</w:t>
            </w:r>
          </w:p>
        </w:tc>
      </w:tr>
      <w:tr>
        <w:trPr>
          <w:trHeight w:val="152"/>
        </w:trPr>
        <w:tc>
          <w:tcPr>
            <w:tcW w:w="55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40" w:type="dxa"/>
            <w:vAlign w:val="bottom"/>
            <w:gridSpan w:val="2"/>
          </w:tcPr>
          <w:p>
            <w:pPr>
              <w:jc w:val="center"/>
              <w:ind w:right="320"/>
              <w:spacing w:after="0" w:line="153" w:lineRule="exact"/>
              <w:rPr>
                <w:sz w:val="20"/>
                <w:szCs w:val="20"/>
                <w:color w:val="auto"/>
              </w:rPr>
            </w:pPr>
            <w:r>
              <w:rPr>
                <w:rFonts w:ascii="Arial" w:cs="Arial" w:eastAsia="Arial" w:hAnsi="Arial"/>
                <w:sz w:val="14"/>
                <w:szCs w:val="14"/>
                <w:b w:val="1"/>
                <w:bCs w:val="1"/>
                <w:color w:val="auto"/>
                <w:w w:val="92"/>
              </w:rPr>
              <w:t>Recorded</w:t>
            </w:r>
          </w:p>
        </w:tc>
        <w:tc>
          <w:tcPr>
            <w:tcW w:w="860" w:type="dxa"/>
            <w:vAlign w:val="bottom"/>
          </w:tcPr>
          <w:p>
            <w:pPr>
              <w:jc w:val="right"/>
              <w:spacing w:after="0" w:line="153" w:lineRule="exact"/>
              <w:rPr>
                <w:sz w:val="20"/>
                <w:szCs w:val="20"/>
                <w:color w:val="auto"/>
              </w:rPr>
            </w:pPr>
            <w:r>
              <w:rPr>
                <w:rFonts w:ascii="Arial" w:cs="Arial" w:eastAsia="Arial" w:hAnsi="Arial"/>
                <w:sz w:val="14"/>
                <w:szCs w:val="14"/>
                <w:b w:val="1"/>
                <w:bCs w:val="1"/>
                <w:color w:val="auto"/>
              </w:rPr>
              <w:t>% of</w:t>
            </w: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40" w:type="dxa"/>
            <w:vAlign w:val="bottom"/>
            <w:gridSpan w:val="2"/>
          </w:tcPr>
          <w:p>
            <w:pPr>
              <w:jc w:val="center"/>
              <w:ind w:right="340"/>
              <w:spacing w:after="0" w:line="153" w:lineRule="exact"/>
              <w:rPr>
                <w:sz w:val="20"/>
                <w:szCs w:val="20"/>
                <w:color w:val="auto"/>
              </w:rPr>
            </w:pPr>
            <w:r>
              <w:rPr>
                <w:rFonts w:ascii="Arial" w:cs="Arial" w:eastAsia="Arial" w:hAnsi="Arial"/>
                <w:sz w:val="14"/>
                <w:szCs w:val="14"/>
                <w:b w:val="1"/>
                <w:bCs w:val="1"/>
                <w:color w:val="auto"/>
                <w:w w:val="89"/>
              </w:rPr>
              <w:t>Recorded</w:t>
            </w:r>
          </w:p>
        </w:tc>
        <w:tc>
          <w:tcPr>
            <w:tcW w:w="1400" w:type="dxa"/>
            <w:vAlign w:val="bottom"/>
          </w:tcPr>
          <w:p>
            <w:pPr>
              <w:jc w:val="right"/>
              <w:ind w:right="483"/>
              <w:spacing w:after="0" w:line="153" w:lineRule="exact"/>
              <w:rPr>
                <w:sz w:val="20"/>
                <w:szCs w:val="20"/>
                <w:color w:val="auto"/>
              </w:rPr>
            </w:pPr>
            <w:r>
              <w:rPr>
                <w:rFonts w:ascii="Arial" w:cs="Arial" w:eastAsia="Arial" w:hAnsi="Arial"/>
                <w:sz w:val="14"/>
                <w:szCs w:val="14"/>
                <w:b w:val="1"/>
                <w:bCs w:val="1"/>
                <w:color w:val="auto"/>
              </w:rPr>
              <w:t>% of</w:t>
            </w:r>
          </w:p>
        </w:tc>
      </w:tr>
      <w:tr>
        <w:trPr>
          <w:trHeight w:val="192"/>
        </w:trPr>
        <w:tc>
          <w:tcPr>
            <w:tcW w:w="55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w w:val="91"/>
              </w:rPr>
              <w:t>Investment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Total</w:t>
            </w:r>
          </w:p>
        </w:tc>
        <w:tc>
          <w:tcPr>
            <w:tcW w:w="5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4"/>
                <w:szCs w:val="14"/>
                <w:b w:val="1"/>
                <w:bCs w:val="1"/>
                <w:color w:val="auto"/>
                <w:w w:val="94"/>
              </w:rPr>
              <w:t>Investment</w:t>
            </w:r>
          </w:p>
        </w:tc>
        <w:tc>
          <w:tcPr>
            <w:tcW w:w="1400" w:type="dxa"/>
            <w:vAlign w:val="bottom"/>
            <w:tcBorders>
              <w:bottom w:val="single" w:sz="8" w:color="auto"/>
            </w:tcBorders>
          </w:tcPr>
          <w:p>
            <w:pPr>
              <w:jc w:val="right"/>
              <w:ind w:right="463"/>
              <w:spacing w:after="0"/>
              <w:rPr>
                <w:sz w:val="20"/>
                <w:szCs w:val="20"/>
                <w:color w:val="auto"/>
              </w:rPr>
            </w:pPr>
            <w:r>
              <w:rPr>
                <w:rFonts w:ascii="Arial" w:cs="Arial" w:eastAsia="Arial" w:hAnsi="Arial"/>
                <w:sz w:val="14"/>
                <w:szCs w:val="14"/>
                <w:b w:val="1"/>
                <w:bCs w:val="1"/>
                <w:color w:val="auto"/>
              </w:rPr>
              <w:t>Total</w:t>
            </w:r>
          </w:p>
        </w:tc>
      </w:tr>
      <w:tr>
        <w:trPr>
          <w:trHeight w:val="250"/>
        </w:trPr>
        <w:tc>
          <w:tcPr>
            <w:tcW w:w="55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120" w:type="dxa"/>
            <w:vAlign w:val="bottom"/>
            <w:gridSpan w:val="5"/>
          </w:tcPr>
          <w:p>
            <w:pPr>
              <w:spacing w:after="0"/>
              <w:rPr>
                <w:sz w:val="20"/>
                <w:szCs w:val="20"/>
                <w:color w:val="auto"/>
              </w:rPr>
            </w:pPr>
            <w:r>
              <w:rPr>
                <w:rFonts w:ascii="Arial" w:cs="Arial" w:eastAsia="Arial" w:hAnsi="Arial"/>
                <w:sz w:val="14"/>
                <w:szCs w:val="14"/>
                <w:b w:val="1"/>
                <w:bCs w:val="1"/>
                <w:color w:val="auto"/>
              </w:rPr>
              <w:t>(Dollars in millions)</w:t>
            </w:r>
          </w:p>
        </w:tc>
        <w:tc>
          <w:tcPr>
            <w:tcW w:w="1400" w:type="dxa"/>
            <w:vAlign w:val="bottom"/>
          </w:tcPr>
          <w:p>
            <w:pPr>
              <w:spacing w:after="0"/>
              <w:rPr>
                <w:sz w:val="21"/>
                <w:szCs w:val="21"/>
                <w:color w:val="auto"/>
              </w:rPr>
            </w:pPr>
          </w:p>
        </w:tc>
      </w:tr>
      <w:tr>
        <w:trPr>
          <w:trHeight w:val="256"/>
        </w:trPr>
        <w:tc>
          <w:tcPr>
            <w:tcW w:w="5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Performance indicators:</w:t>
            </w:r>
          </w:p>
        </w:tc>
        <w:tc>
          <w:tcPr>
            <w:tcW w:w="2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spacing w:after="0"/>
              <w:rPr>
                <w:sz w:val="22"/>
                <w:szCs w:val="22"/>
                <w:color w:val="auto"/>
              </w:rPr>
            </w:pPr>
          </w:p>
        </w:tc>
      </w:tr>
      <w:tr>
        <w:trPr>
          <w:trHeight w:val="237"/>
        </w:trPr>
        <w:tc>
          <w:tcPr>
            <w:tcW w:w="5580" w:type="dxa"/>
            <w:vAlign w:val="bottom"/>
          </w:tcPr>
          <w:p>
            <w:pPr>
              <w:ind w:left="40"/>
              <w:spacing w:after="0"/>
              <w:rPr>
                <w:sz w:val="20"/>
                <w:szCs w:val="20"/>
                <w:color w:val="auto"/>
              </w:rPr>
            </w:pPr>
            <w:r>
              <w:rPr>
                <w:rFonts w:ascii="Arial" w:cs="Arial" w:eastAsia="Arial" w:hAnsi="Arial"/>
                <w:sz w:val="16"/>
                <w:szCs w:val="16"/>
                <w:color w:val="auto"/>
              </w:rPr>
              <w:t>Performing</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43"/>
              <w:spacing w:after="0"/>
              <w:rPr>
                <w:sz w:val="20"/>
                <w:szCs w:val="20"/>
                <w:color w:val="auto"/>
              </w:rPr>
            </w:pPr>
            <w:r>
              <w:rPr>
                <w:rFonts w:ascii="Arial" w:cs="Arial" w:eastAsia="Arial" w:hAnsi="Arial"/>
                <w:sz w:val="16"/>
                <w:szCs w:val="16"/>
                <w:color w:val="auto"/>
              </w:rPr>
              <w:t>1,072</w:t>
            </w: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97.6%</w:t>
            </w:r>
          </w:p>
        </w:tc>
        <w:tc>
          <w:tcPr>
            <w:tcW w:w="120" w:type="dxa"/>
            <w:vAlign w:val="bottom"/>
          </w:tcPr>
          <w:p>
            <w:pPr>
              <w:spacing w:after="0"/>
              <w:rPr>
                <w:sz w:val="20"/>
                <w:szCs w:val="20"/>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23"/>
              <w:spacing w:after="0"/>
              <w:rPr>
                <w:sz w:val="20"/>
                <w:szCs w:val="20"/>
                <w:color w:val="auto"/>
              </w:rPr>
            </w:pPr>
            <w:r>
              <w:rPr>
                <w:rFonts w:ascii="Arial" w:cs="Arial" w:eastAsia="Arial" w:hAnsi="Arial"/>
                <w:sz w:val="16"/>
                <w:szCs w:val="16"/>
                <w:color w:val="auto"/>
              </w:rPr>
              <w:t>856</w:t>
            </w:r>
          </w:p>
        </w:tc>
        <w:tc>
          <w:tcPr>
            <w:tcW w:w="12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98.7%</w:t>
            </w:r>
          </w:p>
        </w:tc>
      </w:tr>
      <w:tr>
        <w:trPr>
          <w:trHeight w:val="33"/>
        </w:trPr>
        <w:tc>
          <w:tcPr>
            <w:tcW w:w="5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70"/>
        </w:trPr>
        <w:tc>
          <w:tcPr>
            <w:tcW w:w="5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Nonperforming</w:t>
            </w:r>
          </w:p>
        </w:tc>
        <w:tc>
          <w:tcPr>
            <w:tcW w:w="2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26</w:t>
            </w:r>
          </w:p>
        </w:tc>
        <w:tc>
          <w:tcPr>
            <w:tcW w:w="10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rPr>
              <w:t>2.4</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11</w:t>
            </w:r>
          </w:p>
        </w:tc>
        <w:tc>
          <w:tcPr>
            <w:tcW w:w="12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83"/>
              <w:spacing w:after="0"/>
              <w:rPr>
                <w:sz w:val="20"/>
                <w:szCs w:val="20"/>
                <w:color w:val="auto"/>
              </w:rPr>
            </w:pPr>
            <w:r>
              <w:rPr>
                <w:rFonts w:ascii="Arial" w:cs="Arial" w:eastAsia="Arial" w:hAnsi="Arial"/>
                <w:sz w:val="16"/>
                <w:szCs w:val="16"/>
                <w:color w:val="auto"/>
              </w:rPr>
              <w:t>1.3</w:t>
            </w:r>
          </w:p>
        </w:tc>
      </w:tr>
      <w:tr>
        <w:trPr>
          <w:trHeight w:val="217"/>
        </w:trPr>
        <w:tc>
          <w:tcPr>
            <w:tcW w:w="5580" w:type="dxa"/>
            <w:vAlign w:val="bottom"/>
          </w:tcPr>
          <w:p>
            <w:pPr>
              <w:ind w:left="180"/>
              <w:spacing w:after="0"/>
              <w:rPr>
                <w:sz w:val="20"/>
                <w:szCs w:val="20"/>
                <w:color w:val="auto"/>
              </w:rPr>
            </w:pPr>
            <w:r>
              <w:rPr>
                <w:rFonts w:ascii="Arial" w:cs="Arial" w:eastAsia="Arial" w:hAnsi="Arial"/>
                <w:sz w:val="16"/>
                <w:szCs w:val="16"/>
                <w:color w:val="auto"/>
              </w:rPr>
              <w:t>Total</w:t>
            </w:r>
          </w:p>
        </w:tc>
        <w:tc>
          <w:tcPr>
            <w:tcW w:w="2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140" w:type="dxa"/>
            <w:vAlign w:val="bottom"/>
            <w:tcBorders>
              <w:top w:val="single" w:sz="8" w:color="auto"/>
            </w:tcBorders>
          </w:tcPr>
          <w:p>
            <w:pPr>
              <w:jc w:val="right"/>
              <w:ind w:right="43"/>
              <w:spacing w:after="0"/>
              <w:rPr>
                <w:sz w:val="20"/>
                <w:szCs w:val="20"/>
                <w:color w:val="auto"/>
              </w:rPr>
            </w:pPr>
            <w:r>
              <w:rPr>
                <w:rFonts w:ascii="Arial" w:cs="Arial" w:eastAsia="Arial" w:hAnsi="Arial"/>
                <w:sz w:val="16"/>
                <w:szCs w:val="16"/>
                <w:color w:val="auto"/>
              </w:rPr>
              <w:t>1,098</w:t>
            </w:r>
          </w:p>
        </w:tc>
        <w:tc>
          <w:tcPr>
            <w:tcW w:w="100" w:type="dxa"/>
            <w:vAlign w:val="bottom"/>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92"/>
              </w:rPr>
              <w:t>100.0%</w:t>
            </w:r>
          </w:p>
        </w:tc>
        <w:tc>
          <w:tcPr>
            <w:tcW w:w="120" w:type="dxa"/>
            <w:vAlign w:val="bottom"/>
          </w:tcPr>
          <w:p>
            <w:pPr>
              <w:spacing w:after="0"/>
              <w:rPr>
                <w:sz w:val="18"/>
                <w:szCs w:val="18"/>
                <w:color w:val="auto"/>
              </w:rPr>
            </w:pPr>
          </w:p>
        </w:tc>
        <w:tc>
          <w:tcPr>
            <w:tcW w:w="2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tcBorders>
          </w:tcPr>
          <w:p>
            <w:pPr>
              <w:jc w:val="right"/>
              <w:ind w:right="23"/>
              <w:spacing w:after="0"/>
              <w:rPr>
                <w:sz w:val="20"/>
                <w:szCs w:val="20"/>
                <w:color w:val="auto"/>
              </w:rPr>
            </w:pPr>
            <w:r>
              <w:rPr>
                <w:rFonts w:ascii="Arial" w:cs="Arial" w:eastAsia="Arial" w:hAnsi="Arial"/>
                <w:sz w:val="16"/>
                <w:szCs w:val="16"/>
                <w:color w:val="auto"/>
              </w:rPr>
              <w:t>867</w:t>
            </w:r>
          </w:p>
        </w:tc>
        <w:tc>
          <w:tcPr>
            <w:tcW w:w="120" w:type="dxa"/>
            <w:vAlign w:val="bottom"/>
          </w:tcPr>
          <w:p>
            <w:pPr>
              <w:spacing w:after="0"/>
              <w:rPr>
                <w:sz w:val="18"/>
                <w:szCs w:val="18"/>
                <w:color w:val="auto"/>
              </w:rPr>
            </w:pP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100.0%</w:t>
            </w:r>
          </w:p>
        </w:tc>
      </w:tr>
      <w:tr>
        <w:trPr>
          <w:trHeight w:val="33"/>
        </w:trPr>
        <w:tc>
          <w:tcPr>
            <w:tcW w:w="55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0"/>
        </w:trPr>
        <w:tc>
          <w:tcPr>
            <w:tcW w:w="55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left="180" w:right="140" w:firstLine="324"/>
        <w:spacing w:after="0" w:line="375" w:lineRule="auto"/>
        <w:rPr>
          <w:sz w:val="20"/>
          <w:szCs w:val="20"/>
          <w:color w:val="auto"/>
        </w:rPr>
      </w:pPr>
      <w:r>
        <w:rPr>
          <w:rFonts w:ascii="Arial" w:cs="Arial" w:eastAsia="Arial" w:hAnsi="Arial"/>
          <w:sz w:val="18"/>
          <w:szCs w:val="18"/>
          <w:color w:val="auto"/>
        </w:rPr>
        <w:t xml:space="preserve">The estimated fair value of residential mortgage loans was $1.1 billion and $867 million at September 30, 2017 and December 31, 2016, respectively. </w:t>
      </w:r>
      <w:r>
        <w:rPr>
          <w:rFonts w:ascii="Arial" w:cs="Arial" w:eastAsia="Arial" w:hAnsi="Arial"/>
          <w:sz w:val="18"/>
          <w:szCs w:val="18"/>
          <w:b w:val="1"/>
          <w:bCs w:val="1"/>
          <w:i w:val="1"/>
          <w:iCs w:val="1"/>
          <w:u w:val="single" w:color="auto"/>
          <w:color w:val="auto"/>
        </w:rPr>
        <w:t>Past Due and Nonaccrual Mortgage Loans</w:t>
      </w:r>
    </w:p>
    <w:p>
      <w:pPr>
        <w:spacing w:after="0" w:line="1" w:lineRule="exact"/>
        <w:rPr>
          <w:sz w:val="20"/>
          <w:szCs w:val="20"/>
          <w:color w:val="auto"/>
        </w:rPr>
      </w:pPr>
    </w:p>
    <w:p>
      <w:pPr>
        <w:jc w:val="both"/>
        <w:ind w:left="180" w:firstLine="324"/>
        <w:spacing w:after="0" w:line="259" w:lineRule="auto"/>
        <w:rPr>
          <w:sz w:val="20"/>
          <w:szCs w:val="20"/>
          <w:color w:val="auto"/>
        </w:rPr>
      </w:pPr>
      <w:r>
        <w:rPr>
          <w:rFonts w:ascii="Arial" w:cs="Arial" w:eastAsia="Arial" w:hAnsi="Arial"/>
          <w:sz w:val="18"/>
          <w:szCs w:val="18"/>
          <w:color w:val="auto"/>
        </w:rPr>
        <w:t>The Company has a high quality, well performing mortgage loan portfolio, with over 99% of all mortgage loans classified as performing at both September 30, 2017 and December 31, 2016. The Company defines delinquency consistent with industry practice, when mortgage loans are past due as follows: commercial and residential mortgage loans — 60 days and agricultural mortgage loans — 90 days. The past due and nonaccrual mortgage loans at recorded investment, prior to valuation allowances, by portfolio segment, were as follows at:</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2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gridSpan w:val="3"/>
          </w:tcPr>
          <w:p>
            <w:pPr>
              <w:ind w:left="1340"/>
              <w:spacing w:after="0"/>
              <w:rPr>
                <w:sz w:val="20"/>
                <w:szCs w:val="20"/>
                <w:color w:val="auto"/>
              </w:rPr>
            </w:pPr>
            <w:r>
              <w:rPr>
                <w:rFonts w:ascii="Arial" w:cs="Arial" w:eastAsia="Arial" w:hAnsi="Arial"/>
                <w:sz w:val="14"/>
                <w:szCs w:val="14"/>
                <w:b w:val="1"/>
                <w:bCs w:val="1"/>
                <w:color w:val="auto"/>
                <w:w w:val="93"/>
              </w:rPr>
              <w:t>Past Due</w:t>
            </w:r>
          </w:p>
        </w:tc>
        <w:tc>
          <w:tcPr>
            <w:tcW w:w="14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3300" w:type="dxa"/>
            <w:vAlign w:val="bottom"/>
            <w:tcBorders>
              <w:bottom w:val="single" w:sz="8" w:color="auto"/>
            </w:tcBorders>
            <w:gridSpan w:val="4"/>
          </w:tcPr>
          <w:p>
            <w:pPr>
              <w:ind w:left="1000"/>
              <w:spacing w:after="0"/>
              <w:rPr>
                <w:sz w:val="20"/>
                <w:szCs w:val="20"/>
                <w:color w:val="auto"/>
              </w:rPr>
            </w:pPr>
            <w:r>
              <w:rPr>
                <w:rFonts w:ascii="Arial" w:cs="Arial" w:eastAsia="Arial" w:hAnsi="Arial"/>
                <w:sz w:val="14"/>
                <w:szCs w:val="14"/>
                <w:b w:val="1"/>
                <w:bCs w:val="1"/>
                <w:color w:val="auto"/>
              </w:rPr>
              <w:t>Nonaccrual Status</w:t>
            </w:r>
          </w:p>
        </w:tc>
      </w:tr>
      <w:tr>
        <w:trPr>
          <w:trHeight w:val="264"/>
        </w:trPr>
        <w:tc>
          <w:tcPr>
            <w:tcW w:w="424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66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September 30, 2017</w:t>
            </w:r>
          </w:p>
        </w:tc>
        <w:tc>
          <w:tcPr>
            <w:tcW w:w="260" w:type="dxa"/>
            <w:vAlign w:val="bottom"/>
            <w:tcBorders>
              <w:bottom w:val="single" w:sz="8" w:color="auto"/>
            </w:tcBorders>
          </w:tcPr>
          <w:p>
            <w:pPr>
              <w:spacing w:after="0"/>
              <w:rPr>
                <w:sz w:val="22"/>
                <w:szCs w:val="22"/>
                <w:color w:val="auto"/>
              </w:rPr>
            </w:pPr>
          </w:p>
        </w:tc>
        <w:tc>
          <w:tcPr>
            <w:tcW w:w="160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December 31, 2016</w:t>
            </w:r>
          </w:p>
        </w:tc>
        <w:tc>
          <w:tcPr>
            <w:tcW w:w="180" w:type="dxa"/>
            <w:vAlign w:val="bottom"/>
            <w:tcBorders>
              <w:bottom w:val="single" w:sz="8" w:color="auto"/>
            </w:tcBorders>
          </w:tcPr>
          <w:p>
            <w:pPr>
              <w:spacing w:after="0"/>
              <w:rPr>
                <w:sz w:val="22"/>
                <w:szCs w:val="22"/>
                <w:color w:val="auto"/>
              </w:rPr>
            </w:pPr>
          </w:p>
        </w:tc>
        <w:tc>
          <w:tcPr>
            <w:tcW w:w="162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September 30, 2017</w:t>
            </w:r>
          </w:p>
        </w:tc>
        <w:tc>
          <w:tcPr>
            <w:tcW w:w="18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December 31, 2016</w:t>
            </w:r>
          </w:p>
        </w:tc>
      </w:tr>
      <w:tr>
        <w:trPr>
          <w:trHeight w:val="250"/>
        </w:trPr>
        <w:tc>
          <w:tcPr>
            <w:tcW w:w="42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400" w:type="dxa"/>
            <w:vAlign w:val="bottom"/>
            <w:gridSpan w:val="5"/>
          </w:tcPr>
          <w:p>
            <w:pPr>
              <w:ind w:left="880"/>
              <w:spacing w:after="0"/>
              <w:rPr>
                <w:sz w:val="20"/>
                <w:szCs w:val="20"/>
                <w:color w:val="auto"/>
              </w:rPr>
            </w:pPr>
            <w:r>
              <w:rPr>
                <w:rFonts w:ascii="Arial" w:cs="Arial" w:eastAsia="Arial" w:hAnsi="Arial"/>
                <w:sz w:val="14"/>
                <w:szCs w:val="14"/>
                <w:b w:val="1"/>
                <w:bCs w:val="1"/>
                <w:color w:val="auto"/>
              </w:rPr>
              <w:t>(Dollars in millions)</w:t>
            </w:r>
          </w:p>
        </w:tc>
        <w:tc>
          <w:tcPr>
            <w:tcW w:w="180" w:type="dxa"/>
            <w:vAlign w:val="bottom"/>
          </w:tcPr>
          <w:p>
            <w:pPr>
              <w:spacing w:after="0"/>
              <w:rPr>
                <w:sz w:val="21"/>
                <w:szCs w:val="21"/>
                <w:color w:val="auto"/>
              </w:rPr>
            </w:pPr>
          </w:p>
        </w:tc>
        <w:tc>
          <w:tcPr>
            <w:tcW w:w="1500" w:type="dxa"/>
            <w:vAlign w:val="bottom"/>
          </w:tcPr>
          <w:p>
            <w:pPr>
              <w:spacing w:after="0"/>
              <w:rPr>
                <w:sz w:val="21"/>
                <w:szCs w:val="21"/>
                <w:color w:val="auto"/>
              </w:rPr>
            </w:pPr>
          </w:p>
        </w:tc>
      </w:tr>
      <w:tr>
        <w:trPr>
          <w:trHeight w:val="256"/>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Commercial</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60" w:type="dxa"/>
            <w:vAlign w:val="bottom"/>
            <w:tcBorders>
              <w:bottom w:val="single" w:sz="8" w:color="CCEEFF"/>
            </w:tcBorders>
            <w:gridSpan w:val="2"/>
            <w:shd w:val="clear" w:color="auto" w:fill="CCEEFF"/>
          </w:tcPr>
          <w:p>
            <w:pPr>
              <w:ind w:left="126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600" w:type="dxa"/>
            <w:vAlign w:val="bottom"/>
            <w:tcBorders>
              <w:bottom w:val="single" w:sz="8" w:color="CCEEFF"/>
            </w:tcBorders>
            <w:gridSpan w:val="2"/>
            <w:shd w:val="clear" w:color="auto" w:fill="CCEEFF"/>
          </w:tcPr>
          <w:p>
            <w:pPr>
              <w:ind w:left="12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20" w:type="dxa"/>
            <w:vAlign w:val="bottom"/>
            <w:tcBorders>
              <w:bottom w:val="single" w:sz="8" w:color="CCEEFF"/>
            </w:tcBorders>
            <w:gridSpan w:val="2"/>
            <w:shd w:val="clear" w:color="auto" w:fill="CCEEFF"/>
          </w:tcPr>
          <w:p>
            <w:pPr>
              <w:ind w:left="1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00" w:type="dxa"/>
            <w:vAlign w:val="bottom"/>
            <w:tcBorders>
              <w:bottom w:val="single" w:sz="8" w:color="CCEEFF"/>
            </w:tcBorders>
            <w:shd w:val="clear" w:color="auto" w:fill="CCEEFF"/>
          </w:tcPr>
          <w:p>
            <w:pPr>
              <w:ind w:left="1220"/>
              <w:spacing w:after="0"/>
              <w:rPr>
                <w:sz w:val="20"/>
                <w:szCs w:val="20"/>
                <w:color w:val="auto"/>
              </w:rPr>
            </w:pPr>
            <w:r>
              <w:rPr>
                <w:rFonts w:ascii="Arial" w:cs="Arial" w:eastAsia="Arial" w:hAnsi="Arial"/>
                <w:sz w:val="16"/>
                <w:szCs w:val="16"/>
                <w:color w:val="auto"/>
              </w:rPr>
              <w:t>—</w:t>
            </w:r>
          </w:p>
        </w:tc>
      </w:tr>
      <w:tr>
        <w:trPr>
          <w:trHeight w:val="237"/>
        </w:trPr>
        <w:tc>
          <w:tcPr>
            <w:tcW w:w="4240" w:type="dxa"/>
            <w:vAlign w:val="bottom"/>
          </w:tcPr>
          <w:p>
            <w:pPr>
              <w:ind w:left="40"/>
              <w:spacing w:after="0"/>
              <w:rPr>
                <w:sz w:val="20"/>
                <w:szCs w:val="20"/>
                <w:color w:val="auto"/>
              </w:rPr>
            </w:pPr>
            <w:r>
              <w:rPr>
                <w:rFonts w:ascii="Arial" w:cs="Arial" w:eastAsia="Arial" w:hAnsi="Arial"/>
                <w:sz w:val="16"/>
                <w:szCs w:val="16"/>
                <w:color w:val="auto"/>
              </w:rPr>
              <w:t>Agricultural</w:t>
            </w:r>
          </w:p>
        </w:tc>
        <w:tc>
          <w:tcPr>
            <w:tcW w:w="180" w:type="dxa"/>
            <w:vAlign w:val="bottom"/>
          </w:tcPr>
          <w:p>
            <w:pPr>
              <w:spacing w:after="0"/>
              <w:rPr>
                <w:sz w:val="20"/>
                <w:szCs w:val="20"/>
                <w:color w:val="auto"/>
              </w:rPr>
            </w:pPr>
          </w:p>
        </w:tc>
        <w:tc>
          <w:tcPr>
            <w:tcW w:w="1660" w:type="dxa"/>
            <w:vAlign w:val="bottom"/>
            <w:gridSpan w:val="2"/>
          </w:tcPr>
          <w:p>
            <w:pPr>
              <w:ind w:left="126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1600" w:type="dxa"/>
            <w:vAlign w:val="bottom"/>
            <w:gridSpan w:val="2"/>
          </w:tcPr>
          <w:p>
            <w:pPr>
              <w:ind w:left="1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620" w:type="dxa"/>
            <w:vAlign w:val="bottom"/>
            <w:gridSpan w:val="2"/>
          </w:tcPr>
          <w:p>
            <w:pPr>
              <w:ind w:left="1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500" w:type="dxa"/>
            <w:vAlign w:val="bottom"/>
          </w:tcPr>
          <w:p>
            <w:pPr>
              <w:ind w:left="1220"/>
              <w:spacing w:after="0"/>
              <w:rPr>
                <w:sz w:val="20"/>
                <w:szCs w:val="20"/>
                <w:color w:val="auto"/>
              </w:rPr>
            </w:pPr>
            <w:r>
              <w:rPr>
                <w:rFonts w:ascii="Arial" w:cs="Arial" w:eastAsia="Arial" w:hAnsi="Arial"/>
                <w:sz w:val="16"/>
                <w:szCs w:val="16"/>
                <w:color w:val="auto"/>
              </w:rPr>
              <w:t>—</w:t>
            </w:r>
          </w:p>
        </w:tc>
      </w:tr>
      <w:tr>
        <w:trPr>
          <w:trHeight w:val="33"/>
        </w:trPr>
        <w:tc>
          <w:tcPr>
            <w:tcW w:w="4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7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Residential</w:t>
            </w:r>
          </w:p>
        </w:tc>
        <w:tc>
          <w:tcPr>
            <w:tcW w:w="18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ind w:left="1260"/>
              <w:spacing w:after="0"/>
              <w:rPr>
                <w:sz w:val="20"/>
                <w:szCs w:val="20"/>
                <w:color w:val="auto"/>
              </w:rPr>
            </w:pPr>
            <w:r>
              <w:rPr>
                <w:rFonts w:ascii="Arial" w:cs="Arial" w:eastAsia="Arial" w:hAnsi="Arial"/>
                <w:sz w:val="16"/>
                <w:szCs w:val="16"/>
                <w:color w:val="auto"/>
              </w:rPr>
              <w:t>26</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ind w:left="1200"/>
              <w:spacing w:after="0"/>
              <w:rPr>
                <w:sz w:val="20"/>
                <w:szCs w:val="20"/>
                <w:color w:val="auto"/>
              </w:rPr>
            </w:pPr>
            <w:r>
              <w:rPr>
                <w:rFonts w:ascii="Arial" w:cs="Arial" w:eastAsia="Arial" w:hAnsi="Arial"/>
                <w:sz w:val="16"/>
                <w:szCs w:val="16"/>
                <w:color w:val="auto"/>
              </w:rPr>
              <w:t>11</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ind w:left="1240"/>
              <w:spacing w:after="0"/>
              <w:rPr>
                <w:sz w:val="20"/>
                <w:szCs w:val="20"/>
                <w:color w:val="auto"/>
              </w:rPr>
            </w:pPr>
            <w:r>
              <w:rPr>
                <w:rFonts w:ascii="Arial" w:cs="Arial" w:eastAsia="Arial" w:hAnsi="Arial"/>
                <w:sz w:val="16"/>
                <w:szCs w:val="16"/>
                <w:color w:val="auto"/>
              </w:rPr>
              <w:t>26</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ind w:left="1240"/>
              <w:spacing w:after="0"/>
              <w:rPr>
                <w:sz w:val="20"/>
                <w:szCs w:val="20"/>
                <w:color w:val="auto"/>
              </w:rPr>
            </w:pPr>
            <w:r>
              <w:rPr>
                <w:rFonts w:ascii="Arial" w:cs="Arial" w:eastAsia="Arial" w:hAnsi="Arial"/>
                <w:sz w:val="16"/>
                <w:szCs w:val="16"/>
                <w:color w:val="auto"/>
              </w:rPr>
              <w:t>11</w:t>
            </w:r>
          </w:p>
        </w:tc>
      </w:tr>
      <w:tr>
        <w:trPr>
          <w:trHeight w:val="217"/>
        </w:trPr>
        <w:tc>
          <w:tcPr>
            <w:tcW w:w="4240" w:type="dxa"/>
            <w:vAlign w:val="bottom"/>
          </w:tcPr>
          <w:p>
            <w:pPr>
              <w:ind w:left="180"/>
              <w:spacing w:after="0"/>
              <w:rPr>
                <w:sz w:val="20"/>
                <w:szCs w:val="20"/>
                <w:color w:val="auto"/>
              </w:rPr>
            </w:pPr>
            <w:r>
              <w:rPr>
                <w:rFonts w:ascii="Arial" w:cs="Arial" w:eastAsia="Arial" w:hAnsi="Arial"/>
                <w:sz w:val="16"/>
                <w:szCs w:val="16"/>
                <w:color w:val="auto"/>
              </w:rPr>
              <w:t>Total</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540" w:type="dxa"/>
            <w:vAlign w:val="bottom"/>
            <w:tcBorders>
              <w:top w:val="single" w:sz="8" w:color="auto"/>
            </w:tcBorders>
          </w:tcPr>
          <w:p>
            <w:pPr>
              <w:ind w:left="1260"/>
              <w:spacing w:after="0"/>
              <w:rPr>
                <w:sz w:val="20"/>
                <w:szCs w:val="20"/>
                <w:color w:val="auto"/>
              </w:rPr>
            </w:pPr>
            <w:r>
              <w:rPr>
                <w:rFonts w:ascii="Arial" w:cs="Arial" w:eastAsia="Arial" w:hAnsi="Arial"/>
                <w:sz w:val="16"/>
                <w:szCs w:val="16"/>
                <w:color w:val="auto"/>
              </w:rPr>
              <w:t>26</w:t>
            </w:r>
          </w:p>
        </w:tc>
        <w:tc>
          <w:tcPr>
            <w:tcW w:w="120" w:type="dxa"/>
            <w:vAlign w:val="bottom"/>
          </w:tcPr>
          <w:p>
            <w:pPr>
              <w:spacing w:after="0"/>
              <w:rPr>
                <w:sz w:val="18"/>
                <w:szCs w:val="18"/>
                <w:color w:val="auto"/>
              </w:rPr>
            </w:pPr>
          </w:p>
        </w:tc>
        <w:tc>
          <w:tcPr>
            <w:tcW w:w="26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480" w:type="dxa"/>
            <w:vAlign w:val="bottom"/>
            <w:tcBorders>
              <w:top w:val="single" w:sz="8" w:color="auto"/>
            </w:tcBorders>
          </w:tcPr>
          <w:p>
            <w:pPr>
              <w:ind w:left="1200"/>
              <w:spacing w:after="0"/>
              <w:rPr>
                <w:sz w:val="20"/>
                <w:szCs w:val="20"/>
                <w:color w:val="auto"/>
              </w:rPr>
            </w:pPr>
            <w:r>
              <w:rPr>
                <w:rFonts w:ascii="Arial" w:cs="Arial" w:eastAsia="Arial" w:hAnsi="Arial"/>
                <w:sz w:val="16"/>
                <w:szCs w:val="16"/>
                <w:color w:val="auto"/>
              </w:rPr>
              <w:t>11</w:t>
            </w:r>
          </w:p>
        </w:tc>
        <w:tc>
          <w:tcPr>
            <w:tcW w:w="12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500" w:type="dxa"/>
            <w:vAlign w:val="bottom"/>
            <w:tcBorders>
              <w:top w:val="single" w:sz="8" w:color="auto"/>
            </w:tcBorders>
          </w:tcPr>
          <w:p>
            <w:pPr>
              <w:ind w:left="1240"/>
              <w:spacing w:after="0"/>
              <w:rPr>
                <w:sz w:val="20"/>
                <w:szCs w:val="20"/>
                <w:color w:val="auto"/>
              </w:rPr>
            </w:pPr>
            <w:r>
              <w:rPr>
                <w:rFonts w:ascii="Arial" w:cs="Arial" w:eastAsia="Arial" w:hAnsi="Arial"/>
                <w:sz w:val="16"/>
                <w:szCs w:val="16"/>
                <w:color w:val="auto"/>
              </w:rPr>
              <w:t>26</w:t>
            </w:r>
          </w:p>
        </w:tc>
        <w:tc>
          <w:tcPr>
            <w:tcW w:w="12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500" w:type="dxa"/>
            <w:vAlign w:val="bottom"/>
            <w:tcBorders>
              <w:top w:val="single" w:sz="8" w:color="auto"/>
            </w:tcBorders>
          </w:tcPr>
          <w:p>
            <w:pPr>
              <w:ind w:left="1240"/>
              <w:spacing w:after="0"/>
              <w:rPr>
                <w:sz w:val="20"/>
                <w:szCs w:val="20"/>
                <w:color w:val="auto"/>
              </w:rPr>
            </w:pPr>
            <w:r>
              <w:rPr>
                <w:rFonts w:ascii="Arial" w:cs="Arial" w:eastAsia="Arial" w:hAnsi="Arial"/>
                <w:sz w:val="16"/>
                <w:szCs w:val="16"/>
                <w:color w:val="auto"/>
              </w:rPr>
              <w:t>11</w:t>
            </w:r>
          </w:p>
        </w:tc>
      </w:tr>
      <w:tr>
        <w:trPr>
          <w:trHeight w:val="33"/>
        </w:trPr>
        <w:tc>
          <w:tcPr>
            <w:tcW w:w="42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0"/>
        </w:trPr>
        <w:tc>
          <w:tcPr>
            <w:tcW w:w="4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Mortgage Loans Modified in a Troubled Debt Restructuring</w:t>
      </w:r>
    </w:p>
    <w:p>
      <w:pPr>
        <w:spacing w:after="0" w:line="117" w:lineRule="exact"/>
        <w:rPr>
          <w:sz w:val="20"/>
          <w:szCs w:val="20"/>
          <w:color w:val="auto"/>
        </w:rPr>
      </w:pPr>
    </w:p>
    <w:p>
      <w:pPr>
        <w:ind w:left="180" w:firstLine="324"/>
        <w:spacing w:after="0" w:line="277" w:lineRule="auto"/>
        <w:rPr>
          <w:sz w:val="20"/>
          <w:szCs w:val="20"/>
          <w:color w:val="auto"/>
        </w:rPr>
      </w:pPr>
      <w:r>
        <w:rPr>
          <w:rFonts w:ascii="Arial" w:cs="Arial" w:eastAsia="Arial" w:hAnsi="Arial"/>
          <w:sz w:val="18"/>
          <w:szCs w:val="18"/>
          <w:color w:val="auto"/>
        </w:rPr>
        <w:t>The Company did not have a significant amount of mortgage loans modified in a troubled debt restructuring during both the three months and nine months ended September 30, 2017 and 2016.</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Equivalents</w:t>
      </w:r>
    </w:p>
    <w:p>
      <w:pPr>
        <w:spacing w:after="0" w:line="117"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carrying value of cash equivalents, which includes securities and other investments with an original or remaining maturity of three months or less at the time of purchase, was $1.0 billion and $4.8 billion at September 30, 2017 and December 31, 2016, respectively.</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Unrealized Investment Gains (Losses)</w:t>
      </w:r>
    </w:p>
    <w:p>
      <w:pPr>
        <w:spacing w:after="0" w:line="117"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color w:val="auto"/>
        </w:rPr>
        <w:t>Unrealized investment gains (losses) on fixed maturity and equity securities AFS and the effect on DAC, VOBA, deferred sales inducements (“DSI”) and future policy benefits, that would result from the realization of the unrealized gains (losses), are included in net unrealized investment gains (losses) in AOCI.</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234" w:right="239" w:bottom="1440" w:gutter="0" w:footer="0" w:header="0"/>
        </w:sectPr>
      </w:pPr>
    </w:p>
    <w:bookmarkStart w:id="23" w:name="page24"/>
    <w:bookmarkEnd w:id="23"/>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109" w:lineRule="exact"/>
        <w:rPr>
          <w:sz w:val="20"/>
          <w:szCs w:val="20"/>
          <w:color w:val="auto"/>
        </w:rPr>
      </w:pPr>
    </w:p>
    <w:p>
      <w:pPr>
        <w:ind w:left="4660"/>
        <w:spacing w:after="0"/>
        <w:rPr>
          <w:sz w:val="20"/>
          <w:szCs w:val="20"/>
          <w:color w:val="auto"/>
        </w:rPr>
      </w:pPr>
      <w:r>
        <w:rPr>
          <w:rFonts w:ascii="Arial" w:cs="Arial" w:eastAsia="Arial" w:hAnsi="Arial"/>
          <w:sz w:val="18"/>
          <w:szCs w:val="18"/>
          <w:b w:val="1"/>
          <w:bCs w:val="1"/>
          <w:color w:val="auto"/>
        </w:rPr>
        <w:t>Brighthouse Financial, Inc.</w:t>
      </w:r>
    </w:p>
    <w:p>
      <w:pPr>
        <w:spacing w:after="0" w:line="117" w:lineRule="exact"/>
        <w:rPr>
          <w:sz w:val="20"/>
          <w:szCs w:val="20"/>
          <w:color w:val="auto"/>
        </w:rPr>
      </w:pPr>
    </w:p>
    <w:p>
      <w:pPr>
        <w:ind w:left="1480"/>
        <w:spacing w:after="0"/>
        <w:rPr>
          <w:sz w:val="20"/>
          <w:szCs w:val="20"/>
          <w:color w:val="auto"/>
        </w:rPr>
      </w:pPr>
      <w:r>
        <w:rPr>
          <w:rFonts w:ascii="Arial" w:cs="Arial" w:eastAsia="Arial" w:hAnsi="Arial"/>
          <w:sz w:val="18"/>
          <w:szCs w:val="18"/>
          <w:b w:val="1"/>
          <w:bCs w:val="1"/>
          <w:color w:val="auto"/>
        </w:rPr>
        <w:t>Notes to the Interim Condensed Consolidated and Combined Financial Statements (Unaudited) — (continued)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Investments (continued)</w:t>
      </w:r>
    </w:p>
    <w:p>
      <w:pPr>
        <w:spacing w:after="0" w:line="36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components of net unrealized investment gains (losses), included in AOCI, were as follows: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3"/>
          </w:tcPr>
          <w:p>
            <w:pPr>
              <w:ind w:left="60"/>
              <w:spacing w:after="0"/>
              <w:rPr>
                <w:sz w:val="20"/>
                <w:szCs w:val="20"/>
                <w:color w:val="auto"/>
              </w:rPr>
            </w:pPr>
            <w:r>
              <w:rPr>
                <w:rFonts w:ascii="Arial" w:cs="Arial" w:eastAsia="Arial" w:hAnsi="Arial"/>
                <w:sz w:val="14"/>
                <w:szCs w:val="14"/>
                <w:b w:val="1"/>
                <w:bCs w:val="1"/>
                <w:color w:val="auto"/>
              </w:rPr>
              <w:t>September 30, 2017</w:t>
            </w:r>
          </w:p>
        </w:tc>
        <w:tc>
          <w:tcPr>
            <w:tcW w:w="16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120"/>
              <w:spacing w:after="0"/>
              <w:rPr>
                <w:sz w:val="20"/>
                <w:szCs w:val="20"/>
                <w:color w:val="auto"/>
              </w:rPr>
            </w:pPr>
            <w:r>
              <w:rPr>
                <w:rFonts w:ascii="Arial" w:cs="Arial" w:eastAsia="Arial" w:hAnsi="Arial"/>
                <w:sz w:val="14"/>
                <w:szCs w:val="14"/>
                <w:b w:val="1"/>
                <w:bCs w:val="1"/>
                <w:color w:val="auto"/>
                <w:w w:val="95"/>
              </w:rPr>
              <w:t>December 31, 2016</w:t>
            </w:r>
          </w:p>
        </w:tc>
        <w:tc>
          <w:tcPr>
            <w:tcW w:w="0" w:type="dxa"/>
            <w:vAlign w:val="bottom"/>
          </w:tcPr>
          <w:p>
            <w:pPr>
              <w:spacing w:after="0"/>
              <w:rPr>
                <w:sz w:val="1"/>
                <w:szCs w:val="1"/>
                <w:color w:val="auto"/>
              </w:rPr>
            </w:pPr>
          </w:p>
        </w:tc>
      </w:tr>
      <w:tr>
        <w:trPr>
          <w:trHeight w:val="250"/>
        </w:trPr>
        <w:tc>
          <w:tcPr>
            <w:tcW w:w="8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160" w:type="dxa"/>
            <w:vAlign w:val="bottom"/>
            <w:gridSpan w:val="5"/>
          </w:tcPr>
          <w:p>
            <w:pPr>
              <w:jc w:val="right"/>
              <w:ind w:right="1180"/>
              <w:spacing w:after="0"/>
              <w:rPr>
                <w:sz w:val="20"/>
                <w:szCs w:val="20"/>
                <w:color w:val="auto"/>
              </w:rPr>
            </w:pPr>
            <w:r>
              <w:rPr>
                <w:rFonts w:ascii="Arial" w:cs="Arial" w:eastAsia="Arial" w:hAnsi="Arial"/>
                <w:sz w:val="14"/>
                <w:szCs w:val="14"/>
                <w:b w:val="1"/>
                <w:bCs w:val="1"/>
                <w:color w:val="auto"/>
              </w:rPr>
              <w:t>(In millions)</w:t>
            </w:r>
          </w:p>
        </w:tc>
        <w:tc>
          <w:tcPr>
            <w:tcW w:w="0" w:type="dxa"/>
            <w:vAlign w:val="bottom"/>
          </w:tcPr>
          <w:p>
            <w:pPr>
              <w:spacing w:after="0"/>
              <w:rPr>
                <w:sz w:val="1"/>
                <w:szCs w:val="1"/>
                <w:color w:val="auto"/>
              </w:rPr>
            </w:pPr>
          </w:p>
        </w:tc>
      </w:tr>
      <w:tr>
        <w:trPr>
          <w:trHeight w:val="256"/>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Fixed maturity securities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80" w:type="dxa"/>
            <w:vAlign w:val="bottom"/>
            <w:tcBorders>
              <w:bottom w:val="single" w:sz="8" w:color="CCEEFF"/>
            </w:tcBorders>
            <w:gridSpan w:val="2"/>
            <w:shd w:val="clear" w:color="auto" w:fill="CCEEFF"/>
          </w:tcPr>
          <w:p>
            <w:pPr>
              <w:jc w:val="right"/>
              <w:ind w:right="39"/>
              <w:spacing w:after="0"/>
              <w:rPr>
                <w:sz w:val="20"/>
                <w:szCs w:val="20"/>
                <w:color w:val="auto"/>
              </w:rPr>
            </w:pPr>
            <w:r>
              <w:rPr>
                <w:rFonts w:ascii="Arial" w:cs="Arial" w:eastAsia="Arial" w:hAnsi="Arial"/>
                <w:sz w:val="16"/>
                <w:szCs w:val="16"/>
                <w:color w:val="auto"/>
              </w:rPr>
              <w:t>4,424</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2,663</w:t>
            </w:r>
          </w:p>
        </w:tc>
        <w:tc>
          <w:tcPr>
            <w:tcW w:w="0" w:type="dxa"/>
            <w:vAlign w:val="bottom"/>
          </w:tcPr>
          <w:p>
            <w:pPr>
              <w:spacing w:after="0"/>
              <w:rPr>
                <w:sz w:val="1"/>
                <w:szCs w:val="1"/>
                <w:color w:val="auto"/>
              </w:rPr>
            </w:pPr>
          </w:p>
        </w:tc>
      </w:tr>
      <w:tr>
        <w:trPr>
          <w:trHeight w:val="237"/>
        </w:trPr>
        <w:tc>
          <w:tcPr>
            <w:tcW w:w="8120" w:type="dxa"/>
            <w:vAlign w:val="bottom"/>
          </w:tcPr>
          <w:p>
            <w:pPr>
              <w:ind w:left="40"/>
              <w:spacing w:after="0"/>
              <w:rPr>
                <w:sz w:val="20"/>
                <w:szCs w:val="20"/>
                <w:color w:val="auto"/>
              </w:rPr>
            </w:pPr>
            <w:r>
              <w:rPr>
                <w:rFonts w:ascii="Arial" w:cs="Arial" w:eastAsia="Arial" w:hAnsi="Arial"/>
                <w:sz w:val="16"/>
                <w:szCs w:val="16"/>
                <w:color w:val="auto"/>
              </w:rPr>
              <w:t>Fixed maturity securities with noncredit OTTI losses included in AOCI</w:t>
            </w:r>
          </w:p>
        </w:tc>
        <w:tc>
          <w:tcPr>
            <w:tcW w:w="140" w:type="dxa"/>
            <w:vAlign w:val="bottom"/>
          </w:tcPr>
          <w:p>
            <w:pPr>
              <w:spacing w:after="0"/>
              <w:rPr>
                <w:sz w:val="20"/>
                <w:szCs w:val="20"/>
                <w:color w:val="auto"/>
              </w:rPr>
            </w:pPr>
          </w:p>
        </w:tc>
        <w:tc>
          <w:tcPr>
            <w:tcW w:w="1480" w:type="dxa"/>
            <w:vAlign w:val="bottom"/>
            <w:gridSpan w:val="2"/>
          </w:tcPr>
          <w:p>
            <w:pPr>
              <w:jc w:val="right"/>
              <w:ind w:right="39"/>
              <w:spacing w:after="0"/>
              <w:rPr>
                <w:sz w:val="20"/>
                <w:szCs w:val="20"/>
                <w:color w:val="auto"/>
              </w:rPr>
            </w:pPr>
            <w:r>
              <w:rPr>
                <w:rFonts w:ascii="Arial" w:cs="Arial" w:eastAsia="Arial" w:hAnsi="Arial"/>
                <w:sz w:val="16"/>
                <w:szCs w:val="16"/>
                <w:color w:val="auto"/>
              </w:rPr>
              <w:t>5</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tcPr>
          <w:p>
            <w:pPr>
              <w:jc w:val="right"/>
              <w:ind w:right="20"/>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33"/>
        </w:trPr>
        <w:tc>
          <w:tcPr>
            <w:tcW w:w="8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81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Total fixed maturity securities</w:t>
            </w:r>
          </w:p>
        </w:tc>
        <w:tc>
          <w:tcPr>
            <w:tcW w:w="14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gridSpan w:val="2"/>
            <w:shd w:val="clear" w:color="auto" w:fill="CCEEFF"/>
          </w:tcPr>
          <w:p>
            <w:pPr>
              <w:jc w:val="right"/>
              <w:ind w:right="39"/>
              <w:spacing w:after="0"/>
              <w:rPr>
                <w:sz w:val="20"/>
                <w:szCs w:val="20"/>
                <w:color w:val="auto"/>
              </w:rPr>
            </w:pPr>
            <w:r>
              <w:rPr>
                <w:rFonts w:ascii="Arial" w:cs="Arial" w:eastAsia="Arial" w:hAnsi="Arial"/>
                <w:sz w:val="16"/>
                <w:szCs w:val="16"/>
                <w:color w:val="auto"/>
              </w:rPr>
              <w:t>4,429</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2,664</w:t>
            </w:r>
          </w:p>
        </w:tc>
        <w:tc>
          <w:tcPr>
            <w:tcW w:w="0" w:type="dxa"/>
            <w:vAlign w:val="bottom"/>
          </w:tcPr>
          <w:p>
            <w:pPr>
              <w:spacing w:after="0"/>
              <w:rPr>
                <w:sz w:val="1"/>
                <w:szCs w:val="1"/>
                <w:color w:val="auto"/>
              </w:rPr>
            </w:pPr>
          </w:p>
        </w:tc>
      </w:tr>
      <w:tr>
        <w:trPr>
          <w:trHeight w:val="237"/>
        </w:trPr>
        <w:tc>
          <w:tcPr>
            <w:tcW w:w="8120" w:type="dxa"/>
            <w:vAlign w:val="bottom"/>
          </w:tcPr>
          <w:p>
            <w:pPr>
              <w:ind w:left="40"/>
              <w:spacing w:after="0"/>
              <w:rPr>
                <w:sz w:val="20"/>
                <w:szCs w:val="20"/>
                <w:color w:val="auto"/>
              </w:rPr>
            </w:pPr>
            <w:r>
              <w:rPr>
                <w:rFonts w:ascii="Arial" w:cs="Arial" w:eastAsia="Arial" w:hAnsi="Arial"/>
                <w:sz w:val="16"/>
                <w:szCs w:val="16"/>
                <w:color w:val="auto"/>
              </w:rPr>
              <w:t>Equity securities</w:t>
            </w:r>
          </w:p>
        </w:tc>
        <w:tc>
          <w:tcPr>
            <w:tcW w:w="140" w:type="dxa"/>
            <w:vAlign w:val="bottom"/>
          </w:tcPr>
          <w:p>
            <w:pPr>
              <w:spacing w:after="0"/>
              <w:rPr>
                <w:sz w:val="20"/>
                <w:szCs w:val="20"/>
                <w:color w:val="auto"/>
              </w:rPr>
            </w:pPr>
          </w:p>
        </w:tc>
        <w:tc>
          <w:tcPr>
            <w:tcW w:w="1480" w:type="dxa"/>
            <w:vAlign w:val="bottom"/>
            <w:gridSpan w:val="2"/>
          </w:tcPr>
          <w:p>
            <w:pPr>
              <w:jc w:val="right"/>
              <w:ind w:right="39"/>
              <w:spacing w:after="0"/>
              <w:rPr>
                <w:sz w:val="20"/>
                <w:szCs w:val="20"/>
                <w:color w:val="auto"/>
              </w:rPr>
            </w:pPr>
            <w:r>
              <w:rPr>
                <w:rFonts w:ascii="Arial" w:cs="Arial" w:eastAsia="Arial" w:hAnsi="Arial"/>
                <w:sz w:val="16"/>
                <w:szCs w:val="16"/>
                <w:color w:val="auto"/>
              </w:rPr>
              <w:t>55</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tcPr>
          <w:p>
            <w:pPr>
              <w:jc w:val="right"/>
              <w:ind w:right="20"/>
              <w:spacing w:after="0"/>
              <w:rPr>
                <w:sz w:val="20"/>
                <w:szCs w:val="20"/>
                <w:color w:val="auto"/>
              </w:rPr>
            </w:pPr>
            <w:r>
              <w:rPr>
                <w:rFonts w:ascii="Arial" w:cs="Arial" w:eastAsia="Arial" w:hAnsi="Arial"/>
                <w:sz w:val="16"/>
                <w:szCs w:val="16"/>
                <w:color w:val="auto"/>
              </w:rPr>
              <w:t>32</w:t>
            </w:r>
          </w:p>
        </w:tc>
        <w:tc>
          <w:tcPr>
            <w:tcW w:w="0" w:type="dxa"/>
            <w:vAlign w:val="bottom"/>
          </w:tcPr>
          <w:p>
            <w:pPr>
              <w:spacing w:after="0"/>
              <w:rPr>
                <w:sz w:val="1"/>
                <w:szCs w:val="1"/>
                <w:color w:val="auto"/>
              </w:rPr>
            </w:pPr>
          </w:p>
        </w:tc>
      </w:tr>
      <w:tr>
        <w:trPr>
          <w:trHeight w:val="33"/>
        </w:trPr>
        <w:tc>
          <w:tcPr>
            <w:tcW w:w="8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Derivatives</w:t>
            </w:r>
          </w:p>
        </w:tc>
        <w:tc>
          <w:tcPr>
            <w:tcW w:w="1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gridSpan w:val="2"/>
            <w:shd w:val="clear" w:color="auto" w:fill="CCEEFF"/>
          </w:tcPr>
          <w:p>
            <w:pPr>
              <w:jc w:val="right"/>
              <w:ind w:right="39"/>
              <w:spacing w:after="0"/>
              <w:rPr>
                <w:sz w:val="20"/>
                <w:szCs w:val="20"/>
                <w:color w:val="auto"/>
              </w:rPr>
            </w:pPr>
            <w:r>
              <w:rPr>
                <w:rFonts w:ascii="Arial" w:cs="Arial" w:eastAsia="Arial" w:hAnsi="Arial"/>
                <w:sz w:val="16"/>
                <w:szCs w:val="16"/>
                <w:color w:val="auto"/>
              </w:rPr>
              <w:t>293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414</w:t>
            </w:r>
          </w:p>
        </w:tc>
        <w:tc>
          <w:tcPr>
            <w:tcW w:w="0" w:type="dxa"/>
            <w:vAlign w:val="bottom"/>
          </w:tcPr>
          <w:p>
            <w:pPr>
              <w:spacing w:after="0"/>
              <w:rPr>
                <w:sz w:val="1"/>
                <w:szCs w:val="1"/>
                <w:color w:val="auto"/>
              </w:rPr>
            </w:pPr>
          </w:p>
        </w:tc>
      </w:tr>
      <w:tr>
        <w:trPr>
          <w:trHeight w:val="237"/>
        </w:trPr>
        <w:tc>
          <w:tcPr>
            <w:tcW w:w="8120" w:type="dxa"/>
            <w:vAlign w:val="bottom"/>
          </w:tcPr>
          <w:p>
            <w:pPr>
              <w:ind w:left="40"/>
              <w:spacing w:after="0"/>
              <w:rPr>
                <w:sz w:val="20"/>
                <w:szCs w:val="20"/>
                <w:color w:val="auto"/>
              </w:rPr>
            </w:pPr>
            <w:r>
              <w:rPr>
                <w:rFonts w:ascii="Arial" w:cs="Arial" w:eastAsia="Arial" w:hAnsi="Arial"/>
                <w:sz w:val="16"/>
                <w:szCs w:val="16"/>
                <w:color w:val="auto"/>
              </w:rPr>
              <w:t>Short-term investments</w:t>
            </w:r>
          </w:p>
        </w:tc>
        <w:tc>
          <w:tcPr>
            <w:tcW w:w="140" w:type="dxa"/>
            <w:vAlign w:val="bottom"/>
          </w:tcPr>
          <w:p>
            <w:pPr>
              <w:spacing w:after="0"/>
              <w:rPr>
                <w:sz w:val="20"/>
                <w:szCs w:val="20"/>
                <w:color w:val="auto"/>
              </w:rPr>
            </w:pPr>
          </w:p>
        </w:tc>
        <w:tc>
          <w:tcPr>
            <w:tcW w:w="1580" w:type="dxa"/>
            <w:vAlign w:val="bottom"/>
            <w:gridSpan w:val="3"/>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(42)</w:t>
            </w:r>
          </w:p>
        </w:tc>
        <w:tc>
          <w:tcPr>
            <w:tcW w:w="0" w:type="dxa"/>
            <w:vAlign w:val="bottom"/>
          </w:tcPr>
          <w:p>
            <w:pPr>
              <w:spacing w:after="0"/>
              <w:rPr>
                <w:sz w:val="1"/>
                <w:szCs w:val="1"/>
                <w:color w:val="auto"/>
              </w:rPr>
            </w:pPr>
          </w:p>
        </w:tc>
      </w:tr>
      <w:tr>
        <w:trPr>
          <w:trHeight w:val="33"/>
        </w:trPr>
        <w:tc>
          <w:tcPr>
            <w:tcW w:w="8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w:t>
            </w:r>
          </w:p>
        </w:tc>
        <w:tc>
          <w:tcPr>
            <w:tcW w:w="14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w:t>
            </w:r>
          </w:p>
        </w:tc>
        <w:tc>
          <w:tcPr>
            <w:tcW w:w="0" w:type="dxa"/>
            <w:vAlign w:val="bottom"/>
          </w:tcPr>
          <w:p>
            <w:pPr>
              <w:spacing w:after="0"/>
              <w:rPr>
                <w:sz w:val="1"/>
                <w:szCs w:val="1"/>
                <w:color w:val="auto"/>
              </w:rPr>
            </w:pPr>
          </w:p>
        </w:tc>
      </w:tr>
      <w:tr>
        <w:trPr>
          <w:trHeight w:val="217"/>
        </w:trPr>
        <w:tc>
          <w:tcPr>
            <w:tcW w:w="8120" w:type="dxa"/>
            <w:vAlign w:val="bottom"/>
          </w:tcPr>
          <w:p>
            <w:pPr>
              <w:ind w:left="200"/>
              <w:spacing w:after="0"/>
              <w:rPr>
                <w:sz w:val="20"/>
                <w:szCs w:val="20"/>
                <w:color w:val="auto"/>
              </w:rPr>
            </w:pPr>
            <w:r>
              <w:rPr>
                <w:rFonts w:ascii="Arial" w:cs="Arial" w:eastAsia="Arial" w:hAnsi="Arial"/>
                <w:sz w:val="16"/>
                <w:szCs w:val="16"/>
                <w:color w:val="auto"/>
              </w:rPr>
              <w:t>Subtotal</w:t>
            </w:r>
          </w:p>
        </w:tc>
        <w:tc>
          <w:tcPr>
            <w:tcW w:w="14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gridSpan w:val="2"/>
          </w:tcPr>
          <w:p>
            <w:pPr>
              <w:jc w:val="right"/>
              <w:ind w:right="39"/>
              <w:spacing w:after="0"/>
              <w:rPr>
                <w:sz w:val="20"/>
                <w:szCs w:val="20"/>
                <w:color w:val="auto"/>
              </w:rPr>
            </w:pPr>
            <w:r>
              <w:rPr>
                <w:rFonts w:ascii="Arial" w:cs="Arial" w:eastAsia="Arial" w:hAnsi="Arial"/>
                <w:sz w:val="16"/>
                <w:szCs w:val="16"/>
                <w:color w:val="auto"/>
              </w:rPr>
              <w:t>4,770</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3,042</w:t>
            </w:r>
          </w:p>
        </w:tc>
        <w:tc>
          <w:tcPr>
            <w:tcW w:w="0" w:type="dxa"/>
            <w:vAlign w:val="bottom"/>
          </w:tcPr>
          <w:p>
            <w:pPr>
              <w:spacing w:after="0"/>
              <w:rPr>
                <w:sz w:val="1"/>
                <w:szCs w:val="1"/>
                <w:color w:val="auto"/>
              </w:rPr>
            </w:pPr>
          </w:p>
        </w:tc>
      </w:tr>
      <w:tr>
        <w:trPr>
          <w:trHeight w:val="33"/>
        </w:trPr>
        <w:tc>
          <w:tcPr>
            <w:tcW w:w="8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8120" w:type="dxa"/>
            <w:vAlign w:val="bottom"/>
            <w:shd w:val="clear" w:color="auto" w:fill="CCEEFF"/>
          </w:tcPr>
          <w:p>
            <w:pPr>
              <w:ind w:left="40"/>
              <w:spacing w:after="0"/>
              <w:rPr>
                <w:sz w:val="20"/>
                <w:szCs w:val="20"/>
                <w:color w:val="auto"/>
              </w:rPr>
            </w:pPr>
            <w:r>
              <w:rPr>
                <w:rFonts w:ascii="Arial" w:cs="Arial" w:eastAsia="Arial" w:hAnsi="Arial"/>
                <w:sz w:val="16"/>
                <w:szCs w:val="16"/>
                <w:color w:val="auto"/>
              </w:rPr>
              <w:t>Amounts allocated from:</w:t>
            </w:r>
          </w:p>
        </w:tc>
        <w:tc>
          <w:tcPr>
            <w:tcW w:w="1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60"/>
        </w:trPr>
        <w:tc>
          <w:tcPr>
            <w:tcW w:w="812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1220" w:type="dxa"/>
            <w:vAlign w:val="bottom"/>
            <w:shd w:val="clear" w:color="auto" w:fill="CCEEFF"/>
          </w:tcPr>
          <w:p>
            <w:pPr>
              <w:spacing w:after="0"/>
              <w:rPr>
                <w:sz w:val="5"/>
                <w:szCs w:val="5"/>
                <w:color w:val="auto"/>
              </w:rPr>
            </w:pPr>
          </w:p>
        </w:tc>
        <w:tc>
          <w:tcPr>
            <w:tcW w:w="26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142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37"/>
        </w:trPr>
        <w:tc>
          <w:tcPr>
            <w:tcW w:w="8120" w:type="dxa"/>
            <w:vAlign w:val="bottom"/>
          </w:tcPr>
          <w:p>
            <w:pPr>
              <w:ind w:left="40"/>
              <w:spacing w:after="0"/>
              <w:rPr>
                <w:sz w:val="20"/>
                <w:szCs w:val="20"/>
                <w:color w:val="auto"/>
              </w:rPr>
            </w:pPr>
            <w:r>
              <w:rPr>
                <w:rFonts w:ascii="Arial" w:cs="Arial" w:eastAsia="Arial" w:hAnsi="Arial"/>
                <w:sz w:val="16"/>
                <w:szCs w:val="16"/>
                <w:color w:val="auto"/>
              </w:rPr>
              <w:t>Future policy benefits</w:t>
            </w:r>
          </w:p>
        </w:tc>
        <w:tc>
          <w:tcPr>
            <w:tcW w:w="140" w:type="dxa"/>
            <w:vAlign w:val="bottom"/>
          </w:tcPr>
          <w:p>
            <w:pPr>
              <w:spacing w:after="0"/>
              <w:rPr>
                <w:sz w:val="20"/>
                <w:szCs w:val="20"/>
                <w:color w:val="auto"/>
              </w:rPr>
            </w:pPr>
          </w:p>
        </w:tc>
        <w:tc>
          <w:tcPr>
            <w:tcW w:w="1480" w:type="dxa"/>
            <w:vAlign w:val="bottom"/>
            <w:gridSpan w:val="2"/>
          </w:tcPr>
          <w:p>
            <w:pPr>
              <w:jc w:val="right"/>
              <w:spacing w:after="0"/>
              <w:rPr>
                <w:sz w:val="20"/>
                <w:szCs w:val="20"/>
                <w:color w:val="auto"/>
              </w:rPr>
            </w:pPr>
            <w:r>
              <w:rPr>
                <w:rFonts w:ascii="Arial" w:cs="Arial" w:eastAsia="Arial" w:hAnsi="Arial"/>
                <w:sz w:val="16"/>
                <w:szCs w:val="16"/>
                <w:color w:val="auto"/>
              </w:rPr>
              <w:t>(2,384)</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(802)</w:t>
            </w:r>
          </w:p>
        </w:tc>
        <w:tc>
          <w:tcPr>
            <w:tcW w:w="0" w:type="dxa"/>
            <w:vAlign w:val="bottom"/>
          </w:tcPr>
          <w:p>
            <w:pPr>
              <w:spacing w:after="0"/>
              <w:rPr>
                <w:sz w:val="1"/>
                <w:szCs w:val="1"/>
                <w:color w:val="auto"/>
              </w:rPr>
            </w:pPr>
          </w:p>
        </w:tc>
      </w:tr>
      <w:tr>
        <w:trPr>
          <w:trHeight w:val="33"/>
        </w:trPr>
        <w:tc>
          <w:tcPr>
            <w:tcW w:w="8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DAC and VOBA related to noncredit OTTI losses recognized in AOCI</w:t>
            </w:r>
          </w:p>
        </w:tc>
        <w:tc>
          <w:tcPr>
            <w:tcW w:w="1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37"/>
        </w:trPr>
        <w:tc>
          <w:tcPr>
            <w:tcW w:w="8120" w:type="dxa"/>
            <w:vAlign w:val="bottom"/>
          </w:tcPr>
          <w:p>
            <w:pPr>
              <w:ind w:left="40"/>
              <w:spacing w:after="0"/>
              <w:rPr>
                <w:sz w:val="20"/>
                <w:szCs w:val="20"/>
                <w:color w:val="auto"/>
              </w:rPr>
            </w:pPr>
            <w:r>
              <w:rPr>
                <w:rFonts w:ascii="Arial" w:cs="Arial" w:eastAsia="Arial" w:hAnsi="Arial"/>
                <w:sz w:val="16"/>
                <w:szCs w:val="16"/>
                <w:color w:val="auto"/>
              </w:rPr>
              <w:t>DAC, VOBA and DSI</w:t>
            </w:r>
          </w:p>
        </w:tc>
        <w:tc>
          <w:tcPr>
            <w:tcW w:w="140" w:type="dxa"/>
            <w:vAlign w:val="bottom"/>
          </w:tcPr>
          <w:p>
            <w:pPr>
              <w:spacing w:after="0"/>
              <w:rPr>
                <w:sz w:val="20"/>
                <w:szCs w:val="20"/>
                <w:color w:val="auto"/>
              </w:rPr>
            </w:pPr>
          </w:p>
        </w:tc>
        <w:tc>
          <w:tcPr>
            <w:tcW w:w="1480" w:type="dxa"/>
            <w:vAlign w:val="bottom"/>
            <w:gridSpan w:val="2"/>
          </w:tcPr>
          <w:p>
            <w:pPr>
              <w:jc w:val="right"/>
              <w:spacing w:after="0"/>
              <w:rPr>
                <w:sz w:val="20"/>
                <w:szCs w:val="20"/>
                <w:color w:val="auto"/>
              </w:rPr>
            </w:pPr>
            <w:r>
              <w:rPr>
                <w:rFonts w:ascii="Arial" w:cs="Arial" w:eastAsia="Arial" w:hAnsi="Arial"/>
                <w:sz w:val="16"/>
                <w:szCs w:val="16"/>
                <w:color w:val="auto"/>
              </w:rPr>
              <w:t>(299)</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(214)</w:t>
            </w:r>
          </w:p>
        </w:tc>
        <w:tc>
          <w:tcPr>
            <w:tcW w:w="0" w:type="dxa"/>
            <w:vAlign w:val="bottom"/>
          </w:tcPr>
          <w:p>
            <w:pPr>
              <w:spacing w:after="0"/>
              <w:rPr>
                <w:sz w:val="1"/>
                <w:szCs w:val="1"/>
                <w:color w:val="auto"/>
              </w:rPr>
            </w:pPr>
          </w:p>
        </w:tc>
      </w:tr>
      <w:tr>
        <w:trPr>
          <w:trHeight w:val="33"/>
        </w:trPr>
        <w:tc>
          <w:tcPr>
            <w:tcW w:w="8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81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Subtotal</w:t>
            </w:r>
          </w:p>
        </w:tc>
        <w:tc>
          <w:tcPr>
            <w:tcW w:w="14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(2,685)</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(1,018)</w:t>
            </w:r>
          </w:p>
        </w:tc>
        <w:tc>
          <w:tcPr>
            <w:tcW w:w="0" w:type="dxa"/>
            <w:vAlign w:val="bottom"/>
          </w:tcPr>
          <w:p>
            <w:pPr>
              <w:spacing w:after="0"/>
              <w:rPr>
                <w:sz w:val="1"/>
                <w:szCs w:val="1"/>
                <w:color w:val="auto"/>
              </w:rPr>
            </w:pPr>
          </w:p>
        </w:tc>
      </w:tr>
      <w:tr>
        <w:trPr>
          <w:trHeight w:val="237"/>
        </w:trPr>
        <w:tc>
          <w:tcPr>
            <w:tcW w:w="8120" w:type="dxa"/>
            <w:vAlign w:val="bottom"/>
          </w:tcPr>
          <w:p>
            <w:pPr>
              <w:ind w:left="40"/>
              <w:spacing w:after="0"/>
              <w:rPr>
                <w:sz w:val="20"/>
                <w:szCs w:val="20"/>
                <w:color w:val="auto"/>
              </w:rPr>
            </w:pPr>
            <w:r>
              <w:rPr>
                <w:rFonts w:ascii="Arial" w:cs="Arial" w:eastAsia="Arial" w:hAnsi="Arial"/>
                <w:sz w:val="16"/>
                <w:szCs w:val="16"/>
                <w:color w:val="auto"/>
              </w:rPr>
              <w:t>Deferred income tax benefit (expense) related to noncredit OTTI losses recognized in AOCI</w:t>
            </w:r>
          </w:p>
        </w:tc>
        <w:tc>
          <w:tcPr>
            <w:tcW w:w="140" w:type="dxa"/>
            <w:vAlign w:val="bottom"/>
          </w:tcPr>
          <w:p>
            <w:pPr>
              <w:spacing w:after="0"/>
              <w:rPr>
                <w:sz w:val="20"/>
                <w:szCs w:val="20"/>
                <w:color w:val="auto"/>
              </w:rPr>
            </w:pPr>
          </w:p>
        </w:tc>
        <w:tc>
          <w:tcPr>
            <w:tcW w:w="1480" w:type="dxa"/>
            <w:vAlign w:val="bottom"/>
            <w:gridSpan w:val="2"/>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8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Deferred income tax benefit (expense)</w:t>
            </w:r>
          </w:p>
        </w:tc>
        <w:tc>
          <w:tcPr>
            <w:tcW w:w="14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(732)</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(712)</w:t>
            </w:r>
          </w:p>
        </w:tc>
        <w:tc>
          <w:tcPr>
            <w:tcW w:w="0" w:type="dxa"/>
            <w:vAlign w:val="bottom"/>
          </w:tcPr>
          <w:p>
            <w:pPr>
              <w:spacing w:after="0"/>
              <w:rPr>
                <w:sz w:val="1"/>
                <w:szCs w:val="1"/>
                <w:color w:val="auto"/>
              </w:rPr>
            </w:pPr>
          </w:p>
        </w:tc>
      </w:tr>
      <w:tr>
        <w:trPr>
          <w:trHeight w:val="217"/>
        </w:trPr>
        <w:tc>
          <w:tcPr>
            <w:tcW w:w="8120" w:type="dxa"/>
            <w:vAlign w:val="bottom"/>
          </w:tcPr>
          <w:p>
            <w:pPr>
              <w:ind w:left="360"/>
              <w:spacing w:after="0"/>
              <w:rPr>
                <w:sz w:val="20"/>
                <w:szCs w:val="20"/>
                <w:color w:val="auto"/>
              </w:rPr>
            </w:pPr>
            <w:r>
              <w:rPr>
                <w:rFonts w:ascii="Arial" w:cs="Arial" w:eastAsia="Arial" w:hAnsi="Arial"/>
                <w:sz w:val="16"/>
                <w:szCs w:val="16"/>
                <w:color w:val="auto"/>
              </w:rPr>
              <w:t>Net unrealized investment gains (losses)</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480" w:type="dxa"/>
            <w:vAlign w:val="bottom"/>
            <w:tcBorders>
              <w:top w:val="single" w:sz="8" w:color="auto"/>
            </w:tcBorders>
            <w:gridSpan w:val="2"/>
          </w:tcPr>
          <w:p>
            <w:pPr>
              <w:jc w:val="right"/>
              <w:ind w:right="39"/>
              <w:spacing w:after="0"/>
              <w:rPr>
                <w:sz w:val="20"/>
                <w:szCs w:val="20"/>
                <w:color w:val="auto"/>
              </w:rPr>
            </w:pPr>
            <w:r>
              <w:rPr>
                <w:rFonts w:ascii="Arial" w:cs="Arial" w:eastAsia="Arial" w:hAnsi="Arial"/>
                <w:sz w:val="16"/>
                <w:szCs w:val="16"/>
                <w:color w:val="auto"/>
              </w:rPr>
              <w:t>1,352</w:t>
            </w:r>
          </w:p>
        </w:tc>
        <w:tc>
          <w:tcPr>
            <w:tcW w:w="10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1,312</w:t>
            </w:r>
          </w:p>
        </w:tc>
        <w:tc>
          <w:tcPr>
            <w:tcW w:w="0" w:type="dxa"/>
            <w:vAlign w:val="bottom"/>
          </w:tcPr>
          <w:p>
            <w:pPr>
              <w:spacing w:after="0"/>
              <w:rPr>
                <w:sz w:val="1"/>
                <w:szCs w:val="1"/>
                <w:color w:val="auto"/>
              </w:rPr>
            </w:pPr>
          </w:p>
        </w:tc>
      </w:tr>
      <w:tr>
        <w:trPr>
          <w:trHeight w:val="33"/>
        </w:trPr>
        <w:tc>
          <w:tcPr>
            <w:tcW w:w="8120" w:type="dxa"/>
            <w:vAlign w:val="bottom"/>
            <w:vMerge w:val="restart"/>
          </w:tcPr>
          <w:p>
            <w:pPr>
              <w:ind w:left="340"/>
              <w:spacing w:after="0"/>
              <w:rPr>
                <w:sz w:val="20"/>
                <w:szCs w:val="20"/>
                <w:color w:val="auto"/>
              </w:rPr>
            </w:pPr>
            <w:r>
              <w:rPr>
                <w:rFonts w:ascii="Arial" w:cs="Arial" w:eastAsia="Arial" w:hAnsi="Arial"/>
                <w:sz w:val="18"/>
                <w:szCs w:val="18"/>
                <w:color w:val="auto"/>
              </w:rPr>
              <w:t>The changes in net unrealized investment gains (losses) were as follows:</w:t>
            </w: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120" w:type="dxa"/>
            <w:vAlign w:val="bottom"/>
            <w:vMerge w:val="continue"/>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5"/>
        </w:trPr>
        <w:tc>
          <w:tcPr>
            <w:tcW w:w="812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2"/>
        </w:trPr>
        <w:tc>
          <w:tcPr>
            <w:tcW w:w="8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20" w:type="dxa"/>
            <w:vAlign w:val="bottom"/>
          </w:tcPr>
          <w:p>
            <w:pPr>
              <w:jc w:val="center"/>
              <w:ind w:right="420"/>
              <w:spacing w:after="0"/>
              <w:rPr>
                <w:sz w:val="20"/>
                <w:szCs w:val="20"/>
                <w:color w:val="auto"/>
              </w:rPr>
            </w:pPr>
            <w:r>
              <w:rPr>
                <w:rFonts w:ascii="Arial" w:cs="Arial" w:eastAsia="Arial" w:hAnsi="Arial"/>
                <w:sz w:val="14"/>
                <w:szCs w:val="14"/>
                <w:b w:val="1"/>
                <w:bCs w:val="1"/>
                <w:color w:val="auto"/>
                <w:w w:val="95"/>
              </w:rPr>
              <w:t>Nine Months</w:t>
            </w:r>
          </w:p>
        </w:tc>
        <w:tc>
          <w:tcPr>
            <w:tcW w:w="0" w:type="dxa"/>
            <w:vAlign w:val="bottom"/>
          </w:tcPr>
          <w:p>
            <w:pPr>
              <w:spacing w:after="0"/>
              <w:rPr>
                <w:sz w:val="1"/>
                <w:szCs w:val="1"/>
                <w:color w:val="auto"/>
              </w:rPr>
            </w:pPr>
          </w:p>
        </w:tc>
      </w:tr>
      <w:tr>
        <w:trPr>
          <w:trHeight w:val="149"/>
        </w:trPr>
        <w:tc>
          <w:tcPr>
            <w:tcW w:w="8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20" w:type="dxa"/>
            <w:vAlign w:val="bottom"/>
          </w:tcPr>
          <w:p>
            <w:pPr>
              <w:jc w:val="center"/>
              <w:ind w:right="380"/>
              <w:spacing w:after="0" w:line="149" w:lineRule="exact"/>
              <w:rPr>
                <w:sz w:val="20"/>
                <w:szCs w:val="20"/>
                <w:color w:val="auto"/>
              </w:rPr>
            </w:pPr>
            <w:r>
              <w:rPr>
                <w:rFonts w:ascii="Arial" w:cs="Arial" w:eastAsia="Arial" w:hAnsi="Arial"/>
                <w:sz w:val="14"/>
                <w:szCs w:val="14"/>
                <w:b w:val="1"/>
                <w:bCs w:val="1"/>
                <w:color w:val="auto"/>
                <w:w w:val="93"/>
              </w:rPr>
              <w:t>Ended</w:t>
            </w:r>
          </w:p>
        </w:tc>
        <w:tc>
          <w:tcPr>
            <w:tcW w:w="0" w:type="dxa"/>
            <w:vAlign w:val="bottom"/>
          </w:tcPr>
          <w:p>
            <w:pPr>
              <w:spacing w:after="0"/>
              <w:rPr>
                <w:sz w:val="1"/>
                <w:szCs w:val="1"/>
                <w:color w:val="auto"/>
              </w:rPr>
            </w:pPr>
          </w:p>
        </w:tc>
      </w:tr>
      <w:tr>
        <w:trPr>
          <w:trHeight w:val="192"/>
        </w:trPr>
        <w:tc>
          <w:tcPr>
            <w:tcW w:w="8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4"/>
                <w:szCs w:val="14"/>
                <w:b w:val="1"/>
                <w:bCs w:val="1"/>
                <w:color w:val="auto"/>
                <w:w w:val="91"/>
              </w:rPr>
              <w:t>September 30, 2017</w:t>
            </w:r>
          </w:p>
        </w:tc>
        <w:tc>
          <w:tcPr>
            <w:tcW w:w="0" w:type="dxa"/>
            <w:vAlign w:val="bottom"/>
          </w:tcPr>
          <w:p>
            <w:pPr>
              <w:spacing w:after="0"/>
              <w:rPr>
                <w:sz w:val="1"/>
                <w:szCs w:val="1"/>
                <w:color w:val="auto"/>
              </w:rPr>
            </w:pPr>
          </w:p>
        </w:tc>
      </w:tr>
      <w:tr>
        <w:trPr>
          <w:trHeight w:val="250"/>
        </w:trPr>
        <w:tc>
          <w:tcPr>
            <w:tcW w:w="8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tcPr>
          <w:p>
            <w:pPr>
              <w:jc w:val="center"/>
              <w:ind w:right="420"/>
              <w:spacing w:after="0"/>
              <w:rPr>
                <w:sz w:val="20"/>
                <w:szCs w:val="20"/>
                <w:color w:val="auto"/>
              </w:rPr>
            </w:pPr>
            <w:r>
              <w:rPr>
                <w:rFonts w:ascii="Arial" w:cs="Arial" w:eastAsia="Arial" w:hAnsi="Arial"/>
                <w:sz w:val="14"/>
                <w:szCs w:val="14"/>
                <w:b w:val="1"/>
                <w:bCs w:val="1"/>
                <w:color w:val="auto"/>
                <w:w w:val="96"/>
              </w:rPr>
              <w:t>(In millions)</w:t>
            </w:r>
          </w:p>
        </w:tc>
        <w:tc>
          <w:tcPr>
            <w:tcW w:w="0" w:type="dxa"/>
            <w:vAlign w:val="bottom"/>
          </w:tcPr>
          <w:p>
            <w:pPr>
              <w:spacing w:after="0"/>
              <w:rPr>
                <w:sz w:val="1"/>
                <w:szCs w:val="1"/>
                <w:color w:val="auto"/>
              </w:rPr>
            </w:pPr>
          </w:p>
        </w:tc>
      </w:tr>
      <w:tr>
        <w:trPr>
          <w:trHeight w:val="243"/>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Balance, beginning of period</w:t>
            </w:r>
          </w:p>
        </w:tc>
        <w:tc>
          <w:tcPr>
            <w:tcW w:w="1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gridSpan w:val="2"/>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1,312</w:t>
            </w:r>
          </w:p>
        </w:tc>
        <w:tc>
          <w:tcPr>
            <w:tcW w:w="0" w:type="dxa"/>
            <w:vAlign w:val="bottom"/>
          </w:tcPr>
          <w:p>
            <w:pPr>
              <w:spacing w:after="0"/>
              <w:rPr>
                <w:sz w:val="1"/>
                <w:szCs w:val="1"/>
                <w:color w:val="auto"/>
              </w:rPr>
            </w:pPr>
          </w:p>
        </w:tc>
      </w:tr>
      <w:tr>
        <w:trPr>
          <w:trHeight w:val="224"/>
        </w:trPr>
        <w:tc>
          <w:tcPr>
            <w:tcW w:w="8120" w:type="dxa"/>
            <w:vAlign w:val="bottom"/>
          </w:tcPr>
          <w:p>
            <w:pPr>
              <w:ind w:left="40"/>
              <w:spacing w:after="0"/>
              <w:rPr>
                <w:sz w:val="20"/>
                <w:szCs w:val="20"/>
                <w:color w:val="auto"/>
              </w:rPr>
            </w:pPr>
            <w:r>
              <w:rPr>
                <w:rFonts w:ascii="Arial" w:cs="Arial" w:eastAsia="Arial" w:hAnsi="Arial"/>
                <w:sz w:val="16"/>
                <w:szCs w:val="16"/>
                <w:color w:val="auto"/>
              </w:rPr>
              <w:t>Fixed maturity securities on which noncredit OTTI losses have been recognized</w:t>
            </w:r>
          </w:p>
        </w:tc>
        <w:tc>
          <w:tcPr>
            <w:tcW w:w="1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jc w:val="right"/>
              <w:ind w:right="20"/>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33"/>
        </w:trPr>
        <w:tc>
          <w:tcPr>
            <w:tcW w:w="8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Unrealized investment gains (losses) during the period</w:t>
            </w:r>
          </w:p>
        </w:tc>
        <w:tc>
          <w:tcPr>
            <w:tcW w:w="14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1,724</w:t>
            </w:r>
          </w:p>
        </w:tc>
        <w:tc>
          <w:tcPr>
            <w:tcW w:w="0" w:type="dxa"/>
            <w:vAlign w:val="bottom"/>
          </w:tcPr>
          <w:p>
            <w:pPr>
              <w:spacing w:after="0"/>
              <w:rPr>
                <w:sz w:val="1"/>
                <w:szCs w:val="1"/>
                <w:color w:val="auto"/>
              </w:rPr>
            </w:pPr>
          </w:p>
        </w:tc>
      </w:tr>
      <w:tr>
        <w:trPr>
          <w:trHeight w:val="224"/>
        </w:trPr>
        <w:tc>
          <w:tcPr>
            <w:tcW w:w="8120" w:type="dxa"/>
            <w:vAlign w:val="bottom"/>
          </w:tcPr>
          <w:p>
            <w:pPr>
              <w:ind w:left="40"/>
              <w:spacing w:after="0"/>
              <w:rPr>
                <w:sz w:val="20"/>
                <w:szCs w:val="20"/>
                <w:color w:val="auto"/>
              </w:rPr>
            </w:pPr>
            <w:r>
              <w:rPr>
                <w:rFonts w:ascii="Arial" w:cs="Arial" w:eastAsia="Arial" w:hAnsi="Arial"/>
                <w:sz w:val="16"/>
                <w:szCs w:val="16"/>
                <w:color w:val="auto"/>
              </w:rPr>
              <w:t>Unrealized investment gains (losses) relating to:</w:t>
            </w:r>
          </w:p>
        </w:tc>
        <w:tc>
          <w:tcPr>
            <w:tcW w:w="1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8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22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4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Future policy benefits</w:t>
            </w:r>
          </w:p>
        </w:tc>
        <w:tc>
          <w:tcPr>
            <w:tcW w:w="14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(1,582)</w:t>
            </w:r>
          </w:p>
        </w:tc>
        <w:tc>
          <w:tcPr>
            <w:tcW w:w="0" w:type="dxa"/>
            <w:vAlign w:val="bottom"/>
          </w:tcPr>
          <w:p>
            <w:pPr>
              <w:spacing w:after="0"/>
              <w:rPr>
                <w:sz w:val="1"/>
                <w:szCs w:val="1"/>
                <w:color w:val="auto"/>
              </w:rPr>
            </w:pPr>
          </w:p>
        </w:tc>
      </w:tr>
      <w:tr>
        <w:trPr>
          <w:trHeight w:val="224"/>
        </w:trPr>
        <w:tc>
          <w:tcPr>
            <w:tcW w:w="8120" w:type="dxa"/>
            <w:vAlign w:val="bottom"/>
          </w:tcPr>
          <w:p>
            <w:pPr>
              <w:ind w:left="40"/>
              <w:spacing w:after="0"/>
              <w:rPr>
                <w:sz w:val="20"/>
                <w:szCs w:val="20"/>
                <w:color w:val="auto"/>
              </w:rPr>
            </w:pPr>
            <w:r>
              <w:rPr>
                <w:rFonts w:ascii="Arial" w:cs="Arial" w:eastAsia="Arial" w:hAnsi="Arial"/>
                <w:sz w:val="16"/>
                <w:szCs w:val="16"/>
                <w:color w:val="auto"/>
              </w:rPr>
              <w:t>DAC, VOBA and DSI</w:t>
            </w:r>
          </w:p>
        </w:tc>
        <w:tc>
          <w:tcPr>
            <w:tcW w:w="1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(85)</w:t>
            </w:r>
          </w:p>
        </w:tc>
        <w:tc>
          <w:tcPr>
            <w:tcW w:w="0" w:type="dxa"/>
            <w:vAlign w:val="bottom"/>
          </w:tcPr>
          <w:p>
            <w:pPr>
              <w:spacing w:after="0"/>
              <w:rPr>
                <w:sz w:val="1"/>
                <w:szCs w:val="1"/>
                <w:color w:val="auto"/>
              </w:rPr>
            </w:pPr>
          </w:p>
        </w:tc>
      </w:tr>
      <w:tr>
        <w:trPr>
          <w:trHeight w:val="33"/>
        </w:trPr>
        <w:tc>
          <w:tcPr>
            <w:tcW w:w="8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Deferred income tax benefit (expense) related to noncredit OTTI losses recognized in AOCI</w:t>
            </w:r>
          </w:p>
        </w:tc>
        <w:tc>
          <w:tcPr>
            <w:tcW w:w="14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24"/>
        </w:trPr>
        <w:tc>
          <w:tcPr>
            <w:tcW w:w="8120" w:type="dxa"/>
            <w:vAlign w:val="bottom"/>
          </w:tcPr>
          <w:p>
            <w:pPr>
              <w:ind w:left="40"/>
              <w:spacing w:after="0"/>
              <w:rPr>
                <w:sz w:val="20"/>
                <w:szCs w:val="20"/>
                <w:color w:val="auto"/>
              </w:rPr>
            </w:pPr>
            <w:r>
              <w:rPr>
                <w:rFonts w:ascii="Arial" w:cs="Arial" w:eastAsia="Arial" w:hAnsi="Arial"/>
                <w:sz w:val="16"/>
                <w:szCs w:val="16"/>
                <w:color w:val="auto"/>
              </w:rPr>
              <w:t>Deferred income tax benefit (expense)</w:t>
            </w:r>
          </w:p>
        </w:tc>
        <w:tc>
          <w:tcPr>
            <w:tcW w:w="1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(20)</w:t>
            </w:r>
          </w:p>
        </w:tc>
        <w:tc>
          <w:tcPr>
            <w:tcW w:w="0" w:type="dxa"/>
            <w:vAlign w:val="bottom"/>
          </w:tcPr>
          <w:p>
            <w:pPr>
              <w:spacing w:after="0"/>
              <w:rPr>
                <w:sz w:val="1"/>
                <w:szCs w:val="1"/>
                <w:color w:val="auto"/>
              </w:rPr>
            </w:pPr>
          </w:p>
        </w:tc>
      </w:tr>
      <w:tr>
        <w:trPr>
          <w:trHeight w:val="33"/>
        </w:trPr>
        <w:tc>
          <w:tcPr>
            <w:tcW w:w="81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Balance, end of period</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1,352</w:t>
            </w:r>
          </w:p>
        </w:tc>
        <w:tc>
          <w:tcPr>
            <w:tcW w:w="0" w:type="dxa"/>
            <w:vAlign w:val="bottom"/>
          </w:tcPr>
          <w:p>
            <w:pPr>
              <w:spacing w:after="0"/>
              <w:rPr>
                <w:sz w:val="1"/>
                <w:szCs w:val="1"/>
                <w:color w:val="auto"/>
              </w:rPr>
            </w:pPr>
          </w:p>
        </w:tc>
      </w:tr>
      <w:tr>
        <w:trPr>
          <w:trHeight w:val="20"/>
        </w:trPr>
        <w:tc>
          <w:tcPr>
            <w:tcW w:w="812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6"/>
                <w:szCs w:val="16"/>
                <w:color w:val="auto"/>
              </w:rPr>
              <w:t>Change in net unrealized investment gains (losses)</w:t>
            </w:r>
          </w:p>
        </w:tc>
        <w:tc>
          <w:tcPr>
            <w:tcW w:w="14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812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1480" w:type="dxa"/>
            <w:vAlign w:val="bottom"/>
            <w:gridSpan w:val="2"/>
          </w:tcPr>
          <w:p>
            <w:pPr>
              <w:jc w:val="right"/>
              <w:ind w:right="5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20" w:type="dxa"/>
            <w:vAlign w:val="bottom"/>
          </w:tcPr>
          <w:p>
            <w:pPr>
              <w:jc w:val="right"/>
              <w:ind w:right="20"/>
              <w:spacing w:after="0"/>
              <w:rPr>
                <w:sz w:val="20"/>
                <w:szCs w:val="20"/>
                <w:color w:val="auto"/>
              </w:rPr>
            </w:pPr>
            <w:r>
              <w:rPr>
                <w:rFonts w:ascii="Arial" w:cs="Arial" w:eastAsia="Arial" w:hAnsi="Arial"/>
                <w:sz w:val="16"/>
                <w:szCs w:val="16"/>
                <w:color w:val="auto"/>
              </w:rPr>
              <w:t>40</w:t>
            </w:r>
          </w:p>
        </w:tc>
        <w:tc>
          <w:tcPr>
            <w:tcW w:w="0" w:type="dxa"/>
            <w:vAlign w:val="bottom"/>
          </w:tcPr>
          <w:p>
            <w:pPr>
              <w:spacing w:after="0"/>
              <w:rPr>
                <w:sz w:val="1"/>
                <w:szCs w:val="1"/>
                <w:color w:val="auto"/>
              </w:rPr>
            </w:pPr>
          </w:p>
        </w:tc>
      </w:tr>
      <w:tr>
        <w:trPr>
          <w:trHeight w:val="33"/>
        </w:trPr>
        <w:tc>
          <w:tcPr>
            <w:tcW w:w="8120" w:type="dxa"/>
            <w:vAlign w:val="bottom"/>
            <w:vMerge w:val="restart"/>
          </w:tcPr>
          <w:p>
            <w:pPr>
              <w:ind w:left="5620"/>
              <w:spacing w:after="0"/>
              <w:rPr>
                <w:sz w:val="20"/>
                <w:szCs w:val="20"/>
                <w:color w:val="auto"/>
              </w:rPr>
            </w:pPr>
            <w:r>
              <w:rPr>
                <w:rFonts w:ascii="Arial" w:cs="Arial" w:eastAsia="Arial" w:hAnsi="Arial"/>
                <w:sz w:val="18"/>
                <w:szCs w:val="18"/>
                <w:color w:val="auto"/>
              </w:rPr>
              <w:t>22</w:t>
            </w: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120" w:type="dxa"/>
            <w:vAlign w:val="bottom"/>
            <w:vMerge w:val="continu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812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34" w:right="239" w:bottom="1440" w:gutter="0" w:footer="0" w:header="0"/>
        </w:sectPr>
      </w:pPr>
    </w:p>
    <w:bookmarkStart w:id="24" w:name="page25"/>
    <w:bookmarkEnd w:id="24"/>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Brighthouse Financial, Inc.</w:t>
      </w:r>
    </w:p>
    <w:p>
      <w:pPr>
        <w:spacing w:after="0" w:line="117" w:lineRule="exact"/>
        <w:rPr>
          <w:sz w:val="20"/>
          <w:szCs w:val="20"/>
          <w:color w:val="auto"/>
        </w:rPr>
      </w:pPr>
    </w:p>
    <w:p>
      <w:pPr>
        <w:ind w:left="1480"/>
        <w:spacing w:after="0"/>
        <w:rPr>
          <w:sz w:val="20"/>
          <w:szCs w:val="20"/>
          <w:color w:val="auto"/>
        </w:rPr>
      </w:pPr>
      <w:r>
        <w:rPr>
          <w:rFonts w:ascii="Arial" w:cs="Arial" w:eastAsia="Arial" w:hAnsi="Arial"/>
          <w:sz w:val="18"/>
          <w:szCs w:val="18"/>
          <w:b w:val="1"/>
          <w:bCs w:val="1"/>
          <w:color w:val="auto"/>
        </w:rPr>
        <w:t>Notes to the Interim Condensed Consolidated and Combined Financial Statements (Unaudited) — (continued)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Investments (continued)</w:t>
      </w:r>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Concentrations of Credit Risk</w:t>
      </w:r>
    </w:p>
    <w:p>
      <w:pPr>
        <w:spacing w:after="0" w:line="117"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There were no investments in any counterparty that were greater than 10% of the Company’s equity, other than the U.S. government and its agencies, at both September 30, 2017 and December 31, 2016.</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Securities Lending</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Elements of the securities lending program are presented below at:</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4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tcPr>
          <w:p>
            <w:pPr>
              <w:jc w:val="right"/>
              <w:ind w:right="302"/>
              <w:spacing w:after="0"/>
              <w:rPr>
                <w:sz w:val="20"/>
                <w:szCs w:val="20"/>
                <w:color w:val="auto"/>
              </w:rPr>
            </w:pPr>
            <w:r>
              <w:rPr>
                <w:rFonts w:ascii="Arial" w:cs="Arial" w:eastAsia="Arial" w:hAnsi="Arial"/>
                <w:sz w:val="14"/>
                <w:szCs w:val="14"/>
                <w:b w:val="1"/>
                <w:bCs w:val="1"/>
                <w:color w:val="auto"/>
              </w:rPr>
              <w:t>September 30, 2017</w:t>
            </w:r>
          </w:p>
        </w:tc>
        <w:tc>
          <w:tcPr>
            <w:tcW w:w="44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jc w:val="right"/>
              <w:ind w:right="300"/>
              <w:spacing w:after="0"/>
              <w:rPr>
                <w:sz w:val="20"/>
                <w:szCs w:val="20"/>
                <w:color w:val="auto"/>
              </w:rPr>
            </w:pPr>
            <w:r>
              <w:rPr>
                <w:rFonts w:ascii="Arial" w:cs="Arial" w:eastAsia="Arial" w:hAnsi="Arial"/>
                <w:sz w:val="14"/>
                <w:szCs w:val="14"/>
                <w:b w:val="1"/>
                <w:bCs w:val="1"/>
                <w:color w:val="auto"/>
                <w:w w:val="93"/>
              </w:rPr>
              <w:t>December 31, 2016</w:t>
            </w:r>
          </w:p>
        </w:tc>
      </w:tr>
      <w:tr>
        <w:trPr>
          <w:trHeight w:val="250"/>
        </w:trPr>
        <w:tc>
          <w:tcPr>
            <w:tcW w:w="74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160" w:type="dxa"/>
            <w:vAlign w:val="bottom"/>
            <w:gridSpan w:val="2"/>
          </w:tcPr>
          <w:p>
            <w:pPr>
              <w:jc w:val="right"/>
              <w:spacing w:after="0"/>
              <w:rPr>
                <w:sz w:val="20"/>
                <w:szCs w:val="20"/>
                <w:color w:val="auto"/>
              </w:rPr>
            </w:pPr>
            <w:r>
              <w:rPr>
                <w:rFonts w:ascii="Arial" w:cs="Arial" w:eastAsia="Arial" w:hAnsi="Arial"/>
                <w:sz w:val="14"/>
                <w:szCs w:val="14"/>
                <w:b w:val="1"/>
                <w:bCs w:val="1"/>
                <w:color w:val="auto"/>
              </w:rPr>
              <w:t>(In millions)</w:t>
            </w:r>
          </w:p>
        </w:tc>
        <w:tc>
          <w:tcPr>
            <w:tcW w:w="1580" w:type="dxa"/>
            <w:vAlign w:val="bottom"/>
          </w:tcPr>
          <w:p>
            <w:pPr>
              <w:spacing w:after="0"/>
              <w:rPr>
                <w:sz w:val="21"/>
                <w:szCs w:val="21"/>
                <w:color w:val="auto"/>
              </w:rPr>
            </w:pPr>
          </w:p>
        </w:tc>
      </w:tr>
      <w:tr>
        <w:trPr>
          <w:trHeight w:val="256"/>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Securities on loan: (1)</w:t>
            </w:r>
          </w:p>
        </w:tc>
        <w:tc>
          <w:tcPr>
            <w:tcW w:w="240" w:type="dxa"/>
            <w:vAlign w:val="bottom"/>
            <w:tcBorders>
              <w:bottom w:val="single" w:sz="8" w:color="CCEEFF"/>
            </w:tcBorders>
            <w:shd w:val="clear" w:color="auto" w:fill="CCEEFF"/>
          </w:tcPr>
          <w:p>
            <w:pPr>
              <w:spacing w:after="0"/>
              <w:rPr>
                <w:sz w:val="22"/>
                <w:szCs w:val="22"/>
                <w:color w:val="auto"/>
              </w:rPr>
            </w:pPr>
          </w:p>
        </w:tc>
        <w:tc>
          <w:tcPr>
            <w:tcW w:w="17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1580" w:type="dxa"/>
            <w:vAlign w:val="bottom"/>
            <w:tcBorders>
              <w:bottom w:val="single" w:sz="8" w:color="CCEEFF"/>
            </w:tcBorders>
            <w:shd w:val="clear" w:color="auto" w:fill="CCEEFF"/>
          </w:tcPr>
          <w:p>
            <w:pPr>
              <w:spacing w:after="0"/>
              <w:rPr>
                <w:sz w:val="22"/>
                <w:szCs w:val="22"/>
                <w:color w:val="auto"/>
              </w:rPr>
            </w:pPr>
          </w:p>
        </w:tc>
      </w:tr>
      <w:tr>
        <w:trPr>
          <w:trHeight w:val="237"/>
        </w:trPr>
        <w:tc>
          <w:tcPr>
            <w:tcW w:w="7440" w:type="dxa"/>
            <w:vAlign w:val="bottom"/>
          </w:tcPr>
          <w:p>
            <w:pPr>
              <w:ind w:left="180"/>
              <w:spacing w:after="0"/>
              <w:rPr>
                <w:sz w:val="20"/>
                <w:szCs w:val="20"/>
                <w:color w:val="auto"/>
              </w:rPr>
            </w:pPr>
            <w:r>
              <w:rPr>
                <w:rFonts w:ascii="Arial" w:cs="Arial" w:eastAsia="Arial" w:hAnsi="Arial"/>
                <w:sz w:val="16"/>
                <w:szCs w:val="16"/>
                <w:color w:val="auto"/>
              </w:rPr>
              <w:t>Amortized cost</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720" w:type="dxa"/>
            <w:vAlign w:val="bottom"/>
          </w:tcPr>
          <w:p>
            <w:pPr>
              <w:jc w:val="right"/>
              <w:ind w:right="42"/>
              <w:spacing w:after="0"/>
              <w:rPr>
                <w:sz w:val="20"/>
                <w:szCs w:val="20"/>
                <w:color w:val="auto"/>
              </w:rPr>
            </w:pPr>
            <w:r>
              <w:rPr>
                <w:rFonts w:ascii="Arial" w:cs="Arial" w:eastAsia="Arial" w:hAnsi="Arial"/>
                <w:sz w:val="16"/>
                <w:szCs w:val="16"/>
                <w:color w:val="auto"/>
              </w:rPr>
              <w:t>3,169</w:t>
            </w:r>
          </w:p>
        </w:tc>
        <w:tc>
          <w:tcPr>
            <w:tcW w:w="4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580" w:type="dxa"/>
            <w:vAlign w:val="bottom"/>
          </w:tcPr>
          <w:p>
            <w:pPr>
              <w:jc w:val="right"/>
              <w:ind w:right="20"/>
              <w:spacing w:after="0"/>
              <w:rPr>
                <w:sz w:val="20"/>
                <w:szCs w:val="20"/>
                <w:color w:val="auto"/>
              </w:rPr>
            </w:pPr>
            <w:r>
              <w:rPr>
                <w:rFonts w:ascii="Arial" w:cs="Arial" w:eastAsia="Arial" w:hAnsi="Arial"/>
                <w:sz w:val="16"/>
                <w:szCs w:val="16"/>
                <w:color w:val="auto"/>
              </w:rPr>
              <w:t>5,895</w:t>
            </w:r>
          </w:p>
        </w:tc>
      </w:tr>
      <w:tr>
        <w:trPr>
          <w:trHeight w:val="33"/>
        </w:trPr>
        <w:tc>
          <w:tcPr>
            <w:tcW w:w="74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7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Estimated fair value</w:t>
            </w: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72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3,820</w:t>
            </w:r>
          </w:p>
        </w:tc>
        <w:tc>
          <w:tcPr>
            <w:tcW w:w="44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5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6,555</w:t>
            </w:r>
          </w:p>
        </w:tc>
      </w:tr>
      <w:tr>
        <w:trPr>
          <w:trHeight w:val="237"/>
        </w:trPr>
        <w:tc>
          <w:tcPr>
            <w:tcW w:w="7440" w:type="dxa"/>
            <w:vAlign w:val="bottom"/>
          </w:tcPr>
          <w:p>
            <w:pPr>
              <w:ind w:left="40"/>
              <w:spacing w:after="0"/>
              <w:rPr>
                <w:sz w:val="20"/>
                <w:szCs w:val="20"/>
                <w:color w:val="auto"/>
              </w:rPr>
            </w:pPr>
            <w:r>
              <w:rPr>
                <w:rFonts w:ascii="Arial" w:cs="Arial" w:eastAsia="Arial" w:hAnsi="Arial"/>
                <w:sz w:val="16"/>
                <w:szCs w:val="16"/>
                <w:color w:val="auto"/>
              </w:rPr>
              <w:t>Cash collateral received from counterparties (2)</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720" w:type="dxa"/>
            <w:vAlign w:val="bottom"/>
          </w:tcPr>
          <w:p>
            <w:pPr>
              <w:jc w:val="right"/>
              <w:ind w:right="42"/>
              <w:spacing w:after="0"/>
              <w:rPr>
                <w:sz w:val="20"/>
                <w:szCs w:val="20"/>
                <w:color w:val="auto"/>
              </w:rPr>
            </w:pPr>
            <w:r>
              <w:rPr>
                <w:rFonts w:ascii="Arial" w:cs="Arial" w:eastAsia="Arial" w:hAnsi="Arial"/>
                <w:sz w:val="16"/>
                <w:szCs w:val="16"/>
                <w:color w:val="auto"/>
              </w:rPr>
              <w:t>3,902</w:t>
            </w:r>
          </w:p>
        </w:tc>
        <w:tc>
          <w:tcPr>
            <w:tcW w:w="4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580" w:type="dxa"/>
            <w:vAlign w:val="bottom"/>
          </w:tcPr>
          <w:p>
            <w:pPr>
              <w:jc w:val="right"/>
              <w:ind w:right="20"/>
              <w:spacing w:after="0"/>
              <w:rPr>
                <w:sz w:val="20"/>
                <w:szCs w:val="20"/>
                <w:color w:val="auto"/>
              </w:rPr>
            </w:pPr>
            <w:r>
              <w:rPr>
                <w:rFonts w:ascii="Arial" w:cs="Arial" w:eastAsia="Arial" w:hAnsi="Arial"/>
                <w:sz w:val="16"/>
                <w:szCs w:val="16"/>
                <w:color w:val="auto"/>
              </w:rPr>
              <w:t>6,642</w:t>
            </w:r>
          </w:p>
        </w:tc>
      </w:tr>
      <w:tr>
        <w:trPr>
          <w:trHeight w:val="33"/>
        </w:trPr>
        <w:tc>
          <w:tcPr>
            <w:tcW w:w="74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7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Security collateral received from counterparties (3)</w:t>
            </w: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72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5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27</w:t>
            </w:r>
          </w:p>
        </w:tc>
      </w:tr>
      <w:tr>
        <w:trPr>
          <w:trHeight w:val="237"/>
        </w:trPr>
        <w:tc>
          <w:tcPr>
            <w:tcW w:w="7440" w:type="dxa"/>
            <w:vAlign w:val="bottom"/>
          </w:tcPr>
          <w:p>
            <w:pPr>
              <w:ind w:left="40"/>
              <w:spacing w:after="0"/>
              <w:rPr>
                <w:sz w:val="20"/>
                <w:szCs w:val="20"/>
                <w:color w:val="auto"/>
              </w:rPr>
            </w:pPr>
            <w:r>
              <w:rPr>
                <w:rFonts w:ascii="Arial" w:cs="Arial" w:eastAsia="Arial" w:hAnsi="Arial"/>
                <w:sz w:val="16"/>
                <w:szCs w:val="16"/>
                <w:color w:val="auto"/>
              </w:rPr>
              <w:t>Reinvestment portfolio — estimated fair value</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720" w:type="dxa"/>
            <w:vAlign w:val="bottom"/>
          </w:tcPr>
          <w:p>
            <w:pPr>
              <w:jc w:val="right"/>
              <w:ind w:right="42"/>
              <w:spacing w:after="0"/>
              <w:rPr>
                <w:sz w:val="20"/>
                <w:szCs w:val="20"/>
                <w:color w:val="auto"/>
              </w:rPr>
            </w:pPr>
            <w:r>
              <w:rPr>
                <w:rFonts w:ascii="Arial" w:cs="Arial" w:eastAsia="Arial" w:hAnsi="Arial"/>
                <w:sz w:val="16"/>
                <w:szCs w:val="16"/>
                <w:color w:val="auto"/>
              </w:rPr>
              <w:t>3,935</w:t>
            </w:r>
          </w:p>
        </w:tc>
        <w:tc>
          <w:tcPr>
            <w:tcW w:w="4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580" w:type="dxa"/>
            <w:vAlign w:val="bottom"/>
          </w:tcPr>
          <w:p>
            <w:pPr>
              <w:jc w:val="right"/>
              <w:ind w:right="20"/>
              <w:spacing w:after="0"/>
              <w:rPr>
                <w:sz w:val="20"/>
                <w:szCs w:val="20"/>
                <w:color w:val="auto"/>
              </w:rPr>
            </w:pPr>
            <w:r>
              <w:rPr>
                <w:rFonts w:ascii="Arial" w:cs="Arial" w:eastAsia="Arial" w:hAnsi="Arial"/>
                <w:sz w:val="16"/>
                <w:szCs w:val="16"/>
                <w:color w:val="auto"/>
              </w:rPr>
              <w:t>6,571</w:t>
            </w:r>
          </w:p>
        </w:tc>
      </w:tr>
      <w:tr>
        <w:trPr>
          <w:trHeight w:val="197"/>
        </w:trPr>
        <w:tc>
          <w:tcPr>
            <w:tcW w:w="7440" w:type="dxa"/>
            <w:vAlign w:val="bottom"/>
          </w:tcPr>
          <w:p>
            <w:pPr>
              <w:spacing w:after="0"/>
              <w:rPr>
                <w:sz w:val="20"/>
                <w:szCs w:val="20"/>
                <w:color w:val="auto"/>
              </w:rPr>
            </w:pPr>
            <w:r>
              <w:rPr>
                <w:rFonts w:ascii="Arial" w:cs="Arial" w:eastAsia="Arial" w:hAnsi="Arial"/>
                <w:sz w:val="14"/>
                <w:szCs w:val="14"/>
                <w:color w:val="auto"/>
              </w:rPr>
              <w:t>__________________</w:t>
            </w:r>
          </w:p>
        </w:tc>
        <w:tc>
          <w:tcPr>
            <w:tcW w:w="24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580" w:type="dxa"/>
            <w:vAlign w:val="bottom"/>
          </w:tcPr>
          <w:p>
            <w:pPr>
              <w:spacing w:after="0"/>
              <w:rPr>
                <w:sz w:val="17"/>
                <w:szCs w:val="17"/>
                <w:color w:val="auto"/>
              </w:rPr>
            </w:pPr>
          </w:p>
        </w:tc>
      </w:tr>
    </w:tbl>
    <w:p>
      <w:pPr>
        <w:spacing w:after="0" w:line="92" w:lineRule="exact"/>
        <w:rPr>
          <w:sz w:val="20"/>
          <w:szCs w:val="20"/>
          <w:color w:val="auto"/>
        </w:rPr>
      </w:pPr>
    </w:p>
    <w:p>
      <w:pPr>
        <w:ind w:left="500" w:hanging="492"/>
        <w:spacing w:after="0"/>
        <w:tabs>
          <w:tab w:leader="none" w:pos="5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Included within fixed maturity securities.</w:t>
      </w:r>
    </w:p>
    <w:p>
      <w:pPr>
        <w:spacing w:after="0" w:line="117" w:lineRule="exact"/>
        <w:rPr>
          <w:rFonts w:ascii="Arial" w:cs="Arial" w:eastAsia="Arial" w:hAnsi="Arial"/>
          <w:sz w:val="18"/>
          <w:szCs w:val="18"/>
          <w:color w:val="auto"/>
        </w:rPr>
      </w:pPr>
    </w:p>
    <w:p>
      <w:pPr>
        <w:ind w:left="500" w:hanging="492"/>
        <w:spacing w:after="0"/>
        <w:tabs>
          <w:tab w:leader="none" w:pos="5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Included within payables for collateral under securities loaned and other transactions.</w:t>
      </w:r>
    </w:p>
    <w:p>
      <w:pPr>
        <w:spacing w:after="0" w:line="117" w:lineRule="exact"/>
        <w:rPr>
          <w:rFonts w:ascii="Arial" w:cs="Arial" w:eastAsia="Arial" w:hAnsi="Arial"/>
          <w:sz w:val="18"/>
          <w:szCs w:val="18"/>
          <w:color w:val="auto"/>
        </w:rPr>
      </w:pPr>
    </w:p>
    <w:p>
      <w:pPr>
        <w:ind w:left="500" w:hanging="492"/>
        <w:spacing w:after="0" w:line="277" w:lineRule="auto"/>
        <w:tabs>
          <w:tab w:leader="none" w:pos="5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Security collateral received from counterparties may not be sold or re-pledged, unless the counterparty is in default, and is not reflected on the consolidated and combined financial statements.</w:t>
      </w:r>
    </w:p>
    <w:p>
      <w:pPr>
        <w:spacing w:after="0" w:line="6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cash collateral liability by loaned security type and remaining tenor of the agreements were as follows at:</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35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gridSpan w:val="3"/>
          </w:tcPr>
          <w:p>
            <w:pPr>
              <w:jc w:val="right"/>
              <w:ind w:right="31"/>
              <w:spacing w:after="0"/>
              <w:rPr>
                <w:sz w:val="20"/>
                <w:szCs w:val="20"/>
                <w:color w:val="auto"/>
              </w:rPr>
            </w:pPr>
            <w:r>
              <w:rPr>
                <w:rFonts w:ascii="Arial" w:cs="Arial" w:eastAsia="Arial" w:hAnsi="Arial"/>
                <w:sz w:val="13"/>
                <w:szCs w:val="13"/>
                <w:b w:val="1"/>
                <w:bCs w:val="1"/>
                <w:color w:val="auto"/>
              </w:rPr>
              <w:t>September 30, 2017</w:t>
            </w:r>
          </w:p>
        </w:tc>
        <w:tc>
          <w:tcPr>
            <w:tcW w:w="4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gridSpan w:val="3"/>
          </w:tcPr>
          <w:p>
            <w:pPr>
              <w:jc w:val="right"/>
              <w:spacing w:after="0"/>
              <w:rPr>
                <w:sz w:val="20"/>
                <w:szCs w:val="20"/>
                <w:color w:val="auto"/>
              </w:rPr>
            </w:pPr>
            <w:r>
              <w:rPr>
                <w:rFonts w:ascii="Arial" w:cs="Arial" w:eastAsia="Arial" w:hAnsi="Arial"/>
                <w:sz w:val="13"/>
                <w:szCs w:val="13"/>
                <w:b w:val="1"/>
                <w:bCs w:val="1"/>
                <w:color w:val="auto"/>
              </w:rPr>
              <w:t>December 31, 2016</w:t>
            </w:r>
          </w:p>
        </w:tc>
        <w:tc>
          <w:tcPr>
            <w:tcW w:w="4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64"/>
        </w:trPr>
        <w:tc>
          <w:tcPr>
            <w:tcW w:w="35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40" w:type="dxa"/>
            <w:vAlign w:val="bottom"/>
            <w:gridSpan w:val="8"/>
          </w:tcPr>
          <w:p>
            <w:pPr>
              <w:jc w:val="center"/>
              <w:ind w:right="200"/>
              <w:spacing w:after="0"/>
              <w:rPr>
                <w:sz w:val="20"/>
                <w:szCs w:val="20"/>
                <w:color w:val="auto"/>
              </w:rPr>
            </w:pPr>
            <w:r>
              <w:rPr>
                <w:rFonts w:ascii="Arial" w:cs="Arial" w:eastAsia="Arial" w:hAnsi="Arial"/>
                <w:sz w:val="13"/>
                <w:szCs w:val="13"/>
                <w:b w:val="1"/>
                <w:bCs w:val="1"/>
                <w:color w:val="auto"/>
                <w:w w:val="87"/>
              </w:rPr>
              <w:t>Remaining Tenor of Securities Lending Agreements</w:t>
            </w:r>
          </w:p>
        </w:tc>
        <w:tc>
          <w:tcPr>
            <w:tcW w:w="2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0" w:type="dxa"/>
            <w:vAlign w:val="bottom"/>
            <w:gridSpan w:val="9"/>
          </w:tcPr>
          <w:p>
            <w:pPr>
              <w:jc w:val="center"/>
              <w:ind w:right="100"/>
              <w:spacing w:after="0"/>
              <w:rPr>
                <w:sz w:val="20"/>
                <w:szCs w:val="20"/>
                <w:color w:val="auto"/>
              </w:rPr>
            </w:pPr>
            <w:r>
              <w:rPr>
                <w:rFonts w:ascii="Arial" w:cs="Arial" w:eastAsia="Arial" w:hAnsi="Arial"/>
                <w:sz w:val="13"/>
                <w:szCs w:val="13"/>
                <w:b w:val="1"/>
                <w:bCs w:val="1"/>
                <w:color w:val="auto"/>
                <w:w w:val="86"/>
              </w:rPr>
              <w:t>Remaining Tenor of Securities Lending Agreements</w:t>
            </w:r>
          </w:p>
        </w:tc>
        <w:tc>
          <w:tcPr>
            <w:tcW w:w="1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4"/>
        </w:trPr>
        <w:tc>
          <w:tcPr>
            <w:tcW w:w="354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gridSpan w:val="2"/>
          </w:tcPr>
          <w:p>
            <w:pPr>
              <w:jc w:val="center"/>
              <w:ind w:right="260"/>
              <w:spacing w:after="0" w:line="144" w:lineRule="exact"/>
              <w:rPr>
                <w:sz w:val="20"/>
                <w:szCs w:val="20"/>
                <w:color w:val="auto"/>
              </w:rPr>
            </w:pPr>
            <w:r>
              <w:rPr>
                <w:rFonts w:ascii="Arial" w:cs="Arial" w:eastAsia="Arial" w:hAnsi="Arial"/>
                <w:sz w:val="13"/>
                <w:szCs w:val="13"/>
                <w:b w:val="1"/>
                <w:bCs w:val="1"/>
                <w:color w:val="auto"/>
                <w:w w:val="93"/>
              </w:rPr>
              <w:t>1 Month or</w:t>
            </w:r>
          </w:p>
        </w:tc>
        <w:tc>
          <w:tcPr>
            <w:tcW w:w="50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gridSpan w:val="2"/>
          </w:tcPr>
          <w:p>
            <w:pPr>
              <w:jc w:val="center"/>
              <w:ind w:right="240"/>
              <w:spacing w:after="0" w:line="144" w:lineRule="exact"/>
              <w:rPr>
                <w:sz w:val="20"/>
                <w:szCs w:val="20"/>
                <w:color w:val="auto"/>
              </w:rPr>
            </w:pPr>
            <w:r>
              <w:rPr>
                <w:rFonts w:ascii="Arial" w:cs="Arial" w:eastAsia="Arial" w:hAnsi="Arial"/>
                <w:sz w:val="13"/>
                <w:szCs w:val="13"/>
                <w:b w:val="1"/>
                <w:bCs w:val="1"/>
                <w:color w:val="auto"/>
                <w:w w:val="90"/>
              </w:rPr>
              <w:t>1 Month or</w:t>
            </w:r>
          </w:p>
        </w:tc>
        <w:tc>
          <w:tcPr>
            <w:tcW w:w="42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35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gridSpan w:val="2"/>
          </w:tcPr>
          <w:p>
            <w:pPr>
              <w:ind w:left="120"/>
              <w:spacing w:after="0"/>
              <w:rPr>
                <w:sz w:val="20"/>
                <w:szCs w:val="20"/>
                <w:color w:val="auto"/>
              </w:rPr>
            </w:pPr>
            <w:r>
              <w:rPr>
                <w:rFonts w:ascii="Arial" w:cs="Arial" w:eastAsia="Arial" w:hAnsi="Arial"/>
                <w:sz w:val="13"/>
                <w:szCs w:val="13"/>
                <w:b w:val="1"/>
                <w:bCs w:val="1"/>
                <w:color w:val="auto"/>
              </w:rPr>
              <w:t>Open (1)</w:t>
            </w:r>
          </w:p>
        </w:tc>
        <w:tc>
          <w:tcPr>
            <w:tcW w:w="1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3"/>
                <w:szCs w:val="13"/>
                <w:b w:val="1"/>
                <w:bCs w:val="1"/>
                <w:color w:val="auto"/>
                <w:w w:val="80"/>
              </w:rPr>
              <w:t>Less</w:t>
            </w:r>
          </w:p>
        </w:tc>
        <w:tc>
          <w:tcPr>
            <w:tcW w:w="1040" w:type="dxa"/>
            <w:vAlign w:val="bottom"/>
            <w:tcBorders>
              <w:bottom w:val="single" w:sz="8" w:color="auto"/>
            </w:tcBorders>
            <w:gridSpan w:val="3"/>
          </w:tcPr>
          <w:p>
            <w:pPr>
              <w:ind w:left="80"/>
              <w:spacing w:after="0"/>
              <w:rPr>
                <w:sz w:val="20"/>
                <w:szCs w:val="20"/>
                <w:color w:val="auto"/>
              </w:rPr>
            </w:pPr>
            <w:r>
              <w:rPr>
                <w:rFonts w:ascii="Arial" w:cs="Arial" w:eastAsia="Arial" w:hAnsi="Arial"/>
                <w:sz w:val="13"/>
                <w:szCs w:val="13"/>
                <w:b w:val="1"/>
                <w:bCs w:val="1"/>
                <w:color w:val="auto"/>
              </w:rPr>
              <w:t>1 to 6 Months</w:t>
            </w:r>
          </w:p>
        </w:tc>
        <w:tc>
          <w:tcPr>
            <w:tcW w:w="2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gridSpan w:val="2"/>
          </w:tcPr>
          <w:p>
            <w:pPr>
              <w:ind w:left="80"/>
              <w:spacing w:after="0"/>
              <w:rPr>
                <w:sz w:val="20"/>
                <w:szCs w:val="20"/>
                <w:color w:val="auto"/>
              </w:rPr>
            </w:pPr>
            <w:r>
              <w:rPr>
                <w:rFonts w:ascii="Arial" w:cs="Arial" w:eastAsia="Arial" w:hAnsi="Arial"/>
                <w:sz w:val="13"/>
                <w:szCs w:val="13"/>
                <w:b w:val="1"/>
                <w:bCs w:val="1"/>
                <w:color w:val="auto"/>
              </w:rPr>
              <w:t>Total</w:t>
            </w:r>
          </w:p>
        </w:tc>
        <w:tc>
          <w:tcPr>
            <w:tcW w:w="2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gridSpan w:val="2"/>
          </w:tcPr>
          <w:p>
            <w:pPr>
              <w:spacing w:after="0"/>
              <w:rPr>
                <w:sz w:val="20"/>
                <w:szCs w:val="20"/>
                <w:color w:val="auto"/>
              </w:rPr>
            </w:pPr>
            <w:r>
              <w:rPr>
                <w:rFonts w:ascii="Arial" w:cs="Arial" w:eastAsia="Arial" w:hAnsi="Arial"/>
                <w:sz w:val="13"/>
                <w:szCs w:val="13"/>
                <w:b w:val="1"/>
                <w:bCs w:val="1"/>
                <w:color w:val="auto"/>
              </w:rPr>
              <w:t>Open (1)</w:t>
            </w:r>
          </w:p>
        </w:tc>
        <w:tc>
          <w:tcPr>
            <w:tcW w:w="1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3"/>
                <w:szCs w:val="13"/>
                <w:b w:val="1"/>
                <w:bCs w:val="1"/>
                <w:color w:val="auto"/>
                <w:w w:val="80"/>
              </w:rPr>
              <w:t>Less</w:t>
            </w:r>
          </w:p>
        </w:tc>
        <w:tc>
          <w:tcPr>
            <w:tcW w:w="1000" w:type="dxa"/>
            <w:vAlign w:val="bottom"/>
            <w:tcBorders>
              <w:bottom w:val="single" w:sz="8" w:color="auto"/>
            </w:tcBorders>
            <w:gridSpan w:val="3"/>
          </w:tcPr>
          <w:p>
            <w:pPr>
              <w:ind w:left="80"/>
              <w:spacing w:after="0"/>
              <w:rPr>
                <w:sz w:val="20"/>
                <w:szCs w:val="20"/>
                <w:color w:val="auto"/>
              </w:rPr>
            </w:pPr>
            <w:r>
              <w:rPr>
                <w:rFonts w:ascii="Arial" w:cs="Arial" w:eastAsia="Arial" w:hAnsi="Arial"/>
                <w:sz w:val="13"/>
                <w:szCs w:val="13"/>
                <w:b w:val="1"/>
                <w:bCs w:val="1"/>
                <w:color w:val="auto"/>
              </w:rPr>
              <w:t>1 to 6 Months</w:t>
            </w:r>
          </w:p>
        </w:tc>
        <w:tc>
          <w:tcPr>
            <w:tcW w:w="18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ind w:right="189"/>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249"/>
        </w:trPr>
        <w:tc>
          <w:tcPr>
            <w:tcW w:w="3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gridSpan w:val="3"/>
          </w:tcPr>
          <w:p>
            <w:pPr>
              <w:jc w:val="right"/>
              <w:spacing w:after="0"/>
              <w:rPr>
                <w:sz w:val="20"/>
                <w:szCs w:val="20"/>
                <w:color w:val="auto"/>
              </w:rPr>
            </w:pPr>
            <w:r>
              <w:rPr>
                <w:rFonts w:ascii="Arial" w:cs="Arial" w:eastAsia="Arial" w:hAnsi="Arial"/>
                <w:sz w:val="13"/>
                <w:szCs w:val="13"/>
                <w:b w:val="1"/>
                <w:bCs w:val="1"/>
                <w:color w:val="auto"/>
              </w:rPr>
              <w:t>(In millions)</w:t>
            </w:r>
          </w:p>
        </w:tc>
        <w:tc>
          <w:tcPr>
            <w:tcW w:w="6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8"/>
        </w:trPr>
        <w:tc>
          <w:tcPr>
            <w:tcW w:w="3540" w:type="dxa"/>
            <w:vAlign w:val="bottom"/>
            <w:shd w:val="clear" w:color="auto" w:fill="CCEEFF"/>
          </w:tcPr>
          <w:p>
            <w:pPr>
              <w:ind w:left="40"/>
              <w:spacing w:after="0"/>
              <w:rPr>
                <w:sz w:val="20"/>
                <w:szCs w:val="20"/>
                <w:color w:val="auto"/>
              </w:rPr>
            </w:pPr>
            <w:r>
              <w:rPr>
                <w:rFonts w:ascii="Arial" w:cs="Arial" w:eastAsia="Arial" w:hAnsi="Arial"/>
                <w:sz w:val="14"/>
                <w:szCs w:val="14"/>
                <w:color w:val="auto"/>
              </w:rPr>
              <w:t>Cash collateral liability by loaned security type:</w:t>
            </w:r>
          </w:p>
        </w:tc>
        <w:tc>
          <w:tcPr>
            <w:tcW w:w="12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3540" w:type="dxa"/>
            <w:vAlign w:val="bottom"/>
          </w:tcPr>
          <w:p>
            <w:pPr>
              <w:ind w:left="40"/>
              <w:spacing w:after="0"/>
              <w:rPr>
                <w:sz w:val="20"/>
                <w:szCs w:val="20"/>
                <w:color w:val="auto"/>
              </w:rPr>
            </w:pPr>
            <w:r>
              <w:rPr>
                <w:rFonts w:ascii="Arial" w:cs="Arial" w:eastAsia="Arial" w:hAnsi="Arial"/>
                <w:sz w:val="14"/>
                <w:szCs w:val="14"/>
                <w:color w:val="auto"/>
              </w:rPr>
              <w:t>U.S. government and agency</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50"/>
              <w:spacing w:after="0"/>
              <w:rPr>
                <w:sz w:val="20"/>
                <w:szCs w:val="20"/>
                <w:color w:val="auto"/>
              </w:rPr>
            </w:pPr>
            <w:r>
              <w:rPr>
                <w:rFonts w:ascii="Arial" w:cs="Arial" w:eastAsia="Arial" w:hAnsi="Arial"/>
                <w:sz w:val="14"/>
                <w:szCs w:val="14"/>
                <w:color w:val="auto"/>
              </w:rPr>
              <w:t>1,480</w:t>
            </w:r>
          </w:p>
        </w:tc>
        <w:tc>
          <w:tcPr>
            <w:tcW w:w="1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51"/>
              <w:spacing w:after="0"/>
              <w:rPr>
                <w:sz w:val="20"/>
                <w:szCs w:val="20"/>
                <w:color w:val="auto"/>
              </w:rPr>
            </w:pPr>
            <w:r>
              <w:rPr>
                <w:rFonts w:ascii="Arial" w:cs="Arial" w:eastAsia="Arial" w:hAnsi="Arial"/>
                <w:sz w:val="14"/>
                <w:szCs w:val="14"/>
                <w:color w:val="auto"/>
              </w:rPr>
              <w:t>1,512</w:t>
            </w:r>
          </w:p>
        </w:tc>
        <w:tc>
          <w:tcPr>
            <w:tcW w:w="120" w:type="dxa"/>
            <w:vAlign w:val="bottom"/>
          </w:tcPr>
          <w:p>
            <w:pPr>
              <w:spacing w:after="0"/>
              <w:rPr>
                <w:sz w:val="22"/>
                <w:szCs w:val="22"/>
                <w:color w:val="auto"/>
              </w:rPr>
            </w:pPr>
          </w:p>
        </w:tc>
        <w:tc>
          <w:tcPr>
            <w:tcW w:w="500" w:type="dxa"/>
            <w:vAlign w:val="bottom"/>
          </w:tcPr>
          <w:p>
            <w:pPr>
              <w:jc w:val="right"/>
              <w:ind w:right="331"/>
              <w:spacing w:after="0"/>
              <w:rPr>
                <w:sz w:val="20"/>
                <w:szCs w:val="20"/>
                <w:color w:val="auto"/>
              </w:rPr>
            </w:pPr>
            <w:r>
              <w:rPr>
                <w:rFonts w:ascii="Arial" w:cs="Arial" w:eastAsia="Arial" w:hAnsi="Arial"/>
                <w:sz w:val="14"/>
                <w:szCs w:val="14"/>
                <w:color w:val="auto"/>
              </w:rPr>
              <w:t>$</w:t>
            </w:r>
          </w:p>
        </w:tc>
        <w:tc>
          <w:tcPr>
            <w:tcW w:w="420" w:type="dxa"/>
            <w:vAlign w:val="bottom"/>
          </w:tcPr>
          <w:p>
            <w:pPr>
              <w:jc w:val="right"/>
              <w:ind w:right="48"/>
              <w:spacing w:after="0"/>
              <w:rPr>
                <w:sz w:val="20"/>
                <w:szCs w:val="20"/>
                <w:color w:val="auto"/>
              </w:rPr>
            </w:pPr>
            <w:r>
              <w:rPr>
                <w:rFonts w:ascii="Arial" w:cs="Arial" w:eastAsia="Arial" w:hAnsi="Arial"/>
                <w:sz w:val="14"/>
                <w:szCs w:val="14"/>
                <w:color w:val="auto"/>
              </w:rPr>
              <w:t>910</w:t>
            </w:r>
          </w:p>
        </w:tc>
        <w:tc>
          <w:tcPr>
            <w:tcW w:w="120" w:type="dxa"/>
            <w:vAlign w:val="bottom"/>
          </w:tcPr>
          <w:p>
            <w:pPr>
              <w:spacing w:after="0"/>
              <w:rPr>
                <w:sz w:val="22"/>
                <w:szCs w:val="22"/>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640" w:type="dxa"/>
            <w:vAlign w:val="bottom"/>
          </w:tcPr>
          <w:p>
            <w:pPr>
              <w:jc w:val="right"/>
              <w:ind w:right="70"/>
              <w:spacing w:after="0"/>
              <w:rPr>
                <w:sz w:val="20"/>
                <w:szCs w:val="20"/>
                <w:color w:val="auto"/>
              </w:rPr>
            </w:pPr>
            <w:r>
              <w:rPr>
                <w:rFonts w:ascii="Arial" w:cs="Arial" w:eastAsia="Arial" w:hAnsi="Arial"/>
                <w:sz w:val="14"/>
                <w:szCs w:val="14"/>
                <w:color w:val="auto"/>
              </w:rPr>
              <w:t>3,902</w:t>
            </w:r>
          </w:p>
        </w:tc>
        <w:tc>
          <w:tcPr>
            <w:tcW w:w="100" w:type="dxa"/>
            <w:vAlign w:val="bottom"/>
          </w:tcPr>
          <w:p>
            <w:pPr>
              <w:spacing w:after="0"/>
              <w:rPr>
                <w:sz w:val="22"/>
                <w:szCs w:val="22"/>
                <w:color w:val="auto"/>
              </w:rPr>
            </w:pPr>
          </w:p>
        </w:tc>
        <w:tc>
          <w:tcPr>
            <w:tcW w:w="200" w:type="dxa"/>
            <w:vAlign w:val="bottom"/>
          </w:tcPr>
          <w:p>
            <w:pPr>
              <w:jc w:val="right"/>
              <w:ind w:right="31"/>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29"/>
              <w:spacing w:after="0"/>
              <w:rPr>
                <w:sz w:val="20"/>
                <w:szCs w:val="20"/>
                <w:color w:val="auto"/>
              </w:rPr>
            </w:pPr>
            <w:r>
              <w:rPr>
                <w:rFonts w:ascii="Arial" w:cs="Arial" w:eastAsia="Arial" w:hAnsi="Arial"/>
                <w:sz w:val="14"/>
                <w:szCs w:val="14"/>
                <w:color w:val="auto"/>
              </w:rPr>
              <w:t>2,129</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31"/>
              <w:spacing w:after="0"/>
              <w:rPr>
                <w:sz w:val="20"/>
                <w:szCs w:val="20"/>
                <w:color w:val="auto"/>
              </w:rPr>
            </w:pPr>
            <w:r>
              <w:rPr>
                <w:rFonts w:ascii="Arial" w:cs="Arial" w:eastAsia="Arial" w:hAnsi="Arial"/>
                <w:sz w:val="14"/>
                <w:szCs w:val="14"/>
                <w:color w:val="auto"/>
              </w:rPr>
              <w:t>1,906</w:t>
            </w:r>
          </w:p>
        </w:tc>
        <w:tc>
          <w:tcPr>
            <w:tcW w:w="120" w:type="dxa"/>
            <w:vAlign w:val="bottom"/>
          </w:tcPr>
          <w:p>
            <w:pPr>
              <w:spacing w:after="0"/>
              <w:rPr>
                <w:sz w:val="22"/>
                <w:szCs w:val="22"/>
                <w:color w:val="auto"/>
              </w:rPr>
            </w:pPr>
          </w:p>
        </w:tc>
        <w:tc>
          <w:tcPr>
            <w:tcW w:w="420" w:type="dxa"/>
            <w:vAlign w:val="bottom"/>
          </w:tcPr>
          <w:p>
            <w:pPr>
              <w:jc w:val="right"/>
              <w:ind w:right="251"/>
              <w:spacing w:after="0"/>
              <w:rPr>
                <w:sz w:val="20"/>
                <w:szCs w:val="20"/>
                <w:color w:val="auto"/>
              </w:rPr>
            </w:pPr>
            <w:r>
              <w:rPr>
                <w:rFonts w:ascii="Arial" w:cs="Arial" w:eastAsia="Arial" w:hAnsi="Arial"/>
                <w:sz w:val="14"/>
                <w:szCs w:val="14"/>
                <w:color w:val="auto"/>
              </w:rPr>
              <w:t>$</w:t>
            </w:r>
          </w:p>
        </w:tc>
        <w:tc>
          <w:tcPr>
            <w:tcW w:w="460" w:type="dxa"/>
            <w:vAlign w:val="bottom"/>
          </w:tcPr>
          <w:p>
            <w:pPr>
              <w:jc w:val="right"/>
              <w:ind w:right="28"/>
              <w:spacing w:after="0"/>
              <w:rPr>
                <w:sz w:val="20"/>
                <w:szCs w:val="20"/>
                <w:color w:val="auto"/>
              </w:rPr>
            </w:pPr>
            <w:r>
              <w:rPr>
                <w:rFonts w:ascii="Arial" w:cs="Arial" w:eastAsia="Arial" w:hAnsi="Arial"/>
                <w:sz w:val="14"/>
                <w:szCs w:val="14"/>
                <w:color w:val="auto"/>
                <w:w w:val="96"/>
              </w:rPr>
              <w:t>1,743</w:t>
            </w:r>
          </w:p>
        </w:tc>
        <w:tc>
          <w:tcPr>
            <w:tcW w:w="120" w:type="dxa"/>
            <w:vAlign w:val="bottom"/>
          </w:tcPr>
          <w:p>
            <w:pPr>
              <w:spacing w:after="0"/>
              <w:rPr>
                <w:sz w:val="22"/>
                <w:szCs w:val="22"/>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600" w:type="dxa"/>
            <w:vAlign w:val="bottom"/>
          </w:tcPr>
          <w:p>
            <w:pPr>
              <w:jc w:val="right"/>
              <w:ind w:right="29"/>
              <w:spacing w:after="0"/>
              <w:rPr>
                <w:sz w:val="20"/>
                <w:szCs w:val="20"/>
                <w:color w:val="auto"/>
              </w:rPr>
            </w:pPr>
            <w:r>
              <w:rPr>
                <w:rFonts w:ascii="Arial" w:cs="Arial" w:eastAsia="Arial" w:hAnsi="Arial"/>
                <w:sz w:val="14"/>
                <w:szCs w:val="14"/>
                <w:color w:val="auto"/>
              </w:rPr>
              <w:t>5,778</w:t>
            </w:r>
          </w:p>
        </w:tc>
        <w:tc>
          <w:tcPr>
            <w:tcW w:w="0" w:type="dxa"/>
            <w:vAlign w:val="bottom"/>
          </w:tcPr>
          <w:p>
            <w:pPr>
              <w:spacing w:after="0"/>
              <w:rPr>
                <w:sz w:val="1"/>
                <w:szCs w:val="1"/>
                <w:color w:val="auto"/>
              </w:rPr>
            </w:pPr>
          </w:p>
        </w:tc>
      </w:tr>
      <w:tr>
        <w:trPr>
          <w:trHeight w:val="276"/>
        </w:trPr>
        <w:tc>
          <w:tcPr>
            <w:tcW w:w="3540" w:type="dxa"/>
            <w:vAlign w:val="bottom"/>
            <w:shd w:val="clear" w:color="auto" w:fill="CCEEFF"/>
          </w:tcPr>
          <w:p>
            <w:pPr>
              <w:ind w:left="40"/>
              <w:spacing w:after="0"/>
              <w:rPr>
                <w:sz w:val="20"/>
                <w:szCs w:val="20"/>
                <w:color w:val="auto"/>
              </w:rPr>
            </w:pPr>
            <w:r>
              <w:rPr>
                <w:rFonts w:ascii="Arial" w:cs="Arial" w:eastAsia="Arial" w:hAnsi="Arial"/>
                <w:sz w:val="14"/>
                <w:szCs w:val="14"/>
                <w:color w:val="auto"/>
              </w:rPr>
              <w:t>U.S. corporate</w:t>
            </w:r>
          </w:p>
        </w:tc>
        <w:tc>
          <w:tcPr>
            <w:tcW w:w="120" w:type="dxa"/>
            <w:vAlign w:val="bottom"/>
            <w:shd w:val="clear" w:color="auto" w:fill="CCEEFF"/>
          </w:tcPr>
          <w:p>
            <w:pPr>
              <w:spacing w:after="0"/>
              <w:rPr>
                <w:sz w:val="24"/>
                <w:szCs w:val="24"/>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spacing w:after="0"/>
              <w:rPr>
                <w:sz w:val="24"/>
                <w:szCs w:val="24"/>
                <w:color w:val="auto"/>
              </w:rPr>
            </w:pPr>
          </w:p>
        </w:tc>
        <w:tc>
          <w:tcPr>
            <w:tcW w:w="5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4"/>
                <w:szCs w:val="24"/>
                <w:color w:val="auto"/>
              </w:rPr>
            </w:pP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4"/>
                <w:szCs w:val="24"/>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480</w:t>
            </w:r>
          </w:p>
        </w:tc>
        <w:tc>
          <w:tcPr>
            <w:tcW w:w="1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5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480</w:t>
            </w:r>
          </w:p>
        </w:tc>
        <w:tc>
          <w:tcPr>
            <w:tcW w:w="0" w:type="dxa"/>
            <w:vAlign w:val="bottom"/>
          </w:tcPr>
          <w:p>
            <w:pPr>
              <w:spacing w:after="0"/>
              <w:rPr>
                <w:sz w:val="1"/>
                <w:szCs w:val="1"/>
                <w:color w:val="auto"/>
              </w:rPr>
            </w:pPr>
          </w:p>
        </w:tc>
      </w:tr>
      <w:tr>
        <w:trPr>
          <w:trHeight w:val="264"/>
        </w:trPr>
        <w:tc>
          <w:tcPr>
            <w:tcW w:w="3540" w:type="dxa"/>
            <w:vAlign w:val="bottom"/>
          </w:tcPr>
          <w:p>
            <w:pPr>
              <w:ind w:left="40"/>
              <w:spacing w:after="0"/>
              <w:rPr>
                <w:sz w:val="20"/>
                <w:szCs w:val="20"/>
                <w:color w:val="auto"/>
              </w:rPr>
            </w:pPr>
            <w:r>
              <w:rPr>
                <w:rFonts w:ascii="Arial" w:cs="Arial" w:eastAsia="Arial" w:hAnsi="Arial"/>
                <w:sz w:val="14"/>
                <w:szCs w:val="14"/>
                <w:color w:val="auto"/>
              </w:rPr>
              <w:t>Agency RMBS</w:t>
            </w:r>
          </w:p>
        </w:tc>
        <w:tc>
          <w:tcPr>
            <w:tcW w:w="120" w:type="dxa"/>
            <w:vAlign w:val="bottom"/>
          </w:tcPr>
          <w:p>
            <w:pPr>
              <w:spacing w:after="0"/>
              <w:rPr>
                <w:sz w:val="22"/>
                <w:szCs w:val="22"/>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500" w:type="dxa"/>
            <w:vAlign w:val="bottom"/>
          </w:tcPr>
          <w:p>
            <w:pPr>
              <w:spacing w:after="0"/>
              <w:rPr>
                <w:sz w:val="22"/>
                <w:szCs w:val="22"/>
                <w:color w:val="auto"/>
              </w:rPr>
            </w:pPr>
          </w:p>
        </w:tc>
        <w:tc>
          <w:tcPr>
            <w:tcW w:w="5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22"/>
                <w:szCs w:val="22"/>
                <w:color w:val="auto"/>
              </w:rPr>
            </w:pPr>
          </w:p>
        </w:tc>
        <w:tc>
          <w:tcPr>
            <w:tcW w:w="460" w:type="dxa"/>
            <w:vAlign w:val="bottom"/>
          </w:tcPr>
          <w:p>
            <w:pPr>
              <w:jc w:val="right"/>
              <w:ind w:right="28"/>
              <w:spacing w:after="0"/>
              <w:rPr>
                <w:sz w:val="20"/>
                <w:szCs w:val="20"/>
                <w:color w:val="auto"/>
              </w:rPr>
            </w:pPr>
            <w:r>
              <w:rPr>
                <w:rFonts w:ascii="Arial" w:cs="Arial" w:eastAsia="Arial" w:hAnsi="Arial"/>
                <w:sz w:val="14"/>
                <w:szCs w:val="14"/>
                <w:color w:val="auto"/>
              </w:rPr>
              <w:t>274</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0" w:type="dxa"/>
            <w:vAlign w:val="bottom"/>
          </w:tcPr>
          <w:p>
            <w:pPr>
              <w:jc w:val="right"/>
              <w:ind w:right="29"/>
              <w:spacing w:after="0"/>
              <w:rPr>
                <w:sz w:val="20"/>
                <w:szCs w:val="20"/>
                <w:color w:val="auto"/>
              </w:rPr>
            </w:pPr>
            <w:r>
              <w:rPr>
                <w:rFonts w:ascii="Arial" w:cs="Arial" w:eastAsia="Arial" w:hAnsi="Arial"/>
                <w:sz w:val="14"/>
                <w:szCs w:val="14"/>
                <w:color w:val="auto"/>
              </w:rPr>
              <w:t>274</w:t>
            </w:r>
          </w:p>
        </w:tc>
        <w:tc>
          <w:tcPr>
            <w:tcW w:w="0" w:type="dxa"/>
            <w:vAlign w:val="bottom"/>
          </w:tcPr>
          <w:p>
            <w:pPr>
              <w:spacing w:after="0"/>
              <w:rPr>
                <w:sz w:val="1"/>
                <w:szCs w:val="1"/>
                <w:color w:val="auto"/>
              </w:rPr>
            </w:pPr>
          </w:p>
        </w:tc>
      </w:tr>
      <w:tr>
        <w:trPr>
          <w:trHeight w:val="276"/>
        </w:trPr>
        <w:tc>
          <w:tcPr>
            <w:tcW w:w="3540" w:type="dxa"/>
            <w:vAlign w:val="bottom"/>
            <w:shd w:val="clear" w:color="auto" w:fill="CCEEFF"/>
          </w:tcPr>
          <w:p>
            <w:pPr>
              <w:ind w:left="40"/>
              <w:spacing w:after="0"/>
              <w:rPr>
                <w:sz w:val="20"/>
                <w:szCs w:val="20"/>
                <w:color w:val="auto"/>
              </w:rPr>
            </w:pPr>
            <w:r>
              <w:rPr>
                <w:rFonts w:ascii="Arial" w:cs="Arial" w:eastAsia="Arial" w:hAnsi="Arial"/>
                <w:sz w:val="14"/>
                <w:szCs w:val="14"/>
                <w:color w:val="auto"/>
              </w:rPr>
              <w:t>Foreign corporate</w:t>
            </w:r>
          </w:p>
        </w:tc>
        <w:tc>
          <w:tcPr>
            <w:tcW w:w="120" w:type="dxa"/>
            <w:vAlign w:val="bottom"/>
            <w:shd w:val="clear" w:color="auto" w:fill="CCEEFF"/>
          </w:tcPr>
          <w:p>
            <w:pPr>
              <w:spacing w:after="0"/>
              <w:rPr>
                <w:sz w:val="24"/>
                <w:szCs w:val="24"/>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spacing w:after="0"/>
              <w:rPr>
                <w:sz w:val="24"/>
                <w:szCs w:val="24"/>
                <w:color w:val="auto"/>
              </w:rPr>
            </w:pPr>
          </w:p>
        </w:tc>
        <w:tc>
          <w:tcPr>
            <w:tcW w:w="5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4"/>
                <w:szCs w:val="24"/>
                <w:color w:val="auto"/>
              </w:rPr>
            </w:pP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4"/>
                <w:szCs w:val="24"/>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58</w:t>
            </w:r>
          </w:p>
        </w:tc>
        <w:tc>
          <w:tcPr>
            <w:tcW w:w="1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5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58</w:t>
            </w:r>
          </w:p>
        </w:tc>
        <w:tc>
          <w:tcPr>
            <w:tcW w:w="0" w:type="dxa"/>
            <w:vAlign w:val="bottom"/>
          </w:tcPr>
          <w:p>
            <w:pPr>
              <w:spacing w:after="0"/>
              <w:rPr>
                <w:sz w:val="1"/>
                <w:szCs w:val="1"/>
                <w:color w:val="auto"/>
              </w:rPr>
            </w:pPr>
          </w:p>
        </w:tc>
      </w:tr>
      <w:tr>
        <w:trPr>
          <w:trHeight w:val="264"/>
        </w:trPr>
        <w:tc>
          <w:tcPr>
            <w:tcW w:w="3540" w:type="dxa"/>
            <w:vAlign w:val="bottom"/>
          </w:tcPr>
          <w:p>
            <w:pPr>
              <w:ind w:left="40"/>
              <w:spacing w:after="0"/>
              <w:rPr>
                <w:sz w:val="20"/>
                <w:szCs w:val="20"/>
                <w:color w:val="auto"/>
              </w:rPr>
            </w:pPr>
            <w:r>
              <w:rPr>
                <w:rFonts w:ascii="Arial" w:cs="Arial" w:eastAsia="Arial" w:hAnsi="Arial"/>
                <w:sz w:val="14"/>
                <w:szCs w:val="14"/>
                <w:color w:val="auto"/>
              </w:rPr>
              <w:t>Foreign government</w:t>
            </w:r>
          </w:p>
        </w:tc>
        <w:tc>
          <w:tcPr>
            <w:tcW w:w="120" w:type="dxa"/>
            <w:vAlign w:val="bottom"/>
          </w:tcPr>
          <w:p>
            <w:pPr>
              <w:spacing w:after="0"/>
              <w:rPr>
                <w:sz w:val="22"/>
                <w:szCs w:val="22"/>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500" w:type="dxa"/>
            <w:vAlign w:val="bottom"/>
          </w:tcPr>
          <w:p>
            <w:pPr>
              <w:spacing w:after="0"/>
              <w:rPr>
                <w:sz w:val="22"/>
                <w:szCs w:val="22"/>
                <w:color w:val="auto"/>
              </w:rPr>
            </w:pPr>
          </w:p>
        </w:tc>
        <w:tc>
          <w:tcPr>
            <w:tcW w:w="5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760" w:type="dxa"/>
            <w:vAlign w:val="bottom"/>
          </w:tcPr>
          <w:p>
            <w:pPr>
              <w:jc w:val="right"/>
              <w:ind w:right="31"/>
              <w:spacing w:after="0"/>
              <w:rPr>
                <w:sz w:val="20"/>
                <w:szCs w:val="20"/>
                <w:color w:val="auto"/>
              </w:rPr>
            </w:pPr>
            <w:r>
              <w:rPr>
                <w:rFonts w:ascii="Arial" w:cs="Arial" w:eastAsia="Arial" w:hAnsi="Arial"/>
                <w:sz w:val="14"/>
                <w:szCs w:val="14"/>
                <w:color w:val="auto"/>
              </w:rPr>
              <w:t>52</w:t>
            </w: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600" w:type="dxa"/>
            <w:vAlign w:val="bottom"/>
          </w:tcPr>
          <w:p>
            <w:pPr>
              <w:jc w:val="right"/>
              <w:ind w:right="29"/>
              <w:spacing w:after="0"/>
              <w:rPr>
                <w:sz w:val="20"/>
                <w:szCs w:val="20"/>
                <w:color w:val="auto"/>
              </w:rPr>
            </w:pPr>
            <w:r>
              <w:rPr>
                <w:rFonts w:ascii="Arial" w:cs="Arial" w:eastAsia="Arial" w:hAnsi="Arial"/>
                <w:sz w:val="14"/>
                <w:szCs w:val="14"/>
                <w:color w:val="auto"/>
              </w:rPr>
              <w:t>52</w:t>
            </w:r>
          </w:p>
        </w:tc>
        <w:tc>
          <w:tcPr>
            <w:tcW w:w="0" w:type="dxa"/>
            <w:vAlign w:val="bottom"/>
          </w:tcPr>
          <w:p>
            <w:pPr>
              <w:spacing w:after="0"/>
              <w:rPr>
                <w:sz w:val="1"/>
                <w:szCs w:val="1"/>
                <w:color w:val="auto"/>
              </w:rPr>
            </w:pPr>
          </w:p>
        </w:tc>
      </w:tr>
      <w:tr>
        <w:trPr>
          <w:trHeight w:val="243"/>
        </w:trPr>
        <w:tc>
          <w:tcPr>
            <w:tcW w:w="3540" w:type="dxa"/>
            <w:vAlign w:val="bottom"/>
            <w:tcBorders>
              <w:top w:val="single" w:sz="8" w:color="CCEEFF"/>
              <w:bottom w:val="single" w:sz="8" w:color="CCEEFF"/>
            </w:tcBorders>
            <w:shd w:val="clear" w:color="auto" w:fill="CCEEFF"/>
          </w:tcPr>
          <w:p>
            <w:pPr>
              <w:ind w:left="200"/>
              <w:spacing w:after="0"/>
              <w:rPr>
                <w:sz w:val="20"/>
                <w:szCs w:val="20"/>
                <w:color w:val="auto"/>
              </w:rPr>
            </w:pPr>
            <w:r>
              <w:rPr>
                <w:rFonts w:ascii="Arial" w:cs="Arial" w:eastAsia="Arial" w:hAnsi="Arial"/>
                <w:sz w:val="14"/>
                <w:szCs w:val="14"/>
                <w:color w:val="auto"/>
              </w:rPr>
              <w:t>Total</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rPr>
              <w:t>1,480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bottom w:val="single" w:sz="8" w:color="auto"/>
            </w:tcBorders>
            <w:shd w:val="clear" w:color="auto" w:fill="CCEEFF"/>
          </w:tcPr>
          <w:p>
            <w:pPr>
              <w:jc w:val="right"/>
              <w:ind w:right="51"/>
              <w:spacing w:after="0"/>
              <w:rPr>
                <w:sz w:val="20"/>
                <w:szCs w:val="20"/>
                <w:color w:val="auto"/>
              </w:rPr>
            </w:pPr>
            <w:r>
              <w:rPr>
                <w:rFonts w:ascii="Arial" w:cs="Arial" w:eastAsia="Arial" w:hAnsi="Arial"/>
                <w:sz w:val="14"/>
                <w:szCs w:val="14"/>
                <w:color w:val="auto"/>
              </w:rPr>
              <w:t>1,512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500" w:type="dxa"/>
            <w:vAlign w:val="bottom"/>
            <w:tcBorders>
              <w:top w:val="single" w:sz="8" w:color="auto"/>
              <w:bottom w:val="single" w:sz="8" w:color="auto"/>
            </w:tcBorders>
            <w:shd w:val="clear" w:color="auto" w:fill="CCEEFF"/>
          </w:tcPr>
          <w:p>
            <w:pPr>
              <w:jc w:val="right"/>
              <w:ind w:right="331"/>
              <w:spacing w:after="0"/>
              <w:rPr>
                <w:sz w:val="20"/>
                <w:szCs w:val="20"/>
                <w:color w:val="auto"/>
              </w:rPr>
            </w:pPr>
            <w:r>
              <w:rPr>
                <w:rFonts w:ascii="Arial" w:cs="Arial" w:eastAsia="Arial" w:hAnsi="Arial"/>
                <w:sz w:val="14"/>
                <w:szCs w:val="14"/>
                <w:color w:val="auto"/>
              </w:rPr>
              <w:t>$</w:t>
            </w:r>
          </w:p>
        </w:tc>
        <w:tc>
          <w:tcPr>
            <w:tcW w:w="42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910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64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4"/>
                <w:szCs w:val="14"/>
                <w:color w:val="auto"/>
              </w:rPr>
              <w:t>3,902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31"/>
              <w:spacing w:after="0"/>
              <w:rPr>
                <w:sz w:val="20"/>
                <w:szCs w:val="20"/>
                <w:color w:val="auto"/>
              </w:rPr>
            </w:pPr>
            <w:r>
              <w:rPr>
                <w:rFonts w:ascii="Arial" w:cs="Arial" w:eastAsia="Arial" w:hAnsi="Arial"/>
                <w:sz w:val="14"/>
                <w:szCs w:val="14"/>
                <w:color w:val="auto"/>
              </w:rPr>
              <w:t>$</w:t>
            </w:r>
          </w:p>
        </w:tc>
        <w:tc>
          <w:tcPr>
            <w:tcW w:w="680" w:type="dxa"/>
            <w:vAlign w:val="bottom"/>
            <w:tcBorders>
              <w:top w:val="single" w:sz="8" w:color="auto"/>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2,129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bottom w:val="single" w:sz="8" w:color="auto"/>
            </w:tcBorders>
            <w:shd w:val="clear" w:color="auto" w:fill="CCEEFF"/>
          </w:tcPr>
          <w:p>
            <w:pPr>
              <w:jc w:val="right"/>
              <w:ind w:right="31"/>
              <w:spacing w:after="0"/>
              <w:rPr>
                <w:sz w:val="20"/>
                <w:szCs w:val="20"/>
                <w:color w:val="auto"/>
              </w:rPr>
            </w:pPr>
            <w:r>
              <w:rPr>
                <w:rFonts w:ascii="Arial" w:cs="Arial" w:eastAsia="Arial" w:hAnsi="Arial"/>
                <w:sz w:val="14"/>
                <w:szCs w:val="14"/>
                <w:color w:val="auto"/>
              </w:rPr>
              <w:t>2,496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420" w:type="dxa"/>
            <w:vAlign w:val="bottom"/>
            <w:tcBorders>
              <w:top w:val="single" w:sz="8" w:color="auto"/>
              <w:bottom w:val="single" w:sz="8" w:color="auto"/>
            </w:tcBorders>
            <w:shd w:val="clear" w:color="auto" w:fill="CCEEFF"/>
          </w:tcPr>
          <w:p>
            <w:pPr>
              <w:jc w:val="right"/>
              <w:ind w:right="251"/>
              <w:spacing w:after="0"/>
              <w:rPr>
                <w:sz w:val="20"/>
                <w:szCs w:val="20"/>
                <w:color w:val="auto"/>
              </w:rPr>
            </w:pPr>
            <w:r>
              <w:rPr>
                <w:rFonts w:ascii="Arial" w:cs="Arial" w:eastAsia="Arial" w:hAnsi="Arial"/>
                <w:sz w:val="14"/>
                <w:szCs w:val="14"/>
                <w:color w:val="auto"/>
              </w:rPr>
              <w:t>$</w:t>
            </w:r>
          </w:p>
        </w:tc>
        <w:tc>
          <w:tcPr>
            <w:tcW w:w="46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w w:val="96"/>
              </w:rPr>
              <w:t>2,017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600" w:type="dxa"/>
            <w:vAlign w:val="bottom"/>
            <w:tcBorders>
              <w:top w:val="single" w:sz="8" w:color="auto"/>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6,642</w:t>
            </w:r>
          </w:p>
        </w:tc>
        <w:tc>
          <w:tcPr>
            <w:tcW w:w="0" w:type="dxa"/>
            <w:vAlign w:val="bottom"/>
          </w:tcPr>
          <w:p>
            <w:pPr>
              <w:spacing w:after="0"/>
              <w:rPr>
                <w:sz w:val="1"/>
                <w:szCs w:val="1"/>
                <w:color w:val="auto"/>
              </w:rPr>
            </w:pPr>
          </w:p>
        </w:tc>
      </w:tr>
      <w:tr>
        <w:trPr>
          <w:trHeight w:val="20"/>
        </w:trPr>
        <w:tc>
          <w:tcPr>
            <w:tcW w:w="3540" w:type="dxa"/>
            <w:vAlign w:val="bottom"/>
            <w:vMerge w:val="restart"/>
          </w:tcPr>
          <w:p>
            <w:pPr>
              <w:spacing w:after="0"/>
              <w:rPr>
                <w:sz w:val="20"/>
                <w:szCs w:val="20"/>
                <w:color w:val="auto"/>
              </w:rPr>
            </w:pPr>
            <w:r>
              <w:rPr>
                <w:rFonts w:ascii="Arial" w:cs="Arial" w:eastAsia="Arial" w:hAnsi="Arial"/>
                <w:sz w:val="14"/>
                <w:szCs w:val="14"/>
                <w:color w:val="auto"/>
              </w:rPr>
              <w:t>__________________</w:t>
            </w: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354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92" w:lineRule="exact"/>
        <w:rPr>
          <w:sz w:val="20"/>
          <w:szCs w:val="20"/>
          <w:color w:val="auto"/>
        </w:rPr>
      </w:pPr>
    </w:p>
    <w:p>
      <w:pPr>
        <w:ind w:left="500" w:right="20" w:hanging="492"/>
        <w:spacing w:after="0" w:line="277" w:lineRule="auto"/>
        <w:tabs>
          <w:tab w:leader="none" w:pos="5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related loaned security could be returned to the Company on the next business day which would require the Company to immediately return the cash collateral.</w:t>
      </w:r>
    </w:p>
    <w:p>
      <w:pPr>
        <w:spacing w:after="0" w:line="62"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If the Company is required to return significant amounts of cash collateral on short notice and is forced to sell securities to meet the return obligation, it may have difficulty selling such collateral that is invested in securities in a timely manner, be forced to sell securities in a volatile or illiquid market for less than what otherwise would have been realized under normal market conditions, or both. The estimated fair value of the securities on loan related to the cash collateral on open at September 30, 2017 was $1.4 billion, all of which were U.S. government and agency securities which, if put back to the Company, could be immediately sold to satisfy the cash requirement.</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234" w:right="239" w:bottom="1440" w:gutter="0" w:footer="0" w:header="0"/>
        </w:sectPr>
      </w:pPr>
    </w:p>
    <w:bookmarkStart w:id="25" w:name="page26"/>
    <w:bookmarkEnd w:id="25"/>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109" w:lineRule="exact"/>
        <w:rPr>
          <w:sz w:val="20"/>
          <w:szCs w:val="20"/>
          <w:color w:val="auto"/>
        </w:rPr>
      </w:pPr>
    </w:p>
    <w:p>
      <w:pPr>
        <w:ind w:left="4660"/>
        <w:spacing w:after="0"/>
        <w:rPr>
          <w:sz w:val="20"/>
          <w:szCs w:val="20"/>
          <w:color w:val="auto"/>
        </w:rPr>
      </w:pPr>
      <w:r>
        <w:rPr>
          <w:rFonts w:ascii="Arial" w:cs="Arial" w:eastAsia="Arial" w:hAnsi="Arial"/>
          <w:sz w:val="18"/>
          <w:szCs w:val="18"/>
          <w:b w:val="1"/>
          <w:bCs w:val="1"/>
          <w:color w:val="auto"/>
        </w:rPr>
        <w:t>Brighthouse Financial, Inc.</w:t>
      </w:r>
    </w:p>
    <w:p>
      <w:pPr>
        <w:spacing w:after="0" w:line="117" w:lineRule="exact"/>
        <w:rPr>
          <w:sz w:val="20"/>
          <w:szCs w:val="20"/>
          <w:color w:val="auto"/>
        </w:rPr>
      </w:pPr>
    </w:p>
    <w:p>
      <w:pPr>
        <w:ind w:left="1480"/>
        <w:spacing w:after="0"/>
        <w:rPr>
          <w:sz w:val="20"/>
          <w:szCs w:val="20"/>
          <w:color w:val="auto"/>
        </w:rPr>
      </w:pPr>
      <w:r>
        <w:rPr>
          <w:rFonts w:ascii="Arial" w:cs="Arial" w:eastAsia="Arial" w:hAnsi="Arial"/>
          <w:sz w:val="18"/>
          <w:szCs w:val="18"/>
          <w:b w:val="1"/>
          <w:bCs w:val="1"/>
          <w:color w:val="auto"/>
        </w:rPr>
        <w:t>Notes to the Interim Condensed Consolidated and Combined Financial Statements (Unaudited) — (continued)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Investments (continued)</w:t>
      </w:r>
    </w:p>
    <w:p>
      <w:pPr>
        <w:spacing w:after="0" w:line="364"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reinvestment portfolio acquired with the cash collateral consisted principally of fixed maturity securities (including agency RMBS, ABS, U.S. and foreign corporate securities, U.S. government and agency securities and non-agency RMBS) with 60% invested in agency RMBS, U.S. government and agency securities, short-term investments, cash equivalents, or held in cash at September 30, 2017. If the securities on loan or the reinvestment portfolio become less liquid, the Company has the liquidity resources of most of its general account available to meet any potential cash demands when securities on loan are put back to the Company.</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Invested Assets on Deposit, Held in Trust and Pledged as Collateral</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Invested assets on deposit, held in trust and pledged as collateral are presented below at estimated fair value at:</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4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2"/>
          </w:tcPr>
          <w:p>
            <w:pPr>
              <w:ind w:left="140"/>
              <w:spacing w:after="0"/>
              <w:rPr>
                <w:sz w:val="20"/>
                <w:szCs w:val="20"/>
                <w:color w:val="auto"/>
              </w:rPr>
            </w:pPr>
            <w:r>
              <w:rPr>
                <w:rFonts w:ascii="Arial" w:cs="Arial" w:eastAsia="Arial" w:hAnsi="Arial"/>
                <w:sz w:val="14"/>
                <w:szCs w:val="14"/>
                <w:b w:val="1"/>
                <w:bCs w:val="1"/>
                <w:color w:val="auto"/>
              </w:rPr>
              <w:t>September 30, 2017</w:t>
            </w:r>
          </w:p>
        </w:tc>
        <w:tc>
          <w:tcPr>
            <w:tcW w:w="34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jc w:val="right"/>
              <w:ind w:right="301"/>
              <w:spacing w:after="0"/>
              <w:rPr>
                <w:sz w:val="20"/>
                <w:szCs w:val="20"/>
                <w:color w:val="auto"/>
              </w:rPr>
            </w:pPr>
            <w:r>
              <w:rPr>
                <w:rFonts w:ascii="Arial" w:cs="Arial" w:eastAsia="Arial" w:hAnsi="Arial"/>
                <w:sz w:val="14"/>
                <w:szCs w:val="14"/>
                <w:b w:val="1"/>
                <w:bCs w:val="1"/>
                <w:color w:val="auto"/>
                <w:w w:val="93"/>
              </w:rPr>
              <w:t>December 31, 2016</w:t>
            </w:r>
          </w:p>
        </w:tc>
      </w:tr>
      <w:tr>
        <w:trPr>
          <w:trHeight w:val="250"/>
        </w:trPr>
        <w:tc>
          <w:tcPr>
            <w:tcW w:w="74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16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millions)</w:t>
            </w:r>
          </w:p>
        </w:tc>
        <w:tc>
          <w:tcPr>
            <w:tcW w:w="1580" w:type="dxa"/>
            <w:vAlign w:val="bottom"/>
          </w:tcPr>
          <w:p>
            <w:pPr>
              <w:spacing w:after="0"/>
              <w:rPr>
                <w:sz w:val="21"/>
                <w:szCs w:val="21"/>
                <w:color w:val="auto"/>
              </w:rPr>
            </w:pPr>
          </w:p>
        </w:tc>
      </w:tr>
      <w:tr>
        <w:trPr>
          <w:trHeight w:val="256"/>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Invested assets on deposit (regulatory deposits)</w:t>
            </w: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72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8,096</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5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7,648</w:t>
            </w:r>
          </w:p>
        </w:tc>
      </w:tr>
      <w:tr>
        <w:trPr>
          <w:trHeight w:val="237"/>
        </w:trPr>
        <w:tc>
          <w:tcPr>
            <w:tcW w:w="7440" w:type="dxa"/>
            <w:vAlign w:val="bottom"/>
          </w:tcPr>
          <w:p>
            <w:pPr>
              <w:ind w:left="40"/>
              <w:spacing w:after="0"/>
              <w:rPr>
                <w:sz w:val="20"/>
                <w:szCs w:val="20"/>
                <w:color w:val="auto"/>
              </w:rPr>
            </w:pPr>
            <w:r>
              <w:rPr>
                <w:rFonts w:ascii="Arial" w:cs="Arial" w:eastAsia="Arial" w:hAnsi="Arial"/>
                <w:sz w:val="16"/>
                <w:szCs w:val="16"/>
                <w:color w:val="auto"/>
              </w:rPr>
              <w:t>Invested assets held in trust (reinsurance agreements)</w:t>
            </w:r>
          </w:p>
        </w:tc>
        <w:tc>
          <w:tcPr>
            <w:tcW w:w="240" w:type="dxa"/>
            <w:vAlign w:val="bottom"/>
          </w:tcPr>
          <w:p>
            <w:pPr>
              <w:spacing w:after="0"/>
              <w:rPr>
                <w:sz w:val="20"/>
                <w:szCs w:val="20"/>
                <w:color w:val="auto"/>
              </w:rPr>
            </w:pPr>
          </w:p>
        </w:tc>
        <w:tc>
          <w:tcPr>
            <w:tcW w:w="1720" w:type="dxa"/>
            <w:vAlign w:val="bottom"/>
          </w:tcPr>
          <w:p>
            <w:pPr>
              <w:jc w:val="right"/>
              <w:ind w:right="42"/>
              <w:spacing w:after="0"/>
              <w:rPr>
                <w:sz w:val="20"/>
                <w:szCs w:val="20"/>
                <w:color w:val="auto"/>
              </w:rPr>
            </w:pPr>
            <w:r>
              <w:rPr>
                <w:rFonts w:ascii="Arial" w:cs="Arial" w:eastAsia="Arial" w:hAnsi="Arial"/>
                <w:sz w:val="16"/>
                <w:szCs w:val="16"/>
                <w:color w:val="auto"/>
              </w:rPr>
              <w:t>2,511</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580" w:type="dxa"/>
            <w:vAlign w:val="bottom"/>
          </w:tcPr>
          <w:p>
            <w:pPr>
              <w:jc w:val="right"/>
              <w:ind w:right="21"/>
              <w:spacing w:after="0"/>
              <w:rPr>
                <w:sz w:val="20"/>
                <w:szCs w:val="20"/>
                <w:color w:val="auto"/>
              </w:rPr>
            </w:pPr>
            <w:r>
              <w:rPr>
                <w:rFonts w:ascii="Arial" w:cs="Arial" w:eastAsia="Arial" w:hAnsi="Arial"/>
                <w:sz w:val="16"/>
                <w:szCs w:val="16"/>
                <w:color w:val="auto"/>
              </w:rPr>
              <w:t>9,054</w:t>
            </w:r>
          </w:p>
        </w:tc>
      </w:tr>
      <w:tr>
        <w:trPr>
          <w:trHeight w:val="33"/>
        </w:trPr>
        <w:tc>
          <w:tcPr>
            <w:tcW w:w="74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7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Invested assets pledged as collateral</w:t>
            </w:r>
          </w:p>
        </w:tc>
        <w:tc>
          <w:tcPr>
            <w:tcW w:w="240" w:type="dxa"/>
            <w:vAlign w:val="bottom"/>
            <w:tcBorders>
              <w:bottom w:val="single" w:sz="8" w:color="CCEEFF"/>
            </w:tcBorders>
            <w:shd w:val="clear" w:color="auto" w:fill="CCEEFF"/>
          </w:tcPr>
          <w:p>
            <w:pPr>
              <w:spacing w:after="0"/>
              <w:rPr>
                <w:sz w:val="23"/>
                <w:szCs w:val="23"/>
                <w:color w:val="auto"/>
              </w:rPr>
            </w:pPr>
          </w:p>
        </w:tc>
        <w:tc>
          <w:tcPr>
            <w:tcW w:w="172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3,933</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3,548</w:t>
            </w:r>
          </w:p>
        </w:tc>
      </w:tr>
      <w:tr>
        <w:trPr>
          <w:trHeight w:val="217"/>
        </w:trPr>
        <w:tc>
          <w:tcPr>
            <w:tcW w:w="7440" w:type="dxa"/>
            <w:vAlign w:val="bottom"/>
          </w:tcPr>
          <w:p>
            <w:pPr>
              <w:ind w:left="180"/>
              <w:spacing w:after="0"/>
              <w:rPr>
                <w:sz w:val="20"/>
                <w:szCs w:val="20"/>
                <w:color w:val="auto"/>
              </w:rPr>
            </w:pPr>
            <w:r>
              <w:rPr>
                <w:rFonts w:ascii="Arial" w:cs="Arial" w:eastAsia="Arial" w:hAnsi="Arial"/>
                <w:sz w:val="16"/>
                <w:szCs w:val="16"/>
                <w:color w:val="auto"/>
              </w:rPr>
              <w:t>Total invested assets on deposit, held in trust and pledged as collateral</w:t>
            </w:r>
          </w:p>
        </w:tc>
        <w:tc>
          <w:tcPr>
            <w:tcW w:w="24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720" w:type="dxa"/>
            <w:vAlign w:val="bottom"/>
            <w:tcBorders>
              <w:top w:val="single" w:sz="8" w:color="auto"/>
            </w:tcBorders>
          </w:tcPr>
          <w:p>
            <w:pPr>
              <w:jc w:val="right"/>
              <w:ind w:right="42"/>
              <w:spacing w:after="0"/>
              <w:rPr>
                <w:sz w:val="20"/>
                <w:szCs w:val="20"/>
                <w:color w:val="auto"/>
              </w:rPr>
            </w:pPr>
            <w:r>
              <w:rPr>
                <w:rFonts w:ascii="Arial" w:cs="Arial" w:eastAsia="Arial" w:hAnsi="Arial"/>
                <w:sz w:val="16"/>
                <w:szCs w:val="16"/>
                <w:color w:val="auto"/>
              </w:rPr>
              <w:t>14,540</w:t>
            </w:r>
          </w:p>
        </w:tc>
        <w:tc>
          <w:tcPr>
            <w:tcW w:w="100" w:type="dxa"/>
            <w:vAlign w:val="bottom"/>
          </w:tcPr>
          <w:p>
            <w:pPr>
              <w:spacing w:after="0"/>
              <w:rPr>
                <w:sz w:val="18"/>
                <w:szCs w:val="18"/>
                <w:color w:val="auto"/>
              </w:rPr>
            </w:pPr>
          </w:p>
        </w:tc>
        <w:tc>
          <w:tcPr>
            <w:tcW w:w="34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580" w:type="dxa"/>
            <w:vAlign w:val="bottom"/>
            <w:tcBorders>
              <w:top w:val="single" w:sz="8" w:color="auto"/>
            </w:tcBorders>
          </w:tcPr>
          <w:p>
            <w:pPr>
              <w:jc w:val="right"/>
              <w:ind w:right="21"/>
              <w:spacing w:after="0"/>
              <w:rPr>
                <w:sz w:val="20"/>
                <w:szCs w:val="20"/>
                <w:color w:val="auto"/>
              </w:rPr>
            </w:pPr>
            <w:r>
              <w:rPr>
                <w:rFonts w:ascii="Arial" w:cs="Arial" w:eastAsia="Arial" w:hAnsi="Arial"/>
                <w:sz w:val="16"/>
                <w:szCs w:val="16"/>
                <w:color w:val="auto"/>
              </w:rPr>
              <w:t>20,250</w:t>
            </w:r>
          </w:p>
        </w:tc>
      </w:tr>
      <w:tr>
        <w:trPr>
          <w:trHeight w:val="33"/>
        </w:trPr>
        <w:tc>
          <w:tcPr>
            <w:tcW w:w="74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0"/>
        </w:trPr>
        <w:tc>
          <w:tcPr>
            <w:tcW w:w="74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The Company has pledged invested assets in connection with various agreements and transactions, including funding agreements (see Note 4 of the Notes to the Combined Financial Statements included in the Form 10) and derivative transactions (see Note 5). The Company held in trust certain investments in connection with certain reinsurance transactions. In April 2017, the MetLife Reinsurance Company of South Carolina (“MRSC”) collateral financing arrangement was repaid in connection with the Restructuring (see Note 7). Amounts in the table above include invested assets and cash and cash equivalents.</w:t>
      </w:r>
    </w:p>
    <w:p>
      <w:pPr>
        <w:spacing w:after="0" w:line="4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See “— Securities Lending” for information regarding securities on loan.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Variable Interest Entities</w:t>
      </w:r>
    </w:p>
    <w:p>
      <w:pPr>
        <w:spacing w:after="0" w:line="117"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The Company has invested in legal entities that are VIEs. In certain instances, the Company holds both the power to direct the most significant activities of the entity, as well as an economic interest in the entity and, as such, is deemed to be the primary beneficiary or consolidator of the entity.</w:t>
      </w:r>
    </w:p>
    <w:p>
      <w:pPr>
        <w:spacing w:after="0" w:line="38"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determination of the VIE’s primary beneficiary requires an evaluation of the contractual and implied rights and obligations associated with each party’s relationship with or involvement in the entity, an estimate of the entity’s expected losses and expected residual returns and the allocation of such estimates to each party involved in the entity.</w:t>
      </w:r>
    </w:p>
    <w:p>
      <w:pPr>
        <w:spacing w:after="0" w:line="73"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Consolidated VIEs</w:t>
      </w:r>
    </w:p>
    <w:p>
      <w:pPr>
        <w:spacing w:after="0" w:line="11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Creditors or beneficial interest holders of VIEs where the Company is the primary beneficiary have no recourse to the general credit of the Company, as the Company’s obligation to the VIEs is limited to the amount of its committed investment.</w:t>
      </w:r>
    </w:p>
    <w:p>
      <w:pPr>
        <w:spacing w:after="0" w:line="6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following table presents the total assets and total liabilities relating to VIEs for which the Company has concluded that it is the primary beneficiary and which are consolidated at:</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60" w:type="dxa"/>
            <w:vAlign w:val="bottom"/>
          </w:tcPr>
          <w:p>
            <w:pPr>
              <w:spacing w:after="0"/>
              <w:rPr>
                <w:sz w:val="16"/>
                <w:szCs w:val="16"/>
                <w:color w:val="auto"/>
              </w:rPr>
            </w:pPr>
          </w:p>
        </w:tc>
        <w:tc>
          <w:tcPr>
            <w:tcW w:w="2300" w:type="dxa"/>
            <w:vAlign w:val="bottom"/>
            <w:tcBorders>
              <w:bottom w:val="single" w:sz="8" w:color="auto"/>
            </w:tcBorders>
            <w:gridSpan w:val="4"/>
          </w:tcPr>
          <w:p>
            <w:pPr>
              <w:jc w:val="center"/>
              <w:ind w:left="304"/>
              <w:spacing w:after="0"/>
              <w:rPr>
                <w:sz w:val="20"/>
                <w:szCs w:val="20"/>
                <w:color w:val="auto"/>
              </w:rPr>
            </w:pPr>
            <w:r>
              <w:rPr>
                <w:rFonts w:ascii="Arial" w:cs="Arial" w:eastAsia="Arial" w:hAnsi="Arial"/>
                <w:sz w:val="14"/>
                <w:szCs w:val="14"/>
                <w:b w:val="1"/>
                <w:bCs w:val="1"/>
                <w:color w:val="auto"/>
                <w:w w:val="91"/>
              </w:rPr>
              <w:t>September 30, 2017</w:t>
            </w:r>
          </w:p>
        </w:tc>
        <w:tc>
          <w:tcPr>
            <w:tcW w:w="3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260" w:type="dxa"/>
            <w:vAlign w:val="bottom"/>
            <w:tcBorders>
              <w:bottom w:val="single" w:sz="8" w:color="auto"/>
            </w:tcBorders>
            <w:gridSpan w:val="4"/>
          </w:tcPr>
          <w:p>
            <w:pPr>
              <w:jc w:val="center"/>
              <w:ind w:right="223"/>
              <w:spacing w:after="0"/>
              <w:rPr>
                <w:sz w:val="20"/>
                <w:szCs w:val="20"/>
                <w:color w:val="auto"/>
              </w:rPr>
            </w:pPr>
            <w:r>
              <w:rPr>
                <w:rFonts w:ascii="Arial" w:cs="Arial" w:eastAsia="Arial" w:hAnsi="Arial"/>
                <w:sz w:val="14"/>
                <w:szCs w:val="14"/>
                <w:b w:val="1"/>
                <w:bCs w:val="1"/>
                <w:color w:val="auto"/>
                <w:w w:val="91"/>
              </w:rPr>
              <w:t>December 31, 2016</w:t>
            </w:r>
          </w:p>
        </w:tc>
        <w:tc>
          <w:tcPr>
            <w:tcW w:w="0" w:type="dxa"/>
            <w:vAlign w:val="bottom"/>
          </w:tcPr>
          <w:p>
            <w:pPr>
              <w:spacing w:after="0"/>
              <w:rPr>
                <w:sz w:val="1"/>
                <w:szCs w:val="1"/>
                <w:color w:val="auto"/>
              </w:rPr>
            </w:pPr>
          </w:p>
        </w:tc>
      </w:tr>
      <w:tr>
        <w:trPr>
          <w:trHeight w:val="152"/>
        </w:trPr>
        <w:tc>
          <w:tcPr>
            <w:tcW w:w="6060" w:type="dxa"/>
            <w:vAlign w:val="bottom"/>
          </w:tcPr>
          <w:p>
            <w:pPr>
              <w:spacing w:after="0"/>
              <w:rPr>
                <w:sz w:val="13"/>
                <w:szCs w:val="13"/>
                <w:color w:val="auto"/>
              </w:rPr>
            </w:pPr>
          </w:p>
        </w:tc>
        <w:tc>
          <w:tcPr>
            <w:tcW w:w="780" w:type="dxa"/>
            <w:vAlign w:val="bottom"/>
          </w:tcPr>
          <w:p>
            <w:pPr>
              <w:jc w:val="right"/>
              <w:spacing w:after="0" w:line="153" w:lineRule="exact"/>
              <w:rPr>
                <w:sz w:val="20"/>
                <w:szCs w:val="20"/>
                <w:color w:val="auto"/>
              </w:rPr>
            </w:pPr>
            <w:r>
              <w:rPr>
                <w:rFonts w:ascii="Arial" w:cs="Arial" w:eastAsia="Arial" w:hAnsi="Arial"/>
                <w:sz w:val="14"/>
                <w:szCs w:val="14"/>
                <w:b w:val="1"/>
                <w:bCs w:val="1"/>
                <w:color w:val="auto"/>
              </w:rPr>
              <w:t>Total</w:t>
            </w:r>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jc w:val="center"/>
              <w:ind w:left="303"/>
              <w:spacing w:after="0" w:line="153" w:lineRule="exact"/>
              <w:rPr>
                <w:sz w:val="20"/>
                <w:szCs w:val="20"/>
                <w:color w:val="auto"/>
              </w:rPr>
            </w:pPr>
            <w:r>
              <w:rPr>
                <w:rFonts w:ascii="Arial" w:cs="Arial" w:eastAsia="Arial" w:hAnsi="Arial"/>
                <w:sz w:val="14"/>
                <w:szCs w:val="14"/>
                <w:b w:val="1"/>
                <w:bCs w:val="1"/>
                <w:color w:val="auto"/>
                <w:w w:val="95"/>
              </w:rPr>
              <w:t>Total</w:t>
            </w: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00" w:type="dxa"/>
            <w:vAlign w:val="bottom"/>
            <w:gridSpan w:val="2"/>
          </w:tcPr>
          <w:p>
            <w:pPr>
              <w:jc w:val="center"/>
              <w:ind w:right="420"/>
              <w:spacing w:after="0" w:line="153" w:lineRule="exact"/>
              <w:rPr>
                <w:sz w:val="20"/>
                <w:szCs w:val="20"/>
                <w:color w:val="auto"/>
              </w:rPr>
            </w:pPr>
            <w:r>
              <w:rPr>
                <w:rFonts w:ascii="Arial" w:cs="Arial" w:eastAsia="Arial" w:hAnsi="Arial"/>
                <w:sz w:val="14"/>
                <w:szCs w:val="14"/>
                <w:b w:val="1"/>
                <w:bCs w:val="1"/>
                <w:color w:val="auto"/>
                <w:w w:val="95"/>
              </w:rPr>
              <w:t>Total</w:t>
            </w:r>
          </w:p>
        </w:tc>
        <w:tc>
          <w:tcPr>
            <w:tcW w:w="240" w:type="dxa"/>
            <w:vAlign w:val="bottom"/>
          </w:tcPr>
          <w:p>
            <w:pPr>
              <w:spacing w:after="0"/>
              <w:rPr>
                <w:sz w:val="13"/>
                <w:szCs w:val="13"/>
                <w:color w:val="auto"/>
              </w:rPr>
            </w:pPr>
          </w:p>
        </w:tc>
        <w:tc>
          <w:tcPr>
            <w:tcW w:w="1120" w:type="dxa"/>
            <w:vAlign w:val="bottom"/>
          </w:tcPr>
          <w:p>
            <w:pPr>
              <w:jc w:val="center"/>
              <w:ind w:right="163"/>
              <w:spacing w:after="0" w:line="153" w:lineRule="exact"/>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92"/>
        </w:trPr>
        <w:tc>
          <w:tcPr>
            <w:tcW w:w="6060" w:type="dxa"/>
            <w:vAlign w:val="bottom"/>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Assets</w:t>
            </w:r>
          </w:p>
        </w:tc>
        <w:tc>
          <w:tcPr>
            <w:tcW w:w="3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left="283"/>
              <w:spacing w:after="0"/>
              <w:rPr>
                <w:sz w:val="20"/>
                <w:szCs w:val="20"/>
                <w:color w:val="auto"/>
              </w:rPr>
            </w:pPr>
            <w:r>
              <w:rPr>
                <w:rFonts w:ascii="Arial" w:cs="Arial" w:eastAsia="Arial" w:hAnsi="Arial"/>
                <w:sz w:val="14"/>
                <w:szCs w:val="14"/>
                <w:b w:val="1"/>
                <w:bCs w:val="1"/>
                <w:color w:val="auto"/>
                <w:w w:val="95"/>
              </w:rPr>
              <w:t>Liabilities</w:t>
            </w:r>
          </w:p>
        </w:tc>
        <w:tc>
          <w:tcPr>
            <w:tcW w:w="3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gridSpan w:val="2"/>
          </w:tcPr>
          <w:p>
            <w:pPr>
              <w:jc w:val="center"/>
              <w:ind w:right="420"/>
              <w:spacing w:after="0"/>
              <w:rPr>
                <w:sz w:val="20"/>
                <w:szCs w:val="20"/>
                <w:color w:val="auto"/>
              </w:rPr>
            </w:pPr>
            <w:r>
              <w:rPr>
                <w:rFonts w:ascii="Arial" w:cs="Arial" w:eastAsia="Arial" w:hAnsi="Arial"/>
                <w:sz w:val="14"/>
                <w:szCs w:val="14"/>
                <w:b w:val="1"/>
                <w:bCs w:val="1"/>
                <w:color w:val="auto"/>
                <w:w w:val="87"/>
              </w:rPr>
              <w:t>Assets</w:t>
            </w: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143"/>
              <w:spacing w:after="0"/>
              <w:rPr>
                <w:sz w:val="20"/>
                <w:szCs w:val="20"/>
                <w:color w:val="auto"/>
              </w:rPr>
            </w:pPr>
            <w:r>
              <w:rPr>
                <w:rFonts w:ascii="Arial" w:cs="Arial" w:eastAsia="Arial" w:hAnsi="Arial"/>
                <w:sz w:val="14"/>
                <w:szCs w:val="14"/>
                <w:b w:val="1"/>
                <w:bCs w:val="1"/>
                <w:color w:val="auto"/>
                <w:w w:val="95"/>
              </w:rPr>
              <w:t>Liabilities</w:t>
            </w:r>
          </w:p>
        </w:tc>
        <w:tc>
          <w:tcPr>
            <w:tcW w:w="0" w:type="dxa"/>
            <w:vAlign w:val="bottom"/>
          </w:tcPr>
          <w:p>
            <w:pPr>
              <w:spacing w:after="0"/>
              <w:rPr>
                <w:sz w:val="1"/>
                <w:szCs w:val="1"/>
                <w:color w:val="auto"/>
              </w:rPr>
            </w:pPr>
          </w:p>
        </w:tc>
      </w:tr>
      <w:tr>
        <w:trPr>
          <w:trHeight w:val="250"/>
        </w:trPr>
        <w:tc>
          <w:tcPr>
            <w:tcW w:w="60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800" w:type="dxa"/>
            <w:vAlign w:val="bottom"/>
            <w:gridSpan w:val="3"/>
          </w:tcPr>
          <w:p>
            <w:pPr>
              <w:ind w:left="20"/>
              <w:spacing w:after="0"/>
              <w:rPr>
                <w:sz w:val="20"/>
                <w:szCs w:val="20"/>
                <w:color w:val="auto"/>
              </w:rPr>
            </w:pPr>
            <w:r>
              <w:rPr>
                <w:rFonts w:ascii="Arial" w:cs="Arial" w:eastAsia="Arial" w:hAnsi="Arial"/>
                <w:sz w:val="14"/>
                <w:szCs w:val="14"/>
                <w:b w:val="1"/>
                <w:bCs w:val="1"/>
                <w:color w:val="auto"/>
                <w:w w:val="96"/>
              </w:rPr>
              <w:t>(In millions)</w:t>
            </w: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MRSC (collateral financing arrangement) (1)</w:t>
            </w:r>
          </w:p>
        </w:tc>
        <w:tc>
          <w:tcPr>
            <w:tcW w:w="780" w:type="dxa"/>
            <w:vAlign w:val="bottom"/>
            <w:tcBorders>
              <w:bottom w:val="single" w:sz="8" w:color="CCEEFF"/>
            </w:tcBorders>
            <w:shd w:val="clear" w:color="auto" w:fill="CCEEFF"/>
          </w:tcPr>
          <w:p>
            <w:pPr>
              <w:jc w:val="right"/>
              <w:ind w:right="604"/>
              <w:spacing w:after="0"/>
              <w:rPr>
                <w:sz w:val="20"/>
                <w:szCs w:val="20"/>
                <w:color w:val="auto"/>
              </w:rPr>
            </w:pPr>
            <w:r>
              <w:rPr>
                <w:rFonts w:ascii="Arial" w:cs="Arial" w:eastAsia="Arial" w:hAnsi="Arial"/>
                <w:sz w:val="16"/>
                <w:szCs w:val="16"/>
                <w:color w:val="auto"/>
                <w:w w:val="89"/>
              </w:rPr>
              <w:t>$</w:t>
            </w:r>
          </w:p>
        </w:tc>
        <w:tc>
          <w:tcPr>
            <w:tcW w:w="5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center"/>
              <w:ind w:right="823"/>
              <w:spacing w:after="0"/>
              <w:rPr>
                <w:sz w:val="20"/>
                <w:szCs w:val="20"/>
                <w:color w:val="auto"/>
              </w:rPr>
            </w:pPr>
            <w:r>
              <w:rPr>
                <w:rFonts w:ascii="Arial" w:cs="Arial" w:eastAsia="Arial" w:hAnsi="Arial"/>
                <w:sz w:val="16"/>
                <w:szCs w:val="16"/>
                <w:color w:val="auto"/>
                <w:w w:val="89"/>
              </w:rPr>
              <w:t>$</w:t>
            </w:r>
          </w:p>
        </w:tc>
        <w:tc>
          <w:tcPr>
            <w:tcW w:w="480" w:type="dxa"/>
            <w:vAlign w:val="bottom"/>
            <w:tcBorders>
              <w:bottom w:val="single" w:sz="8" w:color="CCEEFF"/>
            </w:tcBorders>
            <w:gridSpan w:val="2"/>
            <w:shd w:val="clear" w:color="auto" w:fill="CCEEFF"/>
          </w:tcPr>
          <w:p>
            <w:pPr>
              <w:ind w:left="8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3,422</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ind w:left="8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6060" w:type="dxa"/>
            <w:vAlign w:val="bottom"/>
          </w:tcPr>
          <w:p>
            <w:pPr>
              <w:ind w:left="40"/>
              <w:spacing w:after="0"/>
              <w:rPr>
                <w:sz w:val="20"/>
                <w:szCs w:val="20"/>
                <w:color w:val="auto"/>
              </w:rPr>
            </w:pPr>
            <w:r>
              <w:rPr>
                <w:rFonts w:ascii="Arial" w:cs="Arial" w:eastAsia="Arial" w:hAnsi="Arial"/>
                <w:sz w:val="16"/>
                <w:szCs w:val="16"/>
                <w:color w:val="auto"/>
              </w:rPr>
              <w:t>CSEs (assets (primarily loans) and liabilities (primarily debt)) (2)</w:t>
            </w:r>
          </w:p>
        </w:tc>
        <w:tc>
          <w:tcPr>
            <w:tcW w:w="780" w:type="dxa"/>
            <w:vAlign w:val="bottom"/>
          </w:tcPr>
          <w:p>
            <w:pPr>
              <w:spacing w:after="0"/>
              <w:rPr>
                <w:sz w:val="20"/>
                <w:szCs w:val="20"/>
                <w:color w:val="auto"/>
              </w:rPr>
            </w:pPr>
          </w:p>
        </w:tc>
        <w:tc>
          <w:tcPr>
            <w:tcW w:w="380" w:type="dxa"/>
            <w:vAlign w:val="bottom"/>
          </w:tcPr>
          <w:p>
            <w:pPr>
              <w:jc w:val="right"/>
              <w:ind w:right="39"/>
              <w:spacing w:after="0"/>
              <w:rPr>
                <w:sz w:val="20"/>
                <w:szCs w:val="20"/>
                <w:color w:val="auto"/>
              </w:rPr>
            </w:pPr>
            <w:r>
              <w:rPr>
                <w:rFonts w:ascii="Arial" w:cs="Arial" w:eastAsia="Arial" w:hAnsi="Arial"/>
                <w:sz w:val="16"/>
                <w:szCs w:val="16"/>
                <w:color w:val="auto"/>
                <w:w w:val="89"/>
              </w:rPr>
              <w:t>120</w:t>
            </w: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380" w:type="dxa"/>
            <w:vAlign w:val="bottom"/>
          </w:tcPr>
          <w:p>
            <w:pPr>
              <w:ind w:left="80"/>
              <w:spacing w:after="0"/>
              <w:rPr>
                <w:sz w:val="20"/>
                <w:szCs w:val="20"/>
                <w:color w:val="auto"/>
              </w:rPr>
            </w:pPr>
            <w:r>
              <w:rPr>
                <w:rFonts w:ascii="Arial" w:cs="Arial" w:eastAsia="Arial" w:hAnsi="Arial"/>
                <w:sz w:val="16"/>
                <w:szCs w:val="16"/>
                <w:color w:val="auto"/>
              </w:rPr>
              <w:t>14</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tcPr>
          <w:p>
            <w:pPr>
              <w:jc w:val="right"/>
              <w:ind w:right="23"/>
              <w:spacing w:after="0"/>
              <w:rPr>
                <w:sz w:val="20"/>
                <w:szCs w:val="20"/>
                <w:color w:val="auto"/>
              </w:rPr>
            </w:pPr>
            <w:r>
              <w:rPr>
                <w:rFonts w:ascii="Arial" w:cs="Arial" w:eastAsia="Arial" w:hAnsi="Arial"/>
                <w:sz w:val="16"/>
                <w:szCs w:val="16"/>
                <w:color w:val="auto"/>
              </w:rPr>
              <w:t>137</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ind w:left="840"/>
              <w:spacing w:after="0"/>
              <w:rPr>
                <w:sz w:val="20"/>
                <w:szCs w:val="20"/>
                <w:color w:val="auto"/>
              </w:rPr>
            </w:pPr>
            <w:r>
              <w:rPr>
                <w:rFonts w:ascii="Arial" w:cs="Arial" w:eastAsia="Arial" w:hAnsi="Arial"/>
                <w:sz w:val="16"/>
                <w:szCs w:val="16"/>
                <w:color w:val="auto"/>
              </w:rPr>
              <w:t>24</w:t>
            </w:r>
          </w:p>
        </w:tc>
        <w:tc>
          <w:tcPr>
            <w:tcW w:w="0" w:type="dxa"/>
            <w:vAlign w:val="bottom"/>
          </w:tcPr>
          <w:p>
            <w:pPr>
              <w:spacing w:after="0"/>
              <w:rPr>
                <w:sz w:val="1"/>
                <w:szCs w:val="1"/>
                <w:color w:val="auto"/>
              </w:rPr>
            </w:pPr>
          </w:p>
        </w:tc>
      </w:tr>
      <w:tr>
        <w:trPr>
          <w:trHeight w:val="33"/>
        </w:trPr>
        <w:tc>
          <w:tcPr>
            <w:tcW w:w="606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60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Total</w:t>
            </w:r>
          </w:p>
        </w:tc>
        <w:tc>
          <w:tcPr>
            <w:tcW w:w="780" w:type="dxa"/>
            <w:vAlign w:val="bottom"/>
            <w:tcBorders>
              <w:bottom w:val="single" w:sz="8" w:color="CCEEFF"/>
            </w:tcBorders>
            <w:shd w:val="clear" w:color="auto" w:fill="CCEEFF"/>
          </w:tcPr>
          <w:p>
            <w:pPr>
              <w:jc w:val="right"/>
              <w:ind w:right="604"/>
              <w:spacing w:after="0"/>
              <w:rPr>
                <w:sz w:val="20"/>
                <w:szCs w:val="20"/>
                <w:color w:val="auto"/>
              </w:rPr>
            </w:pPr>
            <w:r>
              <w:rPr>
                <w:rFonts w:ascii="Arial" w:cs="Arial" w:eastAsia="Arial" w:hAnsi="Arial"/>
                <w:sz w:val="16"/>
                <w:szCs w:val="16"/>
                <w:color w:val="auto"/>
                <w:w w:val="89"/>
              </w:rPr>
              <w:t>$</w:t>
            </w:r>
          </w:p>
        </w:tc>
        <w:tc>
          <w:tcPr>
            <w:tcW w:w="3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120</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center"/>
              <w:ind w:right="823"/>
              <w:spacing w:after="0"/>
              <w:rPr>
                <w:sz w:val="20"/>
                <w:szCs w:val="20"/>
                <w:color w:val="auto"/>
              </w:rPr>
            </w:pPr>
            <w:r>
              <w:rPr>
                <w:rFonts w:ascii="Arial" w:cs="Arial" w:eastAsia="Arial" w:hAnsi="Arial"/>
                <w:sz w:val="16"/>
                <w:szCs w:val="16"/>
                <w:color w:val="auto"/>
                <w:w w:val="89"/>
              </w:rPr>
              <w:t>$</w:t>
            </w:r>
          </w:p>
        </w:tc>
        <w:tc>
          <w:tcPr>
            <w:tcW w:w="38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6"/>
                <w:szCs w:val="16"/>
                <w:color w:val="auto"/>
              </w:rPr>
              <w:t>14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3,559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ind w:left="840"/>
              <w:spacing w:after="0"/>
              <w:rPr>
                <w:sz w:val="20"/>
                <w:szCs w:val="20"/>
                <w:color w:val="auto"/>
              </w:rPr>
            </w:pPr>
            <w:r>
              <w:rPr>
                <w:rFonts w:ascii="Arial" w:cs="Arial" w:eastAsia="Arial" w:hAnsi="Arial"/>
                <w:sz w:val="16"/>
                <w:szCs w:val="16"/>
                <w:color w:val="auto"/>
              </w:rPr>
              <w:t>24</w:t>
            </w:r>
          </w:p>
        </w:tc>
        <w:tc>
          <w:tcPr>
            <w:tcW w:w="0" w:type="dxa"/>
            <w:vAlign w:val="bottom"/>
          </w:tcPr>
          <w:p>
            <w:pPr>
              <w:spacing w:after="0"/>
              <w:rPr>
                <w:sz w:val="1"/>
                <w:szCs w:val="1"/>
                <w:color w:val="auto"/>
              </w:rPr>
            </w:pPr>
          </w:p>
        </w:tc>
      </w:tr>
      <w:tr>
        <w:trPr>
          <w:trHeight w:val="20"/>
        </w:trPr>
        <w:tc>
          <w:tcPr>
            <w:tcW w:w="6060" w:type="dxa"/>
            <w:vAlign w:val="bottom"/>
            <w:tcBorders>
              <w:top w:val="single" w:sz="8" w:color="CCEEFF"/>
              <w:bottom w:val="single" w:sz="8" w:color="CCEEFF"/>
            </w:tcBorders>
            <w:vMerge w:val="restart"/>
          </w:tcPr>
          <w:p>
            <w:pPr>
              <w:jc w:val="right"/>
              <w:ind w:right="4681"/>
              <w:spacing w:after="0"/>
              <w:rPr>
                <w:sz w:val="20"/>
                <w:szCs w:val="20"/>
                <w:color w:val="auto"/>
              </w:rPr>
            </w:pPr>
            <w:r>
              <w:rPr>
                <w:rFonts w:ascii="Arial" w:cs="Arial" w:eastAsia="Arial" w:hAnsi="Arial"/>
                <w:sz w:val="14"/>
                <w:szCs w:val="14"/>
                <w:color w:val="auto"/>
                <w:w w:val="91"/>
              </w:rPr>
              <w:t>__________________</w:t>
            </w:r>
          </w:p>
        </w:tc>
        <w:tc>
          <w:tcPr>
            <w:tcW w:w="7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6060" w:type="dxa"/>
            <w:vAlign w:val="bottom"/>
            <w:vMerge w:val="continue"/>
          </w:tcPr>
          <w:p>
            <w:pPr>
              <w:spacing w:after="0"/>
              <w:rPr>
                <w:sz w:val="12"/>
                <w:szCs w:val="12"/>
                <w:color w:val="auto"/>
              </w:rPr>
            </w:pPr>
          </w:p>
        </w:tc>
        <w:tc>
          <w:tcPr>
            <w:tcW w:w="7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234" w:right="239" w:bottom="1440" w:gutter="0" w:footer="0" w:header="0"/>
        </w:sectPr>
      </w:pPr>
    </w:p>
    <w:bookmarkStart w:id="26" w:name="page27"/>
    <w:bookmarkEnd w:id="26"/>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109" w:lineRule="exact"/>
        <w:rPr>
          <w:sz w:val="20"/>
          <w:szCs w:val="20"/>
          <w:color w:val="auto"/>
        </w:rPr>
      </w:pPr>
    </w:p>
    <w:p>
      <w:pPr>
        <w:ind w:left="4660"/>
        <w:spacing w:after="0"/>
        <w:rPr>
          <w:sz w:val="20"/>
          <w:szCs w:val="20"/>
          <w:color w:val="auto"/>
        </w:rPr>
      </w:pPr>
      <w:r>
        <w:rPr>
          <w:rFonts w:ascii="Arial" w:cs="Arial" w:eastAsia="Arial" w:hAnsi="Arial"/>
          <w:sz w:val="18"/>
          <w:szCs w:val="18"/>
          <w:b w:val="1"/>
          <w:bCs w:val="1"/>
          <w:color w:val="auto"/>
        </w:rPr>
        <w:t>Brighthouse Financial, Inc.</w:t>
      </w:r>
    </w:p>
    <w:p>
      <w:pPr>
        <w:spacing w:after="0" w:line="117" w:lineRule="exact"/>
        <w:rPr>
          <w:sz w:val="20"/>
          <w:szCs w:val="20"/>
          <w:color w:val="auto"/>
        </w:rPr>
      </w:pPr>
    </w:p>
    <w:p>
      <w:pPr>
        <w:ind w:left="1480"/>
        <w:spacing w:after="0"/>
        <w:rPr>
          <w:sz w:val="20"/>
          <w:szCs w:val="20"/>
          <w:color w:val="auto"/>
        </w:rPr>
      </w:pPr>
      <w:r>
        <w:rPr>
          <w:rFonts w:ascii="Arial" w:cs="Arial" w:eastAsia="Arial" w:hAnsi="Arial"/>
          <w:sz w:val="18"/>
          <w:szCs w:val="18"/>
          <w:b w:val="1"/>
          <w:bCs w:val="1"/>
          <w:color w:val="auto"/>
        </w:rPr>
        <w:t>Notes to the Interim Condensed Consolidated and Combined Financial Statements (Unaudited) — (continued)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Investments (continued)</w:t>
      </w:r>
    </w:p>
    <w:p>
      <w:pPr>
        <w:spacing w:after="0" w:line="364" w:lineRule="exact"/>
        <w:rPr>
          <w:sz w:val="20"/>
          <w:szCs w:val="20"/>
          <w:color w:val="auto"/>
        </w:rPr>
      </w:pPr>
    </w:p>
    <w:p>
      <w:pPr>
        <w:jc w:val="both"/>
        <w:ind w:left="500" w:hanging="492"/>
        <w:spacing w:after="0" w:line="259" w:lineRule="auto"/>
        <w:tabs>
          <w:tab w:leader="none" w:pos="5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See Note 12 of the Notes to the Combined Financial Statements included in the Form 10 for a description of the MRSC collateral financing arrangement. In April 2017, these assets were liquidated and the proceeds were used to repay the collateral financing arrangement. See Note 7. These assets historically consisted of fixed maturity securities, short-term investments and cash equivalents, but were transitioned into short-term investments and cash equivalents prior to termination of the arrangement.</w:t>
      </w:r>
    </w:p>
    <w:p>
      <w:pPr>
        <w:spacing w:after="0" w:line="78" w:lineRule="exact"/>
        <w:rPr>
          <w:rFonts w:ascii="Arial" w:cs="Arial" w:eastAsia="Arial" w:hAnsi="Arial"/>
          <w:sz w:val="18"/>
          <w:szCs w:val="18"/>
          <w:color w:val="auto"/>
        </w:rPr>
      </w:pPr>
    </w:p>
    <w:p>
      <w:pPr>
        <w:jc w:val="both"/>
        <w:ind w:left="500" w:hanging="492"/>
        <w:spacing w:after="0" w:line="259" w:lineRule="auto"/>
        <w:tabs>
          <w:tab w:leader="none" w:pos="5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Company consolidates entities that are structured as CMBS. The assets of these entities can only be used to settle their respective liabilities, and under no circumstances is the Company liable for any principal or interest shortfalls should any arise. The Company’s exposure was limited to that of its remaining investment in these entities of $87 million and $95 million at estimated fair value at September 30, 2017 and December 31, 2016, respectively.</w:t>
      </w:r>
    </w:p>
    <w:p>
      <w:pPr>
        <w:spacing w:after="0" w:line="79"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Unconsolidated VIEs</w:t>
      </w:r>
    </w:p>
    <w:p>
      <w:pPr>
        <w:spacing w:after="0" w:line="117" w:lineRule="exact"/>
        <w:rPr>
          <w:sz w:val="20"/>
          <w:szCs w:val="20"/>
          <w:color w:val="auto"/>
        </w:rPr>
      </w:pPr>
    </w:p>
    <w:p>
      <w:pPr>
        <w:ind w:left="180" w:firstLine="324"/>
        <w:spacing w:after="0" w:line="277" w:lineRule="auto"/>
        <w:rPr>
          <w:sz w:val="20"/>
          <w:szCs w:val="20"/>
          <w:color w:val="auto"/>
        </w:rPr>
      </w:pPr>
      <w:r>
        <w:rPr>
          <w:rFonts w:ascii="Arial" w:cs="Arial" w:eastAsia="Arial" w:hAnsi="Arial"/>
          <w:sz w:val="18"/>
          <w:szCs w:val="18"/>
          <w:color w:val="auto"/>
        </w:rPr>
        <w:t>The carrying amount and maximum exposure to loss relating to VIEs in which the Company holds a significant variable interest but is not the primary beneficiary and which have not been consolidated were as follows at:</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420" w:type="dxa"/>
            <w:vAlign w:val="bottom"/>
            <w:tcBorders>
              <w:bottom w:val="single" w:sz="8" w:color="auto"/>
            </w:tcBorders>
            <w:gridSpan w:val="4"/>
          </w:tcPr>
          <w:p>
            <w:pPr>
              <w:jc w:val="right"/>
              <w:ind w:right="643"/>
              <w:spacing w:after="0"/>
              <w:rPr>
                <w:sz w:val="20"/>
                <w:szCs w:val="20"/>
                <w:color w:val="auto"/>
              </w:rPr>
            </w:pPr>
            <w:r>
              <w:rPr>
                <w:rFonts w:ascii="Arial" w:cs="Arial" w:eastAsia="Arial" w:hAnsi="Arial"/>
                <w:sz w:val="14"/>
                <w:szCs w:val="14"/>
                <w:b w:val="1"/>
                <w:bCs w:val="1"/>
                <w:color w:val="auto"/>
              </w:rPr>
              <w:t>September 30, 2017</w:t>
            </w: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280" w:type="dxa"/>
            <w:vAlign w:val="bottom"/>
            <w:tcBorders>
              <w:bottom w:val="single" w:sz="8" w:color="auto"/>
            </w:tcBorders>
            <w:gridSpan w:val="4"/>
          </w:tcPr>
          <w:p>
            <w:pPr>
              <w:jc w:val="right"/>
              <w:ind w:right="622"/>
              <w:spacing w:after="0"/>
              <w:rPr>
                <w:sz w:val="20"/>
                <w:szCs w:val="20"/>
                <w:color w:val="auto"/>
              </w:rPr>
            </w:pPr>
            <w:r>
              <w:rPr>
                <w:rFonts w:ascii="Arial" w:cs="Arial" w:eastAsia="Arial" w:hAnsi="Arial"/>
                <w:sz w:val="14"/>
                <w:szCs w:val="14"/>
                <w:b w:val="1"/>
                <w:bCs w:val="1"/>
                <w:color w:val="auto"/>
              </w:rPr>
              <w:t>December 31, 2016</w:t>
            </w:r>
          </w:p>
        </w:tc>
        <w:tc>
          <w:tcPr>
            <w:tcW w:w="0" w:type="dxa"/>
            <w:vAlign w:val="bottom"/>
          </w:tcPr>
          <w:p>
            <w:pPr>
              <w:spacing w:after="0"/>
              <w:rPr>
                <w:sz w:val="1"/>
                <w:szCs w:val="1"/>
                <w:color w:val="auto"/>
              </w:rPr>
            </w:pPr>
          </w:p>
        </w:tc>
      </w:tr>
      <w:tr>
        <w:trPr>
          <w:trHeight w:val="152"/>
        </w:trPr>
        <w:tc>
          <w:tcPr>
            <w:tcW w:w="60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6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7"/>
              </w:rPr>
              <w:t>Carrying</w:t>
            </w:r>
          </w:p>
        </w:tc>
        <w:tc>
          <w:tcPr>
            <w:tcW w:w="220" w:type="dxa"/>
            <w:vAlign w:val="bottom"/>
          </w:tcPr>
          <w:p>
            <w:pPr>
              <w:spacing w:after="0"/>
              <w:rPr>
                <w:sz w:val="13"/>
                <w:szCs w:val="13"/>
                <w:color w:val="auto"/>
              </w:rPr>
            </w:pPr>
          </w:p>
        </w:tc>
        <w:tc>
          <w:tcPr>
            <w:tcW w:w="1140" w:type="dxa"/>
            <w:vAlign w:val="bottom"/>
            <w:gridSpan w:val="2"/>
          </w:tcPr>
          <w:p>
            <w:pPr>
              <w:jc w:val="center"/>
              <w:ind w:right="300"/>
              <w:spacing w:after="0" w:line="153" w:lineRule="exact"/>
              <w:rPr>
                <w:sz w:val="20"/>
                <w:szCs w:val="20"/>
                <w:color w:val="auto"/>
              </w:rPr>
            </w:pPr>
            <w:r>
              <w:rPr>
                <w:rFonts w:ascii="Arial" w:cs="Arial" w:eastAsia="Arial" w:hAnsi="Arial"/>
                <w:sz w:val="14"/>
                <w:szCs w:val="14"/>
                <w:b w:val="1"/>
                <w:bCs w:val="1"/>
                <w:color w:val="auto"/>
                <w:w w:val="99"/>
              </w:rPr>
              <w:t>Maximum</w:t>
            </w:r>
          </w:p>
        </w:tc>
        <w:tc>
          <w:tcPr>
            <w:tcW w:w="320" w:type="dxa"/>
            <w:vAlign w:val="bottom"/>
          </w:tcPr>
          <w:p>
            <w:pPr>
              <w:spacing w:after="0"/>
              <w:rPr>
                <w:sz w:val="13"/>
                <w:szCs w:val="13"/>
                <w:color w:val="auto"/>
              </w:rPr>
            </w:pPr>
          </w:p>
        </w:tc>
        <w:tc>
          <w:tcPr>
            <w:tcW w:w="1040" w:type="dxa"/>
            <w:vAlign w:val="bottom"/>
            <w:gridSpan w:val="2"/>
            <w:vMerge w:val="restart"/>
          </w:tcPr>
          <w:p>
            <w:pPr>
              <w:jc w:val="center"/>
              <w:ind w:right="420"/>
              <w:spacing w:after="0"/>
              <w:rPr>
                <w:sz w:val="20"/>
                <w:szCs w:val="20"/>
                <w:color w:val="auto"/>
              </w:rPr>
            </w:pPr>
            <w:r>
              <w:rPr>
                <w:rFonts w:ascii="Arial" w:cs="Arial" w:eastAsia="Arial" w:hAnsi="Arial"/>
                <w:sz w:val="14"/>
                <w:szCs w:val="14"/>
                <w:b w:val="1"/>
                <w:bCs w:val="1"/>
                <w:color w:val="auto"/>
              </w:rPr>
              <w:t>Carrying</w:t>
            </w:r>
          </w:p>
        </w:tc>
        <w:tc>
          <w:tcPr>
            <w:tcW w:w="200" w:type="dxa"/>
            <w:vAlign w:val="bottom"/>
          </w:tcPr>
          <w:p>
            <w:pPr>
              <w:spacing w:after="0"/>
              <w:rPr>
                <w:sz w:val="13"/>
                <w:szCs w:val="13"/>
                <w:color w:val="auto"/>
              </w:rPr>
            </w:pPr>
          </w:p>
        </w:tc>
        <w:tc>
          <w:tcPr>
            <w:tcW w:w="1040" w:type="dxa"/>
            <w:vAlign w:val="bottom"/>
          </w:tcPr>
          <w:p>
            <w:pPr>
              <w:jc w:val="center"/>
              <w:ind w:right="122"/>
              <w:spacing w:after="0" w:line="153" w:lineRule="exact"/>
              <w:rPr>
                <w:sz w:val="20"/>
                <w:szCs w:val="20"/>
                <w:color w:val="auto"/>
              </w:rPr>
            </w:pPr>
            <w:r>
              <w:rPr>
                <w:rFonts w:ascii="Arial" w:cs="Arial" w:eastAsia="Arial" w:hAnsi="Arial"/>
                <w:sz w:val="14"/>
                <w:szCs w:val="14"/>
                <w:b w:val="1"/>
                <w:bCs w:val="1"/>
                <w:color w:val="auto"/>
                <w:w w:val="99"/>
              </w:rPr>
              <w:t>Maximum</w:t>
            </w:r>
          </w:p>
        </w:tc>
        <w:tc>
          <w:tcPr>
            <w:tcW w:w="0" w:type="dxa"/>
            <w:vAlign w:val="bottom"/>
          </w:tcPr>
          <w:p>
            <w:pPr>
              <w:spacing w:after="0"/>
              <w:rPr>
                <w:sz w:val="1"/>
                <w:szCs w:val="1"/>
                <w:color w:val="auto"/>
              </w:rPr>
            </w:pPr>
          </w:p>
        </w:tc>
      </w:tr>
      <w:tr>
        <w:trPr>
          <w:trHeight w:val="149"/>
        </w:trPr>
        <w:tc>
          <w:tcPr>
            <w:tcW w:w="60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0"/>
              </w:rPr>
              <w:t>Exposure</w:t>
            </w:r>
          </w:p>
        </w:tc>
        <w:tc>
          <w:tcPr>
            <w:tcW w:w="32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tcPr>
          <w:p>
            <w:pPr>
              <w:jc w:val="center"/>
              <w:ind w:right="142"/>
              <w:spacing w:after="0" w:line="149" w:lineRule="exact"/>
              <w:rPr>
                <w:sz w:val="20"/>
                <w:szCs w:val="20"/>
                <w:color w:val="auto"/>
              </w:rPr>
            </w:pPr>
            <w:r>
              <w:rPr>
                <w:rFonts w:ascii="Arial" w:cs="Arial" w:eastAsia="Arial" w:hAnsi="Arial"/>
                <w:sz w:val="14"/>
                <w:szCs w:val="14"/>
                <w:b w:val="1"/>
                <w:bCs w:val="1"/>
                <w:color w:val="auto"/>
                <w:w w:val="90"/>
              </w:rPr>
              <w:t>Exposure</w:t>
            </w:r>
          </w:p>
        </w:tc>
        <w:tc>
          <w:tcPr>
            <w:tcW w:w="0" w:type="dxa"/>
            <w:vAlign w:val="bottom"/>
          </w:tcPr>
          <w:p>
            <w:pPr>
              <w:spacing w:after="0"/>
              <w:rPr>
                <w:sz w:val="1"/>
                <w:szCs w:val="1"/>
                <w:color w:val="auto"/>
              </w:rPr>
            </w:pPr>
          </w:p>
        </w:tc>
      </w:tr>
      <w:tr>
        <w:trPr>
          <w:trHeight w:val="192"/>
        </w:trPr>
        <w:tc>
          <w:tcPr>
            <w:tcW w:w="60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2"/>
          </w:tcPr>
          <w:p>
            <w:pPr>
              <w:jc w:val="center"/>
              <w:ind w:right="360"/>
              <w:spacing w:after="0"/>
              <w:rPr>
                <w:sz w:val="20"/>
                <w:szCs w:val="20"/>
                <w:color w:val="auto"/>
              </w:rPr>
            </w:pPr>
            <w:r>
              <w:rPr>
                <w:rFonts w:ascii="Arial" w:cs="Arial" w:eastAsia="Arial" w:hAnsi="Arial"/>
                <w:sz w:val="14"/>
                <w:szCs w:val="14"/>
                <w:b w:val="1"/>
                <w:bCs w:val="1"/>
                <w:color w:val="auto"/>
                <w:w w:val="98"/>
              </w:rPr>
              <w:t>Amount</w:t>
            </w:r>
          </w:p>
        </w:tc>
        <w:tc>
          <w:tcPr>
            <w:tcW w:w="2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w w:val="90"/>
              </w:rPr>
              <w:t>to Loss (1)</w:t>
            </w: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2"/>
          </w:tcPr>
          <w:p>
            <w:pPr>
              <w:jc w:val="center"/>
              <w:ind w:right="420"/>
              <w:spacing w:after="0"/>
              <w:rPr>
                <w:sz w:val="20"/>
                <w:szCs w:val="20"/>
                <w:color w:val="auto"/>
              </w:rPr>
            </w:pPr>
            <w:r>
              <w:rPr>
                <w:rFonts w:ascii="Arial" w:cs="Arial" w:eastAsia="Arial" w:hAnsi="Arial"/>
                <w:sz w:val="14"/>
                <w:szCs w:val="14"/>
                <w:b w:val="1"/>
                <w:bCs w:val="1"/>
                <w:color w:val="auto"/>
                <w:w w:val="94"/>
              </w:rPr>
              <w:t>Amount</w:t>
            </w:r>
          </w:p>
        </w:tc>
        <w:tc>
          <w:tcPr>
            <w:tcW w:w="2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122"/>
              <w:spacing w:after="0"/>
              <w:rPr>
                <w:sz w:val="20"/>
                <w:szCs w:val="20"/>
                <w:color w:val="auto"/>
              </w:rPr>
            </w:pPr>
            <w:r>
              <w:rPr>
                <w:rFonts w:ascii="Arial" w:cs="Arial" w:eastAsia="Arial" w:hAnsi="Arial"/>
                <w:sz w:val="14"/>
                <w:szCs w:val="14"/>
                <w:b w:val="1"/>
                <w:bCs w:val="1"/>
                <w:color w:val="auto"/>
                <w:w w:val="90"/>
              </w:rPr>
              <w:t>to Loss (1)</w:t>
            </w:r>
          </w:p>
        </w:tc>
        <w:tc>
          <w:tcPr>
            <w:tcW w:w="0" w:type="dxa"/>
            <w:vAlign w:val="bottom"/>
          </w:tcPr>
          <w:p>
            <w:pPr>
              <w:spacing w:after="0"/>
              <w:rPr>
                <w:sz w:val="1"/>
                <w:szCs w:val="1"/>
                <w:color w:val="auto"/>
              </w:rPr>
            </w:pPr>
          </w:p>
        </w:tc>
      </w:tr>
      <w:tr>
        <w:trPr>
          <w:trHeight w:val="250"/>
        </w:trPr>
        <w:tc>
          <w:tcPr>
            <w:tcW w:w="60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6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millions)</w:t>
            </w: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Fixed maturity securities AFS:</w:t>
            </w:r>
          </w:p>
        </w:tc>
        <w:tc>
          <w:tcPr>
            <w:tcW w:w="24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6060" w:type="dxa"/>
            <w:vAlign w:val="bottom"/>
          </w:tcPr>
          <w:p>
            <w:pPr>
              <w:ind w:left="180"/>
              <w:spacing w:after="0"/>
              <w:rPr>
                <w:sz w:val="20"/>
                <w:szCs w:val="20"/>
                <w:color w:val="auto"/>
              </w:rPr>
            </w:pPr>
            <w:r>
              <w:rPr>
                <w:rFonts w:ascii="Arial" w:cs="Arial" w:eastAsia="Arial" w:hAnsi="Arial"/>
                <w:sz w:val="16"/>
                <w:szCs w:val="16"/>
                <w:color w:val="auto"/>
              </w:rPr>
              <w:t>Structured Securities (2)</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ind w:right="42"/>
              <w:spacing w:after="0"/>
              <w:rPr>
                <w:sz w:val="20"/>
                <w:szCs w:val="20"/>
                <w:color w:val="auto"/>
              </w:rPr>
            </w:pPr>
            <w:r>
              <w:rPr>
                <w:rFonts w:ascii="Arial" w:cs="Arial" w:eastAsia="Arial" w:hAnsi="Arial"/>
                <w:sz w:val="16"/>
                <w:szCs w:val="16"/>
                <w:color w:val="auto"/>
              </w:rPr>
              <w:t>11,477</w:t>
            </w:r>
          </w:p>
        </w:tc>
        <w:tc>
          <w:tcPr>
            <w:tcW w:w="120" w:type="dxa"/>
            <w:vAlign w:val="bottom"/>
          </w:tcPr>
          <w:p>
            <w:pPr>
              <w:spacing w:after="0"/>
              <w:rPr>
                <w:sz w:val="20"/>
                <w:szCs w:val="20"/>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23"/>
              <w:spacing w:after="0"/>
              <w:rPr>
                <w:sz w:val="20"/>
                <w:szCs w:val="20"/>
                <w:color w:val="auto"/>
              </w:rPr>
            </w:pPr>
            <w:r>
              <w:rPr>
                <w:rFonts w:ascii="Arial" w:cs="Arial" w:eastAsia="Arial" w:hAnsi="Arial"/>
                <w:sz w:val="16"/>
                <w:szCs w:val="16"/>
                <w:color w:val="auto"/>
              </w:rPr>
              <w:t>11,477</w:t>
            </w:r>
          </w:p>
        </w:tc>
        <w:tc>
          <w:tcPr>
            <w:tcW w:w="100" w:type="dxa"/>
            <w:vAlign w:val="bottom"/>
          </w:tcPr>
          <w:p>
            <w:pPr>
              <w:spacing w:after="0"/>
              <w:rPr>
                <w:sz w:val="20"/>
                <w:szCs w:val="20"/>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22"/>
              <w:spacing w:after="0"/>
              <w:rPr>
                <w:sz w:val="20"/>
                <w:szCs w:val="20"/>
                <w:color w:val="auto"/>
              </w:rPr>
            </w:pPr>
            <w:r>
              <w:rPr>
                <w:rFonts w:ascii="Arial" w:cs="Arial" w:eastAsia="Arial" w:hAnsi="Arial"/>
                <w:sz w:val="16"/>
                <w:szCs w:val="16"/>
                <w:color w:val="auto"/>
              </w:rPr>
              <w:t>13,062</w:t>
            </w:r>
          </w:p>
        </w:tc>
        <w:tc>
          <w:tcPr>
            <w:tcW w:w="120" w:type="dxa"/>
            <w:vAlign w:val="bottom"/>
          </w:tcPr>
          <w:p>
            <w:pPr>
              <w:spacing w:after="0"/>
              <w:rPr>
                <w:sz w:val="20"/>
                <w:szCs w:val="20"/>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ind w:right="22"/>
              <w:spacing w:after="0"/>
              <w:rPr>
                <w:sz w:val="20"/>
                <w:szCs w:val="20"/>
                <w:color w:val="auto"/>
              </w:rPr>
            </w:pPr>
            <w:r>
              <w:rPr>
                <w:rFonts w:ascii="Arial" w:cs="Arial" w:eastAsia="Arial" w:hAnsi="Arial"/>
                <w:sz w:val="16"/>
                <w:szCs w:val="16"/>
                <w:color w:val="auto"/>
              </w:rPr>
              <w:t>13,062</w:t>
            </w:r>
          </w:p>
        </w:tc>
        <w:tc>
          <w:tcPr>
            <w:tcW w:w="0" w:type="dxa"/>
            <w:vAlign w:val="bottom"/>
          </w:tcPr>
          <w:p>
            <w:pPr>
              <w:spacing w:after="0"/>
              <w:rPr>
                <w:sz w:val="1"/>
                <w:szCs w:val="1"/>
                <w:color w:val="auto"/>
              </w:rPr>
            </w:pPr>
          </w:p>
        </w:tc>
      </w:tr>
      <w:tr>
        <w:trPr>
          <w:trHeight w:val="33"/>
        </w:trPr>
        <w:tc>
          <w:tcPr>
            <w:tcW w:w="60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U.S. and foreign corporate</w:t>
            </w: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501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501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518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518</w:t>
            </w:r>
          </w:p>
        </w:tc>
        <w:tc>
          <w:tcPr>
            <w:tcW w:w="0" w:type="dxa"/>
            <w:vAlign w:val="bottom"/>
          </w:tcPr>
          <w:p>
            <w:pPr>
              <w:spacing w:after="0"/>
              <w:rPr>
                <w:sz w:val="1"/>
                <w:szCs w:val="1"/>
                <w:color w:val="auto"/>
              </w:rPr>
            </w:pPr>
          </w:p>
        </w:tc>
      </w:tr>
      <w:tr>
        <w:trPr>
          <w:trHeight w:val="237"/>
        </w:trPr>
        <w:tc>
          <w:tcPr>
            <w:tcW w:w="6060" w:type="dxa"/>
            <w:vAlign w:val="bottom"/>
          </w:tcPr>
          <w:p>
            <w:pPr>
              <w:ind w:left="40"/>
              <w:spacing w:after="0"/>
              <w:rPr>
                <w:sz w:val="20"/>
                <w:szCs w:val="20"/>
                <w:color w:val="auto"/>
              </w:rPr>
            </w:pPr>
            <w:r>
              <w:rPr>
                <w:rFonts w:ascii="Arial" w:cs="Arial" w:eastAsia="Arial" w:hAnsi="Arial"/>
                <w:sz w:val="16"/>
                <w:szCs w:val="16"/>
                <w:color w:val="auto"/>
              </w:rPr>
              <w:t>Other limited partnership interests</w:t>
            </w:r>
          </w:p>
        </w:tc>
        <w:tc>
          <w:tcPr>
            <w:tcW w:w="240" w:type="dxa"/>
            <w:vAlign w:val="bottom"/>
          </w:tcPr>
          <w:p>
            <w:pPr>
              <w:spacing w:after="0"/>
              <w:rPr>
                <w:sz w:val="20"/>
                <w:szCs w:val="20"/>
                <w:color w:val="auto"/>
              </w:rPr>
            </w:pPr>
          </w:p>
        </w:tc>
        <w:tc>
          <w:tcPr>
            <w:tcW w:w="1040" w:type="dxa"/>
            <w:vAlign w:val="bottom"/>
          </w:tcPr>
          <w:p>
            <w:pPr>
              <w:jc w:val="right"/>
              <w:ind w:right="42"/>
              <w:spacing w:after="0"/>
              <w:rPr>
                <w:sz w:val="20"/>
                <w:szCs w:val="20"/>
                <w:color w:val="auto"/>
              </w:rPr>
            </w:pPr>
            <w:r>
              <w:rPr>
                <w:rFonts w:ascii="Arial" w:cs="Arial" w:eastAsia="Arial" w:hAnsi="Arial"/>
                <w:sz w:val="16"/>
                <w:szCs w:val="16"/>
                <w:color w:val="auto"/>
              </w:rPr>
              <w:t>1,492</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jc w:val="right"/>
              <w:ind w:right="23"/>
              <w:spacing w:after="0"/>
              <w:rPr>
                <w:sz w:val="20"/>
                <w:szCs w:val="20"/>
                <w:color w:val="auto"/>
              </w:rPr>
            </w:pPr>
            <w:r>
              <w:rPr>
                <w:rFonts w:ascii="Arial" w:cs="Arial" w:eastAsia="Arial" w:hAnsi="Arial"/>
                <w:sz w:val="16"/>
                <w:szCs w:val="16"/>
                <w:color w:val="auto"/>
              </w:rPr>
              <w:t>2,394</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20" w:type="dxa"/>
            <w:vAlign w:val="bottom"/>
          </w:tcPr>
          <w:p>
            <w:pPr>
              <w:jc w:val="right"/>
              <w:ind w:right="22"/>
              <w:spacing w:after="0"/>
              <w:rPr>
                <w:sz w:val="20"/>
                <w:szCs w:val="20"/>
                <w:color w:val="auto"/>
              </w:rPr>
            </w:pPr>
            <w:r>
              <w:rPr>
                <w:rFonts w:ascii="Arial" w:cs="Arial" w:eastAsia="Arial" w:hAnsi="Arial"/>
                <w:sz w:val="16"/>
                <w:szCs w:val="16"/>
                <w:color w:val="auto"/>
              </w:rPr>
              <w:t>1,495</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jc w:val="right"/>
              <w:ind w:right="22"/>
              <w:spacing w:after="0"/>
              <w:rPr>
                <w:sz w:val="20"/>
                <w:szCs w:val="20"/>
                <w:color w:val="auto"/>
              </w:rPr>
            </w:pPr>
            <w:r>
              <w:rPr>
                <w:rFonts w:ascii="Arial" w:cs="Arial" w:eastAsia="Arial" w:hAnsi="Arial"/>
                <w:sz w:val="16"/>
                <w:szCs w:val="16"/>
                <w:color w:val="auto"/>
              </w:rPr>
              <w:t>2,292</w:t>
            </w:r>
          </w:p>
        </w:tc>
        <w:tc>
          <w:tcPr>
            <w:tcW w:w="0" w:type="dxa"/>
            <w:vAlign w:val="bottom"/>
          </w:tcPr>
          <w:p>
            <w:pPr>
              <w:spacing w:after="0"/>
              <w:rPr>
                <w:sz w:val="1"/>
                <w:szCs w:val="1"/>
                <w:color w:val="auto"/>
              </w:rPr>
            </w:pPr>
          </w:p>
        </w:tc>
      </w:tr>
      <w:tr>
        <w:trPr>
          <w:trHeight w:val="33"/>
        </w:trPr>
        <w:tc>
          <w:tcPr>
            <w:tcW w:w="60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investments (3)</w:t>
            </w:r>
          </w:p>
        </w:tc>
        <w:tc>
          <w:tcPr>
            <w:tcW w:w="2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87</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97</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90</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101</w:t>
            </w:r>
          </w:p>
        </w:tc>
        <w:tc>
          <w:tcPr>
            <w:tcW w:w="0" w:type="dxa"/>
            <w:vAlign w:val="bottom"/>
          </w:tcPr>
          <w:p>
            <w:pPr>
              <w:spacing w:after="0"/>
              <w:rPr>
                <w:sz w:val="1"/>
                <w:szCs w:val="1"/>
                <w:color w:val="auto"/>
              </w:rPr>
            </w:pPr>
          </w:p>
        </w:tc>
      </w:tr>
      <w:tr>
        <w:trPr>
          <w:trHeight w:val="217"/>
        </w:trPr>
        <w:tc>
          <w:tcPr>
            <w:tcW w:w="6060" w:type="dxa"/>
            <w:vAlign w:val="bottom"/>
          </w:tcPr>
          <w:p>
            <w:pPr>
              <w:ind w:left="280"/>
              <w:spacing w:after="0"/>
              <w:rPr>
                <w:sz w:val="20"/>
                <w:szCs w:val="20"/>
                <w:color w:val="auto"/>
              </w:rPr>
            </w:pPr>
            <w:r>
              <w:rPr>
                <w:rFonts w:ascii="Arial" w:cs="Arial" w:eastAsia="Arial" w:hAnsi="Arial"/>
                <w:sz w:val="16"/>
                <w:szCs w:val="16"/>
                <w:color w:val="auto"/>
              </w:rPr>
              <w:t>Total</w:t>
            </w:r>
          </w:p>
        </w:tc>
        <w:tc>
          <w:tcPr>
            <w:tcW w:w="24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tcBorders>
          </w:tcPr>
          <w:p>
            <w:pPr>
              <w:jc w:val="right"/>
              <w:ind w:right="42"/>
              <w:spacing w:after="0"/>
              <w:rPr>
                <w:sz w:val="20"/>
                <w:szCs w:val="20"/>
                <w:color w:val="auto"/>
              </w:rPr>
            </w:pPr>
            <w:r>
              <w:rPr>
                <w:rFonts w:ascii="Arial" w:cs="Arial" w:eastAsia="Arial" w:hAnsi="Arial"/>
                <w:sz w:val="16"/>
                <w:szCs w:val="16"/>
                <w:color w:val="auto"/>
              </w:rPr>
              <w:t>13,557</w:t>
            </w:r>
          </w:p>
        </w:tc>
        <w:tc>
          <w:tcPr>
            <w:tcW w:w="120" w:type="dxa"/>
            <w:vAlign w:val="bottom"/>
          </w:tcPr>
          <w:p>
            <w:pPr>
              <w:spacing w:after="0"/>
              <w:rPr>
                <w:sz w:val="18"/>
                <w:szCs w:val="18"/>
                <w:color w:val="auto"/>
              </w:rPr>
            </w:pPr>
          </w:p>
        </w:tc>
        <w:tc>
          <w:tcPr>
            <w:tcW w:w="2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040" w:type="dxa"/>
            <w:vAlign w:val="bottom"/>
            <w:tcBorders>
              <w:top w:val="single" w:sz="8" w:color="auto"/>
            </w:tcBorders>
          </w:tcPr>
          <w:p>
            <w:pPr>
              <w:jc w:val="right"/>
              <w:ind w:right="23"/>
              <w:spacing w:after="0"/>
              <w:rPr>
                <w:sz w:val="20"/>
                <w:szCs w:val="20"/>
                <w:color w:val="auto"/>
              </w:rPr>
            </w:pPr>
            <w:r>
              <w:rPr>
                <w:rFonts w:ascii="Arial" w:cs="Arial" w:eastAsia="Arial" w:hAnsi="Arial"/>
                <w:sz w:val="16"/>
                <w:szCs w:val="16"/>
                <w:color w:val="auto"/>
              </w:rPr>
              <w:t>14,469</w:t>
            </w:r>
          </w:p>
        </w:tc>
        <w:tc>
          <w:tcPr>
            <w:tcW w:w="100" w:type="dxa"/>
            <w:vAlign w:val="bottom"/>
          </w:tcPr>
          <w:p>
            <w:pPr>
              <w:spacing w:after="0"/>
              <w:rPr>
                <w:sz w:val="18"/>
                <w:szCs w:val="18"/>
                <w:color w:val="auto"/>
              </w:rPr>
            </w:pPr>
          </w:p>
        </w:tc>
        <w:tc>
          <w:tcPr>
            <w:tcW w:w="32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920" w:type="dxa"/>
            <w:vAlign w:val="bottom"/>
            <w:tcBorders>
              <w:top w:val="single" w:sz="8" w:color="auto"/>
            </w:tcBorders>
          </w:tcPr>
          <w:p>
            <w:pPr>
              <w:jc w:val="right"/>
              <w:ind w:right="22"/>
              <w:spacing w:after="0"/>
              <w:rPr>
                <w:sz w:val="20"/>
                <w:szCs w:val="20"/>
                <w:color w:val="auto"/>
              </w:rPr>
            </w:pPr>
            <w:r>
              <w:rPr>
                <w:rFonts w:ascii="Arial" w:cs="Arial" w:eastAsia="Arial" w:hAnsi="Arial"/>
                <w:sz w:val="16"/>
                <w:szCs w:val="16"/>
                <w:color w:val="auto"/>
              </w:rPr>
              <w:t>15,165</w:t>
            </w:r>
          </w:p>
        </w:tc>
        <w:tc>
          <w:tcPr>
            <w:tcW w:w="120" w:type="dxa"/>
            <w:vAlign w:val="bottom"/>
          </w:tcPr>
          <w:p>
            <w:pPr>
              <w:spacing w:after="0"/>
              <w:rPr>
                <w:sz w:val="18"/>
                <w:szCs w:val="18"/>
                <w:color w:val="auto"/>
              </w:rPr>
            </w:pPr>
          </w:p>
        </w:tc>
        <w:tc>
          <w:tcPr>
            <w:tcW w:w="2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tcBorders>
          </w:tcPr>
          <w:p>
            <w:pPr>
              <w:jc w:val="right"/>
              <w:ind w:right="22"/>
              <w:spacing w:after="0"/>
              <w:rPr>
                <w:sz w:val="20"/>
                <w:szCs w:val="20"/>
                <w:color w:val="auto"/>
              </w:rPr>
            </w:pPr>
            <w:r>
              <w:rPr>
                <w:rFonts w:ascii="Arial" w:cs="Arial" w:eastAsia="Arial" w:hAnsi="Arial"/>
                <w:sz w:val="16"/>
                <w:szCs w:val="16"/>
                <w:color w:val="auto"/>
              </w:rPr>
              <w:t>15,973</w:t>
            </w:r>
          </w:p>
        </w:tc>
        <w:tc>
          <w:tcPr>
            <w:tcW w:w="0" w:type="dxa"/>
            <w:vAlign w:val="bottom"/>
          </w:tcPr>
          <w:p>
            <w:pPr>
              <w:spacing w:after="0"/>
              <w:rPr>
                <w:sz w:val="1"/>
                <w:szCs w:val="1"/>
                <w:color w:val="auto"/>
              </w:rPr>
            </w:pPr>
          </w:p>
        </w:tc>
      </w:tr>
      <w:tr>
        <w:trPr>
          <w:trHeight w:val="33"/>
        </w:trPr>
        <w:tc>
          <w:tcPr>
            <w:tcW w:w="6060" w:type="dxa"/>
            <w:vAlign w:val="bottom"/>
            <w:vMerge w:val="restart"/>
          </w:tcPr>
          <w:p>
            <w:pPr>
              <w:spacing w:after="0"/>
              <w:rPr>
                <w:sz w:val="20"/>
                <w:szCs w:val="20"/>
                <w:color w:val="auto"/>
              </w:rPr>
            </w:pPr>
            <w:r>
              <w:rPr>
                <w:rFonts w:ascii="Arial" w:cs="Arial" w:eastAsia="Arial" w:hAnsi="Arial"/>
                <w:sz w:val="14"/>
                <w:szCs w:val="14"/>
                <w:color w:val="auto"/>
              </w:rPr>
              <w:t>__________________</w:t>
            </w: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060" w:type="dxa"/>
            <w:vAlign w:val="bottom"/>
            <w:vMerge w:val="continue"/>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606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92" w:lineRule="exact"/>
        <w:rPr>
          <w:sz w:val="20"/>
          <w:szCs w:val="20"/>
          <w:color w:val="auto"/>
        </w:rPr>
      </w:pPr>
    </w:p>
    <w:p>
      <w:pPr>
        <w:jc w:val="both"/>
        <w:ind w:left="500" w:hanging="492"/>
        <w:spacing w:after="0" w:line="273" w:lineRule="auto"/>
        <w:tabs>
          <w:tab w:leader="none" w:pos="500"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maximum exposure to loss relating to fixed maturity securities AFS is equal to their carrying amounts or the carrying amounts of retained interests. The maximum exposure to loss relating to other limited partnership interests and real estate joint ventures is equal to the carrying amounts plus any unfunded commitments. For certain of its investments in other invested assets, the Company’s return is in the form of income tax credits which are guaranteed by creditworthy third parties. For such investments, the maximum exposure to loss is equal to the carrying amounts plus any unfunded commitments, reduced by income tax credits guaranteed by third parties. There were no income tax credits at both September 30, 2017 and December 31, 2016. Such a maximum loss would be expected to occur only upon bankruptcy of the issuer or investee.</w:t>
      </w:r>
    </w:p>
    <w:p>
      <w:pPr>
        <w:spacing w:after="0" w:line="70" w:lineRule="exact"/>
        <w:rPr>
          <w:rFonts w:ascii="Arial" w:cs="Arial" w:eastAsia="Arial" w:hAnsi="Arial"/>
          <w:sz w:val="17"/>
          <w:szCs w:val="17"/>
          <w:color w:val="auto"/>
        </w:rPr>
      </w:pPr>
    </w:p>
    <w:p>
      <w:pPr>
        <w:ind w:left="500" w:hanging="492"/>
        <w:spacing w:after="0" w:line="277" w:lineRule="auto"/>
        <w:tabs>
          <w:tab w:leader="none" w:pos="5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For these variable interests, the Company’s involvement is limited to that of a passive investor in mortgage-backed or asset-backed securities issued by trusts that do not have substantial equity.</w:t>
      </w:r>
    </w:p>
    <w:p>
      <w:pPr>
        <w:spacing w:after="0" w:line="62" w:lineRule="exact"/>
        <w:rPr>
          <w:rFonts w:ascii="Arial" w:cs="Arial" w:eastAsia="Arial" w:hAnsi="Arial"/>
          <w:sz w:val="18"/>
          <w:szCs w:val="18"/>
          <w:color w:val="auto"/>
        </w:rPr>
      </w:pPr>
    </w:p>
    <w:p>
      <w:pPr>
        <w:ind w:left="500" w:hanging="492"/>
        <w:spacing w:after="0"/>
        <w:tabs>
          <w:tab w:leader="none" w:pos="5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Other investments is comprised of real estate joint ventures, other invested assets and non-redeemable preferred stock.</w:t>
      </w:r>
    </w:p>
    <w:p>
      <w:pPr>
        <w:spacing w:after="0" w:line="117" w:lineRule="exact"/>
        <w:rPr>
          <w:sz w:val="20"/>
          <w:szCs w:val="20"/>
          <w:color w:val="auto"/>
        </w:rPr>
      </w:pPr>
    </w:p>
    <w:p>
      <w:pPr>
        <w:jc w:val="both"/>
        <w:ind w:left="180" w:right="20" w:firstLine="324"/>
        <w:spacing w:after="0" w:line="264" w:lineRule="auto"/>
        <w:rPr>
          <w:sz w:val="20"/>
          <w:szCs w:val="20"/>
          <w:color w:val="auto"/>
        </w:rPr>
      </w:pPr>
      <w:r>
        <w:rPr>
          <w:rFonts w:ascii="Arial" w:cs="Arial" w:eastAsia="Arial" w:hAnsi="Arial"/>
          <w:sz w:val="18"/>
          <w:szCs w:val="18"/>
          <w:color w:val="auto"/>
        </w:rPr>
        <w:t>As described in Note 11, the Company makes commitments to fund partnership investments in the normal course of business. Excluding these commitments, the Company did not provide financial or other support to investees designated as VIEs during both the three months and nine months ended September 30, 2017 and 2016.</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234" w:right="239" w:bottom="1440" w:gutter="0" w:footer="0" w:header="0"/>
        </w:sectPr>
      </w:pPr>
    </w:p>
    <w:bookmarkStart w:id="27" w:name="page28"/>
    <w:bookmarkEnd w:id="27"/>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Brighthouse Financial, Inc.</w:t>
      </w:r>
    </w:p>
    <w:p>
      <w:pPr>
        <w:spacing w:after="0" w:line="117" w:lineRule="exact"/>
        <w:rPr>
          <w:sz w:val="20"/>
          <w:szCs w:val="20"/>
          <w:color w:val="auto"/>
        </w:rPr>
      </w:pPr>
    </w:p>
    <w:p>
      <w:pPr>
        <w:ind w:left="1480"/>
        <w:spacing w:after="0"/>
        <w:rPr>
          <w:sz w:val="20"/>
          <w:szCs w:val="20"/>
          <w:color w:val="auto"/>
        </w:rPr>
      </w:pPr>
      <w:r>
        <w:rPr>
          <w:rFonts w:ascii="Arial" w:cs="Arial" w:eastAsia="Arial" w:hAnsi="Arial"/>
          <w:sz w:val="18"/>
          <w:szCs w:val="18"/>
          <w:b w:val="1"/>
          <w:bCs w:val="1"/>
          <w:color w:val="auto"/>
        </w:rPr>
        <w:t>Notes to the Interim Condensed Consolidated and Combined Financial Statements (Unaudited) — (continued)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Investments (continued)</w:t>
      </w:r>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Investment Income</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components of net investment income were as follows:</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740" w:type="dxa"/>
            <w:vAlign w:val="bottom"/>
            <w:gridSpan w:val="4"/>
          </w:tcPr>
          <w:p>
            <w:pPr>
              <w:jc w:val="center"/>
              <w:ind w:left="561"/>
              <w:spacing w:after="0"/>
              <w:rPr>
                <w:sz w:val="20"/>
                <w:szCs w:val="20"/>
                <w:color w:val="auto"/>
              </w:rPr>
            </w:pPr>
            <w:r>
              <w:rPr>
                <w:rFonts w:ascii="Arial" w:cs="Arial" w:eastAsia="Arial" w:hAnsi="Arial"/>
                <w:sz w:val="14"/>
                <w:szCs w:val="14"/>
                <w:b w:val="1"/>
                <w:bCs w:val="1"/>
                <w:color w:val="auto"/>
                <w:w w:val="93"/>
              </w:rPr>
              <w:t>Three Months</w:t>
            </w:r>
          </w:p>
        </w:tc>
        <w:tc>
          <w:tcPr>
            <w:tcW w:w="9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40" w:type="dxa"/>
            <w:vAlign w:val="bottom"/>
            <w:gridSpan w:val="4"/>
          </w:tcPr>
          <w:p>
            <w:pPr>
              <w:jc w:val="center"/>
              <w:ind w:left="501"/>
              <w:spacing w:after="0"/>
              <w:rPr>
                <w:sz w:val="20"/>
                <w:szCs w:val="20"/>
                <w:color w:val="auto"/>
              </w:rPr>
            </w:pPr>
            <w:r>
              <w:rPr>
                <w:rFonts w:ascii="Arial" w:cs="Arial" w:eastAsia="Arial" w:hAnsi="Arial"/>
                <w:sz w:val="14"/>
                <w:szCs w:val="14"/>
                <w:b w:val="1"/>
                <w:bCs w:val="1"/>
                <w:color w:val="auto"/>
                <w:w w:val="92"/>
              </w:rPr>
              <w:t>Nine Months</w:t>
            </w:r>
          </w:p>
        </w:tc>
        <w:tc>
          <w:tcPr>
            <w:tcW w:w="860" w:type="dxa"/>
            <w:vAlign w:val="bottom"/>
          </w:tcPr>
          <w:p>
            <w:pPr>
              <w:spacing w:after="0"/>
              <w:rPr>
                <w:sz w:val="14"/>
                <w:szCs w:val="14"/>
                <w:color w:val="auto"/>
              </w:rPr>
            </w:pPr>
          </w:p>
        </w:tc>
      </w:tr>
      <w:tr>
        <w:trPr>
          <w:trHeight w:val="149"/>
        </w:trPr>
        <w:tc>
          <w:tcPr>
            <w:tcW w:w="52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00" w:type="dxa"/>
            <w:vAlign w:val="bottom"/>
            <w:gridSpan w:val="3"/>
          </w:tcPr>
          <w:p>
            <w:pPr>
              <w:jc w:val="center"/>
              <w:ind w:right="279"/>
              <w:spacing w:after="0" w:line="149" w:lineRule="exact"/>
              <w:rPr>
                <w:sz w:val="20"/>
                <w:szCs w:val="20"/>
                <w:color w:val="auto"/>
              </w:rPr>
            </w:pPr>
            <w:r>
              <w:rPr>
                <w:rFonts w:ascii="Arial" w:cs="Arial" w:eastAsia="Arial" w:hAnsi="Arial"/>
                <w:sz w:val="14"/>
                <w:szCs w:val="14"/>
                <w:b w:val="1"/>
                <w:bCs w:val="1"/>
                <w:color w:val="auto"/>
                <w:w w:val="93"/>
              </w:rPr>
              <w:t>Ended</w:t>
            </w:r>
          </w:p>
        </w:tc>
        <w:tc>
          <w:tcPr>
            <w:tcW w:w="9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780" w:type="dxa"/>
            <w:vAlign w:val="bottom"/>
            <w:gridSpan w:val="3"/>
          </w:tcPr>
          <w:p>
            <w:pPr>
              <w:jc w:val="center"/>
              <w:ind w:right="219"/>
              <w:spacing w:after="0" w:line="149" w:lineRule="exact"/>
              <w:rPr>
                <w:sz w:val="20"/>
                <w:szCs w:val="20"/>
                <w:color w:val="auto"/>
              </w:rPr>
            </w:pPr>
            <w:r>
              <w:rPr>
                <w:rFonts w:ascii="Arial" w:cs="Arial" w:eastAsia="Arial" w:hAnsi="Arial"/>
                <w:sz w:val="14"/>
                <w:szCs w:val="14"/>
                <w:b w:val="1"/>
                <w:bCs w:val="1"/>
                <w:color w:val="auto"/>
                <w:w w:val="93"/>
              </w:rPr>
              <w:t>Ended</w:t>
            </w:r>
          </w:p>
        </w:tc>
        <w:tc>
          <w:tcPr>
            <w:tcW w:w="860" w:type="dxa"/>
            <w:vAlign w:val="bottom"/>
          </w:tcPr>
          <w:p>
            <w:pPr>
              <w:spacing w:after="0"/>
              <w:rPr>
                <w:sz w:val="12"/>
                <w:szCs w:val="12"/>
                <w:color w:val="auto"/>
              </w:rPr>
            </w:pPr>
          </w:p>
        </w:tc>
      </w:tr>
      <w:tr>
        <w:trPr>
          <w:trHeight w:val="192"/>
        </w:trPr>
        <w:tc>
          <w:tcPr>
            <w:tcW w:w="52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4"/>
          </w:tcPr>
          <w:p>
            <w:pPr>
              <w:jc w:val="center"/>
              <w:ind w:left="541"/>
              <w:spacing w:after="0"/>
              <w:rPr>
                <w:sz w:val="20"/>
                <w:szCs w:val="20"/>
                <w:color w:val="auto"/>
              </w:rPr>
            </w:pPr>
            <w:r>
              <w:rPr>
                <w:rFonts w:ascii="Arial" w:cs="Arial" w:eastAsia="Arial" w:hAnsi="Arial"/>
                <w:sz w:val="14"/>
                <w:szCs w:val="14"/>
                <w:b w:val="1"/>
                <w:bCs w:val="1"/>
                <w:color w:val="auto"/>
                <w:w w:val="91"/>
              </w:rPr>
              <w:t>September 30,</w:t>
            </w:r>
          </w:p>
        </w:tc>
        <w:tc>
          <w:tcPr>
            <w:tcW w:w="920" w:type="dxa"/>
            <w:vAlign w:val="bottom"/>
            <w:tcBorders>
              <w:bottom w:val="single" w:sz="8" w:color="auto"/>
            </w:tcBorders>
          </w:tcPr>
          <w:p>
            <w:pPr>
              <w:spacing w:after="0"/>
              <w:rPr>
                <w:sz w:val="16"/>
                <w:szCs w:val="16"/>
                <w:color w:val="auto"/>
              </w:rPr>
            </w:pPr>
          </w:p>
        </w:tc>
        <w:tc>
          <w:tcPr>
            <w:tcW w:w="3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4"/>
          </w:tcPr>
          <w:p>
            <w:pPr>
              <w:jc w:val="center"/>
              <w:ind w:left="481"/>
              <w:spacing w:after="0"/>
              <w:rPr>
                <w:sz w:val="20"/>
                <w:szCs w:val="20"/>
                <w:color w:val="auto"/>
              </w:rPr>
            </w:pPr>
            <w:r>
              <w:rPr>
                <w:rFonts w:ascii="Arial" w:cs="Arial" w:eastAsia="Arial" w:hAnsi="Arial"/>
                <w:sz w:val="14"/>
                <w:szCs w:val="14"/>
                <w:b w:val="1"/>
                <w:bCs w:val="1"/>
                <w:color w:val="auto"/>
                <w:w w:val="91"/>
              </w:rPr>
              <w:t>September 30,</w:t>
            </w:r>
          </w:p>
        </w:tc>
        <w:tc>
          <w:tcPr>
            <w:tcW w:w="860" w:type="dxa"/>
            <w:vAlign w:val="bottom"/>
            <w:tcBorders>
              <w:bottom w:val="single" w:sz="8" w:color="auto"/>
            </w:tcBorders>
          </w:tcPr>
          <w:p>
            <w:pPr>
              <w:spacing w:after="0"/>
              <w:rPr>
                <w:sz w:val="16"/>
                <w:szCs w:val="16"/>
                <w:color w:val="auto"/>
              </w:rPr>
            </w:pPr>
          </w:p>
        </w:tc>
      </w:tr>
      <w:tr>
        <w:trPr>
          <w:trHeight w:val="196"/>
        </w:trPr>
        <w:tc>
          <w:tcPr>
            <w:tcW w:w="528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81"/>
              <w:spacing w:after="0"/>
              <w:rPr>
                <w:sz w:val="20"/>
                <w:szCs w:val="20"/>
                <w:color w:val="auto"/>
              </w:rPr>
            </w:pPr>
            <w:r>
              <w:rPr>
                <w:rFonts w:ascii="Arial" w:cs="Arial" w:eastAsia="Arial" w:hAnsi="Arial"/>
                <w:sz w:val="14"/>
                <w:szCs w:val="14"/>
                <w:b w:val="1"/>
                <w:bCs w:val="1"/>
                <w:color w:val="auto"/>
              </w:rPr>
              <w:t>2017</w:t>
            </w:r>
          </w:p>
        </w:tc>
        <w:tc>
          <w:tcPr>
            <w:tcW w:w="6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440"/>
              <w:spacing w:after="0"/>
              <w:rPr>
                <w:sz w:val="20"/>
                <w:szCs w:val="20"/>
                <w:color w:val="auto"/>
              </w:rPr>
            </w:pPr>
            <w:r>
              <w:rPr>
                <w:rFonts w:ascii="Arial" w:cs="Arial" w:eastAsia="Arial" w:hAnsi="Arial"/>
                <w:sz w:val="14"/>
                <w:szCs w:val="14"/>
                <w:b w:val="1"/>
                <w:bCs w:val="1"/>
                <w:color w:val="auto"/>
              </w:rPr>
              <w:t>2016</w:t>
            </w:r>
          </w:p>
        </w:tc>
        <w:tc>
          <w:tcPr>
            <w:tcW w:w="36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341"/>
              <w:spacing w:after="0"/>
              <w:rPr>
                <w:sz w:val="20"/>
                <w:szCs w:val="20"/>
                <w:color w:val="auto"/>
              </w:rPr>
            </w:pPr>
            <w:r>
              <w:rPr>
                <w:rFonts w:ascii="Arial" w:cs="Arial" w:eastAsia="Arial" w:hAnsi="Arial"/>
                <w:sz w:val="14"/>
                <w:szCs w:val="14"/>
                <w:b w:val="1"/>
                <w:bCs w:val="1"/>
                <w:color w:val="auto"/>
              </w:rPr>
              <w:t>2017</w:t>
            </w:r>
          </w:p>
        </w:tc>
        <w:tc>
          <w:tcPr>
            <w:tcW w:w="6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400"/>
              <w:spacing w:after="0"/>
              <w:rPr>
                <w:sz w:val="20"/>
                <w:szCs w:val="20"/>
                <w:color w:val="auto"/>
              </w:rPr>
            </w:pPr>
            <w:r>
              <w:rPr>
                <w:rFonts w:ascii="Arial" w:cs="Arial" w:eastAsia="Arial" w:hAnsi="Arial"/>
                <w:sz w:val="14"/>
                <w:szCs w:val="14"/>
                <w:b w:val="1"/>
                <w:bCs w:val="1"/>
                <w:color w:val="auto"/>
              </w:rPr>
              <w:t>2016</w:t>
            </w:r>
          </w:p>
        </w:tc>
      </w:tr>
      <w:tr>
        <w:trPr>
          <w:trHeight w:val="196"/>
        </w:trPr>
        <w:tc>
          <w:tcPr>
            <w:tcW w:w="5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580" w:type="dxa"/>
            <w:vAlign w:val="bottom"/>
            <w:gridSpan w:val="3"/>
          </w:tcPr>
          <w:p>
            <w:pPr>
              <w:jc w:val="right"/>
              <w:ind w:right="99"/>
              <w:spacing w:after="0"/>
              <w:rPr>
                <w:sz w:val="20"/>
                <w:szCs w:val="20"/>
                <w:color w:val="auto"/>
              </w:rPr>
            </w:pPr>
            <w:r>
              <w:rPr>
                <w:rFonts w:ascii="Arial" w:cs="Arial" w:eastAsia="Arial" w:hAnsi="Arial"/>
                <w:sz w:val="14"/>
                <w:szCs w:val="14"/>
                <w:b w:val="1"/>
                <w:bCs w:val="1"/>
                <w:color w:val="auto"/>
              </w:rPr>
              <w:t>(In millions)</w:t>
            </w:r>
          </w:p>
        </w:tc>
        <w:tc>
          <w:tcPr>
            <w:tcW w:w="8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43"/>
        </w:trPr>
        <w:tc>
          <w:tcPr>
            <w:tcW w:w="5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Investment income:</w:t>
            </w:r>
          </w:p>
        </w:tc>
        <w:tc>
          <w:tcPr>
            <w:tcW w:w="3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r>
      <w:tr>
        <w:trPr>
          <w:trHeight w:val="237"/>
        </w:trPr>
        <w:tc>
          <w:tcPr>
            <w:tcW w:w="5280" w:type="dxa"/>
            <w:vAlign w:val="bottom"/>
          </w:tcPr>
          <w:p>
            <w:pPr>
              <w:ind w:left="40"/>
              <w:spacing w:after="0"/>
              <w:rPr>
                <w:sz w:val="20"/>
                <w:szCs w:val="20"/>
                <w:color w:val="auto"/>
              </w:rPr>
            </w:pPr>
            <w:r>
              <w:rPr>
                <w:rFonts w:ascii="Arial" w:cs="Arial" w:eastAsia="Arial" w:hAnsi="Arial"/>
                <w:sz w:val="16"/>
                <w:szCs w:val="16"/>
                <w:color w:val="auto"/>
              </w:rPr>
              <w:t>Fixed maturity securities</w:t>
            </w: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601</w:t>
            </w:r>
          </w:p>
        </w:tc>
        <w:tc>
          <w:tcPr>
            <w:tcW w:w="800" w:type="dxa"/>
            <w:vAlign w:val="bottom"/>
            <w:gridSpan w:val="3"/>
          </w:tcPr>
          <w:p>
            <w:pPr>
              <w:jc w:val="right"/>
              <w:ind w:right="19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20"/>
              <w:spacing w:after="0"/>
              <w:rPr>
                <w:sz w:val="20"/>
                <w:szCs w:val="20"/>
                <w:color w:val="auto"/>
              </w:rPr>
            </w:pPr>
            <w:r>
              <w:rPr>
                <w:rFonts w:ascii="Arial" w:cs="Arial" w:eastAsia="Arial" w:hAnsi="Arial"/>
                <w:sz w:val="16"/>
                <w:szCs w:val="16"/>
                <w:color w:val="auto"/>
              </w:rPr>
              <w:t>690</w:t>
            </w:r>
          </w:p>
        </w:tc>
        <w:tc>
          <w:tcPr>
            <w:tcW w:w="360" w:type="dxa"/>
            <w:vAlign w:val="bottom"/>
          </w:tcPr>
          <w:p>
            <w:pPr>
              <w:spacing w:after="0"/>
              <w:rPr>
                <w:sz w:val="20"/>
                <w:szCs w:val="20"/>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1,809</w:t>
            </w:r>
          </w:p>
        </w:tc>
        <w:tc>
          <w:tcPr>
            <w:tcW w:w="780" w:type="dxa"/>
            <w:vAlign w:val="bottom"/>
            <w:gridSpan w:val="3"/>
          </w:tcPr>
          <w:p>
            <w:pPr>
              <w:jc w:val="right"/>
              <w:ind w:right="179"/>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2,001</w:t>
            </w:r>
          </w:p>
        </w:tc>
      </w:tr>
      <w:tr>
        <w:trPr>
          <w:trHeight w:val="33"/>
        </w:trPr>
        <w:tc>
          <w:tcPr>
            <w:tcW w:w="528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c>
          <w:tcPr>
            <w:tcW w:w="60" w:type="dxa"/>
            <w:vAlign w:val="bottom"/>
          </w:tcPr>
          <w:p>
            <w:pPr>
              <w:spacing w:after="0"/>
              <w:rPr>
                <w:sz w:val="2"/>
                <w:szCs w:val="2"/>
                <w:color w:val="auto"/>
              </w:rPr>
            </w:pPr>
          </w:p>
        </w:tc>
        <w:tc>
          <w:tcPr>
            <w:tcW w:w="340" w:type="dxa"/>
            <w:vAlign w:val="bottom"/>
          </w:tcPr>
          <w:p>
            <w:pPr>
              <w:spacing w:after="0"/>
              <w:rPr>
                <w:sz w:val="2"/>
                <w:szCs w:val="2"/>
                <w:color w:val="auto"/>
              </w:rPr>
            </w:pPr>
          </w:p>
        </w:tc>
        <w:tc>
          <w:tcPr>
            <w:tcW w:w="400" w:type="dxa"/>
            <w:vAlign w:val="bottom"/>
          </w:tcPr>
          <w:p>
            <w:pPr>
              <w:spacing w:after="0"/>
              <w:rPr>
                <w:sz w:val="2"/>
                <w:szCs w:val="2"/>
                <w:color w:val="auto"/>
              </w:rPr>
            </w:pPr>
          </w:p>
        </w:tc>
        <w:tc>
          <w:tcPr>
            <w:tcW w:w="920" w:type="dxa"/>
            <w:vAlign w:val="bottom"/>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860" w:type="dxa"/>
            <w:vAlign w:val="bottom"/>
          </w:tcPr>
          <w:p>
            <w:pPr>
              <w:spacing w:after="0"/>
              <w:rPr>
                <w:sz w:val="2"/>
                <w:szCs w:val="2"/>
                <w:color w:val="auto"/>
              </w:rPr>
            </w:pPr>
          </w:p>
        </w:tc>
        <w:tc>
          <w:tcPr>
            <w:tcW w:w="60" w:type="dxa"/>
            <w:vAlign w:val="bottom"/>
          </w:tcPr>
          <w:p>
            <w:pPr>
              <w:spacing w:after="0"/>
              <w:rPr>
                <w:sz w:val="2"/>
                <w:szCs w:val="2"/>
                <w:color w:val="auto"/>
              </w:rPr>
            </w:pPr>
          </w:p>
        </w:tc>
        <w:tc>
          <w:tcPr>
            <w:tcW w:w="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5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Equity securities</w:t>
            </w:r>
          </w:p>
        </w:tc>
        <w:tc>
          <w:tcPr>
            <w:tcW w:w="3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w:t>
            </w:r>
          </w:p>
        </w:tc>
        <w:tc>
          <w:tcPr>
            <w:tcW w:w="3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6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16</w:t>
            </w:r>
          </w:p>
        </w:tc>
      </w:tr>
      <w:tr>
        <w:trPr>
          <w:trHeight w:val="237"/>
        </w:trPr>
        <w:tc>
          <w:tcPr>
            <w:tcW w:w="5280" w:type="dxa"/>
            <w:vAlign w:val="bottom"/>
          </w:tcPr>
          <w:p>
            <w:pPr>
              <w:ind w:left="40"/>
              <w:spacing w:after="0"/>
              <w:rPr>
                <w:sz w:val="20"/>
                <w:szCs w:val="20"/>
                <w:color w:val="auto"/>
              </w:rPr>
            </w:pPr>
            <w:r>
              <w:rPr>
                <w:rFonts w:ascii="Arial" w:cs="Arial" w:eastAsia="Arial" w:hAnsi="Arial"/>
                <w:sz w:val="16"/>
                <w:szCs w:val="16"/>
                <w:color w:val="auto"/>
              </w:rPr>
              <w:t>Mortgage loans</w:t>
            </w:r>
          </w:p>
        </w:tc>
        <w:tc>
          <w:tcPr>
            <w:tcW w:w="3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112</w:t>
            </w: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20" w:type="dxa"/>
            <w:vAlign w:val="bottom"/>
          </w:tcPr>
          <w:p>
            <w:pPr>
              <w:jc w:val="right"/>
              <w:ind w:right="20"/>
              <w:spacing w:after="0"/>
              <w:rPr>
                <w:sz w:val="20"/>
                <w:szCs w:val="20"/>
                <w:color w:val="auto"/>
              </w:rPr>
            </w:pPr>
            <w:r>
              <w:rPr>
                <w:rFonts w:ascii="Arial" w:cs="Arial" w:eastAsia="Arial" w:hAnsi="Arial"/>
                <w:sz w:val="16"/>
                <w:szCs w:val="16"/>
                <w:color w:val="auto"/>
              </w:rPr>
              <w:t>97</w:t>
            </w:r>
          </w:p>
        </w:tc>
        <w:tc>
          <w:tcPr>
            <w:tcW w:w="3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332</w:t>
            </w:r>
          </w:p>
        </w:tc>
        <w:tc>
          <w:tcPr>
            <w:tcW w:w="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300</w:t>
            </w:r>
          </w:p>
        </w:tc>
      </w:tr>
      <w:tr>
        <w:trPr>
          <w:trHeight w:val="33"/>
        </w:trPr>
        <w:tc>
          <w:tcPr>
            <w:tcW w:w="528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c>
          <w:tcPr>
            <w:tcW w:w="60" w:type="dxa"/>
            <w:vAlign w:val="bottom"/>
          </w:tcPr>
          <w:p>
            <w:pPr>
              <w:spacing w:after="0"/>
              <w:rPr>
                <w:sz w:val="2"/>
                <w:szCs w:val="2"/>
                <w:color w:val="auto"/>
              </w:rPr>
            </w:pPr>
          </w:p>
        </w:tc>
        <w:tc>
          <w:tcPr>
            <w:tcW w:w="340" w:type="dxa"/>
            <w:vAlign w:val="bottom"/>
          </w:tcPr>
          <w:p>
            <w:pPr>
              <w:spacing w:after="0"/>
              <w:rPr>
                <w:sz w:val="2"/>
                <w:szCs w:val="2"/>
                <w:color w:val="auto"/>
              </w:rPr>
            </w:pPr>
          </w:p>
        </w:tc>
        <w:tc>
          <w:tcPr>
            <w:tcW w:w="400" w:type="dxa"/>
            <w:vAlign w:val="bottom"/>
          </w:tcPr>
          <w:p>
            <w:pPr>
              <w:spacing w:after="0"/>
              <w:rPr>
                <w:sz w:val="2"/>
                <w:szCs w:val="2"/>
                <w:color w:val="auto"/>
              </w:rPr>
            </w:pPr>
          </w:p>
        </w:tc>
        <w:tc>
          <w:tcPr>
            <w:tcW w:w="920" w:type="dxa"/>
            <w:vAlign w:val="bottom"/>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860" w:type="dxa"/>
            <w:vAlign w:val="bottom"/>
          </w:tcPr>
          <w:p>
            <w:pPr>
              <w:spacing w:after="0"/>
              <w:rPr>
                <w:sz w:val="2"/>
                <w:szCs w:val="2"/>
                <w:color w:val="auto"/>
              </w:rPr>
            </w:pPr>
          </w:p>
        </w:tc>
        <w:tc>
          <w:tcPr>
            <w:tcW w:w="60" w:type="dxa"/>
            <w:vAlign w:val="bottom"/>
          </w:tcPr>
          <w:p>
            <w:pPr>
              <w:spacing w:after="0"/>
              <w:rPr>
                <w:sz w:val="2"/>
                <w:szCs w:val="2"/>
                <w:color w:val="auto"/>
              </w:rPr>
            </w:pPr>
          </w:p>
        </w:tc>
        <w:tc>
          <w:tcPr>
            <w:tcW w:w="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5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Policy loans</w:t>
            </w:r>
          </w:p>
        </w:tc>
        <w:tc>
          <w:tcPr>
            <w:tcW w:w="3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w:t>
            </w:r>
          </w:p>
        </w:tc>
        <w:tc>
          <w:tcPr>
            <w:tcW w:w="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19</w:t>
            </w:r>
          </w:p>
        </w:tc>
        <w:tc>
          <w:tcPr>
            <w:tcW w:w="3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53</w:t>
            </w:r>
          </w:p>
        </w:tc>
        <w:tc>
          <w:tcPr>
            <w:tcW w:w="6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59</w:t>
            </w:r>
          </w:p>
        </w:tc>
      </w:tr>
      <w:tr>
        <w:trPr>
          <w:trHeight w:val="237"/>
        </w:trPr>
        <w:tc>
          <w:tcPr>
            <w:tcW w:w="5280" w:type="dxa"/>
            <w:vAlign w:val="bottom"/>
          </w:tcPr>
          <w:p>
            <w:pPr>
              <w:ind w:left="40"/>
              <w:spacing w:after="0"/>
              <w:rPr>
                <w:sz w:val="20"/>
                <w:szCs w:val="20"/>
                <w:color w:val="auto"/>
              </w:rPr>
            </w:pPr>
            <w:r>
              <w:rPr>
                <w:rFonts w:ascii="Arial" w:cs="Arial" w:eastAsia="Arial" w:hAnsi="Arial"/>
                <w:sz w:val="16"/>
                <w:szCs w:val="16"/>
                <w:color w:val="auto"/>
              </w:rPr>
              <w:t>Real estate and real estate joint ventures</w:t>
            </w:r>
          </w:p>
        </w:tc>
        <w:tc>
          <w:tcPr>
            <w:tcW w:w="3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13</w:t>
            </w: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20" w:type="dxa"/>
            <w:vAlign w:val="bottom"/>
          </w:tcPr>
          <w:p>
            <w:pPr>
              <w:jc w:val="right"/>
              <w:ind w:right="20"/>
              <w:spacing w:after="0"/>
              <w:rPr>
                <w:sz w:val="20"/>
                <w:szCs w:val="20"/>
                <w:color w:val="auto"/>
              </w:rPr>
            </w:pPr>
            <w:r>
              <w:rPr>
                <w:rFonts w:ascii="Arial" w:cs="Arial" w:eastAsia="Arial" w:hAnsi="Arial"/>
                <w:sz w:val="16"/>
                <w:szCs w:val="16"/>
                <w:color w:val="auto"/>
              </w:rPr>
              <w:t>10</w:t>
            </w:r>
          </w:p>
        </w:tc>
        <w:tc>
          <w:tcPr>
            <w:tcW w:w="3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39</w:t>
            </w:r>
          </w:p>
        </w:tc>
        <w:tc>
          <w:tcPr>
            <w:tcW w:w="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25</w:t>
            </w:r>
          </w:p>
        </w:tc>
      </w:tr>
      <w:tr>
        <w:trPr>
          <w:trHeight w:val="33"/>
        </w:trPr>
        <w:tc>
          <w:tcPr>
            <w:tcW w:w="528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c>
          <w:tcPr>
            <w:tcW w:w="60" w:type="dxa"/>
            <w:vAlign w:val="bottom"/>
          </w:tcPr>
          <w:p>
            <w:pPr>
              <w:spacing w:after="0"/>
              <w:rPr>
                <w:sz w:val="2"/>
                <w:szCs w:val="2"/>
                <w:color w:val="auto"/>
              </w:rPr>
            </w:pPr>
          </w:p>
        </w:tc>
        <w:tc>
          <w:tcPr>
            <w:tcW w:w="340" w:type="dxa"/>
            <w:vAlign w:val="bottom"/>
          </w:tcPr>
          <w:p>
            <w:pPr>
              <w:spacing w:after="0"/>
              <w:rPr>
                <w:sz w:val="2"/>
                <w:szCs w:val="2"/>
                <w:color w:val="auto"/>
              </w:rPr>
            </w:pPr>
          </w:p>
        </w:tc>
        <w:tc>
          <w:tcPr>
            <w:tcW w:w="400" w:type="dxa"/>
            <w:vAlign w:val="bottom"/>
          </w:tcPr>
          <w:p>
            <w:pPr>
              <w:spacing w:after="0"/>
              <w:rPr>
                <w:sz w:val="2"/>
                <w:szCs w:val="2"/>
                <w:color w:val="auto"/>
              </w:rPr>
            </w:pPr>
          </w:p>
        </w:tc>
        <w:tc>
          <w:tcPr>
            <w:tcW w:w="920" w:type="dxa"/>
            <w:vAlign w:val="bottom"/>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860" w:type="dxa"/>
            <w:vAlign w:val="bottom"/>
          </w:tcPr>
          <w:p>
            <w:pPr>
              <w:spacing w:after="0"/>
              <w:rPr>
                <w:sz w:val="2"/>
                <w:szCs w:val="2"/>
                <w:color w:val="auto"/>
              </w:rPr>
            </w:pPr>
          </w:p>
        </w:tc>
        <w:tc>
          <w:tcPr>
            <w:tcW w:w="60" w:type="dxa"/>
            <w:vAlign w:val="bottom"/>
          </w:tcPr>
          <w:p>
            <w:pPr>
              <w:spacing w:after="0"/>
              <w:rPr>
                <w:sz w:val="2"/>
                <w:szCs w:val="2"/>
                <w:color w:val="auto"/>
              </w:rPr>
            </w:pPr>
          </w:p>
        </w:tc>
        <w:tc>
          <w:tcPr>
            <w:tcW w:w="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5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limited partnership interests</w:t>
            </w:r>
          </w:p>
        </w:tc>
        <w:tc>
          <w:tcPr>
            <w:tcW w:w="3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38</w:t>
            </w:r>
          </w:p>
        </w:tc>
        <w:tc>
          <w:tcPr>
            <w:tcW w:w="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79</w:t>
            </w:r>
          </w:p>
        </w:tc>
        <w:tc>
          <w:tcPr>
            <w:tcW w:w="3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144</w:t>
            </w:r>
          </w:p>
        </w:tc>
        <w:tc>
          <w:tcPr>
            <w:tcW w:w="6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120</w:t>
            </w:r>
          </w:p>
        </w:tc>
      </w:tr>
      <w:tr>
        <w:trPr>
          <w:trHeight w:val="237"/>
        </w:trPr>
        <w:tc>
          <w:tcPr>
            <w:tcW w:w="5280" w:type="dxa"/>
            <w:vAlign w:val="bottom"/>
          </w:tcPr>
          <w:p>
            <w:pPr>
              <w:ind w:left="40"/>
              <w:spacing w:after="0"/>
              <w:rPr>
                <w:sz w:val="20"/>
                <w:szCs w:val="20"/>
                <w:color w:val="auto"/>
              </w:rPr>
            </w:pPr>
            <w:r>
              <w:rPr>
                <w:rFonts w:ascii="Arial" w:cs="Arial" w:eastAsia="Arial" w:hAnsi="Arial"/>
                <w:sz w:val="16"/>
                <w:szCs w:val="16"/>
                <w:color w:val="auto"/>
              </w:rPr>
              <w:t>Cash, cash equivalents and short-term investments</w:t>
            </w:r>
          </w:p>
        </w:tc>
        <w:tc>
          <w:tcPr>
            <w:tcW w:w="3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11</w:t>
            </w: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20" w:type="dxa"/>
            <w:vAlign w:val="bottom"/>
          </w:tcPr>
          <w:p>
            <w:pPr>
              <w:jc w:val="right"/>
              <w:ind w:right="20"/>
              <w:spacing w:after="0"/>
              <w:rPr>
                <w:sz w:val="20"/>
                <w:szCs w:val="20"/>
                <w:color w:val="auto"/>
              </w:rPr>
            </w:pPr>
            <w:r>
              <w:rPr>
                <w:rFonts w:ascii="Arial" w:cs="Arial" w:eastAsia="Arial" w:hAnsi="Arial"/>
                <w:sz w:val="16"/>
                <w:szCs w:val="16"/>
                <w:color w:val="auto"/>
              </w:rPr>
              <w:t>4</w:t>
            </w:r>
          </w:p>
        </w:tc>
        <w:tc>
          <w:tcPr>
            <w:tcW w:w="3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29</w:t>
            </w:r>
          </w:p>
        </w:tc>
        <w:tc>
          <w:tcPr>
            <w:tcW w:w="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14</w:t>
            </w:r>
          </w:p>
        </w:tc>
      </w:tr>
      <w:tr>
        <w:trPr>
          <w:trHeight w:val="33"/>
        </w:trPr>
        <w:tc>
          <w:tcPr>
            <w:tcW w:w="528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c>
          <w:tcPr>
            <w:tcW w:w="60" w:type="dxa"/>
            <w:vAlign w:val="bottom"/>
          </w:tcPr>
          <w:p>
            <w:pPr>
              <w:spacing w:after="0"/>
              <w:rPr>
                <w:sz w:val="2"/>
                <w:szCs w:val="2"/>
                <w:color w:val="auto"/>
              </w:rPr>
            </w:pPr>
          </w:p>
        </w:tc>
        <w:tc>
          <w:tcPr>
            <w:tcW w:w="340" w:type="dxa"/>
            <w:vAlign w:val="bottom"/>
          </w:tcPr>
          <w:p>
            <w:pPr>
              <w:spacing w:after="0"/>
              <w:rPr>
                <w:sz w:val="2"/>
                <w:szCs w:val="2"/>
                <w:color w:val="auto"/>
              </w:rPr>
            </w:pPr>
          </w:p>
        </w:tc>
        <w:tc>
          <w:tcPr>
            <w:tcW w:w="400" w:type="dxa"/>
            <w:vAlign w:val="bottom"/>
          </w:tcPr>
          <w:p>
            <w:pPr>
              <w:spacing w:after="0"/>
              <w:rPr>
                <w:sz w:val="2"/>
                <w:szCs w:val="2"/>
                <w:color w:val="auto"/>
              </w:rPr>
            </w:pPr>
          </w:p>
        </w:tc>
        <w:tc>
          <w:tcPr>
            <w:tcW w:w="920" w:type="dxa"/>
            <w:vAlign w:val="bottom"/>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860" w:type="dxa"/>
            <w:vAlign w:val="bottom"/>
          </w:tcPr>
          <w:p>
            <w:pPr>
              <w:spacing w:after="0"/>
              <w:rPr>
                <w:sz w:val="2"/>
                <w:szCs w:val="2"/>
                <w:color w:val="auto"/>
              </w:rPr>
            </w:pPr>
          </w:p>
        </w:tc>
        <w:tc>
          <w:tcPr>
            <w:tcW w:w="60" w:type="dxa"/>
            <w:vAlign w:val="bottom"/>
          </w:tcPr>
          <w:p>
            <w:pPr>
              <w:spacing w:after="0"/>
              <w:rPr>
                <w:sz w:val="2"/>
                <w:szCs w:val="2"/>
                <w:color w:val="auto"/>
              </w:rPr>
            </w:pPr>
          </w:p>
        </w:tc>
        <w:tc>
          <w:tcPr>
            <w:tcW w:w="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0"/>
        </w:trPr>
        <w:tc>
          <w:tcPr>
            <w:tcW w:w="5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w:t>
            </w:r>
          </w:p>
        </w:tc>
        <w:tc>
          <w:tcPr>
            <w:tcW w:w="3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6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w:t>
            </w:r>
          </w:p>
        </w:tc>
        <w:tc>
          <w:tcPr>
            <w:tcW w:w="36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w:t>
            </w:r>
          </w:p>
        </w:tc>
        <w:tc>
          <w:tcPr>
            <w:tcW w:w="6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9</w:t>
            </w:r>
          </w:p>
        </w:tc>
      </w:tr>
      <w:tr>
        <w:trPr>
          <w:trHeight w:val="217"/>
        </w:trPr>
        <w:tc>
          <w:tcPr>
            <w:tcW w:w="5280" w:type="dxa"/>
            <w:vAlign w:val="bottom"/>
          </w:tcPr>
          <w:p>
            <w:pPr>
              <w:ind w:left="160"/>
              <w:spacing w:after="0"/>
              <w:rPr>
                <w:sz w:val="20"/>
                <w:szCs w:val="20"/>
                <w:color w:val="auto"/>
              </w:rPr>
            </w:pPr>
            <w:r>
              <w:rPr>
                <w:rFonts w:ascii="Arial" w:cs="Arial" w:eastAsia="Arial" w:hAnsi="Arial"/>
                <w:sz w:val="16"/>
                <w:szCs w:val="16"/>
                <w:color w:val="auto"/>
              </w:rPr>
              <w:t>Subtotal</w:t>
            </w:r>
          </w:p>
        </w:tc>
        <w:tc>
          <w:tcPr>
            <w:tcW w:w="32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805</w:t>
            </w:r>
          </w:p>
        </w:tc>
        <w:tc>
          <w:tcPr>
            <w:tcW w:w="6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911</w:t>
            </w:r>
          </w:p>
        </w:tc>
        <w:tc>
          <w:tcPr>
            <w:tcW w:w="36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2,438</w:t>
            </w:r>
          </w:p>
        </w:tc>
        <w:tc>
          <w:tcPr>
            <w:tcW w:w="60" w:type="dxa"/>
            <w:vAlign w:val="bottom"/>
            <w:tcBorders>
              <w:top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2,544</w:t>
            </w:r>
          </w:p>
        </w:tc>
      </w:tr>
      <w:tr>
        <w:trPr>
          <w:trHeight w:val="33"/>
        </w:trPr>
        <w:tc>
          <w:tcPr>
            <w:tcW w:w="528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c>
          <w:tcPr>
            <w:tcW w:w="60" w:type="dxa"/>
            <w:vAlign w:val="bottom"/>
          </w:tcPr>
          <w:p>
            <w:pPr>
              <w:spacing w:after="0"/>
              <w:rPr>
                <w:sz w:val="2"/>
                <w:szCs w:val="2"/>
                <w:color w:val="auto"/>
              </w:rPr>
            </w:pPr>
          </w:p>
        </w:tc>
        <w:tc>
          <w:tcPr>
            <w:tcW w:w="340" w:type="dxa"/>
            <w:vAlign w:val="bottom"/>
          </w:tcPr>
          <w:p>
            <w:pPr>
              <w:spacing w:after="0"/>
              <w:rPr>
                <w:sz w:val="2"/>
                <w:szCs w:val="2"/>
                <w:color w:val="auto"/>
              </w:rPr>
            </w:pPr>
          </w:p>
        </w:tc>
        <w:tc>
          <w:tcPr>
            <w:tcW w:w="400" w:type="dxa"/>
            <w:vAlign w:val="bottom"/>
          </w:tcPr>
          <w:p>
            <w:pPr>
              <w:spacing w:after="0"/>
              <w:rPr>
                <w:sz w:val="2"/>
                <w:szCs w:val="2"/>
                <w:color w:val="auto"/>
              </w:rPr>
            </w:pPr>
          </w:p>
        </w:tc>
        <w:tc>
          <w:tcPr>
            <w:tcW w:w="920" w:type="dxa"/>
            <w:vAlign w:val="bottom"/>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860" w:type="dxa"/>
            <w:vAlign w:val="bottom"/>
          </w:tcPr>
          <w:p>
            <w:pPr>
              <w:spacing w:after="0"/>
              <w:rPr>
                <w:sz w:val="2"/>
                <w:szCs w:val="2"/>
                <w:color w:val="auto"/>
              </w:rPr>
            </w:pPr>
          </w:p>
        </w:tc>
        <w:tc>
          <w:tcPr>
            <w:tcW w:w="60" w:type="dxa"/>
            <w:vAlign w:val="bottom"/>
          </w:tcPr>
          <w:p>
            <w:pPr>
              <w:spacing w:after="0"/>
              <w:rPr>
                <w:sz w:val="2"/>
                <w:szCs w:val="2"/>
                <w:color w:val="auto"/>
              </w:rPr>
            </w:pPr>
          </w:p>
        </w:tc>
        <w:tc>
          <w:tcPr>
            <w:tcW w:w="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0"/>
        </w:trPr>
        <w:tc>
          <w:tcPr>
            <w:tcW w:w="52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Less: Investment expenses</w:t>
            </w:r>
          </w:p>
        </w:tc>
        <w:tc>
          <w:tcPr>
            <w:tcW w:w="3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46</w:t>
            </w:r>
          </w:p>
        </w:tc>
        <w:tc>
          <w:tcPr>
            <w:tcW w:w="6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45</w:t>
            </w:r>
          </w:p>
        </w:tc>
        <w:tc>
          <w:tcPr>
            <w:tcW w:w="36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135</w:t>
            </w:r>
          </w:p>
        </w:tc>
        <w:tc>
          <w:tcPr>
            <w:tcW w:w="6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130</w:t>
            </w:r>
          </w:p>
        </w:tc>
      </w:tr>
      <w:tr>
        <w:trPr>
          <w:trHeight w:val="217"/>
        </w:trPr>
        <w:tc>
          <w:tcPr>
            <w:tcW w:w="5280" w:type="dxa"/>
            <w:vAlign w:val="bottom"/>
          </w:tcPr>
          <w:p>
            <w:pPr>
              <w:ind w:left="160"/>
              <w:spacing w:after="0"/>
              <w:rPr>
                <w:sz w:val="20"/>
                <w:szCs w:val="20"/>
                <w:color w:val="auto"/>
              </w:rPr>
            </w:pPr>
            <w:r>
              <w:rPr>
                <w:rFonts w:ascii="Arial" w:cs="Arial" w:eastAsia="Arial" w:hAnsi="Arial"/>
                <w:sz w:val="16"/>
                <w:szCs w:val="16"/>
                <w:color w:val="auto"/>
              </w:rPr>
              <w:t>Subtotal, net</w:t>
            </w:r>
          </w:p>
        </w:tc>
        <w:tc>
          <w:tcPr>
            <w:tcW w:w="32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759</w:t>
            </w:r>
          </w:p>
        </w:tc>
        <w:tc>
          <w:tcPr>
            <w:tcW w:w="6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866</w:t>
            </w:r>
          </w:p>
        </w:tc>
        <w:tc>
          <w:tcPr>
            <w:tcW w:w="36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2,303</w:t>
            </w:r>
          </w:p>
        </w:tc>
        <w:tc>
          <w:tcPr>
            <w:tcW w:w="60" w:type="dxa"/>
            <w:vAlign w:val="bottom"/>
            <w:tcBorders>
              <w:top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2,414</w:t>
            </w:r>
          </w:p>
        </w:tc>
      </w:tr>
      <w:tr>
        <w:trPr>
          <w:trHeight w:val="33"/>
        </w:trPr>
        <w:tc>
          <w:tcPr>
            <w:tcW w:w="528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c>
          <w:tcPr>
            <w:tcW w:w="60" w:type="dxa"/>
            <w:vAlign w:val="bottom"/>
          </w:tcPr>
          <w:p>
            <w:pPr>
              <w:spacing w:after="0"/>
              <w:rPr>
                <w:sz w:val="2"/>
                <w:szCs w:val="2"/>
                <w:color w:val="auto"/>
              </w:rPr>
            </w:pPr>
          </w:p>
        </w:tc>
        <w:tc>
          <w:tcPr>
            <w:tcW w:w="340" w:type="dxa"/>
            <w:vAlign w:val="bottom"/>
          </w:tcPr>
          <w:p>
            <w:pPr>
              <w:spacing w:after="0"/>
              <w:rPr>
                <w:sz w:val="2"/>
                <w:szCs w:val="2"/>
                <w:color w:val="auto"/>
              </w:rPr>
            </w:pPr>
          </w:p>
        </w:tc>
        <w:tc>
          <w:tcPr>
            <w:tcW w:w="400" w:type="dxa"/>
            <w:vAlign w:val="bottom"/>
          </w:tcPr>
          <w:p>
            <w:pPr>
              <w:spacing w:after="0"/>
              <w:rPr>
                <w:sz w:val="2"/>
                <w:szCs w:val="2"/>
                <w:color w:val="auto"/>
              </w:rPr>
            </w:pPr>
          </w:p>
        </w:tc>
        <w:tc>
          <w:tcPr>
            <w:tcW w:w="920" w:type="dxa"/>
            <w:vAlign w:val="bottom"/>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860" w:type="dxa"/>
            <w:vAlign w:val="bottom"/>
          </w:tcPr>
          <w:p>
            <w:pPr>
              <w:spacing w:after="0"/>
              <w:rPr>
                <w:sz w:val="2"/>
                <w:szCs w:val="2"/>
                <w:color w:val="auto"/>
              </w:rPr>
            </w:pPr>
          </w:p>
        </w:tc>
        <w:tc>
          <w:tcPr>
            <w:tcW w:w="60" w:type="dxa"/>
            <w:vAlign w:val="bottom"/>
          </w:tcPr>
          <w:p>
            <w:pPr>
              <w:spacing w:after="0"/>
              <w:rPr>
                <w:sz w:val="2"/>
                <w:szCs w:val="2"/>
                <w:color w:val="auto"/>
              </w:rPr>
            </w:pPr>
          </w:p>
        </w:tc>
        <w:tc>
          <w:tcPr>
            <w:tcW w:w="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0"/>
        </w:trPr>
        <w:tc>
          <w:tcPr>
            <w:tcW w:w="5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FVO CSEs — interest income — commercial mortgage loans</w:t>
            </w:r>
          </w:p>
        </w:tc>
        <w:tc>
          <w:tcPr>
            <w:tcW w:w="3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6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w:t>
            </w:r>
          </w:p>
        </w:tc>
        <w:tc>
          <w:tcPr>
            <w:tcW w:w="36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6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8</w:t>
            </w:r>
          </w:p>
        </w:tc>
      </w:tr>
      <w:tr>
        <w:trPr>
          <w:trHeight w:val="217"/>
        </w:trPr>
        <w:tc>
          <w:tcPr>
            <w:tcW w:w="5280" w:type="dxa"/>
            <w:vAlign w:val="bottom"/>
          </w:tcPr>
          <w:p>
            <w:pPr>
              <w:ind w:left="40"/>
              <w:spacing w:after="0"/>
              <w:rPr>
                <w:sz w:val="20"/>
                <w:szCs w:val="20"/>
                <w:color w:val="auto"/>
              </w:rPr>
            </w:pPr>
            <w:r>
              <w:rPr>
                <w:rFonts w:ascii="Arial" w:cs="Arial" w:eastAsia="Arial" w:hAnsi="Arial"/>
                <w:sz w:val="16"/>
                <w:szCs w:val="16"/>
                <w:color w:val="auto"/>
              </w:rPr>
              <w:t>Net investment income</w:t>
            </w:r>
          </w:p>
        </w:tc>
        <w:tc>
          <w:tcPr>
            <w:tcW w:w="32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761</w:t>
            </w:r>
          </w:p>
        </w:tc>
        <w:tc>
          <w:tcPr>
            <w:tcW w:w="6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400" w:type="dxa"/>
            <w:vAlign w:val="bottom"/>
            <w:tcBorders>
              <w:top w:val="single" w:sz="8" w:color="auto"/>
            </w:tcBorders>
          </w:tcPr>
          <w:p>
            <w:pPr>
              <w:jc w:val="right"/>
              <w:ind w:right="199"/>
              <w:spacing w:after="0"/>
              <w:rPr>
                <w:sz w:val="20"/>
                <w:szCs w:val="20"/>
                <w:color w:val="auto"/>
              </w:rPr>
            </w:pPr>
            <w:r>
              <w:rPr>
                <w:rFonts w:ascii="Arial" w:cs="Arial" w:eastAsia="Arial" w:hAnsi="Arial"/>
                <w:sz w:val="16"/>
                <w:szCs w:val="16"/>
                <w:color w:val="auto"/>
              </w:rPr>
              <w:t>$</w:t>
            </w:r>
          </w:p>
        </w:tc>
        <w:tc>
          <w:tcPr>
            <w:tcW w:w="92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869</w:t>
            </w:r>
          </w:p>
        </w:tc>
        <w:tc>
          <w:tcPr>
            <w:tcW w:w="360" w:type="dxa"/>
            <w:vAlign w:val="bottom"/>
          </w:tcPr>
          <w:p>
            <w:pPr>
              <w:spacing w:after="0"/>
              <w:rPr>
                <w:sz w:val="18"/>
                <w:szCs w:val="18"/>
                <w:color w:val="auto"/>
              </w:rPr>
            </w:pPr>
          </w:p>
        </w:tc>
        <w:tc>
          <w:tcPr>
            <w:tcW w:w="30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2,309</w:t>
            </w:r>
          </w:p>
        </w:tc>
        <w:tc>
          <w:tcPr>
            <w:tcW w:w="60" w:type="dxa"/>
            <w:vAlign w:val="bottom"/>
            <w:tcBorders>
              <w:top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360" w:type="dxa"/>
            <w:vAlign w:val="bottom"/>
            <w:tcBorders>
              <w:top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2,422</w:t>
            </w:r>
          </w:p>
        </w:tc>
      </w:tr>
      <w:tr>
        <w:trPr>
          <w:trHeight w:val="33"/>
        </w:trPr>
        <w:tc>
          <w:tcPr>
            <w:tcW w:w="52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36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0"/>
        </w:trPr>
        <w:tc>
          <w:tcPr>
            <w:tcW w:w="5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See “— Variable Interest Entities” for discussion of CSEs.</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See “— Related Party Investment Transactions” for discussion of related party net investment income and investment expenses.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234" w:right="239" w:bottom="1440" w:gutter="0" w:footer="0" w:header="0"/>
        </w:sectPr>
      </w:pPr>
    </w:p>
    <w:bookmarkStart w:id="28" w:name="page29"/>
    <w:bookmarkEnd w:id="28"/>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Brighthouse Financial, Inc.</w:t>
      </w:r>
    </w:p>
    <w:p>
      <w:pPr>
        <w:spacing w:after="0" w:line="117" w:lineRule="exact"/>
        <w:rPr>
          <w:sz w:val="20"/>
          <w:szCs w:val="20"/>
          <w:color w:val="auto"/>
        </w:rPr>
      </w:pPr>
    </w:p>
    <w:p>
      <w:pPr>
        <w:ind w:left="1480"/>
        <w:spacing w:after="0"/>
        <w:rPr>
          <w:sz w:val="20"/>
          <w:szCs w:val="20"/>
          <w:color w:val="auto"/>
        </w:rPr>
      </w:pPr>
      <w:r>
        <w:rPr>
          <w:rFonts w:ascii="Arial" w:cs="Arial" w:eastAsia="Arial" w:hAnsi="Arial"/>
          <w:sz w:val="18"/>
          <w:szCs w:val="18"/>
          <w:b w:val="1"/>
          <w:bCs w:val="1"/>
          <w:color w:val="auto"/>
        </w:rPr>
        <w:t>Notes to the Interim Condensed Consolidated and Combined Financial Statements (Unaudited) — (continued)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Investments (continued)</w:t>
      </w:r>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Investment Gains (Losses)</w:t>
      </w:r>
    </w:p>
    <w:p>
      <w:pPr>
        <w:spacing w:after="0" w:line="11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Components of Net Investment Gains (Losses)</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components of net investment gains (losses) were as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3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60" w:type="dxa"/>
            <w:vAlign w:val="bottom"/>
            <w:gridSpan w:val="3"/>
          </w:tcPr>
          <w:p>
            <w:pPr>
              <w:jc w:val="center"/>
              <w:spacing w:after="0"/>
              <w:rPr>
                <w:sz w:val="20"/>
                <w:szCs w:val="20"/>
                <w:color w:val="auto"/>
              </w:rPr>
            </w:pPr>
            <w:r>
              <w:rPr>
                <w:rFonts w:ascii="Arial" w:cs="Arial" w:eastAsia="Arial" w:hAnsi="Arial"/>
                <w:sz w:val="14"/>
                <w:szCs w:val="14"/>
                <w:b w:val="1"/>
                <w:bCs w:val="1"/>
                <w:color w:val="auto"/>
                <w:w w:val="95"/>
              </w:rPr>
              <w:t>Three Months</w:t>
            </w: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320" w:type="dxa"/>
            <w:vAlign w:val="bottom"/>
            <w:gridSpan w:val="3"/>
          </w:tcPr>
          <w:p>
            <w:pPr>
              <w:jc w:val="center"/>
              <w:ind w:left="360"/>
              <w:spacing w:after="0"/>
              <w:rPr>
                <w:sz w:val="20"/>
                <w:szCs w:val="20"/>
                <w:color w:val="auto"/>
              </w:rPr>
            </w:pPr>
            <w:r>
              <w:rPr>
                <w:rFonts w:ascii="Arial" w:cs="Arial" w:eastAsia="Arial" w:hAnsi="Arial"/>
                <w:sz w:val="14"/>
                <w:szCs w:val="14"/>
                <w:b w:val="1"/>
                <w:bCs w:val="1"/>
                <w:color w:val="auto"/>
                <w:w w:val="95"/>
              </w:rPr>
              <w:t>Nine Months</w:t>
            </w:r>
          </w:p>
        </w:tc>
        <w:tc>
          <w:tcPr>
            <w:tcW w:w="760" w:type="dxa"/>
            <w:vAlign w:val="bottom"/>
          </w:tcPr>
          <w:p>
            <w:pPr>
              <w:spacing w:after="0"/>
              <w:rPr>
                <w:sz w:val="14"/>
                <w:szCs w:val="14"/>
                <w:color w:val="auto"/>
              </w:rPr>
            </w:pPr>
          </w:p>
        </w:tc>
      </w:tr>
      <w:tr>
        <w:trPr>
          <w:trHeight w:val="149"/>
        </w:trPr>
        <w:tc>
          <w:tcPr>
            <w:tcW w:w="63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96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3"/>
              </w:rPr>
              <w:t>Ended</w:t>
            </w: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320" w:type="dxa"/>
            <w:vAlign w:val="bottom"/>
            <w:gridSpan w:val="3"/>
          </w:tcPr>
          <w:p>
            <w:pPr>
              <w:jc w:val="center"/>
              <w:ind w:left="320"/>
              <w:spacing w:after="0" w:line="149" w:lineRule="exact"/>
              <w:rPr>
                <w:sz w:val="20"/>
                <w:szCs w:val="20"/>
                <w:color w:val="auto"/>
              </w:rPr>
            </w:pPr>
            <w:r>
              <w:rPr>
                <w:rFonts w:ascii="Arial" w:cs="Arial" w:eastAsia="Arial" w:hAnsi="Arial"/>
                <w:sz w:val="14"/>
                <w:szCs w:val="14"/>
                <w:b w:val="1"/>
                <w:bCs w:val="1"/>
                <w:color w:val="auto"/>
                <w:w w:val="93"/>
              </w:rPr>
              <w:t>Ended</w:t>
            </w:r>
          </w:p>
        </w:tc>
        <w:tc>
          <w:tcPr>
            <w:tcW w:w="760" w:type="dxa"/>
            <w:vAlign w:val="bottom"/>
          </w:tcPr>
          <w:p>
            <w:pPr>
              <w:spacing w:after="0"/>
              <w:rPr>
                <w:sz w:val="12"/>
                <w:szCs w:val="12"/>
                <w:color w:val="auto"/>
              </w:rPr>
            </w:pPr>
          </w:p>
        </w:tc>
      </w:tr>
      <w:tr>
        <w:trPr>
          <w:trHeight w:val="192"/>
        </w:trPr>
        <w:tc>
          <w:tcPr>
            <w:tcW w:w="6380" w:type="dxa"/>
            <w:vAlign w:val="bottom"/>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1"/>
              </w:rPr>
              <w:t>September 30,</w:t>
            </w:r>
          </w:p>
        </w:tc>
        <w:tc>
          <w:tcPr>
            <w:tcW w:w="7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3"/>
          </w:tcPr>
          <w:p>
            <w:pPr>
              <w:jc w:val="center"/>
              <w:ind w:left="360"/>
              <w:spacing w:after="0"/>
              <w:rPr>
                <w:sz w:val="20"/>
                <w:szCs w:val="20"/>
                <w:color w:val="auto"/>
              </w:rPr>
            </w:pPr>
            <w:r>
              <w:rPr>
                <w:rFonts w:ascii="Arial" w:cs="Arial" w:eastAsia="Arial" w:hAnsi="Arial"/>
                <w:sz w:val="14"/>
                <w:szCs w:val="14"/>
                <w:b w:val="1"/>
                <w:bCs w:val="1"/>
                <w:color w:val="auto"/>
                <w:w w:val="91"/>
              </w:rPr>
              <w:t>September 30,</w:t>
            </w:r>
          </w:p>
        </w:tc>
        <w:tc>
          <w:tcPr>
            <w:tcW w:w="760" w:type="dxa"/>
            <w:vAlign w:val="bottom"/>
            <w:tcBorders>
              <w:bottom w:val="single" w:sz="8" w:color="auto"/>
            </w:tcBorders>
          </w:tcPr>
          <w:p>
            <w:pPr>
              <w:spacing w:after="0"/>
              <w:rPr>
                <w:sz w:val="16"/>
                <w:szCs w:val="16"/>
                <w:color w:val="auto"/>
              </w:rPr>
            </w:pPr>
          </w:p>
        </w:tc>
      </w:tr>
      <w:tr>
        <w:trPr>
          <w:trHeight w:val="264"/>
        </w:trPr>
        <w:tc>
          <w:tcPr>
            <w:tcW w:w="6380" w:type="dxa"/>
            <w:vAlign w:val="bottom"/>
          </w:tcPr>
          <w:p>
            <w:pPr>
              <w:spacing w:after="0"/>
              <w:rPr>
                <w:sz w:val="22"/>
                <w:szCs w:val="22"/>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4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380"/>
              <w:spacing w:after="0"/>
              <w:rPr>
                <w:sz w:val="20"/>
                <w:szCs w:val="20"/>
                <w:color w:val="auto"/>
              </w:rPr>
            </w:pPr>
            <w:r>
              <w:rPr>
                <w:rFonts w:ascii="Arial" w:cs="Arial" w:eastAsia="Arial" w:hAnsi="Arial"/>
                <w:sz w:val="14"/>
                <w:szCs w:val="14"/>
                <w:b w:val="1"/>
                <w:bCs w:val="1"/>
                <w:color w:val="auto"/>
                <w:w w:val="89"/>
              </w:rPr>
              <w:t>2016</w:t>
            </w:r>
          </w:p>
        </w:tc>
        <w:tc>
          <w:tcPr>
            <w:tcW w:w="10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320"/>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379"/>
              <w:spacing w:after="0"/>
              <w:rPr>
                <w:sz w:val="20"/>
                <w:szCs w:val="20"/>
                <w:color w:val="auto"/>
              </w:rPr>
            </w:pPr>
            <w:r>
              <w:rPr>
                <w:rFonts w:ascii="Arial" w:cs="Arial" w:eastAsia="Arial" w:hAnsi="Arial"/>
                <w:sz w:val="14"/>
                <w:szCs w:val="14"/>
                <w:b w:val="1"/>
                <w:bCs w:val="1"/>
                <w:color w:val="auto"/>
                <w:w w:val="89"/>
              </w:rPr>
              <w:t>2016</w:t>
            </w:r>
          </w:p>
        </w:tc>
      </w:tr>
      <w:tr>
        <w:trPr>
          <w:trHeight w:val="196"/>
        </w:trPr>
        <w:tc>
          <w:tcPr>
            <w:tcW w:w="63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2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millions)</w:t>
            </w: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60" w:type="dxa"/>
            <w:vAlign w:val="bottom"/>
          </w:tcPr>
          <w:p>
            <w:pPr>
              <w:spacing w:after="0"/>
              <w:rPr>
                <w:sz w:val="17"/>
                <w:szCs w:val="17"/>
                <w:color w:val="auto"/>
              </w:rPr>
            </w:pPr>
          </w:p>
        </w:tc>
      </w:tr>
      <w:tr>
        <w:trPr>
          <w:trHeight w:val="256"/>
        </w:trPr>
        <w:tc>
          <w:tcPr>
            <w:tcW w:w="6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gains (losses) on fixed maturity securities:</w:t>
            </w:r>
          </w:p>
        </w:tc>
        <w:tc>
          <w:tcPr>
            <w:tcW w:w="78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spacing w:after="0"/>
              <w:rPr>
                <w:sz w:val="22"/>
                <w:szCs w:val="22"/>
                <w:color w:val="auto"/>
              </w:rPr>
            </w:pPr>
          </w:p>
        </w:tc>
      </w:tr>
      <w:tr>
        <w:trPr>
          <w:trHeight w:val="224"/>
        </w:trPr>
        <w:tc>
          <w:tcPr>
            <w:tcW w:w="6380" w:type="dxa"/>
            <w:vAlign w:val="bottom"/>
          </w:tcPr>
          <w:p>
            <w:pPr>
              <w:ind w:left="180"/>
              <w:spacing w:after="0"/>
              <w:rPr>
                <w:sz w:val="20"/>
                <w:szCs w:val="20"/>
                <w:color w:val="auto"/>
              </w:rPr>
            </w:pPr>
            <w:r>
              <w:rPr>
                <w:rFonts w:ascii="Arial" w:cs="Arial" w:eastAsia="Arial" w:hAnsi="Arial"/>
                <w:sz w:val="16"/>
                <w:szCs w:val="16"/>
                <w:color w:val="auto"/>
              </w:rPr>
              <w:t>Total OTTI losses recognized — by sector and industry:</w:t>
            </w:r>
          </w:p>
        </w:tc>
        <w:tc>
          <w:tcPr>
            <w:tcW w:w="7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r>
      <w:tr>
        <w:trPr>
          <w:trHeight w:val="47"/>
        </w:trPr>
        <w:tc>
          <w:tcPr>
            <w:tcW w:w="6380" w:type="dxa"/>
            <w:vAlign w:val="bottom"/>
          </w:tcPr>
          <w:p>
            <w:pPr>
              <w:spacing w:after="0"/>
              <w:rPr>
                <w:sz w:val="4"/>
                <w:szCs w:val="4"/>
                <w:color w:val="auto"/>
              </w:rPr>
            </w:pPr>
          </w:p>
        </w:tc>
        <w:tc>
          <w:tcPr>
            <w:tcW w:w="780" w:type="dxa"/>
            <w:vAlign w:val="bottom"/>
          </w:tcPr>
          <w:p>
            <w:pPr>
              <w:spacing w:after="0"/>
              <w:rPr>
                <w:sz w:val="4"/>
                <w:szCs w:val="4"/>
                <w:color w:val="auto"/>
              </w:rPr>
            </w:pPr>
          </w:p>
        </w:tc>
        <w:tc>
          <w:tcPr>
            <w:tcW w:w="420" w:type="dxa"/>
            <w:vAlign w:val="bottom"/>
          </w:tcPr>
          <w:p>
            <w:pPr>
              <w:spacing w:after="0"/>
              <w:rPr>
                <w:sz w:val="4"/>
                <w:szCs w:val="4"/>
                <w:color w:val="auto"/>
              </w:rPr>
            </w:pPr>
          </w:p>
        </w:tc>
        <w:tc>
          <w:tcPr>
            <w:tcW w:w="100" w:type="dxa"/>
            <w:vAlign w:val="bottom"/>
          </w:tcPr>
          <w:p>
            <w:pPr>
              <w:spacing w:after="0"/>
              <w:rPr>
                <w:sz w:val="4"/>
                <w:szCs w:val="4"/>
                <w:color w:val="auto"/>
              </w:rPr>
            </w:pPr>
          </w:p>
        </w:tc>
        <w:tc>
          <w:tcPr>
            <w:tcW w:w="440" w:type="dxa"/>
            <w:vAlign w:val="bottom"/>
          </w:tcPr>
          <w:p>
            <w:pPr>
              <w:spacing w:after="0"/>
              <w:rPr>
                <w:sz w:val="4"/>
                <w:szCs w:val="4"/>
                <w:color w:val="auto"/>
              </w:rPr>
            </w:pPr>
          </w:p>
        </w:tc>
        <w:tc>
          <w:tcPr>
            <w:tcW w:w="760" w:type="dxa"/>
            <w:vAlign w:val="bottom"/>
          </w:tcPr>
          <w:p>
            <w:pPr>
              <w:spacing w:after="0"/>
              <w:rPr>
                <w:sz w:val="4"/>
                <w:szCs w:val="4"/>
                <w:color w:val="auto"/>
              </w:rPr>
            </w:pPr>
          </w:p>
        </w:tc>
        <w:tc>
          <w:tcPr>
            <w:tcW w:w="100" w:type="dxa"/>
            <w:vAlign w:val="bottom"/>
          </w:tcPr>
          <w:p>
            <w:pPr>
              <w:spacing w:after="0"/>
              <w:rPr>
                <w:sz w:val="4"/>
                <w:szCs w:val="4"/>
                <w:color w:val="auto"/>
              </w:rPr>
            </w:pPr>
          </w:p>
        </w:tc>
        <w:tc>
          <w:tcPr>
            <w:tcW w:w="360" w:type="dxa"/>
            <w:vAlign w:val="bottom"/>
          </w:tcPr>
          <w:p>
            <w:pPr>
              <w:spacing w:after="0"/>
              <w:rPr>
                <w:sz w:val="4"/>
                <w:szCs w:val="4"/>
                <w:color w:val="auto"/>
              </w:rPr>
            </w:pPr>
          </w:p>
        </w:tc>
        <w:tc>
          <w:tcPr>
            <w:tcW w:w="760" w:type="dxa"/>
            <w:vAlign w:val="bottom"/>
          </w:tcPr>
          <w:p>
            <w:pPr>
              <w:spacing w:after="0"/>
              <w:rPr>
                <w:sz w:val="4"/>
                <w:szCs w:val="4"/>
                <w:color w:val="auto"/>
              </w:rPr>
            </w:pPr>
          </w:p>
        </w:tc>
        <w:tc>
          <w:tcPr>
            <w:tcW w:w="120" w:type="dxa"/>
            <w:vAlign w:val="bottom"/>
          </w:tcPr>
          <w:p>
            <w:pPr>
              <w:spacing w:after="0"/>
              <w:rPr>
                <w:sz w:val="4"/>
                <w:szCs w:val="4"/>
                <w:color w:val="auto"/>
              </w:rPr>
            </w:pPr>
          </w:p>
        </w:tc>
        <w:tc>
          <w:tcPr>
            <w:tcW w:w="440" w:type="dxa"/>
            <w:vAlign w:val="bottom"/>
          </w:tcPr>
          <w:p>
            <w:pPr>
              <w:spacing w:after="0"/>
              <w:rPr>
                <w:sz w:val="4"/>
                <w:szCs w:val="4"/>
                <w:color w:val="auto"/>
              </w:rPr>
            </w:pPr>
          </w:p>
        </w:tc>
        <w:tc>
          <w:tcPr>
            <w:tcW w:w="760" w:type="dxa"/>
            <w:vAlign w:val="bottom"/>
          </w:tcPr>
          <w:p>
            <w:pPr>
              <w:spacing w:after="0"/>
              <w:rPr>
                <w:sz w:val="4"/>
                <w:szCs w:val="4"/>
                <w:color w:val="auto"/>
              </w:rPr>
            </w:pPr>
          </w:p>
        </w:tc>
      </w:tr>
      <w:tr>
        <w:trPr>
          <w:trHeight w:val="250"/>
        </w:trPr>
        <w:tc>
          <w:tcPr>
            <w:tcW w:w="63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U.S. and foreign corporate securities — by industry:</w:t>
            </w:r>
          </w:p>
        </w:tc>
        <w:tc>
          <w:tcPr>
            <w:tcW w:w="7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r>
      <w:tr>
        <w:trPr>
          <w:trHeight w:val="237"/>
        </w:trPr>
        <w:tc>
          <w:tcPr>
            <w:tcW w:w="6380" w:type="dxa"/>
            <w:vAlign w:val="bottom"/>
          </w:tcPr>
          <w:p>
            <w:pPr>
              <w:ind w:left="360"/>
              <w:spacing w:after="0"/>
              <w:rPr>
                <w:sz w:val="20"/>
                <w:szCs w:val="20"/>
                <w:color w:val="auto"/>
              </w:rPr>
            </w:pPr>
            <w:r>
              <w:rPr>
                <w:rFonts w:ascii="Arial" w:cs="Arial" w:eastAsia="Arial" w:hAnsi="Arial"/>
                <w:sz w:val="16"/>
                <w:szCs w:val="16"/>
                <w:color w:val="auto"/>
              </w:rPr>
              <w:t>Industrial</w:t>
            </w:r>
          </w:p>
        </w:tc>
        <w:tc>
          <w:tcPr>
            <w:tcW w:w="780" w:type="dxa"/>
            <w:vAlign w:val="bottom"/>
          </w:tcPr>
          <w:p>
            <w:pPr>
              <w:jc w:val="right"/>
              <w:ind w:right="582"/>
              <w:spacing w:after="0"/>
              <w:rPr>
                <w:sz w:val="20"/>
                <w:szCs w:val="20"/>
                <w:color w:val="auto"/>
              </w:rPr>
            </w:pPr>
            <w:r>
              <w:rPr>
                <w:rFonts w:ascii="Arial" w:cs="Arial" w:eastAsia="Arial" w:hAnsi="Arial"/>
                <w:sz w:val="16"/>
                <w:szCs w:val="16"/>
                <w:color w:val="auto"/>
              </w:rPr>
              <w:t>$</w:t>
            </w:r>
          </w:p>
        </w:tc>
        <w:tc>
          <w:tcPr>
            <w:tcW w:w="52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440" w:type="dxa"/>
            <w:vAlign w:val="bottom"/>
          </w:tcPr>
          <w:p>
            <w:pPr>
              <w:jc w:val="right"/>
              <w:ind w:right="259"/>
              <w:spacing w:after="0"/>
              <w:rPr>
                <w:sz w:val="20"/>
                <w:szCs w:val="20"/>
                <w:color w:val="auto"/>
              </w:rPr>
            </w:pPr>
            <w:r>
              <w:rPr>
                <w:rFonts w:ascii="Arial" w:cs="Arial" w:eastAsia="Arial" w:hAnsi="Arial"/>
                <w:sz w:val="16"/>
                <w:szCs w:val="16"/>
                <w:color w:val="auto"/>
                <w:w w:val="89"/>
              </w:rPr>
              <w:t>$</w:t>
            </w:r>
          </w:p>
        </w:tc>
        <w:tc>
          <w:tcPr>
            <w:tcW w:w="86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8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440" w:type="dxa"/>
            <w:vAlign w:val="bottom"/>
          </w:tcPr>
          <w:p>
            <w:pPr>
              <w:jc w:val="right"/>
              <w:ind w:right="259"/>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ind w:right="59"/>
              <w:spacing w:after="0"/>
              <w:rPr>
                <w:sz w:val="20"/>
                <w:szCs w:val="20"/>
                <w:color w:val="auto"/>
              </w:rPr>
            </w:pPr>
            <w:r>
              <w:rPr>
                <w:rFonts w:ascii="Arial" w:cs="Arial" w:eastAsia="Arial" w:hAnsi="Arial"/>
                <w:sz w:val="16"/>
                <w:szCs w:val="16"/>
                <w:color w:val="auto"/>
              </w:rPr>
              <w:t>(16)</w:t>
            </w:r>
          </w:p>
        </w:tc>
      </w:tr>
      <w:tr>
        <w:trPr>
          <w:trHeight w:val="33"/>
        </w:trPr>
        <w:tc>
          <w:tcPr>
            <w:tcW w:w="638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30"/>
        </w:trPr>
        <w:tc>
          <w:tcPr>
            <w:tcW w:w="63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Total U.S. and foreign corporate securities</w:t>
            </w:r>
          </w:p>
        </w:tc>
        <w:tc>
          <w:tcPr>
            <w:tcW w:w="78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(16)</w:t>
            </w:r>
          </w:p>
        </w:tc>
      </w:tr>
      <w:tr>
        <w:trPr>
          <w:trHeight w:val="237"/>
        </w:trPr>
        <w:tc>
          <w:tcPr>
            <w:tcW w:w="6380" w:type="dxa"/>
            <w:vAlign w:val="bottom"/>
          </w:tcPr>
          <w:p>
            <w:pPr>
              <w:ind w:left="360"/>
              <w:spacing w:after="0"/>
              <w:rPr>
                <w:sz w:val="20"/>
                <w:szCs w:val="20"/>
                <w:color w:val="auto"/>
              </w:rPr>
            </w:pPr>
            <w:r>
              <w:rPr>
                <w:rFonts w:ascii="Arial" w:cs="Arial" w:eastAsia="Arial" w:hAnsi="Arial"/>
                <w:sz w:val="16"/>
                <w:szCs w:val="16"/>
                <w:color w:val="auto"/>
              </w:rPr>
              <w:t>RMBS</w:t>
            </w:r>
          </w:p>
        </w:tc>
        <w:tc>
          <w:tcPr>
            <w:tcW w:w="780" w:type="dxa"/>
            <w:vAlign w:val="bottom"/>
          </w:tcPr>
          <w:p>
            <w:pPr>
              <w:spacing w:after="0"/>
              <w:rPr>
                <w:sz w:val="20"/>
                <w:szCs w:val="20"/>
                <w:color w:val="auto"/>
              </w:rPr>
            </w:pPr>
          </w:p>
        </w:tc>
        <w:tc>
          <w:tcPr>
            <w:tcW w:w="52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20"/>
                <w:szCs w:val="20"/>
                <w:color w:val="auto"/>
              </w:rPr>
            </w:pPr>
          </w:p>
        </w:tc>
        <w:tc>
          <w:tcPr>
            <w:tcW w:w="760" w:type="dxa"/>
            <w:vAlign w:val="bottom"/>
          </w:tcPr>
          <w:p>
            <w:pPr>
              <w:jc w:val="right"/>
              <w:ind w:right="60"/>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20"/>
                <w:szCs w:val="20"/>
                <w:color w:val="auto"/>
              </w:rPr>
            </w:pPr>
          </w:p>
        </w:tc>
        <w:tc>
          <w:tcPr>
            <w:tcW w:w="760" w:type="dxa"/>
            <w:vAlign w:val="bottom"/>
          </w:tcPr>
          <w:p>
            <w:pPr>
              <w:jc w:val="right"/>
              <w:ind w:right="59"/>
              <w:spacing w:after="0"/>
              <w:rPr>
                <w:sz w:val="20"/>
                <w:szCs w:val="20"/>
                <w:color w:val="auto"/>
              </w:rPr>
            </w:pPr>
            <w:r>
              <w:rPr>
                <w:rFonts w:ascii="Arial" w:cs="Arial" w:eastAsia="Arial" w:hAnsi="Arial"/>
                <w:sz w:val="16"/>
                <w:szCs w:val="16"/>
                <w:color w:val="auto"/>
              </w:rPr>
              <w:t>(6)</w:t>
            </w:r>
          </w:p>
        </w:tc>
      </w:tr>
      <w:tr>
        <w:trPr>
          <w:trHeight w:val="33"/>
        </w:trPr>
        <w:tc>
          <w:tcPr>
            <w:tcW w:w="6380" w:type="dxa"/>
            <w:vAlign w:val="bottom"/>
          </w:tcPr>
          <w:p>
            <w:pPr>
              <w:spacing w:after="0"/>
              <w:rPr>
                <w:sz w:val="2"/>
                <w:szCs w:val="2"/>
                <w:color w:val="auto"/>
              </w:rPr>
            </w:pPr>
          </w:p>
        </w:tc>
        <w:tc>
          <w:tcPr>
            <w:tcW w:w="7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70"/>
        </w:trPr>
        <w:tc>
          <w:tcPr>
            <w:tcW w:w="63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State and political subdivision</w:t>
            </w:r>
          </w:p>
        </w:tc>
        <w:tc>
          <w:tcPr>
            <w:tcW w:w="78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r>
      <w:tr>
        <w:trPr>
          <w:trHeight w:val="217"/>
        </w:trPr>
        <w:tc>
          <w:tcPr>
            <w:tcW w:w="6380" w:type="dxa"/>
            <w:vAlign w:val="bottom"/>
          </w:tcPr>
          <w:p>
            <w:pPr>
              <w:ind w:left="40"/>
              <w:spacing w:after="0"/>
              <w:rPr>
                <w:sz w:val="20"/>
                <w:szCs w:val="20"/>
                <w:color w:val="auto"/>
              </w:rPr>
            </w:pPr>
            <w:r>
              <w:rPr>
                <w:rFonts w:ascii="Arial" w:cs="Arial" w:eastAsia="Arial" w:hAnsi="Arial"/>
                <w:sz w:val="16"/>
                <w:szCs w:val="16"/>
                <w:color w:val="auto"/>
              </w:rPr>
              <w:t>OTTI losses on fixed maturity securities recognized in earnings</w:t>
            </w:r>
          </w:p>
        </w:tc>
        <w:tc>
          <w:tcPr>
            <w:tcW w:w="78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jc w:val="right"/>
              <w:ind w:right="1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ind w:right="60"/>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(22)</w:t>
            </w:r>
          </w:p>
        </w:tc>
      </w:tr>
      <w:tr>
        <w:trPr>
          <w:trHeight w:val="33"/>
        </w:trPr>
        <w:tc>
          <w:tcPr>
            <w:tcW w:w="6380" w:type="dxa"/>
            <w:vAlign w:val="bottom"/>
          </w:tcPr>
          <w:p>
            <w:pPr>
              <w:spacing w:after="0"/>
              <w:rPr>
                <w:sz w:val="2"/>
                <w:szCs w:val="2"/>
                <w:color w:val="auto"/>
              </w:rPr>
            </w:pPr>
          </w:p>
        </w:tc>
        <w:tc>
          <w:tcPr>
            <w:tcW w:w="7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70"/>
        </w:trPr>
        <w:tc>
          <w:tcPr>
            <w:tcW w:w="6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Fixed maturity securities — net gains (losses) on sales and disposals</w:t>
            </w:r>
          </w:p>
        </w:tc>
        <w:tc>
          <w:tcPr>
            <w:tcW w:w="78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jc w:val="right"/>
              <w:ind w:right="120"/>
              <w:spacing w:after="0"/>
              <w:rPr>
                <w:sz w:val="20"/>
                <w:szCs w:val="20"/>
                <w:color w:val="auto"/>
              </w:rPr>
            </w:pPr>
            <w:r>
              <w:rPr>
                <w:rFonts w:ascii="Arial" w:cs="Arial" w:eastAsia="Arial" w:hAnsi="Arial"/>
                <w:sz w:val="16"/>
                <w:szCs w:val="16"/>
                <w:color w:val="auto"/>
              </w:rPr>
              <w:t>21</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100"/>
              <w:spacing w:after="0"/>
              <w:rPr>
                <w:sz w:val="20"/>
                <w:szCs w:val="20"/>
                <w:color w:val="auto"/>
              </w:rPr>
            </w:pPr>
            <w:r>
              <w:rPr>
                <w:rFonts w:ascii="Arial" w:cs="Arial" w:eastAsia="Arial" w:hAnsi="Arial"/>
                <w:sz w:val="16"/>
                <w:szCs w:val="16"/>
                <w:color w:val="auto"/>
              </w:rPr>
              <w:t>47</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1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30</w:t>
            </w:r>
          </w:p>
        </w:tc>
      </w:tr>
      <w:tr>
        <w:trPr>
          <w:trHeight w:val="217"/>
        </w:trPr>
        <w:tc>
          <w:tcPr>
            <w:tcW w:w="6380" w:type="dxa"/>
            <w:vAlign w:val="bottom"/>
          </w:tcPr>
          <w:p>
            <w:pPr>
              <w:ind w:left="200"/>
              <w:spacing w:after="0"/>
              <w:rPr>
                <w:sz w:val="20"/>
                <w:szCs w:val="20"/>
                <w:color w:val="auto"/>
              </w:rPr>
            </w:pPr>
            <w:r>
              <w:rPr>
                <w:rFonts w:ascii="Arial" w:cs="Arial" w:eastAsia="Arial" w:hAnsi="Arial"/>
                <w:sz w:val="16"/>
                <w:szCs w:val="16"/>
                <w:color w:val="auto"/>
              </w:rPr>
              <w:t>Total gains (losses) on fixed maturity securities</w:t>
            </w:r>
          </w:p>
        </w:tc>
        <w:tc>
          <w:tcPr>
            <w:tcW w:w="78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jc w:val="right"/>
              <w:ind w:right="120"/>
              <w:spacing w:after="0"/>
              <w:rPr>
                <w:sz w:val="20"/>
                <w:szCs w:val="20"/>
                <w:color w:val="auto"/>
              </w:rPr>
            </w:pPr>
            <w:r>
              <w:rPr>
                <w:rFonts w:ascii="Arial" w:cs="Arial" w:eastAsia="Arial" w:hAnsi="Arial"/>
                <w:sz w:val="16"/>
                <w:szCs w:val="16"/>
                <w:color w:val="auto"/>
              </w:rPr>
              <w:t>21</w:t>
            </w:r>
          </w:p>
        </w:tc>
        <w:tc>
          <w:tcPr>
            <w:tcW w:w="10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ind w:right="100"/>
              <w:spacing w:after="0"/>
              <w:rPr>
                <w:sz w:val="20"/>
                <w:szCs w:val="20"/>
                <w:color w:val="auto"/>
              </w:rPr>
            </w:pPr>
            <w:r>
              <w:rPr>
                <w:rFonts w:ascii="Arial" w:cs="Arial" w:eastAsia="Arial" w:hAnsi="Arial"/>
                <w:sz w:val="16"/>
                <w:szCs w:val="16"/>
                <w:color w:val="auto"/>
              </w:rPr>
              <w:t>43</w:t>
            </w:r>
          </w:p>
        </w:tc>
        <w:tc>
          <w:tcPr>
            <w:tcW w:w="10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(16)</w:t>
            </w:r>
          </w:p>
        </w:tc>
        <w:tc>
          <w:tcPr>
            <w:tcW w:w="12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rPr>
              <w:t>8</w:t>
            </w:r>
          </w:p>
        </w:tc>
      </w:tr>
      <w:tr>
        <w:trPr>
          <w:trHeight w:val="33"/>
        </w:trPr>
        <w:tc>
          <w:tcPr>
            <w:tcW w:w="638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30"/>
        </w:trPr>
        <w:tc>
          <w:tcPr>
            <w:tcW w:w="63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Total gains (losses) on equity securities:</w:t>
            </w:r>
          </w:p>
        </w:tc>
        <w:tc>
          <w:tcPr>
            <w:tcW w:w="78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spacing w:after="0"/>
              <w:rPr>
                <w:sz w:val="20"/>
                <w:szCs w:val="20"/>
                <w:color w:val="auto"/>
              </w:rPr>
            </w:pPr>
          </w:p>
        </w:tc>
      </w:tr>
      <w:tr>
        <w:trPr>
          <w:trHeight w:val="224"/>
        </w:trPr>
        <w:tc>
          <w:tcPr>
            <w:tcW w:w="6380" w:type="dxa"/>
            <w:vAlign w:val="bottom"/>
          </w:tcPr>
          <w:p>
            <w:pPr>
              <w:ind w:left="200"/>
              <w:spacing w:after="0"/>
              <w:rPr>
                <w:sz w:val="20"/>
                <w:szCs w:val="20"/>
                <w:color w:val="auto"/>
              </w:rPr>
            </w:pPr>
            <w:r>
              <w:rPr>
                <w:rFonts w:ascii="Arial" w:cs="Arial" w:eastAsia="Arial" w:hAnsi="Arial"/>
                <w:sz w:val="16"/>
                <w:szCs w:val="16"/>
                <w:color w:val="auto"/>
              </w:rPr>
              <w:t>Total OTTI losses recognized — by sector:</w:t>
            </w:r>
          </w:p>
        </w:tc>
        <w:tc>
          <w:tcPr>
            <w:tcW w:w="7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r>
      <w:tr>
        <w:trPr>
          <w:trHeight w:val="47"/>
        </w:trPr>
        <w:tc>
          <w:tcPr>
            <w:tcW w:w="6380" w:type="dxa"/>
            <w:vAlign w:val="bottom"/>
          </w:tcPr>
          <w:p>
            <w:pPr>
              <w:spacing w:after="0"/>
              <w:rPr>
                <w:sz w:val="4"/>
                <w:szCs w:val="4"/>
                <w:color w:val="auto"/>
              </w:rPr>
            </w:pPr>
          </w:p>
        </w:tc>
        <w:tc>
          <w:tcPr>
            <w:tcW w:w="780" w:type="dxa"/>
            <w:vAlign w:val="bottom"/>
          </w:tcPr>
          <w:p>
            <w:pPr>
              <w:spacing w:after="0"/>
              <w:rPr>
                <w:sz w:val="4"/>
                <w:szCs w:val="4"/>
                <w:color w:val="auto"/>
              </w:rPr>
            </w:pPr>
          </w:p>
        </w:tc>
        <w:tc>
          <w:tcPr>
            <w:tcW w:w="420" w:type="dxa"/>
            <w:vAlign w:val="bottom"/>
          </w:tcPr>
          <w:p>
            <w:pPr>
              <w:spacing w:after="0"/>
              <w:rPr>
                <w:sz w:val="4"/>
                <w:szCs w:val="4"/>
                <w:color w:val="auto"/>
              </w:rPr>
            </w:pPr>
          </w:p>
        </w:tc>
        <w:tc>
          <w:tcPr>
            <w:tcW w:w="100" w:type="dxa"/>
            <w:vAlign w:val="bottom"/>
          </w:tcPr>
          <w:p>
            <w:pPr>
              <w:spacing w:after="0"/>
              <w:rPr>
                <w:sz w:val="4"/>
                <w:szCs w:val="4"/>
                <w:color w:val="auto"/>
              </w:rPr>
            </w:pPr>
          </w:p>
        </w:tc>
        <w:tc>
          <w:tcPr>
            <w:tcW w:w="440" w:type="dxa"/>
            <w:vAlign w:val="bottom"/>
          </w:tcPr>
          <w:p>
            <w:pPr>
              <w:spacing w:after="0"/>
              <w:rPr>
                <w:sz w:val="4"/>
                <w:szCs w:val="4"/>
                <w:color w:val="auto"/>
              </w:rPr>
            </w:pPr>
          </w:p>
        </w:tc>
        <w:tc>
          <w:tcPr>
            <w:tcW w:w="760" w:type="dxa"/>
            <w:vAlign w:val="bottom"/>
          </w:tcPr>
          <w:p>
            <w:pPr>
              <w:spacing w:after="0"/>
              <w:rPr>
                <w:sz w:val="4"/>
                <w:szCs w:val="4"/>
                <w:color w:val="auto"/>
              </w:rPr>
            </w:pPr>
          </w:p>
        </w:tc>
        <w:tc>
          <w:tcPr>
            <w:tcW w:w="100" w:type="dxa"/>
            <w:vAlign w:val="bottom"/>
          </w:tcPr>
          <w:p>
            <w:pPr>
              <w:spacing w:after="0"/>
              <w:rPr>
                <w:sz w:val="4"/>
                <w:szCs w:val="4"/>
                <w:color w:val="auto"/>
              </w:rPr>
            </w:pPr>
          </w:p>
        </w:tc>
        <w:tc>
          <w:tcPr>
            <w:tcW w:w="360" w:type="dxa"/>
            <w:vAlign w:val="bottom"/>
          </w:tcPr>
          <w:p>
            <w:pPr>
              <w:spacing w:after="0"/>
              <w:rPr>
                <w:sz w:val="4"/>
                <w:szCs w:val="4"/>
                <w:color w:val="auto"/>
              </w:rPr>
            </w:pPr>
          </w:p>
        </w:tc>
        <w:tc>
          <w:tcPr>
            <w:tcW w:w="760" w:type="dxa"/>
            <w:vAlign w:val="bottom"/>
          </w:tcPr>
          <w:p>
            <w:pPr>
              <w:spacing w:after="0"/>
              <w:rPr>
                <w:sz w:val="4"/>
                <w:szCs w:val="4"/>
                <w:color w:val="auto"/>
              </w:rPr>
            </w:pPr>
          </w:p>
        </w:tc>
        <w:tc>
          <w:tcPr>
            <w:tcW w:w="120" w:type="dxa"/>
            <w:vAlign w:val="bottom"/>
          </w:tcPr>
          <w:p>
            <w:pPr>
              <w:spacing w:after="0"/>
              <w:rPr>
                <w:sz w:val="4"/>
                <w:szCs w:val="4"/>
                <w:color w:val="auto"/>
              </w:rPr>
            </w:pPr>
          </w:p>
        </w:tc>
        <w:tc>
          <w:tcPr>
            <w:tcW w:w="440" w:type="dxa"/>
            <w:vAlign w:val="bottom"/>
          </w:tcPr>
          <w:p>
            <w:pPr>
              <w:spacing w:after="0"/>
              <w:rPr>
                <w:sz w:val="4"/>
                <w:szCs w:val="4"/>
                <w:color w:val="auto"/>
              </w:rPr>
            </w:pPr>
          </w:p>
        </w:tc>
        <w:tc>
          <w:tcPr>
            <w:tcW w:w="760" w:type="dxa"/>
            <w:vAlign w:val="bottom"/>
          </w:tcPr>
          <w:p>
            <w:pPr>
              <w:spacing w:after="0"/>
              <w:rPr>
                <w:sz w:val="4"/>
                <w:szCs w:val="4"/>
                <w:color w:val="auto"/>
              </w:rPr>
            </w:pPr>
          </w:p>
        </w:tc>
      </w:tr>
      <w:tr>
        <w:trPr>
          <w:trHeight w:val="270"/>
        </w:trPr>
        <w:tc>
          <w:tcPr>
            <w:tcW w:w="63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Common stock</w:t>
            </w:r>
          </w:p>
        </w:tc>
        <w:tc>
          <w:tcPr>
            <w:tcW w:w="78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w:t>
            </w:r>
          </w:p>
        </w:tc>
      </w:tr>
      <w:tr>
        <w:trPr>
          <w:trHeight w:val="217"/>
        </w:trPr>
        <w:tc>
          <w:tcPr>
            <w:tcW w:w="6380" w:type="dxa"/>
            <w:vAlign w:val="bottom"/>
          </w:tcPr>
          <w:p>
            <w:pPr>
              <w:ind w:left="40"/>
              <w:spacing w:after="0"/>
              <w:rPr>
                <w:sz w:val="20"/>
                <w:szCs w:val="20"/>
                <w:color w:val="auto"/>
              </w:rPr>
            </w:pPr>
            <w:r>
              <w:rPr>
                <w:rFonts w:ascii="Arial" w:cs="Arial" w:eastAsia="Arial" w:hAnsi="Arial"/>
                <w:sz w:val="16"/>
                <w:szCs w:val="16"/>
                <w:color w:val="auto"/>
              </w:rPr>
              <w:t>OTTI losses on equity securities recognized in earnings</w:t>
            </w:r>
          </w:p>
        </w:tc>
        <w:tc>
          <w:tcPr>
            <w:tcW w:w="78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jc w:val="right"/>
              <w:ind w:right="1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ind w:right="1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(1)</w:t>
            </w:r>
          </w:p>
        </w:tc>
      </w:tr>
      <w:tr>
        <w:trPr>
          <w:trHeight w:val="33"/>
        </w:trPr>
        <w:tc>
          <w:tcPr>
            <w:tcW w:w="6380" w:type="dxa"/>
            <w:vAlign w:val="bottom"/>
          </w:tcPr>
          <w:p>
            <w:pPr>
              <w:spacing w:after="0"/>
              <w:rPr>
                <w:sz w:val="2"/>
                <w:szCs w:val="2"/>
                <w:color w:val="auto"/>
              </w:rPr>
            </w:pPr>
          </w:p>
        </w:tc>
        <w:tc>
          <w:tcPr>
            <w:tcW w:w="7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70"/>
        </w:trPr>
        <w:tc>
          <w:tcPr>
            <w:tcW w:w="6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Equity securities — net gains (losses) on sales and disposals</w:t>
            </w:r>
          </w:p>
        </w:tc>
        <w:tc>
          <w:tcPr>
            <w:tcW w:w="78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jc w:val="right"/>
              <w:ind w:right="120"/>
              <w:spacing w:after="0"/>
              <w:rPr>
                <w:sz w:val="20"/>
                <w:szCs w:val="20"/>
                <w:color w:val="auto"/>
              </w:rPr>
            </w:pPr>
            <w:r>
              <w:rPr>
                <w:rFonts w:ascii="Arial" w:cs="Arial" w:eastAsia="Arial" w:hAnsi="Arial"/>
                <w:sz w:val="16"/>
                <w:szCs w:val="16"/>
                <w:color w:val="auto"/>
              </w:rPr>
              <w:t>3</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100"/>
              <w:spacing w:after="0"/>
              <w:rPr>
                <w:sz w:val="20"/>
                <w:szCs w:val="20"/>
                <w:color w:val="auto"/>
              </w:rPr>
            </w:pPr>
            <w:r>
              <w:rPr>
                <w:rFonts w:ascii="Arial" w:cs="Arial" w:eastAsia="Arial" w:hAnsi="Arial"/>
                <w:sz w:val="16"/>
                <w:szCs w:val="16"/>
                <w:color w:val="auto"/>
              </w:rPr>
              <w:t>4</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w:t>
            </w:r>
          </w:p>
        </w:tc>
        <w:tc>
          <w:tcPr>
            <w:tcW w:w="1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8</w:t>
            </w:r>
          </w:p>
        </w:tc>
      </w:tr>
      <w:tr>
        <w:trPr>
          <w:trHeight w:val="217"/>
        </w:trPr>
        <w:tc>
          <w:tcPr>
            <w:tcW w:w="6380" w:type="dxa"/>
            <w:vAlign w:val="bottom"/>
          </w:tcPr>
          <w:p>
            <w:pPr>
              <w:ind w:left="320"/>
              <w:spacing w:after="0"/>
              <w:rPr>
                <w:sz w:val="20"/>
                <w:szCs w:val="20"/>
                <w:color w:val="auto"/>
              </w:rPr>
            </w:pPr>
            <w:r>
              <w:rPr>
                <w:rFonts w:ascii="Arial" w:cs="Arial" w:eastAsia="Arial" w:hAnsi="Arial"/>
                <w:sz w:val="16"/>
                <w:szCs w:val="16"/>
                <w:color w:val="auto"/>
              </w:rPr>
              <w:t>Total gains (losses) on equity securities</w:t>
            </w:r>
          </w:p>
        </w:tc>
        <w:tc>
          <w:tcPr>
            <w:tcW w:w="78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jc w:val="right"/>
              <w:ind w:right="120"/>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ind w:right="100"/>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4</w:t>
            </w:r>
          </w:p>
        </w:tc>
        <w:tc>
          <w:tcPr>
            <w:tcW w:w="12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rPr>
              <w:t>7</w:t>
            </w:r>
          </w:p>
        </w:tc>
      </w:tr>
      <w:tr>
        <w:trPr>
          <w:trHeight w:val="33"/>
        </w:trPr>
        <w:tc>
          <w:tcPr>
            <w:tcW w:w="638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30"/>
        </w:trPr>
        <w:tc>
          <w:tcPr>
            <w:tcW w:w="6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Mortgage loans</w:t>
            </w:r>
          </w:p>
        </w:tc>
        <w:tc>
          <w:tcPr>
            <w:tcW w:w="78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(2)</w:t>
            </w: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ind w:right="100"/>
              <w:spacing w:after="0"/>
              <w:rPr>
                <w:sz w:val="20"/>
                <w:szCs w:val="20"/>
                <w:color w:val="auto"/>
              </w:rPr>
            </w:pPr>
            <w:r>
              <w:rPr>
                <w:rFonts w:ascii="Arial" w:cs="Arial" w:eastAsia="Arial" w:hAnsi="Arial"/>
                <w:sz w:val="16"/>
                <w:szCs w:val="16"/>
                <w:color w:val="auto"/>
              </w:rPr>
              <w:t>10</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12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4</w:t>
            </w:r>
          </w:p>
        </w:tc>
      </w:tr>
      <w:tr>
        <w:trPr>
          <w:trHeight w:val="237"/>
        </w:trPr>
        <w:tc>
          <w:tcPr>
            <w:tcW w:w="6380" w:type="dxa"/>
            <w:vAlign w:val="bottom"/>
          </w:tcPr>
          <w:p>
            <w:pPr>
              <w:ind w:left="40"/>
              <w:spacing w:after="0"/>
              <w:rPr>
                <w:sz w:val="20"/>
                <w:szCs w:val="20"/>
                <w:color w:val="auto"/>
              </w:rPr>
            </w:pPr>
            <w:r>
              <w:rPr>
                <w:rFonts w:ascii="Arial" w:cs="Arial" w:eastAsia="Arial" w:hAnsi="Arial"/>
                <w:sz w:val="16"/>
                <w:szCs w:val="16"/>
                <w:color w:val="auto"/>
              </w:rPr>
              <w:t>Real estate and real estate joint ventures</w:t>
            </w:r>
          </w:p>
        </w:tc>
        <w:tc>
          <w:tcPr>
            <w:tcW w:w="780" w:type="dxa"/>
            <w:vAlign w:val="bottom"/>
          </w:tcPr>
          <w:p>
            <w:pPr>
              <w:spacing w:after="0"/>
              <w:rPr>
                <w:sz w:val="20"/>
                <w:szCs w:val="20"/>
                <w:color w:val="auto"/>
              </w:rPr>
            </w:pPr>
          </w:p>
        </w:tc>
        <w:tc>
          <w:tcPr>
            <w:tcW w:w="420" w:type="dxa"/>
            <w:vAlign w:val="bottom"/>
          </w:tcPr>
          <w:p>
            <w:pPr>
              <w:jc w:val="right"/>
              <w:ind w:right="120"/>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jc w:val="right"/>
              <w:ind w:right="60"/>
              <w:spacing w:after="0"/>
              <w:rPr>
                <w:sz w:val="20"/>
                <w:szCs w:val="20"/>
                <w:color w:val="auto"/>
              </w:rPr>
            </w:pPr>
            <w:r>
              <w:rPr>
                <w:rFonts w:ascii="Arial" w:cs="Arial" w:eastAsia="Arial" w:hAnsi="Arial"/>
                <w:sz w:val="16"/>
                <w:szCs w:val="16"/>
                <w:color w:val="auto"/>
              </w:rPr>
              <w:t>(34)</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60" w:type="dxa"/>
            <w:vAlign w:val="bottom"/>
          </w:tcPr>
          <w:p>
            <w:pPr>
              <w:jc w:val="right"/>
              <w:ind w:right="20"/>
              <w:spacing w:after="0"/>
              <w:rPr>
                <w:sz w:val="20"/>
                <w:szCs w:val="20"/>
                <w:color w:val="auto"/>
              </w:rPr>
            </w:pPr>
            <w:r>
              <w:rPr>
                <w:rFonts w:ascii="Arial" w:cs="Arial" w:eastAsia="Arial" w:hAnsi="Arial"/>
                <w:sz w:val="16"/>
                <w:szCs w:val="16"/>
                <w:color w:val="auto"/>
              </w:rPr>
              <w:t>4</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jc w:val="right"/>
              <w:ind w:right="59"/>
              <w:spacing w:after="0"/>
              <w:rPr>
                <w:sz w:val="20"/>
                <w:szCs w:val="20"/>
                <w:color w:val="auto"/>
              </w:rPr>
            </w:pPr>
            <w:r>
              <w:rPr>
                <w:rFonts w:ascii="Arial" w:cs="Arial" w:eastAsia="Arial" w:hAnsi="Arial"/>
                <w:sz w:val="16"/>
                <w:szCs w:val="16"/>
                <w:color w:val="auto"/>
              </w:rPr>
              <w:t>(35)</w:t>
            </w:r>
          </w:p>
        </w:tc>
      </w:tr>
      <w:tr>
        <w:trPr>
          <w:trHeight w:val="33"/>
        </w:trPr>
        <w:tc>
          <w:tcPr>
            <w:tcW w:w="6380" w:type="dxa"/>
            <w:vAlign w:val="bottom"/>
          </w:tcPr>
          <w:p>
            <w:pPr>
              <w:spacing w:after="0"/>
              <w:rPr>
                <w:sz w:val="2"/>
                <w:szCs w:val="2"/>
                <w:color w:val="auto"/>
              </w:rPr>
            </w:pPr>
          </w:p>
        </w:tc>
        <w:tc>
          <w:tcPr>
            <w:tcW w:w="7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6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limited partnership interests</w:t>
            </w:r>
          </w:p>
        </w:tc>
        <w:tc>
          <w:tcPr>
            <w:tcW w:w="7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(7)</w:t>
            </w:r>
          </w:p>
        </w:tc>
      </w:tr>
      <w:tr>
        <w:trPr>
          <w:trHeight w:val="237"/>
        </w:trPr>
        <w:tc>
          <w:tcPr>
            <w:tcW w:w="6380" w:type="dxa"/>
            <w:vAlign w:val="bottom"/>
          </w:tcPr>
          <w:p>
            <w:pPr>
              <w:ind w:left="40"/>
              <w:spacing w:after="0"/>
              <w:rPr>
                <w:sz w:val="20"/>
                <w:szCs w:val="20"/>
                <w:color w:val="auto"/>
              </w:rPr>
            </w:pPr>
            <w:r>
              <w:rPr>
                <w:rFonts w:ascii="Arial" w:cs="Arial" w:eastAsia="Arial" w:hAnsi="Arial"/>
                <w:sz w:val="16"/>
                <w:szCs w:val="16"/>
                <w:color w:val="auto"/>
              </w:rPr>
              <w:t>Other</w:t>
            </w:r>
          </w:p>
        </w:tc>
        <w:tc>
          <w:tcPr>
            <w:tcW w:w="780" w:type="dxa"/>
            <w:vAlign w:val="bottom"/>
          </w:tcPr>
          <w:p>
            <w:pPr>
              <w:spacing w:after="0"/>
              <w:rPr>
                <w:sz w:val="20"/>
                <w:szCs w:val="20"/>
                <w:color w:val="auto"/>
              </w:rPr>
            </w:pPr>
          </w:p>
        </w:tc>
        <w:tc>
          <w:tcPr>
            <w:tcW w:w="420" w:type="dxa"/>
            <w:vAlign w:val="bottom"/>
          </w:tcPr>
          <w:p>
            <w:pPr>
              <w:jc w:val="right"/>
              <w:ind w:right="60"/>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jc w:val="right"/>
              <w:ind w:right="100"/>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(6)</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jc w:val="right"/>
              <w:ind w:right="99"/>
              <w:spacing w:after="0"/>
              <w:rPr>
                <w:sz w:val="20"/>
                <w:szCs w:val="20"/>
                <w:color w:val="auto"/>
              </w:rPr>
            </w:pPr>
            <w:r>
              <w:rPr>
                <w:rFonts w:ascii="Arial" w:cs="Arial" w:eastAsia="Arial" w:hAnsi="Arial"/>
                <w:sz w:val="16"/>
                <w:szCs w:val="16"/>
                <w:color w:val="auto"/>
              </w:rPr>
              <w:t>9</w:t>
            </w:r>
          </w:p>
        </w:tc>
      </w:tr>
      <w:tr>
        <w:trPr>
          <w:trHeight w:val="33"/>
        </w:trPr>
        <w:tc>
          <w:tcPr>
            <w:tcW w:w="638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50"/>
        </w:trPr>
        <w:tc>
          <w:tcPr>
            <w:tcW w:w="638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6"/>
                <w:szCs w:val="16"/>
                <w:color w:val="auto"/>
              </w:rPr>
              <w:t>Subtotal</w:t>
            </w:r>
          </w:p>
        </w:tc>
        <w:tc>
          <w:tcPr>
            <w:tcW w:w="7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120"/>
              <w:spacing w:after="0"/>
              <w:rPr>
                <w:sz w:val="20"/>
                <w:szCs w:val="20"/>
                <w:color w:val="auto"/>
              </w:rPr>
            </w:pPr>
            <w:r>
              <w:rPr>
                <w:rFonts w:ascii="Arial" w:cs="Arial" w:eastAsia="Arial" w:hAnsi="Arial"/>
                <w:sz w:val="16"/>
                <w:szCs w:val="16"/>
                <w:color w:val="auto"/>
              </w:rPr>
              <w:t>22</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00"/>
              <w:spacing w:after="0"/>
              <w:rPr>
                <w:sz w:val="20"/>
                <w:szCs w:val="20"/>
                <w:color w:val="auto"/>
              </w:rPr>
            </w:pPr>
            <w:r>
              <w:rPr>
                <w:rFonts w:ascii="Arial" w:cs="Arial" w:eastAsia="Arial" w:hAnsi="Arial"/>
                <w:sz w:val="16"/>
                <w:szCs w:val="16"/>
                <w:color w:val="auto"/>
              </w:rPr>
              <w:t>26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(31)</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(14)</w:t>
            </w:r>
          </w:p>
        </w:tc>
      </w:tr>
      <w:tr>
        <w:trPr>
          <w:trHeight w:val="204"/>
        </w:trPr>
        <w:tc>
          <w:tcPr>
            <w:tcW w:w="6380" w:type="dxa"/>
            <w:vAlign w:val="bottom"/>
          </w:tcPr>
          <w:p>
            <w:pPr>
              <w:ind w:left="40"/>
              <w:spacing w:after="0"/>
              <w:rPr>
                <w:sz w:val="20"/>
                <w:szCs w:val="20"/>
                <w:color w:val="auto"/>
              </w:rPr>
            </w:pPr>
            <w:r>
              <w:rPr>
                <w:rFonts w:ascii="Arial" w:cs="Arial" w:eastAsia="Arial" w:hAnsi="Arial"/>
                <w:sz w:val="16"/>
                <w:szCs w:val="16"/>
                <w:color w:val="auto"/>
              </w:rPr>
              <w:t>FVO CSEs:</w:t>
            </w:r>
          </w:p>
        </w:tc>
        <w:tc>
          <w:tcPr>
            <w:tcW w:w="780" w:type="dxa"/>
            <w:vAlign w:val="bottom"/>
            <w:tcBorders>
              <w:top w:val="single" w:sz="8" w:color="auto"/>
            </w:tcBorders>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r>
      <w:tr>
        <w:trPr>
          <w:trHeight w:val="47"/>
        </w:trPr>
        <w:tc>
          <w:tcPr>
            <w:tcW w:w="6380" w:type="dxa"/>
            <w:vAlign w:val="bottom"/>
          </w:tcPr>
          <w:p>
            <w:pPr>
              <w:spacing w:after="0"/>
              <w:rPr>
                <w:sz w:val="4"/>
                <w:szCs w:val="4"/>
                <w:color w:val="auto"/>
              </w:rPr>
            </w:pPr>
          </w:p>
        </w:tc>
        <w:tc>
          <w:tcPr>
            <w:tcW w:w="780" w:type="dxa"/>
            <w:vAlign w:val="bottom"/>
          </w:tcPr>
          <w:p>
            <w:pPr>
              <w:spacing w:after="0"/>
              <w:rPr>
                <w:sz w:val="4"/>
                <w:szCs w:val="4"/>
                <w:color w:val="auto"/>
              </w:rPr>
            </w:pPr>
          </w:p>
        </w:tc>
        <w:tc>
          <w:tcPr>
            <w:tcW w:w="420" w:type="dxa"/>
            <w:vAlign w:val="bottom"/>
          </w:tcPr>
          <w:p>
            <w:pPr>
              <w:spacing w:after="0"/>
              <w:rPr>
                <w:sz w:val="4"/>
                <w:szCs w:val="4"/>
                <w:color w:val="auto"/>
              </w:rPr>
            </w:pPr>
          </w:p>
        </w:tc>
        <w:tc>
          <w:tcPr>
            <w:tcW w:w="100" w:type="dxa"/>
            <w:vAlign w:val="bottom"/>
          </w:tcPr>
          <w:p>
            <w:pPr>
              <w:spacing w:after="0"/>
              <w:rPr>
                <w:sz w:val="4"/>
                <w:szCs w:val="4"/>
                <w:color w:val="auto"/>
              </w:rPr>
            </w:pPr>
          </w:p>
        </w:tc>
        <w:tc>
          <w:tcPr>
            <w:tcW w:w="440" w:type="dxa"/>
            <w:vAlign w:val="bottom"/>
          </w:tcPr>
          <w:p>
            <w:pPr>
              <w:spacing w:after="0"/>
              <w:rPr>
                <w:sz w:val="4"/>
                <w:szCs w:val="4"/>
                <w:color w:val="auto"/>
              </w:rPr>
            </w:pPr>
          </w:p>
        </w:tc>
        <w:tc>
          <w:tcPr>
            <w:tcW w:w="760" w:type="dxa"/>
            <w:vAlign w:val="bottom"/>
          </w:tcPr>
          <w:p>
            <w:pPr>
              <w:spacing w:after="0"/>
              <w:rPr>
                <w:sz w:val="4"/>
                <w:szCs w:val="4"/>
                <w:color w:val="auto"/>
              </w:rPr>
            </w:pPr>
          </w:p>
        </w:tc>
        <w:tc>
          <w:tcPr>
            <w:tcW w:w="100" w:type="dxa"/>
            <w:vAlign w:val="bottom"/>
          </w:tcPr>
          <w:p>
            <w:pPr>
              <w:spacing w:after="0"/>
              <w:rPr>
                <w:sz w:val="4"/>
                <w:szCs w:val="4"/>
                <w:color w:val="auto"/>
              </w:rPr>
            </w:pPr>
          </w:p>
        </w:tc>
        <w:tc>
          <w:tcPr>
            <w:tcW w:w="360" w:type="dxa"/>
            <w:vAlign w:val="bottom"/>
          </w:tcPr>
          <w:p>
            <w:pPr>
              <w:spacing w:after="0"/>
              <w:rPr>
                <w:sz w:val="4"/>
                <w:szCs w:val="4"/>
                <w:color w:val="auto"/>
              </w:rPr>
            </w:pPr>
          </w:p>
        </w:tc>
        <w:tc>
          <w:tcPr>
            <w:tcW w:w="760" w:type="dxa"/>
            <w:vAlign w:val="bottom"/>
          </w:tcPr>
          <w:p>
            <w:pPr>
              <w:spacing w:after="0"/>
              <w:rPr>
                <w:sz w:val="4"/>
                <w:szCs w:val="4"/>
                <w:color w:val="auto"/>
              </w:rPr>
            </w:pPr>
          </w:p>
        </w:tc>
        <w:tc>
          <w:tcPr>
            <w:tcW w:w="120" w:type="dxa"/>
            <w:vAlign w:val="bottom"/>
          </w:tcPr>
          <w:p>
            <w:pPr>
              <w:spacing w:after="0"/>
              <w:rPr>
                <w:sz w:val="4"/>
                <w:szCs w:val="4"/>
                <w:color w:val="auto"/>
              </w:rPr>
            </w:pPr>
          </w:p>
        </w:tc>
        <w:tc>
          <w:tcPr>
            <w:tcW w:w="440" w:type="dxa"/>
            <w:vAlign w:val="bottom"/>
          </w:tcPr>
          <w:p>
            <w:pPr>
              <w:spacing w:after="0"/>
              <w:rPr>
                <w:sz w:val="4"/>
                <w:szCs w:val="4"/>
                <w:color w:val="auto"/>
              </w:rPr>
            </w:pPr>
          </w:p>
        </w:tc>
        <w:tc>
          <w:tcPr>
            <w:tcW w:w="760" w:type="dxa"/>
            <w:vAlign w:val="bottom"/>
          </w:tcPr>
          <w:p>
            <w:pPr>
              <w:spacing w:after="0"/>
              <w:rPr>
                <w:sz w:val="4"/>
                <w:szCs w:val="4"/>
                <w:color w:val="auto"/>
              </w:rPr>
            </w:pPr>
          </w:p>
        </w:tc>
      </w:tr>
      <w:tr>
        <w:trPr>
          <w:trHeight w:val="250"/>
        </w:trPr>
        <w:tc>
          <w:tcPr>
            <w:tcW w:w="6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Commercial mortgage loans</w:t>
            </w:r>
          </w:p>
        </w:tc>
        <w:tc>
          <w:tcPr>
            <w:tcW w:w="7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(3)</w:t>
            </w:r>
          </w:p>
        </w:tc>
      </w:tr>
      <w:tr>
        <w:trPr>
          <w:trHeight w:val="237"/>
        </w:trPr>
        <w:tc>
          <w:tcPr>
            <w:tcW w:w="6380" w:type="dxa"/>
            <w:vAlign w:val="bottom"/>
          </w:tcPr>
          <w:p>
            <w:pPr>
              <w:ind w:left="40"/>
              <w:spacing w:after="0"/>
              <w:rPr>
                <w:sz w:val="20"/>
                <w:szCs w:val="20"/>
                <w:color w:val="auto"/>
              </w:rPr>
            </w:pPr>
            <w:r>
              <w:rPr>
                <w:rFonts w:ascii="Arial" w:cs="Arial" w:eastAsia="Arial" w:hAnsi="Arial"/>
                <w:sz w:val="16"/>
                <w:szCs w:val="16"/>
                <w:color w:val="auto"/>
              </w:rPr>
              <w:t>Long-term debt — related to commercial mortgage loans</w:t>
            </w:r>
          </w:p>
        </w:tc>
        <w:tc>
          <w:tcPr>
            <w:tcW w:w="780" w:type="dxa"/>
            <w:vAlign w:val="bottom"/>
          </w:tcPr>
          <w:p>
            <w:pPr>
              <w:spacing w:after="0"/>
              <w:rPr>
                <w:sz w:val="20"/>
                <w:szCs w:val="20"/>
                <w:color w:val="auto"/>
              </w:rPr>
            </w:pPr>
          </w:p>
        </w:tc>
        <w:tc>
          <w:tcPr>
            <w:tcW w:w="52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20"/>
                <w:szCs w:val="20"/>
                <w:color w:val="auto"/>
              </w:rPr>
            </w:pPr>
          </w:p>
        </w:tc>
        <w:tc>
          <w:tcPr>
            <w:tcW w:w="760" w:type="dxa"/>
            <w:vAlign w:val="bottom"/>
          </w:tcPr>
          <w:p>
            <w:pPr>
              <w:jc w:val="right"/>
              <w:ind w:right="100"/>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20"/>
                <w:szCs w:val="20"/>
                <w:color w:val="auto"/>
              </w:rPr>
            </w:pPr>
          </w:p>
        </w:tc>
        <w:tc>
          <w:tcPr>
            <w:tcW w:w="760" w:type="dxa"/>
            <w:vAlign w:val="bottom"/>
          </w:tcPr>
          <w:p>
            <w:pPr>
              <w:jc w:val="right"/>
              <w:ind w:right="99"/>
              <w:spacing w:after="0"/>
              <w:rPr>
                <w:sz w:val="20"/>
                <w:szCs w:val="20"/>
                <w:color w:val="auto"/>
              </w:rPr>
            </w:pPr>
            <w:r>
              <w:rPr>
                <w:rFonts w:ascii="Arial" w:cs="Arial" w:eastAsia="Arial" w:hAnsi="Arial"/>
                <w:sz w:val="16"/>
                <w:szCs w:val="16"/>
                <w:color w:val="auto"/>
              </w:rPr>
              <w:t>1</w:t>
            </w:r>
          </w:p>
        </w:tc>
      </w:tr>
      <w:tr>
        <w:trPr>
          <w:trHeight w:val="33"/>
        </w:trPr>
        <w:tc>
          <w:tcPr>
            <w:tcW w:w="6380" w:type="dxa"/>
            <w:vAlign w:val="bottom"/>
          </w:tcPr>
          <w:p>
            <w:pPr>
              <w:spacing w:after="0"/>
              <w:rPr>
                <w:sz w:val="2"/>
                <w:szCs w:val="2"/>
                <w:color w:val="auto"/>
              </w:rPr>
            </w:pPr>
          </w:p>
        </w:tc>
        <w:tc>
          <w:tcPr>
            <w:tcW w:w="7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70"/>
        </w:trPr>
        <w:tc>
          <w:tcPr>
            <w:tcW w:w="6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Non-investment portfolio gains (losses)</w:t>
            </w:r>
          </w:p>
        </w:tc>
        <w:tc>
          <w:tcPr>
            <w:tcW w:w="78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100"/>
              <w:spacing w:after="0"/>
              <w:rPr>
                <w:sz w:val="20"/>
                <w:szCs w:val="20"/>
                <w:color w:val="auto"/>
              </w:rPr>
            </w:pPr>
            <w:r>
              <w:rPr>
                <w:rFonts w:ascii="Arial" w:cs="Arial" w:eastAsia="Arial" w:hAnsi="Arial"/>
                <w:sz w:val="16"/>
                <w:szCs w:val="16"/>
                <w:color w:val="auto"/>
              </w:rPr>
              <w:t>2</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1</w:t>
            </w:r>
          </w:p>
        </w:tc>
      </w:tr>
      <w:tr>
        <w:trPr>
          <w:trHeight w:val="217"/>
        </w:trPr>
        <w:tc>
          <w:tcPr>
            <w:tcW w:w="6380" w:type="dxa"/>
            <w:vAlign w:val="bottom"/>
          </w:tcPr>
          <w:p>
            <w:pPr>
              <w:ind w:left="320"/>
              <w:spacing w:after="0"/>
              <w:rPr>
                <w:sz w:val="20"/>
                <w:szCs w:val="20"/>
                <w:color w:val="auto"/>
              </w:rPr>
            </w:pPr>
            <w:r>
              <w:rPr>
                <w:rFonts w:ascii="Arial" w:cs="Arial" w:eastAsia="Arial" w:hAnsi="Arial"/>
                <w:sz w:val="16"/>
                <w:szCs w:val="16"/>
                <w:color w:val="auto"/>
              </w:rPr>
              <w:t>Subtotal</w:t>
            </w:r>
          </w:p>
        </w:tc>
        <w:tc>
          <w:tcPr>
            <w:tcW w:w="78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jc w:val="right"/>
              <w:ind w:right="60"/>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ind w:right="1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w:t>
            </w:r>
          </w:p>
        </w:tc>
        <w:tc>
          <w:tcPr>
            <w:tcW w:w="12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(1)</w:t>
            </w:r>
          </w:p>
        </w:tc>
      </w:tr>
      <w:tr>
        <w:trPr>
          <w:trHeight w:val="33"/>
        </w:trPr>
        <w:tc>
          <w:tcPr>
            <w:tcW w:w="638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55"/>
        </w:trPr>
        <w:tc>
          <w:tcPr>
            <w:tcW w:w="638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6"/>
                <w:szCs w:val="16"/>
                <w:color w:val="auto"/>
              </w:rPr>
              <w:t>Total net investment gains (losses)</w:t>
            </w:r>
          </w:p>
        </w:tc>
        <w:tc>
          <w:tcPr>
            <w:tcW w:w="780" w:type="dxa"/>
            <w:vAlign w:val="bottom"/>
            <w:tcBorders>
              <w:bottom w:val="single" w:sz="8" w:color="CCEEFF"/>
            </w:tcBorders>
            <w:shd w:val="clear" w:color="auto" w:fill="CCEEFF"/>
          </w:tcPr>
          <w:p>
            <w:pPr>
              <w:jc w:val="right"/>
              <w:ind w:right="582"/>
              <w:spacing w:after="0"/>
              <w:rPr>
                <w:sz w:val="20"/>
                <w:szCs w:val="20"/>
                <w:color w:val="auto"/>
              </w:rPr>
            </w:pPr>
            <w:r>
              <w:rPr>
                <w:rFonts w:ascii="Arial" w:cs="Arial" w:eastAsia="Arial" w:hAnsi="Arial"/>
                <w:sz w:val="16"/>
                <w:szCs w:val="16"/>
                <w:color w:val="auto"/>
              </w:rPr>
              <w:t>$</w:t>
            </w:r>
          </w:p>
        </w:tc>
        <w:tc>
          <w:tcPr>
            <w:tcW w:w="420" w:type="dxa"/>
            <w:vAlign w:val="bottom"/>
            <w:tcBorders>
              <w:bottom w:val="single" w:sz="8" w:color="CCEEFF"/>
            </w:tcBorders>
            <w:shd w:val="clear" w:color="auto" w:fill="CCEEFF"/>
          </w:tcPr>
          <w:p>
            <w:pPr>
              <w:jc w:val="right"/>
              <w:ind w:right="120"/>
              <w:spacing w:after="0"/>
              <w:rPr>
                <w:sz w:val="20"/>
                <w:szCs w:val="20"/>
                <w:color w:val="auto"/>
              </w:rPr>
            </w:pPr>
            <w:r>
              <w:rPr>
                <w:rFonts w:ascii="Arial" w:cs="Arial" w:eastAsia="Arial" w:hAnsi="Arial"/>
                <w:sz w:val="16"/>
                <w:szCs w:val="16"/>
                <w:color w:val="auto"/>
              </w:rPr>
              <w:t>21</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CCEEFF"/>
            </w:tcBorders>
            <w:shd w:val="clear" w:color="auto" w:fill="CCEEFF"/>
          </w:tcPr>
          <w:p>
            <w:pPr>
              <w:jc w:val="right"/>
              <w:ind w:right="100"/>
              <w:spacing w:after="0"/>
              <w:rPr>
                <w:sz w:val="20"/>
                <w:szCs w:val="20"/>
                <w:color w:val="auto"/>
              </w:rPr>
            </w:pPr>
            <w:r>
              <w:rPr>
                <w:rFonts w:ascii="Arial" w:cs="Arial" w:eastAsia="Arial" w:hAnsi="Arial"/>
                <w:sz w:val="16"/>
                <w:szCs w:val="16"/>
                <w:color w:val="auto"/>
              </w:rPr>
              <w:t>26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(34)</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(15)</w:t>
            </w:r>
          </w:p>
        </w:tc>
      </w:tr>
      <w:tr>
        <w:trPr>
          <w:trHeight w:val="20"/>
        </w:trPr>
        <w:tc>
          <w:tcPr>
            <w:tcW w:w="638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left="500"/>
        <w:spacing w:after="0"/>
        <w:rPr>
          <w:sz w:val="20"/>
          <w:szCs w:val="20"/>
          <w:color w:val="auto"/>
        </w:rPr>
      </w:pPr>
      <w:r>
        <w:rPr>
          <w:rFonts w:ascii="Arial" w:cs="Arial" w:eastAsia="Arial" w:hAnsi="Arial"/>
          <w:sz w:val="18"/>
          <w:szCs w:val="18"/>
          <w:color w:val="auto"/>
        </w:rPr>
        <w:t>See “— Variable Interest Entities” for discussion of CSEs.</w:t>
      </w:r>
    </w:p>
    <w:p>
      <w:pPr>
        <w:spacing w:after="0" w:line="117" w:lineRule="exact"/>
        <w:rPr>
          <w:sz w:val="20"/>
          <w:szCs w:val="20"/>
          <w:color w:val="auto"/>
        </w:rPr>
      </w:pPr>
    </w:p>
    <w:p>
      <w:pPr>
        <w:jc w:val="both"/>
        <w:ind w:left="180" w:firstLine="324"/>
        <w:spacing w:after="0" w:line="277" w:lineRule="auto"/>
        <w:rPr>
          <w:sz w:val="20"/>
          <w:szCs w:val="20"/>
          <w:color w:val="auto"/>
        </w:rPr>
      </w:pPr>
      <w:r>
        <w:rPr>
          <w:rFonts w:ascii="Arial" w:cs="Arial" w:eastAsia="Arial" w:hAnsi="Arial"/>
          <w:sz w:val="18"/>
          <w:szCs w:val="18"/>
          <w:color w:val="auto"/>
        </w:rPr>
        <w:t>See “— Related Party Investment Transactions” for discussion of net investment gains (losses) related to transfers of invested assets to former affiliates.</w:t>
      </w:r>
    </w:p>
    <w:p>
      <w:pPr>
        <w:spacing w:after="0" w:line="62" w:lineRule="exact"/>
        <w:rPr>
          <w:sz w:val="20"/>
          <w:szCs w:val="20"/>
          <w:color w:val="auto"/>
        </w:rPr>
      </w:pPr>
    </w:p>
    <w:p>
      <w:pPr>
        <w:jc w:val="both"/>
        <w:ind w:left="180" w:firstLine="324"/>
        <w:spacing w:after="0" w:line="264" w:lineRule="auto"/>
        <w:rPr>
          <w:sz w:val="20"/>
          <w:szCs w:val="20"/>
          <w:color w:val="auto"/>
        </w:rPr>
      </w:pPr>
      <w:r>
        <w:rPr>
          <w:rFonts w:ascii="Arial" w:cs="Arial" w:eastAsia="Arial" w:hAnsi="Arial"/>
          <w:sz w:val="18"/>
          <w:szCs w:val="18"/>
          <w:color w:val="auto"/>
        </w:rPr>
        <w:t>Gains (losses) from foreign currency transactions included within net investment gains (losses) were $0 and ($5) million for the three months and nine months ended September 30, 2017, respectively, and $4 million and $9 million for the three months and nine months ended September 30, 2016, respectively.</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234" w:right="239" w:bottom="1440" w:gutter="0" w:footer="0" w:header="0"/>
        </w:sectPr>
      </w:pPr>
    </w:p>
    <w:bookmarkStart w:id="29" w:name="page30"/>
    <w:bookmarkEnd w:id="29"/>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Brighthouse Financial, Inc.</w:t>
      </w:r>
    </w:p>
    <w:p>
      <w:pPr>
        <w:spacing w:after="0" w:line="117" w:lineRule="exact"/>
        <w:rPr>
          <w:sz w:val="20"/>
          <w:szCs w:val="20"/>
          <w:color w:val="auto"/>
        </w:rPr>
      </w:pPr>
    </w:p>
    <w:p>
      <w:pPr>
        <w:ind w:left="1480"/>
        <w:spacing w:after="0"/>
        <w:rPr>
          <w:sz w:val="20"/>
          <w:szCs w:val="20"/>
          <w:color w:val="auto"/>
        </w:rPr>
      </w:pPr>
      <w:r>
        <w:rPr>
          <w:rFonts w:ascii="Arial" w:cs="Arial" w:eastAsia="Arial" w:hAnsi="Arial"/>
          <w:sz w:val="18"/>
          <w:szCs w:val="18"/>
          <w:b w:val="1"/>
          <w:bCs w:val="1"/>
          <w:color w:val="auto"/>
        </w:rPr>
        <w:t>Notes to the Interim Condensed Consolidated and Combined Financial Statements (Unaudited) — (continued)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Investments (continued)</w:t>
      </w:r>
    </w:p>
    <w:p>
      <w:pPr>
        <w:spacing w:after="0" w:line="364"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Sales or Disposals and Impairments of Fixed Maturity and Equity Securities</w:t>
      </w:r>
    </w:p>
    <w:p>
      <w:pPr>
        <w:spacing w:after="0" w:line="117" w:lineRule="exact"/>
        <w:rPr>
          <w:sz w:val="20"/>
          <w:szCs w:val="20"/>
          <w:color w:val="auto"/>
        </w:rPr>
      </w:pPr>
    </w:p>
    <w:p>
      <w:pPr>
        <w:ind w:left="180" w:firstLine="324"/>
        <w:spacing w:after="0" w:line="342" w:lineRule="auto"/>
        <w:rPr>
          <w:sz w:val="20"/>
          <w:szCs w:val="20"/>
          <w:color w:val="auto"/>
        </w:rPr>
      </w:pPr>
      <w:r>
        <w:rPr>
          <w:rFonts w:ascii="Arial" w:cs="Arial" w:eastAsia="Arial" w:hAnsi="Arial"/>
          <w:sz w:val="16"/>
          <w:szCs w:val="16"/>
          <w:color w:val="auto"/>
        </w:rPr>
        <w:t>Investment gains and losses on sales of securities are determined on a specific identification basis. Proceeds from sales or disposals of fixed maturity and equity securities and the components of fixed maturity and equity securities net investment gains (losses) were as shown in the table below.</w:t>
      </w:r>
    </w:p>
    <w:p>
      <w:pPr>
        <w:spacing w:after="0" w:line="224" w:lineRule="exact"/>
        <w:rPr>
          <w:sz w:val="20"/>
          <w:szCs w:val="20"/>
          <w:color w:val="auto"/>
        </w:rPr>
      </w:pPr>
    </w:p>
    <w:p>
      <w:pPr>
        <w:ind w:left="7920"/>
        <w:spacing w:after="0"/>
        <w:rPr>
          <w:sz w:val="20"/>
          <w:szCs w:val="20"/>
          <w:color w:val="auto"/>
        </w:rPr>
      </w:pPr>
      <w:r>
        <w:rPr>
          <w:rFonts w:ascii="Arial" w:cs="Arial" w:eastAsia="Arial" w:hAnsi="Arial"/>
          <w:sz w:val="14"/>
          <w:szCs w:val="14"/>
          <w:b w:val="1"/>
          <w:bCs w:val="1"/>
          <w:color w:val="auto"/>
        </w:rPr>
        <w:t>Three Months</w:t>
      </w:r>
    </w:p>
    <w:p>
      <w:pPr>
        <w:ind w:left="8140"/>
        <w:spacing w:after="0" w:line="226" w:lineRule="auto"/>
        <w:rPr>
          <w:sz w:val="20"/>
          <w:szCs w:val="20"/>
          <w:color w:val="auto"/>
        </w:rPr>
      </w:pPr>
      <w:r>
        <w:rPr>
          <w:rFonts w:ascii="Arial" w:cs="Arial" w:eastAsia="Arial" w:hAnsi="Arial"/>
          <w:sz w:val="14"/>
          <w:szCs w:val="14"/>
          <w:b w:val="1"/>
          <w:bCs w:val="1"/>
          <w:color w:val="auto"/>
        </w:rPr>
        <w:t>Ended</w:t>
      </w:r>
    </w:p>
    <w:p>
      <w:pPr>
        <w:spacing w:after="0" w:line="1" w:lineRule="exact"/>
        <w:rPr>
          <w:sz w:val="20"/>
          <w:szCs w:val="20"/>
          <w:color w:val="auto"/>
        </w:rPr>
      </w:pPr>
    </w:p>
    <w:p>
      <w:pPr>
        <w:ind w:left="7920"/>
        <w:spacing w:after="0"/>
        <w:rPr>
          <w:sz w:val="20"/>
          <w:szCs w:val="20"/>
          <w:color w:val="auto"/>
        </w:rPr>
      </w:pPr>
      <w:r>
        <w:rPr>
          <w:rFonts w:ascii="Arial" w:cs="Arial" w:eastAsia="Arial" w:hAnsi="Arial"/>
          <w:sz w:val="14"/>
          <w:szCs w:val="14"/>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3341370</wp:posOffset>
            </wp:positionH>
            <wp:positionV relativeFrom="paragraph">
              <wp:posOffset>13335</wp:posOffset>
            </wp:positionV>
            <wp:extent cx="391033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910330" cy="8890"/>
                    </a:xfrm>
                    <a:prstGeom prst="rect">
                      <a:avLst/>
                    </a:prstGeom>
                    <a:noFill/>
                  </pic:spPr>
                </pic:pic>
              </a:graphicData>
            </a:graphic>
          </wp:anchor>
        </w:drawing>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19"/>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61"/>
              <w:spacing w:after="0"/>
              <w:rPr>
                <w:sz w:val="20"/>
                <w:szCs w:val="20"/>
                <w:color w:val="auto"/>
              </w:rPr>
            </w:pPr>
            <w:r>
              <w:rPr>
                <w:rFonts w:ascii="Arial" w:cs="Arial" w:eastAsia="Arial" w:hAnsi="Arial"/>
                <w:sz w:val="14"/>
                <w:szCs w:val="14"/>
                <w:b w:val="1"/>
                <w:bCs w:val="1"/>
                <w:color w:val="auto"/>
              </w:rPr>
              <w:t>2016</w:t>
            </w:r>
          </w:p>
        </w:tc>
        <w:tc>
          <w:tcPr>
            <w:tcW w:w="2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99"/>
              <w:spacing w:after="0"/>
              <w:rPr>
                <w:sz w:val="20"/>
                <w:szCs w:val="20"/>
                <w:color w:val="auto"/>
              </w:rPr>
            </w:pPr>
            <w:r>
              <w:rPr>
                <w:rFonts w:ascii="Arial" w:cs="Arial" w:eastAsia="Arial" w:hAnsi="Arial"/>
                <w:sz w:val="14"/>
                <w:szCs w:val="14"/>
                <w:b w:val="1"/>
                <w:bCs w:val="1"/>
                <w:color w:val="auto"/>
              </w:rPr>
              <w:t>2017</w:t>
            </w: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497"/>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250"/>
        </w:trPr>
        <w:tc>
          <w:tcPr>
            <w:tcW w:w="5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2840" w:type="dxa"/>
            <w:vAlign w:val="bottom"/>
            <w:tcBorders>
              <w:bottom w:val="single" w:sz="8" w:color="auto"/>
            </w:tcBorders>
            <w:gridSpan w:val="9"/>
          </w:tcPr>
          <w:p>
            <w:pPr>
              <w:ind w:left="440"/>
              <w:spacing w:after="0"/>
              <w:rPr>
                <w:sz w:val="20"/>
                <w:szCs w:val="20"/>
                <w:color w:val="auto"/>
              </w:rPr>
            </w:pPr>
            <w:r>
              <w:rPr>
                <w:rFonts w:ascii="Arial" w:cs="Arial" w:eastAsia="Arial" w:hAnsi="Arial"/>
                <w:sz w:val="14"/>
                <w:szCs w:val="14"/>
                <w:b w:val="1"/>
                <w:bCs w:val="1"/>
                <w:color w:val="auto"/>
              </w:rPr>
              <w:t>Fixed Maturity Securities</w:t>
            </w:r>
          </w:p>
        </w:tc>
        <w:tc>
          <w:tcPr>
            <w:tcW w:w="440" w:type="dxa"/>
            <w:vAlign w:val="bottom"/>
            <w:tcBorders>
              <w:bottom w:val="single" w:sz="8" w:color="auto"/>
            </w:tcBorders>
          </w:tcPr>
          <w:p>
            <w:pPr>
              <w:spacing w:after="0"/>
              <w:rPr>
                <w:sz w:val="21"/>
                <w:szCs w:val="21"/>
                <w:color w:val="auto"/>
              </w:rPr>
            </w:pPr>
          </w:p>
        </w:tc>
        <w:tc>
          <w:tcPr>
            <w:tcW w:w="166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rPr>
              <w:t>Equity Securities</w:t>
            </w:r>
          </w:p>
        </w:tc>
        <w:tc>
          <w:tcPr>
            <w:tcW w:w="9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5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660" w:type="dxa"/>
            <w:vAlign w:val="bottom"/>
            <w:gridSpan w:val="5"/>
          </w:tcPr>
          <w:p>
            <w:pPr>
              <w:jc w:val="right"/>
              <w:ind w:right="16"/>
              <w:spacing w:after="0"/>
              <w:rPr>
                <w:sz w:val="20"/>
                <w:szCs w:val="20"/>
                <w:color w:val="auto"/>
              </w:rPr>
            </w:pPr>
            <w:r>
              <w:rPr>
                <w:rFonts w:ascii="Arial" w:cs="Arial" w:eastAsia="Arial" w:hAnsi="Arial"/>
                <w:sz w:val="14"/>
                <w:szCs w:val="14"/>
                <w:b w:val="1"/>
                <w:bCs w:val="1"/>
                <w:color w:val="auto"/>
              </w:rPr>
              <w:t>(In millions)</w:t>
            </w:r>
          </w:p>
        </w:tc>
        <w:tc>
          <w:tcPr>
            <w:tcW w:w="10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8"/>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Proceeds</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4,929</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8,457</w:t>
            </w: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ind w:right="256"/>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w:t>
            </w: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jc w:val="right"/>
              <w:ind w:right="356"/>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6"/>
                <w:szCs w:val="16"/>
                <w:color w:val="auto"/>
              </w:rPr>
              <w:t>36</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6"/>
                <w:szCs w:val="16"/>
                <w:color w:val="auto"/>
              </w:rPr>
              <w:t>Gross investment gains</w:t>
            </w: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5160" w:type="dxa"/>
            <w:vAlign w:val="bottom"/>
            <w:vMerge w:val="continue"/>
          </w:tcPr>
          <w:p>
            <w:pPr>
              <w:spacing w:after="0"/>
              <w:rPr>
                <w:sz w:val="17"/>
                <w:szCs w:val="17"/>
                <w:color w:val="auto"/>
              </w:rPr>
            </w:pPr>
          </w:p>
        </w:tc>
        <w:tc>
          <w:tcPr>
            <w:tcW w:w="400" w:type="dxa"/>
            <w:vAlign w:val="bottom"/>
            <w:gridSpan w:val="2"/>
          </w:tcPr>
          <w:p>
            <w:pPr>
              <w:jc w:val="right"/>
              <w:ind w:right="119"/>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30</w:t>
            </w:r>
          </w:p>
        </w:tc>
        <w:tc>
          <w:tcPr>
            <w:tcW w:w="100" w:type="dxa"/>
            <w:vAlign w:val="bottom"/>
          </w:tcPr>
          <w:p>
            <w:pPr>
              <w:spacing w:after="0"/>
              <w:rPr>
                <w:sz w:val="17"/>
                <w:szCs w:val="17"/>
                <w:color w:val="auto"/>
              </w:rPr>
            </w:pPr>
          </w:p>
        </w:tc>
        <w:tc>
          <w:tcPr>
            <w:tcW w:w="420" w:type="dxa"/>
            <w:vAlign w:val="bottom"/>
            <w:gridSpan w:val="3"/>
          </w:tcPr>
          <w:p>
            <w:pPr>
              <w:jc w:val="right"/>
              <w:ind w:right="180"/>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21"/>
              <w:spacing w:after="0"/>
              <w:rPr>
                <w:sz w:val="20"/>
                <w:szCs w:val="20"/>
                <w:color w:val="auto"/>
              </w:rPr>
            </w:pPr>
            <w:r>
              <w:rPr>
                <w:rFonts w:ascii="Arial" w:cs="Arial" w:eastAsia="Arial" w:hAnsi="Arial"/>
                <w:sz w:val="16"/>
                <w:szCs w:val="16"/>
                <w:color w:val="auto"/>
              </w:rPr>
              <w:t>78</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40" w:type="dxa"/>
            <w:vAlign w:val="bottom"/>
          </w:tcPr>
          <w:p>
            <w:pPr>
              <w:jc w:val="right"/>
              <w:ind w:right="256"/>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3</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40" w:type="dxa"/>
            <w:vAlign w:val="bottom"/>
          </w:tcPr>
          <w:p>
            <w:pPr>
              <w:jc w:val="right"/>
              <w:ind w:right="356"/>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ind w:right="17"/>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33"/>
        </w:trPr>
        <w:tc>
          <w:tcPr>
            <w:tcW w:w="5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54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Gross investment losses</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(9)</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(31)</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4"/>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5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5160" w:type="dxa"/>
            <w:vAlign w:val="bottom"/>
          </w:tcPr>
          <w:p>
            <w:pPr>
              <w:ind w:left="40"/>
              <w:spacing w:after="0"/>
              <w:rPr>
                <w:sz w:val="20"/>
                <w:szCs w:val="20"/>
                <w:color w:val="auto"/>
              </w:rPr>
            </w:pPr>
            <w:r>
              <w:rPr>
                <w:rFonts w:ascii="Arial" w:cs="Arial" w:eastAsia="Arial" w:hAnsi="Arial"/>
                <w:sz w:val="16"/>
                <w:szCs w:val="16"/>
                <w:color w:val="auto"/>
              </w:rPr>
              <w:t>OTTI losses</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(4)</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120" w:type="dxa"/>
            <w:vAlign w:val="bottom"/>
            <w:gridSpan w:val="4"/>
          </w:tcPr>
          <w:p>
            <w:pPr>
              <w:jc w:val="right"/>
              <w:ind w:right="220"/>
              <w:spacing w:after="0"/>
              <w:rPr>
                <w:sz w:val="20"/>
                <w:szCs w:val="20"/>
                <w:color w:val="auto"/>
              </w:rPr>
            </w:pPr>
            <w:r>
              <w:rPr>
                <w:rFonts w:ascii="Arial" w:cs="Arial" w:eastAsia="Arial" w:hAnsi="Arial"/>
                <w:sz w:val="16"/>
                <w:szCs w:val="16"/>
                <w:color w:val="auto"/>
              </w:rPr>
              <w:t>—</w:t>
            </w:r>
          </w:p>
        </w:tc>
        <w:tc>
          <w:tcPr>
            <w:tcW w:w="540" w:type="dxa"/>
            <w:vAlign w:val="bottom"/>
          </w:tcPr>
          <w:p>
            <w:pPr>
              <w:spacing w:after="0"/>
              <w:rPr>
                <w:sz w:val="20"/>
                <w:szCs w:val="20"/>
                <w:color w:val="auto"/>
              </w:rPr>
            </w:pPr>
          </w:p>
        </w:tc>
        <w:tc>
          <w:tcPr>
            <w:tcW w:w="920" w:type="dxa"/>
            <w:vAlign w:val="bottom"/>
          </w:tcPr>
          <w:p>
            <w:pPr>
              <w:jc w:val="right"/>
              <w:ind w:right="17"/>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51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51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Net investment gains (losses)</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43</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56"/>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56"/>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0"/>
        </w:trPr>
        <w:tc>
          <w:tcPr>
            <w:tcW w:w="5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60" w:type="dxa"/>
            <w:vAlign w:val="bottom"/>
            <w:gridSpan w:val="5"/>
          </w:tcPr>
          <w:p>
            <w:pPr>
              <w:jc w:val="center"/>
              <w:ind w:left="501"/>
              <w:spacing w:after="0"/>
              <w:rPr>
                <w:sz w:val="20"/>
                <w:szCs w:val="20"/>
                <w:color w:val="auto"/>
              </w:rPr>
            </w:pPr>
            <w:r>
              <w:rPr>
                <w:rFonts w:ascii="Arial" w:cs="Arial" w:eastAsia="Arial" w:hAnsi="Arial"/>
                <w:sz w:val="14"/>
                <w:szCs w:val="14"/>
                <w:b w:val="1"/>
                <w:bCs w:val="1"/>
                <w:color w:val="auto"/>
                <w:w w:val="95"/>
              </w:rPr>
              <w:t>Nine Months</w:t>
            </w: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5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60" w:type="dxa"/>
            <w:vAlign w:val="bottom"/>
            <w:gridSpan w:val="5"/>
          </w:tcPr>
          <w:p>
            <w:pPr>
              <w:jc w:val="center"/>
              <w:ind w:left="461"/>
              <w:spacing w:after="0" w:line="149" w:lineRule="exact"/>
              <w:rPr>
                <w:sz w:val="20"/>
                <w:szCs w:val="20"/>
                <w:color w:val="auto"/>
              </w:rPr>
            </w:pPr>
            <w:r>
              <w:rPr>
                <w:rFonts w:ascii="Arial" w:cs="Arial" w:eastAsia="Arial" w:hAnsi="Arial"/>
                <w:sz w:val="14"/>
                <w:szCs w:val="14"/>
                <w:b w:val="1"/>
                <w:bCs w:val="1"/>
                <w:color w:val="auto"/>
                <w:w w:val="93"/>
              </w:rPr>
              <w:t>Ended</w:t>
            </w:r>
          </w:p>
        </w:tc>
        <w:tc>
          <w:tcPr>
            <w:tcW w:w="10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516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5"/>
          </w:tcPr>
          <w:p>
            <w:pPr>
              <w:jc w:val="center"/>
              <w:ind w:left="501"/>
              <w:spacing w:after="0"/>
              <w:rPr>
                <w:sz w:val="20"/>
                <w:szCs w:val="20"/>
                <w:color w:val="auto"/>
              </w:rPr>
            </w:pPr>
            <w:r>
              <w:rPr>
                <w:rFonts w:ascii="Arial" w:cs="Arial" w:eastAsia="Arial" w:hAnsi="Arial"/>
                <w:sz w:val="14"/>
                <w:szCs w:val="14"/>
                <w:b w:val="1"/>
                <w:bCs w:val="1"/>
                <w:color w:val="auto"/>
                <w:w w:val="91"/>
              </w:rPr>
              <w:t>September 30,</w:t>
            </w:r>
          </w:p>
        </w:tc>
        <w:tc>
          <w:tcPr>
            <w:tcW w:w="10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5160" w:type="dxa"/>
            <w:vAlign w:val="bottom"/>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519"/>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521"/>
              <w:spacing w:after="0"/>
              <w:rPr>
                <w:sz w:val="20"/>
                <w:szCs w:val="20"/>
                <w:color w:val="auto"/>
              </w:rPr>
            </w:pPr>
            <w:r>
              <w:rPr>
                <w:rFonts w:ascii="Arial" w:cs="Arial" w:eastAsia="Arial" w:hAnsi="Arial"/>
                <w:sz w:val="14"/>
                <w:szCs w:val="14"/>
                <w:b w:val="1"/>
                <w:bCs w:val="1"/>
                <w:color w:val="auto"/>
              </w:rPr>
              <w:t>2016</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519"/>
              <w:spacing w:after="0"/>
              <w:rPr>
                <w:sz w:val="20"/>
                <w:szCs w:val="20"/>
                <w:color w:val="auto"/>
              </w:rPr>
            </w:pPr>
            <w:r>
              <w:rPr>
                <w:rFonts w:ascii="Arial" w:cs="Arial" w:eastAsia="Arial" w:hAnsi="Arial"/>
                <w:sz w:val="14"/>
                <w:szCs w:val="14"/>
                <w:b w:val="1"/>
                <w:bCs w:val="1"/>
                <w:color w:val="auto"/>
              </w:rPr>
              <w:t>2017</w:t>
            </w:r>
          </w:p>
        </w:tc>
        <w:tc>
          <w:tcPr>
            <w:tcW w:w="2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517"/>
              <w:spacing w:after="0"/>
              <w:rPr>
                <w:sz w:val="20"/>
                <w:szCs w:val="20"/>
                <w:color w:val="auto"/>
              </w:rPr>
            </w:pPr>
            <w:r>
              <w:rPr>
                <w:rFonts w:ascii="Arial" w:cs="Arial" w:eastAsia="Arial" w:hAnsi="Arial"/>
                <w:sz w:val="14"/>
                <w:szCs w:val="14"/>
                <w:b w:val="1"/>
                <w:bCs w:val="1"/>
                <w:color w:val="auto"/>
                <w:w w:val="96"/>
              </w:rPr>
              <w:t>2016</w:t>
            </w:r>
          </w:p>
        </w:tc>
        <w:tc>
          <w:tcPr>
            <w:tcW w:w="0" w:type="dxa"/>
            <w:vAlign w:val="bottom"/>
          </w:tcPr>
          <w:p>
            <w:pPr>
              <w:spacing w:after="0"/>
              <w:rPr>
                <w:sz w:val="1"/>
                <w:szCs w:val="1"/>
                <w:color w:val="auto"/>
              </w:rPr>
            </w:pPr>
          </w:p>
        </w:tc>
      </w:tr>
      <w:tr>
        <w:trPr>
          <w:trHeight w:val="250"/>
        </w:trPr>
        <w:tc>
          <w:tcPr>
            <w:tcW w:w="516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2840" w:type="dxa"/>
            <w:vAlign w:val="bottom"/>
            <w:tcBorders>
              <w:bottom w:val="single" w:sz="8" w:color="auto"/>
            </w:tcBorders>
            <w:gridSpan w:val="9"/>
          </w:tcPr>
          <w:p>
            <w:pPr>
              <w:ind w:left="380"/>
              <w:spacing w:after="0"/>
              <w:rPr>
                <w:sz w:val="20"/>
                <w:szCs w:val="20"/>
                <w:color w:val="auto"/>
              </w:rPr>
            </w:pPr>
            <w:r>
              <w:rPr>
                <w:rFonts w:ascii="Arial" w:cs="Arial" w:eastAsia="Arial" w:hAnsi="Arial"/>
                <w:sz w:val="14"/>
                <w:szCs w:val="14"/>
                <w:b w:val="1"/>
                <w:bCs w:val="1"/>
                <w:color w:val="auto"/>
              </w:rPr>
              <w:t>Fixed Maturity Securities</w:t>
            </w:r>
          </w:p>
        </w:tc>
        <w:tc>
          <w:tcPr>
            <w:tcW w:w="440" w:type="dxa"/>
            <w:vAlign w:val="bottom"/>
            <w:tcBorders>
              <w:bottom w:val="single" w:sz="8" w:color="auto"/>
            </w:tcBorders>
          </w:tcPr>
          <w:p>
            <w:pPr>
              <w:spacing w:after="0"/>
              <w:rPr>
                <w:sz w:val="21"/>
                <w:szCs w:val="21"/>
                <w:color w:val="auto"/>
              </w:rPr>
            </w:pPr>
          </w:p>
        </w:tc>
        <w:tc>
          <w:tcPr>
            <w:tcW w:w="166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rPr>
              <w:t>Equity Securities</w:t>
            </w:r>
          </w:p>
        </w:tc>
        <w:tc>
          <w:tcPr>
            <w:tcW w:w="9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5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660" w:type="dxa"/>
            <w:vAlign w:val="bottom"/>
            <w:gridSpan w:val="5"/>
          </w:tcPr>
          <w:p>
            <w:pPr>
              <w:jc w:val="center"/>
              <w:ind w:left="501"/>
              <w:spacing w:after="0"/>
              <w:rPr>
                <w:sz w:val="20"/>
                <w:szCs w:val="20"/>
                <w:color w:val="auto"/>
              </w:rPr>
            </w:pPr>
            <w:r>
              <w:rPr>
                <w:rFonts w:ascii="Arial" w:cs="Arial" w:eastAsia="Arial" w:hAnsi="Arial"/>
                <w:sz w:val="14"/>
                <w:szCs w:val="14"/>
                <w:b w:val="1"/>
                <w:bCs w:val="1"/>
                <w:color w:val="auto"/>
                <w:w w:val="96"/>
              </w:rPr>
              <w:t>(In millions)</w:t>
            </w:r>
          </w:p>
        </w:tc>
        <w:tc>
          <w:tcPr>
            <w:tcW w:w="10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1"/>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Proceeds</w:t>
            </w:r>
          </w:p>
        </w:tc>
        <w:tc>
          <w:tcPr>
            <w:tcW w:w="4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9,316</w:t>
            </w:r>
          </w:p>
        </w:tc>
        <w:tc>
          <w:tcPr>
            <w:tcW w:w="100" w:type="dxa"/>
            <w:vAlign w:val="bottom"/>
            <w:tcBorders>
              <w:bottom w:val="single" w:sz="8" w:color="CCEEFF"/>
            </w:tcBorders>
            <w:shd w:val="clear" w:color="auto" w:fill="CCEEFF"/>
          </w:tcPr>
          <w:p>
            <w:pPr>
              <w:spacing w:after="0"/>
              <w:rPr>
                <w:sz w:val="24"/>
                <w:szCs w:val="24"/>
                <w:color w:val="auto"/>
              </w:rPr>
            </w:pPr>
          </w:p>
        </w:tc>
        <w:tc>
          <w:tcPr>
            <w:tcW w:w="420" w:type="dxa"/>
            <w:vAlign w:val="bottom"/>
            <w:tcBorders>
              <w:bottom w:val="single" w:sz="8" w:color="CCEEFF"/>
            </w:tcBorders>
            <w:gridSpan w:val="3"/>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8"/>
                <w:szCs w:val="18"/>
                <w:color w:val="auto"/>
              </w:rPr>
              <w:t>23,346</w:t>
            </w:r>
          </w:p>
        </w:tc>
        <w:tc>
          <w:tcPr>
            <w:tcW w:w="2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4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29</w:t>
            </w:r>
          </w:p>
        </w:tc>
        <w:tc>
          <w:tcPr>
            <w:tcW w:w="2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540" w:type="dxa"/>
            <w:vAlign w:val="bottom"/>
            <w:tcBorders>
              <w:bottom w:val="single" w:sz="8" w:color="CCEEFF"/>
            </w:tcBorders>
            <w:shd w:val="clear" w:color="auto" w:fill="CCEEFF"/>
          </w:tcPr>
          <w:p>
            <w:pPr>
              <w:jc w:val="right"/>
              <w:ind w:right="356"/>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6"/>
                <w:szCs w:val="16"/>
                <w:color w:val="auto"/>
              </w:rPr>
              <w:t>Gross investment gains</w:t>
            </w:r>
          </w:p>
        </w:tc>
        <w:tc>
          <w:tcPr>
            <w:tcW w:w="400" w:type="dxa"/>
            <w:vAlign w:val="bottom"/>
            <w:tcBorders>
              <w:top w:val="single" w:sz="8" w:color="auto"/>
              <w:bottom w:val="single" w:sz="8" w:color="auto"/>
            </w:tcBorders>
            <w:gridSpan w:val="2"/>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gridSpan w:val="2"/>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160" w:type="dxa"/>
            <w:vAlign w:val="bottom"/>
            <w:vMerge w:val="continue"/>
          </w:tcPr>
          <w:p>
            <w:pPr>
              <w:spacing w:after="0"/>
              <w:rPr>
                <w:sz w:val="19"/>
                <w:szCs w:val="19"/>
                <w:color w:val="auto"/>
              </w:rPr>
            </w:pPr>
          </w:p>
        </w:tc>
        <w:tc>
          <w:tcPr>
            <w:tcW w:w="40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39"/>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19"/>
                <w:szCs w:val="19"/>
                <w:color w:val="auto"/>
              </w:rPr>
            </w:pPr>
          </w:p>
        </w:tc>
        <w:tc>
          <w:tcPr>
            <w:tcW w:w="420" w:type="dxa"/>
            <w:vAlign w:val="bottom"/>
            <w:gridSpan w:val="3"/>
          </w:tcPr>
          <w:p>
            <w:pPr>
              <w:ind w:left="6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21"/>
              <w:spacing w:after="0"/>
              <w:rPr>
                <w:sz w:val="20"/>
                <w:szCs w:val="20"/>
                <w:color w:val="auto"/>
              </w:rPr>
            </w:pPr>
            <w:r>
              <w:rPr>
                <w:rFonts w:ascii="Arial" w:cs="Arial" w:eastAsia="Arial" w:hAnsi="Arial"/>
                <w:sz w:val="18"/>
                <w:szCs w:val="18"/>
                <w:color w:val="auto"/>
              </w:rPr>
              <w:t>166</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40" w:type="dxa"/>
            <w:vAlign w:val="bottom"/>
          </w:tcPr>
          <w:p>
            <w:pPr>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9"/>
              <w:spacing w:after="0"/>
              <w:rPr>
                <w:sz w:val="20"/>
                <w:szCs w:val="20"/>
                <w:color w:val="auto"/>
              </w:rPr>
            </w:pPr>
            <w:r>
              <w:rPr>
                <w:rFonts w:ascii="Arial" w:cs="Arial" w:eastAsia="Arial" w:hAnsi="Arial"/>
                <w:sz w:val="18"/>
                <w:szCs w:val="18"/>
                <w:color w:val="auto"/>
              </w:rPr>
              <w:t>4</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40" w:type="dxa"/>
            <w:vAlign w:val="bottom"/>
          </w:tcPr>
          <w:p>
            <w:pPr>
              <w:jc w:val="right"/>
              <w:ind w:right="356"/>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ind w:right="17"/>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54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Gross investment losses</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(136)</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4"/>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6"/>
                <w:szCs w:val="16"/>
                <w:color w:val="auto"/>
              </w:rPr>
              <w:t>OTTI losses</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(22)</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20" w:type="dxa"/>
            <w:vAlign w:val="bottom"/>
            <w:gridSpan w:val="4"/>
          </w:tcPr>
          <w:p>
            <w:pPr>
              <w:jc w:val="right"/>
              <w:ind w:right="22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gridSpan w:val="2"/>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gridSpan w:val="2"/>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51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Net investment gains (losses)</w:t>
            </w:r>
          </w:p>
        </w:tc>
        <w:tc>
          <w:tcPr>
            <w:tcW w:w="4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gridSpan w:val="3"/>
            <w:shd w:val="clear" w:color="auto" w:fill="CCEEFF"/>
          </w:tcPr>
          <w:p>
            <w:pPr>
              <w:ind w:left="60"/>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8</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56"/>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Credit Loss Rollforward</w:t>
      </w:r>
    </w:p>
    <w:p>
      <w:pPr>
        <w:spacing w:after="0" w:line="117" w:lineRule="exact"/>
        <w:rPr>
          <w:sz w:val="20"/>
          <w:szCs w:val="20"/>
          <w:color w:val="auto"/>
        </w:rPr>
      </w:pPr>
    </w:p>
    <w:p>
      <w:pPr>
        <w:ind w:left="180" w:right="20" w:firstLine="324"/>
        <w:spacing w:after="0" w:line="277" w:lineRule="auto"/>
        <w:rPr>
          <w:sz w:val="20"/>
          <w:szCs w:val="20"/>
          <w:color w:val="auto"/>
        </w:rPr>
      </w:pPr>
      <w:r>
        <w:rPr>
          <w:rFonts w:ascii="Arial" w:cs="Arial" w:eastAsia="Arial" w:hAnsi="Arial"/>
          <w:sz w:val="18"/>
          <w:szCs w:val="18"/>
          <w:color w:val="auto"/>
        </w:rPr>
        <w:t>The table below presents a rollforward of the cumulative credit loss component of OTTI loss recognized in earnings on fixed maturity securities still held for which a portion of the OTTI loss was recognized in other comprehensive income (loss) (“OCI”):</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9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180" w:type="dxa"/>
            <w:vAlign w:val="bottom"/>
            <w:gridSpan w:val="3"/>
          </w:tcPr>
          <w:p>
            <w:pPr>
              <w:jc w:val="center"/>
              <w:ind w:right="202"/>
              <w:spacing w:after="0"/>
              <w:rPr>
                <w:sz w:val="20"/>
                <w:szCs w:val="20"/>
                <w:color w:val="auto"/>
              </w:rPr>
            </w:pPr>
            <w:r>
              <w:rPr>
                <w:rFonts w:ascii="Arial" w:cs="Arial" w:eastAsia="Arial" w:hAnsi="Arial"/>
                <w:sz w:val="14"/>
                <w:szCs w:val="14"/>
                <w:b w:val="1"/>
                <w:bCs w:val="1"/>
                <w:color w:val="auto"/>
                <w:w w:val="93"/>
              </w:rPr>
              <w:t>Three Months</w:t>
            </w: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120" w:type="dxa"/>
            <w:vAlign w:val="bottom"/>
            <w:gridSpan w:val="3"/>
          </w:tcPr>
          <w:p>
            <w:pPr>
              <w:jc w:val="center"/>
              <w:ind w:right="242"/>
              <w:spacing w:after="0"/>
              <w:rPr>
                <w:sz w:val="20"/>
                <w:szCs w:val="20"/>
                <w:color w:val="auto"/>
              </w:rPr>
            </w:pPr>
            <w:r>
              <w:rPr>
                <w:rFonts w:ascii="Arial" w:cs="Arial" w:eastAsia="Arial" w:hAnsi="Arial"/>
                <w:sz w:val="14"/>
                <w:szCs w:val="14"/>
                <w:b w:val="1"/>
                <w:bCs w:val="1"/>
                <w:color w:val="auto"/>
                <w:w w:val="95"/>
              </w:rPr>
              <w:t>Nine Months</w:t>
            </w:r>
          </w:p>
        </w:tc>
        <w:tc>
          <w:tcPr>
            <w:tcW w:w="340" w:type="dxa"/>
            <w:vAlign w:val="bottom"/>
          </w:tcPr>
          <w:p>
            <w:pPr>
              <w:spacing w:after="0"/>
              <w:rPr>
                <w:sz w:val="14"/>
                <w:szCs w:val="14"/>
                <w:color w:val="auto"/>
              </w:rPr>
            </w:pPr>
          </w:p>
        </w:tc>
      </w:tr>
      <w:tr>
        <w:trPr>
          <w:trHeight w:val="149"/>
        </w:trPr>
        <w:tc>
          <w:tcPr>
            <w:tcW w:w="69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180" w:type="dxa"/>
            <w:vAlign w:val="bottom"/>
            <w:gridSpan w:val="3"/>
          </w:tcPr>
          <w:p>
            <w:pPr>
              <w:jc w:val="center"/>
              <w:ind w:right="222"/>
              <w:spacing w:after="0" w:line="149" w:lineRule="exact"/>
              <w:rPr>
                <w:sz w:val="20"/>
                <w:szCs w:val="20"/>
                <w:color w:val="auto"/>
              </w:rPr>
            </w:pPr>
            <w:r>
              <w:rPr>
                <w:rFonts w:ascii="Arial" w:cs="Arial" w:eastAsia="Arial" w:hAnsi="Arial"/>
                <w:sz w:val="14"/>
                <w:szCs w:val="14"/>
                <w:b w:val="1"/>
                <w:bCs w:val="1"/>
                <w:color w:val="auto"/>
                <w:w w:val="93"/>
              </w:rPr>
              <w:t>Ended</w:t>
            </w: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120" w:type="dxa"/>
            <w:vAlign w:val="bottom"/>
            <w:gridSpan w:val="3"/>
          </w:tcPr>
          <w:p>
            <w:pPr>
              <w:jc w:val="center"/>
              <w:ind w:right="282"/>
              <w:spacing w:after="0" w:line="149" w:lineRule="exact"/>
              <w:rPr>
                <w:sz w:val="20"/>
                <w:szCs w:val="20"/>
                <w:color w:val="auto"/>
              </w:rPr>
            </w:pPr>
            <w:r>
              <w:rPr>
                <w:rFonts w:ascii="Arial" w:cs="Arial" w:eastAsia="Arial" w:hAnsi="Arial"/>
                <w:sz w:val="14"/>
                <w:szCs w:val="14"/>
                <w:b w:val="1"/>
                <w:bCs w:val="1"/>
                <w:color w:val="auto"/>
                <w:w w:val="93"/>
              </w:rPr>
              <w:t>Ended</w:t>
            </w:r>
          </w:p>
        </w:tc>
        <w:tc>
          <w:tcPr>
            <w:tcW w:w="340" w:type="dxa"/>
            <w:vAlign w:val="bottom"/>
          </w:tcPr>
          <w:p>
            <w:pPr>
              <w:spacing w:after="0"/>
              <w:rPr>
                <w:sz w:val="12"/>
                <w:szCs w:val="12"/>
                <w:color w:val="auto"/>
              </w:rPr>
            </w:pPr>
          </w:p>
        </w:tc>
      </w:tr>
      <w:tr>
        <w:trPr>
          <w:trHeight w:val="192"/>
        </w:trPr>
        <w:tc>
          <w:tcPr>
            <w:tcW w:w="6980" w:type="dxa"/>
            <w:vAlign w:val="bottom"/>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3"/>
          </w:tcPr>
          <w:p>
            <w:pPr>
              <w:jc w:val="center"/>
              <w:ind w:right="182"/>
              <w:spacing w:after="0"/>
              <w:rPr>
                <w:sz w:val="20"/>
                <w:szCs w:val="20"/>
                <w:color w:val="auto"/>
              </w:rPr>
            </w:pPr>
            <w:r>
              <w:rPr>
                <w:rFonts w:ascii="Arial" w:cs="Arial" w:eastAsia="Arial" w:hAnsi="Arial"/>
                <w:sz w:val="14"/>
                <w:szCs w:val="14"/>
                <w:b w:val="1"/>
                <w:bCs w:val="1"/>
                <w:color w:val="auto"/>
                <w:w w:val="91"/>
              </w:rPr>
              <w:t>September 30,</w:t>
            </w:r>
          </w:p>
        </w:tc>
        <w:tc>
          <w:tcPr>
            <w:tcW w:w="3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00" w:type="dxa"/>
            <w:vAlign w:val="bottom"/>
            <w:tcBorders>
              <w:bottom w:val="single" w:sz="8" w:color="auto"/>
            </w:tcBorders>
            <w:gridSpan w:val="4"/>
          </w:tcPr>
          <w:p>
            <w:pPr>
              <w:jc w:val="center"/>
              <w:ind w:left="283"/>
              <w:spacing w:after="0"/>
              <w:rPr>
                <w:sz w:val="20"/>
                <w:szCs w:val="20"/>
                <w:color w:val="auto"/>
              </w:rPr>
            </w:pPr>
            <w:r>
              <w:rPr>
                <w:rFonts w:ascii="Arial" w:cs="Arial" w:eastAsia="Arial" w:hAnsi="Arial"/>
                <w:sz w:val="14"/>
                <w:szCs w:val="14"/>
                <w:b w:val="1"/>
                <w:bCs w:val="1"/>
                <w:color w:val="auto"/>
                <w:w w:val="91"/>
              </w:rPr>
              <w:t>September 30,</w:t>
            </w:r>
          </w:p>
        </w:tc>
        <w:tc>
          <w:tcPr>
            <w:tcW w:w="340" w:type="dxa"/>
            <w:vAlign w:val="bottom"/>
            <w:tcBorders>
              <w:bottom w:val="single" w:sz="8" w:color="auto"/>
            </w:tcBorders>
          </w:tcPr>
          <w:p>
            <w:pPr>
              <w:spacing w:after="0"/>
              <w:rPr>
                <w:sz w:val="16"/>
                <w:szCs w:val="16"/>
                <w:color w:val="auto"/>
              </w:rPr>
            </w:pPr>
          </w:p>
        </w:tc>
      </w:tr>
      <w:tr>
        <w:trPr>
          <w:trHeight w:val="264"/>
        </w:trPr>
        <w:tc>
          <w:tcPr>
            <w:tcW w:w="6980" w:type="dxa"/>
            <w:vAlign w:val="bottom"/>
          </w:tcPr>
          <w:p>
            <w:pPr>
              <w:spacing w:after="0"/>
              <w:rPr>
                <w:sz w:val="22"/>
                <w:szCs w:val="22"/>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40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2016</w:t>
            </w:r>
          </w:p>
        </w:tc>
        <w:tc>
          <w:tcPr>
            <w:tcW w:w="36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34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2016</w:t>
            </w:r>
          </w:p>
        </w:tc>
        <w:tc>
          <w:tcPr>
            <w:tcW w:w="340" w:type="dxa"/>
            <w:vAlign w:val="bottom"/>
            <w:tcBorders>
              <w:bottom w:val="single" w:sz="8" w:color="auto"/>
            </w:tcBorders>
          </w:tcPr>
          <w:p>
            <w:pPr>
              <w:spacing w:after="0"/>
              <w:rPr>
                <w:sz w:val="22"/>
                <w:szCs w:val="22"/>
                <w:color w:val="auto"/>
              </w:rPr>
            </w:pPr>
          </w:p>
        </w:tc>
      </w:tr>
      <w:tr>
        <w:trPr>
          <w:trHeight w:val="250"/>
        </w:trPr>
        <w:tc>
          <w:tcPr>
            <w:tcW w:w="69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140" w:type="dxa"/>
            <w:vAlign w:val="bottom"/>
            <w:gridSpan w:val="3"/>
          </w:tcPr>
          <w:p>
            <w:pPr>
              <w:jc w:val="right"/>
              <w:ind w:right="303"/>
              <w:spacing w:after="0"/>
              <w:rPr>
                <w:sz w:val="20"/>
                <w:szCs w:val="20"/>
                <w:color w:val="auto"/>
              </w:rPr>
            </w:pPr>
            <w:r>
              <w:rPr>
                <w:rFonts w:ascii="Arial" w:cs="Arial" w:eastAsia="Arial" w:hAnsi="Arial"/>
                <w:sz w:val="14"/>
                <w:szCs w:val="14"/>
                <w:b w:val="1"/>
                <w:bCs w:val="1"/>
                <w:color w:val="auto"/>
                <w:w w:val="94"/>
              </w:rPr>
              <w:t>(In millions)</w:t>
            </w:r>
          </w:p>
        </w:tc>
        <w:tc>
          <w:tcPr>
            <w:tcW w:w="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340" w:type="dxa"/>
            <w:vAlign w:val="bottom"/>
          </w:tcPr>
          <w:p>
            <w:pPr>
              <w:spacing w:after="0"/>
              <w:rPr>
                <w:sz w:val="21"/>
                <w:szCs w:val="21"/>
                <w:color w:val="auto"/>
              </w:rPr>
            </w:pPr>
          </w:p>
        </w:tc>
      </w:tr>
      <w:tr>
        <w:trPr>
          <w:trHeight w:val="256"/>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Balance, beginning of period</w:t>
            </w:r>
          </w:p>
        </w:tc>
        <w:tc>
          <w:tcPr>
            <w:tcW w:w="660" w:type="dxa"/>
            <w:vAlign w:val="bottom"/>
            <w:tcBorders>
              <w:bottom w:val="single" w:sz="8" w:color="CCEEFF"/>
            </w:tcBorders>
            <w:shd w:val="clear" w:color="auto" w:fill="CCEEFF"/>
          </w:tcPr>
          <w:p>
            <w:pPr>
              <w:jc w:val="right"/>
              <w:ind w:right="482"/>
              <w:spacing w:after="0"/>
              <w:rPr>
                <w:sz w:val="20"/>
                <w:szCs w:val="20"/>
                <w:color w:val="auto"/>
              </w:rPr>
            </w:pPr>
            <w:r>
              <w:rPr>
                <w:rFonts w:ascii="Arial" w:cs="Arial" w:eastAsia="Arial" w:hAnsi="Arial"/>
                <w:sz w:val="16"/>
                <w:szCs w:val="16"/>
                <w:color w:val="auto"/>
                <w:w w:val="89"/>
              </w:rPr>
              <w:t>$</w:t>
            </w:r>
          </w:p>
        </w:tc>
        <w:tc>
          <w:tcPr>
            <w:tcW w:w="400" w:type="dxa"/>
            <w:vAlign w:val="bottom"/>
            <w:tcBorders>
              <w:bottom w:val="single" w:sz="8" w:color="CCEEFF"/>
            </w:tcBorders>
            <w:shd w:val="clear" w:color="auto" w:fill="CCEEFF"/>
          </w:tcPr>
          <w:p>
            <w:pPr>
              <w:jc w:val="right"/>
              <w:ind w:right="63"/>
              <w:spacing w:after="0"/>
              <w:rPr>
                <w:sz w:val="20"/>
                <w:szCs w:val="20"/>
                <w:color w:val="auto"/>
              </w:rPr>
            </w:pPr>
            <w:r>
              <w:rPr>
                <w:rFonts w:ascii="Arial" w:cs="Arial" w:eastAsia="Arial" w:hAnsi="Arial"/>
                <w:sz w:val="16"/>
                <w:szCs w:val="16"/>
                <w:color w:val="auto"/>
              </w:rPr>
              <w:t>9</w:t>
            </w:r>
          </w:p>
        </w:tc>
        <w:tc>
          <w:tcPr>
            <w:tcW w:w="12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jc w:val="right"/>
              <w:ind w:right="482"/>
              <w:spacing w:after="0"/>
              <w:rPr>
                <w:sz w:val="20"/>
                <w:szCs w:val="20"/>
                <w:color w:val="auto"/>
              </w:rPr>
            </w:pPr>
            <w:r>
              <w:rPr>
                <w:rFonts w:ascii="Arial" w:cs="Arial" w:eastAsia="Arial" w:hAnsi="Arial"/>
                <w:sz w:val="16"/>
                <w:szCs w:val="16"/>
                <w:color w:val="auto"/>
                <w:w w:val="89"/>
              </w:rPr>
              <w:t>$</w:t>
            </w:r>
          </w:p>
        </w:tc>
        <w:tc>
          <w:tcPr>
            <w:tcW w:w="3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60</w:t>
            </w:r>
          </w:p>
        </w:tc>
        <w:tc>
          <w:tcPr>
            <w:tcW w:w="10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jc w:val="right"/>
              <w:ind w:right="483"/>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28</w:t>
            </w:r>
          </w:p>
        </w:tc>
        <w:tc>
          <w:tcPr>
            <w:tcW w:w="10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jc w:val="right"/>
              <w:ind w:right="482"/>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66</w:t>
            </w:r>
          </w:p>
        </w:tc>
      </w:tr>
      <w:tr>
        <w:trPr>
          <w:trHeight w:val="224"/>
        </w:trPr>
        <w:tc>
          <w:tcPr>
            <w:tcW w:w="6980" w:type="dxa"/>
            <w:vAlign w:val="bottom"/>
          </w:tcPr>
          <w:p>
            <w:pPr>
              <w:ind w:left="40"/>
              <w:spacing w:after="0"/>
              <w:rPr>
                <w:sz w:val="20"/>
                <w:szCs w:val="20"/>
                <w:color w:val="auto"/>
              </w:rPr>
            </w:pPr>
            <w:r>
              <w:rPr>
                <w:rFonts w:ascii="Arial" w:cs="Arial" w:eastAsia="Arial" w:hAnsi="Arial"/>
                <w:sz w:val="16"/>
                <w:szCs w:val="16"/>
                <w:color w:val="auto"/>
              </w:rPr>
              <w:t>Additions:</w:t>
            </w:r>
          </w:p>
        </w:tc>
        <w:tc>
          <w:tcPr>
            <w:tcW w:w="6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40" w:type="dxa"/>
            <w:vAlign w:val="bottom"/>
          </w:tcPr>
          <w:p>
            <w:pPr>
              <w:spacing w:after="0"/>
              <w:rPr>
                <w:sz w:val="19"/>
                <w:szCs w:val="19"/>
                <w:color w:val="auto"/>
              </w:rPr>
            </w:pPr>
          </w:p>
        </w:tc>
      </w:tr>
      <w:tr>
        <w:trPr>
          <w:trHeight w:val="47"/>
        </w:trPr>
        <w:tc>
          <w:tcPr>
            <w:tcW w:w="6980" w:type="dxa"/>
            <w:vAlign w:val="bottom"/>
          </w:tcPr>
          <w:p>
            <w:pPr>
              <w:spacing w:after="0"/>
              <w:rPr>
                <w:sz w:val="4"/>
                <w:szCs w:val="4"/>
                <w:color w:val="auto"/>
              </w:rPr>
            </w:pPr>
          </w:p>
        </w:tc>
        <w:tc>
          <w:tcPr>
            <w:tcW w:w="660" w:type="dxa"/>
            <w:vAlign w:val="bottom"/>
          </w:tcPr>
          <w:p>
            <w:pPr>
              <w:spacing w:after="0"/>
              <w:rPr>
                <w:sz w:val="4"/>
                <w:szCs w:val="4"/>
                <w:color w:val="auto"/>
              </w:rPr>
            </w:pPr>
          </w:p>
        </w:tc>
        <w:tc>
          <w:tcPr>
            <w:tcW w:w="400" w:type="dxa"/>
            <w:vAlign w:val="bottom"/>
          </w:tcPr>
          <w:p>
            <w:pPr>
              <w:spacing w:after="0"/>
              <w:rPr>
                <w:sz w:val="4"/>
                <w:szCs w:val="4"/>
                <w:color w:val="auto"/>
              </w:rPr>
            </w:pPr>
          </w:p>
        </w:tc>
        <w:tc>
          <w:tcPr>
            <w:tcW w:w="120" w:type="dxa"/>
            <w:vAlign w:val="bottom"/>
          </w:tcPr>
          <w:p>
            <w:pPr>
              <w:spacing w:after="0"/>
              <w:rPr>
                <w:sz w:val="4"/>
                <w:szCs w:val="4"/>
                <w:color w:val="auto"/>
              </w:rPr>
            </w:pPr>
          </w:p>
        </w:tc>
        <w:tc>
          <w:tcPr>
            <w:tcW w:w="660" w:type="dxa"/>
            <w:vAlign w:val="bottom"/>
          </w:tcPr>
          <w:p>
            <w:pPr>
              <w:spacing w:after="0"/>
              <w:rPr>
                <w:sz w:val="4"/>
                <w:szCs w:val="4"/>
                <w:color w:val="auto"/>
              </w:rPr>
            </w:pPr>
          </w:p>
        </w:tc>
        <w:tc>
          <w:tcPr>
            <w:tcW w:w="360" w:type="dxa"/>
            <w:vAlign w:val="bottom"/>
          </w:tcPr>
          <w:p>
            <w:pPr>
              <w:spacing w:after="0"/>
              <w:rPr>
                <w:sz w:val="4"/>
                <w:szCs w:val="4"/>
                <w:color w:val="auto"/>
              </w:rPr>
            </w:pPr>
          </w:p>
        </w:tc>
        <w:tc>
          <w:tcPr>
            <w:tcW w:w="100" w:type="dxa"/>
            <w:vAlign w:val="bottom"/>
          </w:tcPr>
          <w:p>
            <w:pPr>
              <w:spacing w:after="0"/>
              <w:rPr>
                <w:sz w:val="4"/>
                <w:szCs w:val="4"/>
                <w:color w:val="auto"/>
              </w:rPr>
            </w:pPr>
          </w:p>
        </w:tc>
        <w:tc>
          <w:tcPr>
            <w:tcW w:w="680" w:type="dxa"/>
            <w:vAlign w:val="bottom"/>
          </w:tcPr>
          <w:p>
            <w:pPr>
              <w:spacing w:after="0"/>
              <w:rPr>
                <w:sz w:val="4"/>
                <w:szCs w:val="4"/>
                <w:color w:val="auto"/>
              </w:rPr>
            </w:pPr>
          </w:p>
        </w:tc>
        <w:tc>
          <w:tcPr>
            <w:tcW w:w="340" w:type="dxa"/>
            <w:vAlign w:val="bottom"/>
          </w:tcPr>
          <w:p>
            <w:pPr>
              <w:spacing w:after="0"/>
              <w:rPr>
                <w:sz w:val="4"/>
                <w:szCs w:val="4"/>
                <w:color w:val="auto"/>
              </w:rPr>
            </w:pPr>
          </w:p>
        </w:tc>
        <w:tc>
          <w:tcPr>
            <w:tcW w:w="100" w:type="dxa"/>
            <w:vAlign w:val="bottom"/>
          </w:tcPr>
          <w:p>
            <w:pPr>
              <w:spacing w:after="0"/>
              <w:rPr>
                <w:sz w:val="4"/>
                <w:szCs w:val="4"/>
                <w:color w:val="auto"/>
              </w:rPr>
            </w:pPr>
          </w:p>
        </w:tc>
        <w:tc>
          <w:tcPr>
            <w:tcW w:w="680" w:type="dxa"/>
            <w:vAlign w:val="bottom"/>
          </w:tcPr>
          <w:p>
            <w:pPr>
              <w:spacing w:after="0"/>
              <w:rPr>
                <w:sz w:val="4"/>
                <w:szCs w:val="4"/>
                <w:color w:val="auto"/>
              </w:rPr>
            </w:pPr>
          </w:p>
        </w:tc>
        <w:tc>
          <w:tcPr>
            <w:tcW w:w="340" w:type="dxa"/>
            <w:vAlign w:val="bottom"/>
          </w:tcPr>
          <w:p>
            <w:pPr>
              <w:spacing w:after="0"/>
              <w:rPr>
                <w:sz w:val="4"/>
                <w:szCs w:val="4"/>
                <w:color w:val="auto"/>
              </w:rPr>
            </w:pPr>
          </w:p>
        </w:tc>
      </w:tr>
      <w:tr>
        <w:trPr>
          <w:trHeight w:val="250"/>
        </w:trPr>
        <w:tc>
          <w:tcPr>
            <w:tcW w:w="69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Additional impairments — credit loss OTTI on securities previously impaired</w:t>
            </w:r>
          </w:p>
        </w:tc>
        <w:tc>
          <w:tcPr>
            <w:tcW w:w="66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w:t>
            </w:r>
          </w:p>
        </w:tc>
      </w:tr>
      <w:tr>
        <w:trPr>
          <w:trHeight w:val="224"/>
        </w:trPr>
        <w:tc>
          <w:tcPr>
            <w:tcW w:w="6980" w:type="dxa"/>
            <w:vAlign w:val="bottom"/>
          </w:tcPr>
          <w:p>
            <w:pPr>
              <w:ind w:left="40"/>
              <w:spacing w:after="0"/>
              <w:rPr>
                <w:sz w:val="20"/>
                <w:szCs w:val="20"/>
                <w:color w:val="auto"/>
              </w:rPr>
            </w:pPr>
            <w:r>
              <w:rPr>
                <w:rFonts w:ascii="Arial" w:cs="Arial" w:eastAsia="Arial" w:hAnsi="Arial"/>
                <w:sz w:val="16"/>
                <w:szCs w:val="16"/>
                <w:color w:val="auto"/>
              </w:rPr>
              <w:t>Reductions:</w:t>
            </w:r>
          </w:p>
        </w:tc>
        <w:tc>
          <w:tcPr>
            <w:tcW w:w="6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40" w:type="dxa"/>
            <w:vAlign w:val="bottom"/>
          </w:tcPr>
          <w:p>
            <w:pPr>
              <w:spacing w:after="0"/>
              <w:rPr>
                <w:sz w:val="19"/>
                <w:szCs w:val="19"/>
                <w:color w:val="auto"/>
              </w:rPr>
            </w:pPr>
          </w:p>
        </w:tc>
      </w:tr>
      <w:tr>
        <w:trPr>
          <w:trHeight w:val="47"/>
        </w:trPr>
        <w:tc>
          <w:tcPr>
            <w:tcW w:w="6980" w:type="dxa"/>
            <w:vAlign w:val="bottom"/>
          </w:tcPr>
          <w:p>
            <w:pPr>
              <w:spacing w:after="0"/>
              <w:rPr>
                <w:sz w:val="4"/>
                <w:szCs w:val="4"/>
                <w:color w:val="auto"/>
              </w:rPr>
            </w:pPr>
          </w:p>
        </w:tc>
        <w:tc>
          <w:tcPr>
            <w:tcW w:w="660" w:type="dxa"/>
            <w:vAlign w:val="bottom"/>
          </w:tcPr>
          <w:p>
            <w:pPr>
              <w:spacing w:after="0"/>
              <w:rPr>
                <w:sz w:val="4"/>
                <w:szCs w:val="4"/>
                <w:color w:val="auto"/>
              </w:rPr>
            </w:pPr>
          </w:p>
        </w:tc>
        <w:tc>
          <w:tcPr>
            <w:tcW w:w="400" w:type="dxa"/>
            <w:vAlign w:val="bottom"/>
          </w:tcPr>
          <w:p>
            <w:pPr>
              <w:spacing w:after="0"/>
              <w:rPr>
                <w:sz w:val="4"/>
                <w:szCs w:val="4"/>
                <w:color w:val="auto"/>
              </w:rPr>
            </w:pPr>
          </w:p>
        </w:tc>
        <w:tc>
          <w:tcPr>
            <w:tcW w:w="120" w:type="dxa"/>
            <w:vAlign w:val="bottom"/>
          </w:tcPr>
          <w:p>
            <w:pPr>
              <w:spacing w:after="0"/>
              <w:rPr>
                <w:sz w:val="4"/>
                <w:szCs w:val="4"/>
                <w:color w:val="auto"/>
              </w:rPr>
            </w:pPr>
          </w:p>
        </w:tc>
        <w:tc>
          <w:tcPr>
            <w:tcW w:w="660" w:type="dxa"/>
            <w:vAlign w:val="bottom"/>
          </w:tcPr>
          <w:p>
            <w:pPr>
              <w:spacing w:after="0"/>
              <w:rPr>
                <w:sz w:val="4"/>
                <w:szCs w:val="4"/>
                <w:color w:val="auto"/>
              </w:rPr>
            </w:pPr>
          </w:p>
        </w:tc>
        <w:tc>
          <w:tcPr>
            <w:tcW w:w="360" w:type="dxa"/>
            <w:vAlign w:val="bottom"/>
          </w:tcPr>
          <w:p>
            <w:pPr>
              <w:spacing w:after="0"/>
              <w:rPr>
                <w:sz w:val="4"/>
                <w:szCs w:val="4"/>
                <w:color w:val="auto"/>
              </w:rPr>
            </w:pPr>
          </w:p>
        </w:tc>
        <w:tc>
          <w:tcPr>
            <w:tcW w:w="100" w:type="dxa"/>
            <w:vAlign w:val="bottom"/>
          </w:tcPr>
          <w:p>
            <w:pPr>
              <w:spacing w:after="0"/>
              <w:rPr>
                <w:sz w:val="4"/>
                <w:szCs w:val="4"/>
                <w:color w:val="auto"/>
              </w:rPr>
            </w:pPr>
          </w:p>
        </w:tc>
        <w:tc>
          <w:tcPr>
            <w:tcW w:w="680" w:type="dxa"/>
            <w:vAlign w:val="bottom"/>
          </w:tcPr>
          <w:p>
            <w:pPr>
              <w:spacing w:after="0"/>
              <w:rPr>
                <w:sz w:val="4"/>
                <w:szCs w:val="4"/>
                <w:color w:val="auto"/>
              </w:rPr>
            </w:pPr>
          </w:p>
        </w:tc>
        <w:tc>
          <w:tcPr>
            <w:tcW w:w="340" w:type="dxa"/>
            <w:vAlign w:val="bottom"/>
          </w:tcPr>
          <w:p>
            <w:pPr>
              <w:spacing w:after="0"/>
              <w:rPr>
                <w:sz w:val="4"/>
                <w:szCs w:val="4"/>
                <w:color w:val="auto"/>
              </w:rPr>
            </w:pPr>
          </w:p>
        </w:tc>
        <w:tc>
          <w:tcPr>
            <w:tcW w:w="100" w:type="dxa"/>
            <w:vAlign w:val="bottom"/>
          </w:tcPr>
          <w:p>
            <w:pPr>
              <w:spacing w:after="0"/>
              <w:rPr>
                <w:sz w:val="4"/>
                <w:szCs w:val="4"/>
                <w:color w:val="auto"/>
              </w:rPr>
            </w:pPr>
          </w:p>
        </w:tc>
        <w:tc>
          <w:tcPr>
            <w:tcW w:w="680" w:type="dxa"/>
            <w:vAlign w:val="bottom"/>
          </w:tcPr>
          <w:p>
            <w:pPr>
              <w:spacing w:after="0"/>
              <w:rPr>
                <w:sz w:val="4"/>
                <w:szCs w:val="4"/>
                <w:color w:val="auto"/>
              </w:rPr>
            </w:pPr>
          </w:p>
        </w:tc>
        <w:tc>
          <w:tcPr>
            <w:tcW w:w="340" w:type="dxa"/>
            <w:vAlign w:val="bottom"/>
          </w:tcPr>
          <w:p>
            <w:pPr>
              <w:spacing w:after="0"/>
              <w:rPr>
                <w:sz w:val="4"/>
                <w:szCs w:val="4"/>
                <w:color w:val="auto"/>
              </w:rPr>
            </w:pPr>
          </w:p>
        </w:tc>
      </w:tr>
      <w:tr>
        <w:trPr>
          <w:trHeight w:val="270"/>
        </w:trPr>
        <w:tc>
          <w:tcPr>
            <w:tcW w:w="69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w w:val="97"/>
              </w:rPr>
              <w:t>Sales (maturities, pay downs or prepayments) of securities previously impaired as credit loss OTTI</w:t>
            </w:r>
          </w:p>
        </w:tc>
        <w:tc>
          <w:tcPr>
            <w:tcW w:w="66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jc w:val="right"/>
              <w:ind w:right="3"/>
              <w:spacing w:after="0"/>
              <w:rPr>
                <w:sz w:val="20"/>
                <w:szCs w:val="20"/>
                <w:color w:val="auto"/>
              </w:rPr>
            </w:pPr>
            <w:r>
              <w:rPr>
                <w:rFonts w:ascii="Arial" w:cs="Arial" w:eastAsia="Arial" w:hAnsi="Arial"/>
                <w:sz w:val="16"/>
                <w:szCs w:val="16"/>
                <w:color w:val="auto"/>
              </w:rPr>
              <w:t>(8)</w:t>
            </w:r>
          </w:p>
        </w:tc>
        <w:tc>
          <w:tcPr>
            <w:tcW w:w="12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10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1"/>
              </w:rPr>
              <w:t>(27)</w:t>
            </w:r>
          </w:p>
        </w:tc>
        <w:tc>
          <w:tcPr>
            <w:tcW w:w="10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1"/>
              </w:rPr>
              <w:t>(15)</w:t>
            </w:r>
          </w:p>
        </w:tc>
      </w:tr>
      <w:tr>
        <w:trPr>
          <w:trHeight w:val="217"/>
        </w:trPr>
        <w:tc>
          <w:tcPr>
            <w:tcW w:w="6980" w:type="dxa"/>
            <w:vAlign w:val="bottom"/>
          </w:tcPr>
          <w:p>
            <w:pPr>
              <w:ind w:left="40"/>
              <w:spacing w:after="0"/>
              <w:rPr>
                <w:sz w:val="20"/>
                <w:szCs w:val="20"/>
                <w:color w:val="auto"/>
              </w:rPr>
            </w:pPr>
            <w:r>
              <w:rPr>
                <w:rFonts w:ascii="Arial" w:cs="Arial" w:eastAsia="Arial" w:hAnsi="Arial"/>
                <w:sz w:val="16"/>
                <w:szCs w:val="16"/>
                <w:color w:val="auto"/>
              </w:rPr>
              <w:t>Balance, end of period</w:t>
            </w:r>
          </w:p>
        </w:tc>
        <w:tc>
          <w:tcPr>
            <w:tcW w:w="660" w:type="dxa"/>
            <w:vAlign w:val="bottom"/>
            <w:tcBorders>
              <w:top w:val="single" w:sz="8" w:color="auto"/>
            </w:tcBorders>
          </w:tcPr>
          <w:p>
            <w:pPr>
              <w:jc w:val="right"/>
              <w:ind w:right="482"/>
              <w:spacing w:after="0"/>
              <w:rPr>
                <w:sz w:val="20"/>
                <w:szCs w:val="20"/>
                <w:color w:val="auto"/>
              </w:rPr>
            </w:pPr>
            <w:r>
              <w:rPr>
                <w:rFonts w:ascii="Arial" w:cs="Arial" w:eastAsia="Arial" w:hAnsi="Arial"/>
                <w:sz w:val="16"/>
                <w:szCs w:val="16"/>
                <w:color w:val="auto"/>
                <w:w w:val="89"/>
              </w:rPr>
              <w:t>$</w:t>
            </w:r>
          </w:p>
        </w:tc>
        <w:tc>
          <w:tcPr>
            <w:tcW w:w="400" w:type="dxa"/>
            <w:vAlign w:val="bottom"/>
            <w:tcBorders>
              <w:top w:val="single" w:sz="8" w:color="auto"/>
            </w:tcBorders>
          </w:tcPr>
          <w:p>
            <w:pPr>
              <w:jc w:val="right"/>
              <w:ind w:right="63"/>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18"/>
                <w:szCs w:val="18"/>
                <w:color w:val="auto"/>
              </w:rPr>
            </w:pPr>
          </w:p>
        </w:tc>
        <w:tc>
          <w:tcPr>
            <w:tcW w:w="660" w:type="dxa"/>
            <w:vAlign w:val="bottom"/>
            <w:tcBorders>
              <w:top w:val="single" w:sz="8" w:color="auto"/>
            </w:tcBorders>
          </w:tcPr>
          <w:p>
            <w:pPr>
              <w:jc w:val="right"/>
              <w:ind w:right="482"/>
              <w:spacing w:after="0"/>
              <w:rPr>
                <w:sz w:val="20"/>
                <w:szCs w:val="20"/>
                <w:color w:val="auto"/>
              </w:rPr>
            </w:pPr>
            <w:r>
              <w:rPr>
                <w:rFonts w:ascii="Arial" w:cs="Arial" w:eastAsia="Arial" w:hAnsi="Arial"/>
                <w:sz w:val="16"/>
                <w:szCs w:val="16"/>
                <w:color w:val="auto"/>
                <w:w w:val="89"/>
              </w:rPr>
              <w:t>$</w:t>
            </w:r>
          </w:p>
        </w:tc>
        <w:tc>
          <w:tcPr>
            <w:tcW w:w="360" w:type="dxa"/>
            <w:vAlign w:val="bottom"/>
            <w:tcBorders>
              <w:top w:val="single" w:sz="8" w:color="auto"/>
            </w:tcBorders>
          </w:tcPr>
          <w:p>
            <w:pPr>
              <w:jc w:val="right"/>
              <w:ind w:right="21"/>
              <w:spacing w:after="0"/>
              <w:rPr>
                <w:sz w:val="20"/>
                <w:szCs w:val="20"/>
                <w:color w:val="auto"/>
              </w:rPr>
            </w:pPr>
            <w:r>
              <w:rPr>
                <w:rFonts w:ascii="Arial" w:cs="Arial" w:eastAsia="Arial" w:hAnsi="Arial"/>
                <w:sz w:val="16"/>
                <w:szCs w:val="16"/>
                <w:color w:val="auto"/>
              </w:rPr>
              <w:t>56</w:t>
            </w:r>
          </w:p>
        </w:tc>
        <w:tc>
          <w:tcPr>
            <w:tcW w:w="100" w:type="dxa"/>
            <w:vAlign w:val="bottom"/>
          </w:tcPr>
          <w:p>
            <w:pPr>
              <w:spacing w:after="0"/>
              <w:rPr>
                <w:sz w:val="18"/>
                <w:szCs w:val="18"/>
                <w:color w:val="auto"/>
              </w:rPr>
            </w:pPr>
          </w:p>
        </w:tc>
        <w:tc>
          <w:tcPr>
            <w:tcW w:w="680" w:type="dxa"/>
            <w:vAlign w:val="bottom"/>
            <w:tcBorders>
              <w:top w:val="single" w:sz="8" w:color="auto"/>
            </w:tcBorders>
          </w:tcPr>
          <w:p>
            <w:pPr>
              <w:jc w:val="right"/>
              <w:ind w:right="483"/>
              <w:spacing w:after="0"/>
              <w:rPr>
                <w:sz w:val="20"/>
                <w:szCs w:val="20"/>
                <w:color w:val="auto"/>
              </w:rPr>
            </w:pPr>
            <w:r>
              <w:rPr>
                <w:rFonts w:ascii="Arial" w:cs="Arial" w:eastAsia="Arial" w:hAnsi="Arial"/>
                <w:sz w:val="16"/>
                <w:szCs w:val="16"/>
                <w:color w:val="auto"/>
              </w:rPr>
              <w:t>$</w:t>
            </w:r>
          </w:p>
        </w:tc>
        <w:tc>
          <w:tcPr>
            <w:tcW w:w="340" w:type="dxa"/>
            <w:vAlign w:val="bottom"/>
            <w:tcBorders>
              <w:top w:val="single" w:sz="8" w:color="auto"/>
            </w:tcBorders>
          </w:tcPr>
          <w:p>
            <w:pPr>
              <w:jc w:val="right"/>
              <w:ind w:right="22"/>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680" w:type="dxa"/>
            <w:vAlign w:val="bottom"/>
            <w:tcBorders>
              <w:top w:val="single" w:sz="8" w:color="auto"/>
            </w:tcBorders>
          </w:tcPr>
          <w:p>
            <w:pPr>
              <w:jc w:val="right"/>
              <w:ind w:right="482"/>
              <w:spacing w:after="0"/>
              <w:rPr>
                <w:sz w:val="20"/>
                <w:szCs w:val="20"/>
                <w:color w:val="auto"/>
              </w:rPr>
            </w:pPr>
            <w:r>
              <w:rPr>
                <w:rFonts w:ascii="Arial" w:cs="Arial" w:eastAsia="Arial" w:hAnsi="Arial"/>
                <w:sz w:val="16"/>
                <w:szCs w:val="16"/>
                <w:color w:val="auto"/>
              </w:rPr>
              <w:t>$</w:t>
            </w:r>
          </w:p>
        </w:tc>
        <w:tc>
          <w:tcPr>
            <w:tcW w:w="3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56</w:t>
            </w:r>
          </w:p>
        </w:tc>
      </w:tr>
      <w:tr>
        <w:trPr>
          <w:trHeight w:val="33"/>
        </w:trPr>
        <w:tc>
          <w:tcPr>
            <w:tcW w:w="698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r>
      <w:tr>
        <w:trPr>
          <w:trHeight w:val="20"/>
        </w:trPr>
        <w:tc>
          <w:tcPr>
            <w:tcW w:w="69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234" w:right="239" w:bottom="1440" w:gutter="0" w:footer="0" w:header="0"/>
        </w:sectPr>
      </w:pPr>
    </w:p>
    <w:bookmarkStart w:id="30" w:name="page31"/>
    <w:bookmarkEnd w:id="30"/>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Brighthouse Financial, Inc.</w:t>
      </w:r>
    </w:p>
    <w:p>
      <w:pPr>
        <w:spacing w:after="0" w:line="117" w:lineRule="exact"/>
        <w:rPr>
          <w:sz w:val="20"/>
          <w:szCs w:val="20"/>
          <w:color w:val="auto"/>
        </w:rPr>
      </w:pPr>
    </w:p>
    <w:p>
      <w:pPr>
        <w:ind w:left="1480"/>
        <w:spacing w:after="0"/>
        <w:rPr>
          <w:sz w:val="20"/>
          <w:szCs w:val="20"/>
          <w:color w:val="auto"/>
        </w:rPr>
      </w:pPr>
      <w:r>
        <w:rPr>
          <w:rFonts w:ascii="Arial" w:cs="Arial" w:eastAsia="Arial" w:hAnsi="Arial"/>
          <w:sz w:val="18"/>
          <w:szCs w:val="18"/>
          <w:b w:val="1"/>
          <w:bCs w:val="1"/>
          <w:color w:val="auto"/>
        </w:rPr>
        <w:t>Notes to the Interim Condensed Consolidated and Combined Financial Statements (Unaudited) — (continued)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Investments (continued)</w:t>
      </w:r>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Related Party Investment Transactions</w:t>
      </w:r>
    </w:p>
    <w:p>
      <w:pPr>
        <w:spacing w:after="0" w:line="11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Company previously transferred fixed maturity securities, mortgage loans, real estate and real estate joint ventures, to and from former affiliates, which were as follows: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5"/>
              </w:rPr>
              <w:t>Three Months</w:t>
            </w: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00" w:type="dxa"/>
            <w:vAlign w:val="bottom"/>
            <w:gridSpan w:val="2"/>
          </w:tcPr>
          <w:p>
            <w:pPr>
              <w:jc w:val="center"/>
              <w:ind w:left="363"/>
              <w:spacing w:after="0"/>
              <w:rPr>
                <w:sz w:val="20"/>
                <w:szCs w:val="20"/>
                <w:color w:val="auto"/>
              </w:rPr>
            </w:pPr>
            <w:r>
              <w:rPr>
                <w:rFonts w:ascii="Arial" w:cs="Arial" w:eastAsia="Arial" w:hAnsi="Arial"/>
                <w:sz w:val="14"/>
                <w:szCs w:val="14"/>
                <w:b w:val="1"/>
                <w:bCs w:val="1"/>
                <w:color w:val="auto"/>
                <w:w w:val="95"/>
              </w:rPr>
              <w:t>Nine Months</w:t>
            </w:r>
          </w:p>
        </w:tc>
        <w:tc>
          <w:tcPr>
            <w:tcW w:w="800" w:type="dxa"/>
            <w:vAlign w:val="bottom"/>
          </w:tcPr>
          <w:p>
            <w:pPr>
              <w:spacing w:after="0"/>
              <w:rPr>
                <w:sz w:val="14"/>
                <w:szCs w:val="14"/>
                <w:color w:val="auto"/>
              </w:rPr>
            </w:pPr>
          </w:p>
        </w:tc>
      </w:tr>
      <w:tr>
        <w:trPr>
          <w:trHeight w:val="149"/>
        </w:trPr>
        <w:tc>
          <w:tcPr>
            <w:tcW w:w="60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3"/>
              </w:rPr>
              <w:t>Ended</w:t>
            </w: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0" w:type="dxa"/>
            <w:vAlign w:val="bottom"/>
            <w:gridSpan w:val="2"/>
          </w:tcPr>
          <w:p>
            <w:pPr>
              <w:jc w:val="center"/>
              <w:ind w:left="323"/>
              <w:spacing w:after="0" w:line="149" w:lineRule="exact"/>
              <w:rPr>
                <w:sz w:val="20"/>
                <w:szCs w:val="20"/>
                <w:color w:val="auto"/>
              </w:rPr>
            </w:pPr>
            <w:r>
              <w:rPr>
                <w:rFonts w:ascii="Arial" w:cs="Arial" w:eastAsia="Arial" w:hAnsi="Arial"/>
                <w:sz w:val="14"/>
                <w:szCs w:val="14"/>
                <w:b w:val="1"/>
                <w:bCs w:val="1"/>
                <w:color w:val="auto"/>
                <w:w w:val="93"/>
              </w:rPr>
              <w:t>Ended</w:t>
            </w:r>
          </w:p>
        </w:tc>
        <w:tc>
          <w:tcPr>
            <w:tcW w:w="800" w:type="dxa"/>
            <w:vAlign w:val="bottom"/>
          </w:tcPr>
          <w:p>
            <w:pPr>
              <w:spacing w:after="0"/>
              <w:rPr>
                <w:sz w:val="12"/>
                <w:szCs w:val="12"/>
                <w:color w:val="auto"/>
              </w:rPr>
            </w:pPr>
          </w:p>
        </w:tc>
      </w:tr>
      <w:tr>
        <w:trPr>
          <w:trHeight w:val="192"/>
        </w:trPr>
        <w:tc>
          <w:tcPr>
            <w:tcW w:w="6060" w:type="dxa"/>
            <w:vAlign w:val="bottom"/>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1"/>
              </w:rPr>
              <w:t>September 30,</w:t>
            </w:r>
          </w:p>
        </w:tc>
        <w:tc>
          <w:tcPr>
            <w:tcW w:w="8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2"/>
          </w:tcPr>
          <w:p>
            <w:pPr>
              <w:jc w:val="center"/>
              <w:ind w:left="363"/>
              <w:spacing w:after="0"/>
              <w:rPr>
                <w:sz w:val="20"/>
                <w:szCs w:val="20"/>
                <w:color w:val="auto"/>
              </w:rPr>
            </w:pPr>
            <w:r>
              <w:rPr>
                <w:rFonts w:ascii="Arial" w:cs="Arial" w:eastAsia="Arial" w:hAnsi="Arial"/>
                <w:sz w:val="14"/>
                <w:szCs w:val="14"/>
                <w:b w:val="1"/>
                <w:bCs w:val="1"/>
                <w:color w:val="auto"/>
                <w:w w:val="91"/>
              </w:rPr>
              <w:t>September 30,</w:t>
            </w:r>
          </w:p>
        </w:tc>
        <w:tc>
          <w:tcPr>
            <w:tcW w:w="800" w:type="dxa"/>
            <w:vAlign w:val="bottom"/>
            <w:tcBorders>
              <w:bottom w:val="single" w:sz="8" w:color="auto"/>
            </w:tcBorders>
          </w:tcPr>
          <w:p>
            <w:pPr>
              <w:spacing w:after="0"/>
              <w:rPr>
                <w:sz w:val="16"/>
                <w:szCs w:val="16"/>
                <w:color w:val="auto"/>
              </w:rPr>
            </w:pPr>
          </w:p>
        </w:tc>
      </w:tr>
      <w:tr>
        <w:trPr>
          <w:trHeight w:val="264"/>
        </w:trPr>
        <w:tc>
          <w:tcPr>
            <w:tcW w:w="6060" w:type="dxa"/>
            <w:vAlign w:val="bottom"/>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46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402"/>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423"/>
              <w:spacing w:after="0"/>
              <w:rPr>
                <w:sz w:val="20"/>
                <w:szCs w:val="20"/>
                <w:color w:val="auto"/>
              </w:rPr>
            </w:pPr>
            <w:r>
              <w:rPr>
                <w:rFonts w:ascii="Arial" w:cs="Arial" w:eastAsia="Arial" w:hAnsi="Arial"/>
                <w:sz w:val="14"/>
                <w:szCs w:val="14"/>
                <w:b w:val="1"/>
                <w:bCs w:val="1"/>
                <w:color w:val="auto"/>
              </w:rPr>
              <w:t>2017</w:t>
            </w:r>
          </w:p>
        </w:tc>
        <w:tc>
          <w:tcPr>
            <w:tcW w:w="52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400"/>
              <w:spacing w:after="0"/>
              <w:rPr>
                <w:sz w:val="20"/>
                <w:szCs w:val="20"/>
                <w:color w:val="auto"/>
              </w:rPr>
            </w:pPr>
            <w:r>
              <w:rPr>
                <w:rFonts w:ascii="Arial" w:cs="Arial" w:eastAsia="Arial" w:hAnsi="Arial"/>
                <w:sz w:val="14"/>
                <w:szCs w:val="14"/>
                <w:b w:val="1"/>
                <w:bCs w:val="1"/>
                <w:color w:val="auto"/>
                <w:w w:val="96"/>
              </w:rPr>
              <w:t>2016</w:t>
            </w:r>
          </w:p>
        </w:tc>
      </w:tr>
      <w:tr>
        <w:trPr>
          <w:trHeight w:val="250"/>
        </w:trPr>
        <w:tc>
          <w:tcPr>
            <w:tcW w:w="60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32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millions)</w:t>
            </w:r>
          </w:p>
        </w:tc>
        <w:tc>
          <w:tcPr>
            <w:tcW w:w="8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00" w:type="dxa"/>
            <w:vAlign w:val="bottom"/>
          </w:tcPr>
          <w:p>
            <w:pPr>
              <w:spacing w:after="0"/>
              <w:rPr>
                <w:sz w:val="21"/>
                <w:szCs w:val="21"/>
                <w:color w:val="auto"/>
              </w:rPr>
            </w:pPr>
          </w:p>
        </w:tc>
      </w:tr>
      <w:tr>
        <w:trPr>
          <w:trHeight w:val="256"/>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Estimated fair value of invested assets transferred to former affiliates</w:t>
            </w:r>
          </w:p>
        </w:tc>
        <w:tc>
          <w:tcPr>
            <w:tcW w:w="840" w:type="dxa"/>
            <w:vAlign w:val="bottom"/>
            <w:tcBorders>
              <w:bottom w:val="single" w:sz="8" w:color="CCEEFF"/>
            </w:tcBorders>
            <w:shd w:val="clear" w:color="auto" w:fill="CCEEFF"/>
          </w:tcPr>
          <w:p>
            <w:pPr>
              <w:jc w:val="right"/>
              <w:ind w:right="660"/>
              <w:spacing w:after="0"/>
              <w:rPr>
                <w:sz w:val="20"/>
                <w:szCs w:val="20"/>
                <w:color w:val="auto"/>
              </w:rPr>
            </w:pPr>
            <w:r>
              <w:rPr>
                <w:rFonts w:ascii="Arial" w:cs="Arial" w:eastAsia="Arial" w:hAnsi="Arial"/>
                <w:sz w:val="16"/>
                <w:szCs w:val="16"/>
                <w:color w:val="auto"/>
                <w:w w:val="89"/>
              </w:rPr>
              <w:t>$</w:t>
            </w:r>
          </w:p>
        </w:tc>
        <w:tc>
          <w:tcPr>
            <w:tcW w:w="4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w:t>
            </w:r>
          </w:p>
        </w:tc>
        <w:tc>
          <w:tcPr>
            <w:tcW w:w="54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596</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shd w:val="clear" w:color="auto" w:fill="CCEEFF"/>
          </w:tcPr>
          <w:p>
            <w:pPr>
              <w:jc w:val="right"/>
              <w:ind w:right="63"/>
              <w:spacing w:after="0"/>
              <w:rPr>
                <w:sz w:val="20"/>
                <w:szCs w:val="20"/>
                <w:color w:val="auto"/>
              </w:rPr>
            </w:pPr>
            <w:r>
              <w:rPr>
                <w:rFonts w:ascii="Arial" w:cs="Arial" w:eastAsia="Arial" w:hAnsi="Arial"/>
                <w:sz w:val="16"/>
                <w:szCs w:val="16"/>
                <w:color w:val="auto"/>
              </w:rPr>
              <w:t>292</w:t>
            </w:r>
          </w:p>
        </w:tc>
        <w:tc>
          <w:tcPr>
            <w:tcW w:w="52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755</w:t>
            </w:r>
          </w:p>
        </w:tc>
      </w:tr>
      <w:tr>
        <w:trPr>
          <w:trHeight w:val="237"/>
        </w:trPr>
        <w:tc>
          <w:tcPr>
            <w:tcW w:w="6060" w:type="dxa"/>
            <w:vAlign w:val="bottom"/>
          </w:tcPr>
          <w:p>
            <w:pPr>
              <w:ind w:left="40"/>
              <w:spacing w:after="0"/>
              <w:rPr>
                <w:sz w:val="20"/>
                <w:szCs w:val="20"/>
                <w:color w:val="auto"/>
              </w:rPr>
            </w:pPr>
            <w:r>
              <w:rPr>
                <w:rFonts w:ascii="Arial" w:cs="Arial" w:eastAsia="Arial" w:hAnsi="Arial"/>
                <w:sz w:val="16"/>
                <w:szCs w:val="16"/>
                <w:color w:val="auto"/>
              </w:rPr>
              <w:t>Amortized cost of invested assets transferred to former affiliates</w:t>
            </w:r>
          </w:p>
        </w:tc>
        <w:tc>
          <w:tcPr>
            <w:tcW w:w="840" w:type="dxa"/>
            <w:vAlign w:val="bottom"/>
          </w:tcPr>
          <w:p>
            <w:pPr>
              <w:jc w:val="right"/>
              <w:ind w:right="660"/>
              <w:spacing w:after="0"/>
              <w:rPr>
                <w:sz w:val="20"/>
                <w:szCs w:val="20"/>
                <w:color w:val="auto"/>
              </w:rPr>
            </w:pPr>
            <w:r>
              <w:rPr>
                <w:rFonts w:ascii="Arial" w:cs="Arial" w:eastAsia="Arial" w:hAnsi="Arial"/>
                <w:sz w:val="16"/>
                <w:szCs w:val="16"/>
                <w:color w:val="auto"/>
                <w:w w:val="89"/>
              </w:rPr>
              <w:t>$</w:t>
            </w:r>
          </w:p>
        </w:tc>
        <w:tc>
          <w:tcPr>
            <w:tcW w:w="460" w:type="dxa"/>
            <w:vAlign w:val="bottom"/>
          </w:tcPr>
          <w:p>
            <w:pPr>
              <w:ind w:left="160"/>
              <w:spacing w:after="0"/>
              <w:rPr>
                <w:sz w:val="20"/>
                <w:szCs w:val="20"/>
                <w:color w:val="auto"/>
              </w:rPr>
            </w:pPr>
            <w:r>
              <w:rPr>
                <w:rFonts w:ascii="Arial" w:cs="Arial" w:eastAsia="Arial" w:hAnsi="Arial"/>
                <w:sz w:val="16"/>
                <w:szCs w:val="16"/>
                <w:color w:val="auto"/>
              </w:rPr>
              <w:t>—</w:t>
            </w:r>
          </w:p>
        </w:tc>
        <w:tc>
          <w:tcPr>
            <w:tcW w:w="54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22"/>
              <w:spacing w:after="0"/>
              <w:rPr>
                <w:sz w:val="20"/>
                <w:szCs w:val="20"/>
                <w:color w:val="auto"/>
              </w:rPr>
            </w:pPr>
            <w:r>
              <w:rPr>
                <w:rFonts w:ascii="Arial" w:cs="Arial" w:eastAsia="Arial" w:hAnsi="Arial"/>
                <w:sz w:val="16"/>
                <w:szCs w:val="16"/>
                <w:color w:val="auto"/>
              </w:rPr>
              <w:t>558</w:t>
            </w:r>
          </w:p>
        </w:tc>
        <w:tc>
          <w:tcPr>
            <w:tcW w:w="100" w:type="dxa"/>
            <w:vAlign w:val="bottom"/>
          </w:tcPr>
          <w:p>
            <w:pPr>
              <w:spacing w:after="0"/>
              <w:rPr>
                <w:sz w:val="20"/>
                <w:szCs w:val="20"/>
                <w:color w:val="auto"/>
              </w:rPr>
            </w:pPr>
          </w:p>
        </w:tc>
        <w:tc>
          <w:tcPr>
            <w:tcW w:w="40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63"/>
              <w:spacing w:after="0"/>
              <w:rPr>
                <w:sz w:val="20"/>
                <w:szCs w:val="20"/>
                <w:color w:val="auto"/>
              </w:rPr>
            </w:pPr>
            <w:r>
              <w:rPr>
                <w:rFonts w:ascii="Arial" w:cs="Arial" w:eastAsia="Arial" w:hAnsi="Arial"/>
                <w:sz w:val="16"/>
                <w:szCs w:val="16"/>
                <w:color w:val="auto"/>
              </w:rPr>
              <w:t>294</w:t>
            </w:r>
          </w:p>
        </w:tc>
        <w:tc>
          <w:tcPr>
            <w:tcW w:w="520" w:type="dxa"/>
            <w:vAlign w:val="bottom"/>
          </w:tcPr>
          <w:p>
            <w:pPr>
              <w:jc w:val="right"/>
              <w:ind w:right="259"/>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20"/>
              <w:spacing w:after="0"/>
              <w:rPr>
                <w:sz w:val="20"/>
                <w:szCs w:val="20"/>
                <w:color w:val="auto"/>
              </w:rPr>
            </w:pPr>
            <w:r>
              <w:rPr>
                <w:rFonts w:ascii="Arial" w:cs="Arial" w:eastAsia="Arial" w:hAnsi="Arial"/>
                <w:sz w:val="16"/>
                <w:szCs w:val="16"/>
                <w:color w:val="auto"/>
              </w:rPr>
              <w:t>676</w:t>
            </w:r>
          </w:p>
        </w:tc>
      </w:tr>
      <w:tr>
        <w:trPr>
          <w:trHeight w:val="33"/>
        </w:trPr>
        <w:tc>
          <w:tcPr>
            <w:tcW w:w="6060" w:type="dxa"/>
            <w:vAlign w:val="bottom"/>
          </w:tcPr>
          <w:p>
            <w:pPr>
              <w:spacing w:after="0"/>
              <w:rPr>
                <w:sz w:val="2"/>
                <w:szCs w:val="2"/>
                <w:color w:val="auto"/>
              </w:rPr>
            </w:pPr>
          </w:p>
        </w:tc>
        <w:tc>
          <w:tcPr>
            <w:tcW w:w="840" w:type="dxa"/>
            <w:vAlign w:val="bottom"/>
          </w:tcPr>
          <w:p>
            <w:pPr>
              <w:spacing w:after="0"/>
              <w:rPr>
                <w:sz w:val="2"/>
                <w:szCs w:val="2"/>
                <w:color w:val="auto"/>
              </w:rPr>
            </w:pPr>
          </w:p>
        </w:tc>
        <w:tc>
          <w:tcPr>
            <w:tcW w:w="460" w:type="dxa"/>
            <w:vAlign w:val="bottom"/>
          </w:tcPr>
          <w:p>
            <w:pPr>
              <w:spacing w:after="0"/>
              <w:rPr>
                <w:sz w:val="2"/>
                <w:szCs w:val="2"/>
                <w:color w:val="auto"/>
              </w:rPr>
            </w:pPr>
          </w:p>
        </w:tc>
        <w:tc>
          <w:tcPr>
            <w:tcW w:w="5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8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investment gains (losses) recognized on transfers</w:t>
            </w:r>
          </w:p>
        </w:tc>
        <w:tc>
          <w:tcPr>
            <w:tcW w:w="840" w:type="dxa"/>
            <w:vAlign w:val="bottom"/>
            <w:tcBorders>
              <w:bottom w:val="single" w:sz="8" w:color="CCEEFF"/>
            </w:tcBorders>
            <w:shd w:val="clear" w:color="auto" w:fill="CCEEFF"/>
          </w:tcPr>
          <w:p>
            <w:pPr>
              <w:jc w:val="right"/>
              <w:ind w:right="660"/>
              <w:spacing w:after="0"/>
              <w:rPr>
                <w:sz w:val="20"/>
                <w:szCs w:val="20"/>
                <w:color w:val="auto"/>
              </w:rPr>
            </w:pPr>
            <w:r>
              <w:rPr>
                <w:rFonts w:ascii="Arial" w:cs="Arial" w:eastAsia="Arial" w:hAnsi="Arial"/>
                <w:sz w:val="16"/>
                <w:szCs w:val="16"/>
                <w:color w:val="auto"/>
                <w:w w:val="89"/>
              </w:rPr>
              <w:t>$</w:t>
            </w:r>
          </w:p>
        </w:tc>
        <w:tc>
          <w:tcPr>
            <w:tcW w:w="4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w:t>
            </w:r>
          </w:p>
        </w:tc>
        <w:tc>
          <w:tcPr>
            <w:tcW w:w="54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14</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shd w:val="clear" w:color="auto" w:fill="CCEEFF"/>
          </w:tcPr>
          <w:p>
            <w:pPr>
              <w:jc w:val="right"/>
              <w:ind w:right="3"/>
              <w:spacing w:after="0"/>
              <w:rPr>
                <w:sz w:val="20"/>
                <w:szCs w:val="20"/>
                <w:color w:val="auto"/>
              </w:rPr>
            </w:pPr>
            <w:r>
              <w:rPr>
                <w:rFonts w:ascii="Arial" w:cs="Arial" w:eastAsia="Arial" w:hAnsi="Arial"/>
                <w:sz w:val="16"/>
                <w:szCs w:val="16"/>
                <w:color w:val="auto"/>
              </w:rPr>
              <w:t>(2)</w:t>
            </w:r>
          </w:p>
        </w:tc>
        <w:tc>
          <w:tcPr>
            <w:tcW w:w="52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14</w:t>
            </w:r>
          </w:p>
        </w:tc>
      </w:tr>
      <w:tr>
        <w:trPr>
          <w:trHeight w:val="224"/>
        </w:trPr>
        <w:tc>
          <w:tcPr>
            <w:tcW w:w="6060" w:type="dxa"/>
            <w:vAlign w:val="bottom"/>
          </w:tcPr>
          <w:p>
            <w:pPr>
              <w:ind w:left="40"/>
              <w:spacing w:after="0"/>
              <w:rPr>
                <w:sz w:val="20"/>
                <w:szCs w:val="20"/>
                <w:color w:val="auto"/>
              </w:rPr>
            </w:pPr>
            <w:r>
              <w:rPr>
                <w:rFonts w:ascii="Arial" w:cs="Arial" w:eastAsia="Arial" w:hAnsi="Arial"/>
                <w:sz w:val="16"/>
                <w:szCs w:val="16"/>
                <w:color w:val="auto"/>
              </w:rPr>
              <w:t>Change in additional paid-in-capital recognized on transfers</w:t>
            </w:r>
          </w:p>
        </w:tc>
        <w:tc>
          <w:tcPr>
            <w:tcW w:w="840" w:type="dxa"/>
            <w:vAlign w:val="bottom"/>
          </w:tcPr>
          <w:p>
            <w:pPr>
              <w:jc w:val="right"/>
              <w:ind w:right="660"/>
              <w:spacing w:after="0"/>
              <w:rPr>
                <w:sz w:val="20"/>
                <w:szCs w:val="20"/>
                <w:color w:val="auto"/>
              </w:rPr>
            </w:pPr>
            <w:r>
              <w:rPr>
                <w:rFonts w:ascii="Arial" w:cs="Arial" w:eastAsia="Arial" w:hAnsi="Arial"/>
                <w:sz w:val="16"/>
                <w:szCs w:val="16"/>
                <w:color w:val="auto"/>
                <w:w w:val="89"/>
              </w:rPr>
              <w:t>$</w:t>
            </w:r>
          </w:p>
        </w:tc>
        <w:tc>
          <w:tcPr>
            <w:tcW w:w="460" w:type="dxa"/>
            <w:vAlign w:val="bottom"/>
          </w:tcPr>
          <w:p>
            <w:pPr>
              <w:ind w:left="160"/>
              <w:spacing w:after="0"/>
              <w:rPr>
                <w:sz w:val="20"/>
                <w:szCs w:val="20"/>
                <w:color w:val="auto"/>
              </w:rPr>
            </w:pPr>
            <w:r>
              <w:rPr>
                <w:rFonts w:ascii="Arial" w:cs="Arial" w:eastAsia="Arial" w:hAnsi="Arial"/>
                <w:sz w:val="16"/>
                <w:szCs w:val="16"/>
                <w:color w:val="auto"/>
              </w:rPr>
              <w:t>—</w:t>
            </w:r>
          </w:p>
        </w:tc>
        <w:tc>
          <w:tcPr>
            <w:tcW w:w="54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22"/>
              <w:spacing w:after="0"/>
              <w:rPr>
                <w:sz w:val="20"/>
                <w:szCs w:val="20"/>
                <w:color w:val="auto"/>
              </w:rPr>
            </w:pPr>
            <w:r>
              <w:rPr>
                <w:rFonts w:ascii="Arial" w:cs="Arial" w:eastAsia="Arial" w:hAnsi="Arial"/>
                <w:sz w:val="16"/>
                <w:szCs w:val="16"/>
                <w:color w:val="auto"/>
              </w:rPr>
              <w:t>25</w:t>
            </w:r>
          </w:p>
        </w:tc>
        <w:tc>
          <w:tcPr>
            <w:tcW w:w="100" w:type="dxa"/>
            <w:vAlign w:val="bottom"/>
          </w:tcPr>
          <w:p>
            <w:pPr>
              <w:spacing w:after="0"/>
              <w:rPr>
                <w:sz w:val="19"/>
                <w:szCs w:val="19"/>
                <w:color w:val="auto"/>
              </w:rPr>
            </w:pPr>
          </w:p>
        </w:tc>
        <w:tc>
          <w:tcPr>
            <w:tcW w:w="40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63"/>
              <w:spacing w:after="0"/>
              <w:rPr>
                <w:sz w:val="20"/>
                <w:szCs w:val="20"/>
                <w:color w:val="auto"/>
              </w:rPr>
            </w:pPr>
            <w:r>
              <w:rPr>
                <w:rFonts w:ascii="Arial" w:cs="Arial" w:eastAsia="Arial" w:hAnsi="Arial"/>
                <w:sz w:val="16"/>
                <w:szCs w:val="16"/>
                <w:color w:val="auto"/>
              </w:rPr>
              <w:t>—</w:t>
            </w:r>
          </w:p>
        </w:tc>
        <w:tc>
          <w:tcPr>
            <w:tcW w:w="520" w:type="dxa"/>
            <w:vAlign w:val="bottom"/>
          </w:tcPr>
          <w:p>
            <w:pPr>
              <w:jc w:val="right"/>
              <w:ind w:right="259"/>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20"/>
              <w:spacing w:after="0"/>
              <w:rPr>
                <w:sz w:val="20"/>
                <w:szCs w:val="20"/>
                <w:color w:val="auto"/>
              </w:rPr>
            </w:pPr>
            <w:r>
              <w:rPr>
                <w:rFonts w:ascii="Arial" w:cs="Arial" w:eastAsia="Arial" w:hAnsi="Arial"/>
                <w:sz w:val="16"/>
                <w:szCs w:val="16"/>
                <w:color w:val="auto"/>
              </w:rPr>
              <w:t>65</w:t>
            </w:r>
          </w:p>
        </w:tc>
      </w:tr>
      <w:tr>
        <w:trPr>
          <w:trHeight w:val="33"/>
        </w:trPr>
        <w:tc>
          <w:tcPr>
            <w:tcW w:w="6060" w:type="dxa"/>
            <w:vAlign w:val="bottom"/>
          </w:tcPr>
          <w:p>
            <w:pPr>
              <w:spacing w:after="0"/>
              <w:rPr>
                <w:sz w:val="2"/>
                <w:szCs w:val="2"/>
                <w:color w:val="auto"/>
              </w:rPr>
            </w:pPr>
          </w:p>
        </w:tc>
        <w:tc>
          <w:tcPr>
            <w:tcW w:w="840" w:type="dxa"/>
            <w:vAlign w:val="bottom"/>
          </w:tcPr>
          <w:p>
            <w:pPr>
              <w:spacing w:after="0"/>
              <w:rPr>
                <w:sz w:val="2"/>
                <w:szCs w:val="2"/>
                <w:color w:val="auto"/>
              </w:rPr>
            </w:pPr>
          </w:p>
        </w:tc>
        <w:tc>
          <w:tcPr>
            <w:tcW w:w="460" w:type="dxa"/>
            <w:vAlign w:val="bottom"/>
          </w:tcPr>
          <w:p>
            <w:pPr>
              <w:spacing w:after="0"/>
              <w:rPr>
                <w:sz w:val="2"/>
                <w:szCs w:val="2"/>
                <w:color w:val="auto"/>
              </w:rPr>
            </w:pPr>
          </w:p>
        </w:tc>
        <w:tc>
          <w:tcPr>
            <w:tcW w:w="5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8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37"/>
        </w:trPr>
        <w:tc>
          <w:tcPr>
            <w:tcW w:w="6060" w:type="dxa"/>
            <w:vAlign w:val="bottom"/>
            <w:shd w:val="clear" w:color="auto" w:fill="CCEEFF"/>
          </w:tcPr>
          <w:p>
            <w:pPr>
              <w:ind w:left="40"/>
              <w:spacing w:after="0"/>
              <w:rPr>
                <w:sz w:val="20"/>
                <w:szCs w:val="20"/>
                <w:color w:val="auto"/>
              </w:rPr>
            </w:pPr>
            <w:r>
              <w:rPr>
                <w:rFonts w:ascii="Arial" w:cs="Arial" w:eastAsia="Arial" w:hAnsi="Arial"/>
                <w:sz w:val="16"/>
                <w:szCs w:val="16"/>
                <w:color w:val="auto"/>
              </w:rPr>
              <w:t>Estimated fair value of invested assets transferred from former affiliates</w:t>
            </w:r>
          </w:p>
        </w:tc>
        <w:tc>
          <w:tcPr>
            <w:tcW w:w="840" w:type="dxa"/>
            <w:vAlign w:val="bottom"/>
            <w:shd w:val="clear" w:color="auto" w:fill="CCEEFF"/>
          </w:tcPr>
          <w:p>
            <w:pPr>
              <w:jc w:val="right"/>
              <w:ind w:right="660"/>
              <w:spacing w:after="0"/>
              <w:rPr>
                <w:sz w:val="20"/>
                <w:szCs w:val="20"/>
                <w:color w:val="auto"/>
              </w:rPr>
            </w:pPr>
            <w:r>
              <w:rPr>
                <w:rFonts w:ascii="Arial" w:cs="Arial" w:eastAsia="Arial" w:hAnsi="Arial"/>
                <w:sz w:val="16"/>
                <w:szCs w:val="16"/>
                <w:color w:val="auto"/>
                <w:w w:val="89"/>
              </w:rPr>
              <w:t>$</w:t>
            </w:r>
          </w:p>
        </w:tc>
        <w:tc>
          <w:tcPr>
            <w:tcW w:w="460" w:type="dxa"/>
            <w:vAlign w:val="bottom"/>
            <w:shd w:val="clear" w:color="auto" w:fill="CCEEFF"/>
          </w:tcPr>
          <w:p>
            <w:pPr>
              <w:ind w:left="160"/>
              <w:spacing w:after="0"/>
              <w:rPr>
                <w:sz w:val="20"/>
                <w:szCs w:val="20"/>
                <w:color w:val="auto"/>
              </w:rPr>
            </w:pPr>
            <w:r>
              <w:rPr>
                <w:rFonts w:ascii="Arial" w:cs="Arial" w:eastAsia="Arial" w:hAnsi="Arial"/>
                <w:sz w:val="16"/>
                <w:szCs w:val="16"/>
                <w:color w:val="auto"/>
              </w:rPr>
              <w:t>—</w:t>
            </w:r>
          </w:p>
        </w:tc>
        <w:tc>
          <w:tcPr>
            <w:tcW w:w="54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484</w:t>
            </w: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ind w:right="63"/>
              <w:spacing w:after="0"/>
              <w:rPr>
                <w:sz w:val="20"/>
                <w:szCs w:val="20"/>
                <w:color w:val="auto"/>
              </w:rPr>
            </w:pPr>
            <w:r>
              <w:rPr>
                <w:rFonts w:ascii="Arial" w:cs="Arial" w:eastAsia="Arial" w:hAnsi="Arial"/>
                <w:sz w:val="16"/>
                <w:szCs w:val="16"/>
                <w:color w:val="auto"/>
              </w:rPr>
              <w:t>—</w:t>
            </w:r>
          </w:p>
        </w:tc>
        <w:tc>
          <w:tcPr>
            <w:tcW w:w="520" w:type="dxa"/>
            <w:vAlign w:val="bottom"/>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4,763</w:t>
            </w:r>
          </w:p>
        </w:tc>
      </w:tr>
      <w:tr>
        <w:trPr>
          <w:trHeight w:val="33"/>
        </w:trPr>
        <w:tc>
          <w:tcPr>
            <w:tcW w:w="606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r>
    </w:tbl>
    <w:p>
      <w:pPr>
        <w:spacing w:after="0" w:line="94"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color w:val="auto"/>
        </w:rPr>
        <w:t>In April 2016, the Company received a transfer of investments and cash and cash equivalents of $4.3 billion for the recapture of risks related to certain single premium deferred annuity contracts previously reinsured to Metropolitan Life Insurance Company (“MLIC”), a former affiliate, which are included in the table above. See Note 6 of the Notes to the Combined Financial Statements included in the Form 10 for additional information related to the transfer.</w:t>
      </w:r>
    </w:p>
    <w:p>
      <w:pPr>
        <w:spacing w:after="0" w:line="39" w:lineRule="exact"/>
        <w:rPr>
          <w:sz w:val="20"/>
          <w:szCs w:val="20"/>
          <w:color w:val="auto"/>
        </w:rPr>
      </w:pPr>
    </w:p>
    <w:p>
      <w:pPr>
        <w:jc w:val="both"/>
        <w:ind w:right="20" w:firstLine="324"/>
        <w:spacing w:after="0" w:line="264" w:lineRule="auto"/>
        <w:rPr>
          <w:sz w:val="20"/>
          <w:szCs w:val="20"/>
          <w:color w:val="auto"/>
        </w:rPr>
      </w:pPr>
      <w:r>
        <w:rPr>
          <w:rFonts w:ascii="Arial" w:cs="Arial" w:eastAsia="Arial" w:hAnsi="Arial"/>
          <w:sz w:val="18"/>
          <w:szCs w:val="18"/>
          <w:color w:val="auto"/>
        </w:rPr>
        <w:t>The Company had loans outstanding to MetLife, Inc., which were included in other invested assets, totaling $1.1 billion at December 31, 2016. These loans were carried at fixed interest rates of 4.21% and 5.10%, payable semiannually, and were due on September 30, 2032 and December 31, 2033, respectively. In April 2017, the two loans were repaid. See Note 7.</w:t>
      </w:r>
    </w:p>
    <w:p>
      <w:pPr>
        <w:spacing w:after="0" w:line="73"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Company receives investment administrative services from MLIC. The related investment administrative service charges were $22 million and $71 million for the three months and nine months ended September 30, 2017, respectively, and $25 million and $74 million for the three months and nine months ended September 30, 2016, respectively.</w:t>
      </w:r>
    </w:p>
    <w:p>
      <w:pPr>
        <w:spacing w:after="0" w:line="73"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In January 2017, MLIC recaptured risks related to guaranteed minimum benefit guarantees on certain variable annuities being reinsured by the Company. The Company transferred investments and cash and cash equivalents which are included in the table above. See Note 12 for additional information related to the transfer.</w:t>
      </w:r>
    </w:p>
    <w:p>
      <w:pPr>
        <w:spacing w:after="0" w:line="73"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In March 2017, the Company sold an operating joint venture with a book value of $89 million to MLIC for $286 million. The operating joint venture was accounted for under the equity method and included in other invested assets. This sale resulted in an increase in additional paid-in capital of $202 million in the first quarter of 2017.</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Derivatives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Accounting for Derivatives</w:t>
      </w:r>
    </w:p>
    <w:p>
      <w:pPr>
        <w:spacing w:after="0" w:line="11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Freestanding Derivatives</w:t>
      </w:r>
    </w:p>
    <w:p>
      <w:pPr>
        <w:spacing w:after="0" w:line="117" w:lineRule="exact"/>
        <w:rPr>
          <w:sz w:val="20"/>
          <w:szCs w:val="20"/>
          <w:color w:val="auto"/>
        </w:rPr>
      </w:pPr>
    </w:p>
    <w:p>
      <w:pPr>
        <w:jc w:val="both"/>
        <w:ind w:left="180" w:firstLine="324"/>
        <w:spacing w:after="0" w:line="264" w:lineRule="auto"/>
        <w:rPr>
          <w:sz w:val="20"/>
          <w:szCs w:val="20"/>
          <w:color w:val="auto"/>
        </w:rPr>
      </w:pPr>
      <w:r>
        <w:rPr>
          <w:rFonts w:ascii="Arial" w:cs="Arial" w:eastAsia="Arial" w:hAnsi="Arial"/>
          <w:sz w:val="18"/>
          <w:szCs w:val="18"/>
          <w:color w:val="auto"/>
        </w:rPr>
        <w:t>Freestanding derivatives are carried on the Company’s balance sheet either as assets within other invested assets or as liabilities within other liabilities at estimated fair value. The Company does not offset the estimated fair value amounts recognized for derivatives executed with the same counterparty under the same master netting agreement.</w:t>
      </w:r>
    </w:p>
    <w:p>
      <w:pPr>
        <w:spacing w:after="0" w:line="73" w:lineRule="exact"/>
        <w:rPr>
          <w:sz w:val="20"/>
          <w:szCs w:val="20"/>
          <w:color w:val="auto"/>
        </w:rPr>
      </w:pPr>
    </w:p>
    <w:p>
      <w:pPr>
        <w:jc w:val="both"/>
        <w:ind w:left="180" w:firstLine="324"/>
        <w:spacing w:after="0" w:line="277" w:lineRule="auto"/>
        <w:rPr>
          <w:sz w:val="20"/>
          <w:szCs w:val="20"/>
          <w:color w:val="auto"/>
        </w:rPr>
      </w:pPr>
      <w:r>
        <w:rPr>
          <w:rFonts w:ascii="Arial" w:cs="Arial" w:eastAsia="Arial" w:hAnsi="Arial"/>
          <w:sz w:val="18"/>
          <w:szCs w:val="18"/>
          <w:color w:val="auto"/>
        </w:rPr>
        <w:t>Accruals on derivatives are generally recorded in accrued investment income or within other liabilities. However, accruals that are not scheduled to settle within one year are included with the derivatives carrying value in other invested assets or other liabilities.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234" w:right="239" w:bottom="1440" w:gutter="0" w:footer="0" w:header="0"/>
        </w:sectPr>
      </w:pPr>
    </w:p>
    <w:bookmarkStart w:id="31" w:name="page32"/>
    <w:bookmarkEnd w:id="31"/>
    <w:p>
      <w:pPr>
        <w:ind w:left="340"/>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109" w:lineRule="exact"/>
        <w:rPr>
          <w:sz w:val="20"/>
          <w:szCs w:val="20"/>
          <w:color w:val="auto"/>
        </w:rPr>
      </w:pPr>
    </w:p>
    <w:p>
      <w:pPr>
        <w:ind w:left="4840"/>
        <w:spacing w:after="0"/>
        <w:rPr>
          <w:sz w:val="20"/>
          <w:szCs w:val="20"/>
          <w:color w:val="auto"/>
        </w:rPr>
      </w:pPr>
      <w:r>
        <w:rPr>
          <w:rFonts w:ascii="Arial" w:cs="Arial" w:eastAsia="Arial" w:hAnsi="Arial"/>
          <w:sz w:val="18"/>
          <w:szCs w:val="18"/>
          <w:b w:val="1"/>
          <w:bCs w:val="1"/>
          <w:color w:val="auto"/>
        </w:rPr>
        <w:t>Brighthouse Financial, Inc.</w:t>
      </w:r>
    </w:p>
    <w:p>
      <w:pPr>
        <w:spacing w:after="0" w:line="117" w:lineRule="exact"/>
        <w:rPr>
          <w:sz w:val="20"/>
          <w:szCs w:val="20"/>
          <w:color w:val="auto"/>
        </w:rPr>
      </w:pPr>
    </w:p>
    <w:p>
      <w:pPr>
        <w:ind w:left="1640"/>
        <w:spacing w:after="0"/>
        <w:rPr>
          <w:sz w:val="20"/>
          <w:szCs w:val="20"/>
          <w:color w:val="auto"/>
        </w:rPr>
      </w:pPr>
      <w:r>
        <w:rPr>
          <w:rFonts w:ascii="Arial" w:cs="Arial" w:eastAsia="Arial" w:hAnsi="Arial"/>
          <w:sz w:val="18"/>
          <w:szCs w:val="18"/>
          <w:b w:val="1"/>
          <w:bCs w:val="1"/>
          <w:color w:val="auto"/>
        </w:rPr>
        <w:t>Notes to the Interim Condensed Consolidated and Combined Financial Statements (Unaudited) — (continued)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Derivatives (continued)</w:t>
      </w:r>
    </w:p>
    <w:p>
      <w:pPr>
        <w:spacing w:after="0" w:line="364" w:lineRule="exact"/>
        <w:rPr>
          <w:sz w:val="20"/>
          <w:szCs w:val="20"/>
          <w:color w:val="auto"/>
        </w:rPr>
      </w:pPr>
    </w:p>
    <w:p>
      <w:pPr>
        <w:jc w:val="both"/>
        <w:ind w:left="180" w:right="20" w:firstLine="324"/>
        <w:spacing w:after="0" w:line="277" w:lineRule="auto"/>
        <w:rPr>
          <w:sz w:val="20"/>
          <w:szCs w:val="20"/>
          <w:color w:val="auto"/>
        </w:rPr>
      </w:pPr>
      <w:r>
        <w:rPr>
          <w:rFonts w:ascii="Arial" w:cs="Arial" w:eastAsia="Arial" w:hAnsi="Arial"/>
          <w:sz w:val="18"/>
          <w:szCs w:val="18"/>
          <w:color w:val="auto"/>
        </w:rPr>
        <w:t>If a derivative is not designated as an accounting hedge or its use in managing risk does not qualify for hedge accounting, changes in the estimated fair value of the derivative are reported in net derivative gains (losses) except as follows:</w:t>
      </w:r>
    </w:p>
    <w:p>
      <w:pPr>
        <w:spacing w:after="0" w:line="192" w:lineRule="exact"/>
        <w:rPr>
          <w:sz w:val="20"/>
          <w:szCs w:val="20"/>
          <w:color w:val="auto"/>
        </w:rPr>
      </w:pPr>
    </w:p>
    <w:tbl>
      <w:tblPr>
        <w:tblLayout w:type="fixed"/>
        <w:tblInd w:w="10" w:type="dxa"/>
        <w:tblCellMar>
          <w:top w:w="0" w:type="dxa"/>
          <w:left w:w="0" w:type="dxa"/>
          <w:bottom w:w="0" w:type="dxa"/>
          <w:right w:w="0" w:type="dxa"/>
        </w:tblCellMar>
      </w:tblPr>
      <w:tr>
        <w:trPr>
          <w:trHeight w:val="257"/>
        </w:trPr>
        <w:tc>
          <w:tcPr>
            <w:tcW w:w="552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Statement of Operations Presentation:</w:t>
            </w:r>
          </w:p>
        </w:tc>
        <w:tc>
          <w:tcPr>
            <w:tcW w:w="5920" w:type="dxa"/>
            <w:vAlign w:val="bottom"/>
            <w:tcBorders>
              <w:top w:val="single" w:sz="8" w:color="auto"/>
              <w:right w:val="single" w:sz="8" w:color="auto"/>
            </w:tcBorders>
            <w:gridSpan w:val="2"/>
          </w:tcPr>
          <w:p>
            <w:pPr>
              <w:ind w:left="20"/>
              <w:spacing w:after="0"/>
              <w:rPr>
                <w:sz w:val="20"/>
                <w:szCs w:val="20"/>
                <w:color w:val="auto"/>
              </w:rPr>
            </w:pPr>
            <w:r>
              <w:rPr>
                <w:rFonts w:ascii="Arial" w:cs="Arial" w:eastAsia="Arial" w:hAnsi="Arial"/>
                <w:sz w:val="18"/>
                <w:szCs w:val="18"/>
                <w:color w:val="auto"/>
              </w:rPr>
              <w:t>Derivative:</w:t>
            </w:r>
          </w:p>
        </w:tc>
      </w:tr>
      <w:tr>
        <w:trPr>
          <w:trHeight w:val="27"/>
        </w:trPr>
        <w:tc>
          <w:tcPr>
            <w:tcW w:w="5520" w:type="dxa"/>
            <w:vAlign w:val="bottom"/>
            <w:tcBorders>
              <w:left w:val="single" w:sz="8" w:color="auto"/>
              <w:bottom w:val="single" w:sz="8" w:color="auto"/>
              <w:right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5660" w:type="dxa"/>
            <w:vAlign w:val="bottom"/>
            <w:tcBorders>
              <w:bottom w:val="single" w:sz="8" w:color="auto"/>
              <w:right w:val="single" w:sz="8" w:color="auto"/>
            </w:tcBorders>
          </w:tcPr>
          <w:p>
            <w:pPr>
              <w:spacing w:after="0"/>
              <w:rPr>
                <w:sz w:val="2"/>
                <w:szCs w:val="2"/>
                <w:color w:val="auto"/>
              </w:rPr>
            </w:pPr>
          </w:p>
        </w:tc>
      </w:tr>
      <w:tr>
        <w:trPr>
          <w:trHeight w:val="222"/>
        </w:trPr>
        <w:tc>
          <w:tcPr>
            <w:tcW w:w="55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Policyholder benefits and claims</w:t>
            </w:r>
          </w:p>
        </w:tc>
        <w:tc>
          <w:tcPr>
            <w:tcW w:w="260" w:type="dxa"/>
            <w:vAlign w:val="bottom"/>
          </w:tcPr>
          <w:p>
            <w:pPr>
              <w:ind w:left="120"/>
              <w:spacing w:after="0"/>
              <w:rPr>
                <w:sz w:val="20"/>
                <w:szCs w:val="20"/>
                <w:color w:val="auto"/>
              </w:rPr>
            </w:pPr>
            <w:r>
              <w:rPr>
                <w:rFonts w:ascii="Arial" w:cs="Arial" w:eastAsia="Arial" w:hAnsi="Arial"/>
                <w:sz w:val="18"/>
                <w:szCs w:val="18"/>
                <w:color w:val="auto"/>
              </w:rPr>
              <w:t>•</w:t>
            </w:r>
          </w:p>
        </w:tc>
        <w:tc>
          <w:tcPr>
            <w:tcW w:w="566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w w:val="95"/>
              </w:rPr>
              <w:t>Economic hedges of variable annuity guarantees included in future policy</w:t>
            </w:r>
          </w:p>
        </w:tc>
      </w:tr>
      <w:tr>
        <w:trPr>
          <w:trHeight w:val="230"/>
        </w:trPr>
        <w:tc>
          <w:tcPr>
            <w:tcW w:w="5520" w:type="dxa"/>
            <w:vAlign w:val="bottom"/>
            <w:tcBorders>
              <w:left w:val="single" w:sz="8" w:color="auto"/>
              <w:right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5660" w:type="dxa"/>
            <w:vAlign w:val="bottom"/>
            <w:tcBorders>
              <w:right w:val="single" w:sz="8" w:color="auto"/>
            </w:tcBorders>
          </w:tcPr>
          <w:p>
            <w:pPr>
              <w:ind w:left="240"/>
              <w:spacing w:after="0"/>
              <w:rPr>
                <w:sz w:val="20"/>
                <w:szCs w:val="20"/>
                <w:color w:val="auto"/>
              </w:rPr>
            </w:pPr>
            <w:r>
              <w:rPr>
                <w:rFonts w:ascii="Arial" w:cs="Arial" w:eastAsia="Arial" w:hAnsi="Arial"/>
                <w:sz w:val="18"/>
                <w:szCs w:val="18"/>
                <w:color w:val="auto"/>
              </w:rPr>
              <w:t>benefits</w:t>
            </w:r>
          </w:p>
        </w:tc>
      </w:tr>
      <w:tr>
        <w:trPr>
          <w:trHeight w:val="27"/>
        </w:trPr>
        <w:tc>
          <w:tcPr>
            <w:tcW w:w="5520" w:type="dxa"/>
            <w:vAlign w:val="bottom"/>
            <w:tcBorders>
              <w:left w:val="single" w:sz="8" w:color="auto"/>
              <w:bottom w:val="single" w:sz="8" w:color="auto"/>
              <w:right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5660" w:type="dxa"/>
            <w:vAlign w:val="bottom"/>
            <w:tcBorders>
              <w:bottom w:val="single" w:sz="8" w:color="auto"/>
              <w:right w:val="single" w:sz="8" w:color="auto"/>
            </w:tcBorders>
          </w:tcPr>
          <w:p>
            <w:pPr>
              <w:spacing w:after="0"/>
              <w:rPr>
                <w:sz w:val="2"/>
                <w:szCs w:val="2"/>
                <w:color w:val="auto"/>
              </w:rPr>
            </w:pPr>
          </w:p>
        </w:tc>
      </w:tr>
      <w:tr>
        <w:trPr>
          <w:trHeight w:val="237"/>
        </w:trPr>
        <w:tc>
          <w:tcPr>
            <w:tcW w:w="55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Net investment income</w:t>
            </w:r>
          </w:p>
        </w:tc>
        <w:tc>
          <w:tcPr>
            <w:tcW w:w="260" w:type="dxa"/>
            <w:vAlign w:val="bottom"/>
          </w:tcPr>
          <w:p>
            <w:pPr>
              <w:ind w:left="120"/>
              <w:spacing w:after="0"/>
              <w:rPr>
                <w:sz w:val="20"/>
                <w:szCs w:val="20"/>
                <w:color w:val="auto"/>
              </w:rPr>
            </w:pPr>
            <w:r>
              <w:rPr>
                <w:rFonts w:ascii="Arial" w:cs="Arial" w:eastAsia="Arial" w:hAnsi="Arial"/>
                <w:sz w:val="18"/>
                <w:szCs w:val="18"/>
                <w:color w:val="auto"/>
              </w:rPr>
              <w:t>•</w:t>
            </w:r>
          </w:p>
        </w:tc>
        <w:tc>
          <w:tcPr>
            <w:tcW w:w="566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Economic hedges of equity method investments in joint ventures</w:t>
            </w:r>
          </w:p>
        </w:tc>
      </w:tr>
      <w:tr>
        <w:trPr>
          <w:trHeight w:val="27"/>
        </w:trPr>
        <w:tc>
          <w:tcPr>
            <w:tcW w:w="5520" w:type="dxa"/>
            <w:vAlign w:val="bottom"/>
            <w:tcBorders>
              <w:left w:val="single" w:sz="8" w:color="auto"/>
              <w:bottom w:val="single" w:sz="8" w:color="auto"/>
              <w:right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5660" w:type="dxa"/>
            <w:vAlign w:val="bottom"/>
            <w:tcBorders>
              <w:bottom w:val="single" w:sz="8" w:color="auto"/>
              <w:right w:val="single" w:sz="8" w:color="auto"/>
            </w:tcBorders>
          </w:tcPr>
          <w:p>
            <w:pPr>
              <w:spacing w:after="0"/>
              <w:rPr>
                <w:sz w:val="2"/>
                <w:szCs w:val="2"/>
                <w:color w:val="auto"/>
              </w:rPr>
            </w:pPr>
          </w:p>
        </w:tc>
      </w:tr>
    </w:tbl>
    <w:p>
      <w:pPr>
        <w:spacing w:after="0" w:line="94"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Hedge Accounting</w:t>
      </w:r>
    </w:p>
    <w:p>
      <w:pPr>
        <w:spacing w:after="0" w:line="117" w:lineRule="exact"/>
        <w:rPr>
          <w:sz w:val="20"/>
          <w:szCs w:val="20"/>
          <w:color w:val="auto"/>
        </w:rPr>
      </w:pPr>
    </w:p>
    <w:p>
      <w:pPr>
        <w:jc w:val="both"/>
        <w:ind w:left="180" w:right="20" w:firstLine="324"/>
        <w:spacing w:after="0" w:line="264" w:lineRule="auto"/>
        <w:rPr>
          <w:sz w:val="20"/>
          <w:szCs w:val="20"/>
          <w:color w:val="auto"/>
        </w:rPr>
      </w:pPr>
      <w:r>
        <w:rPr>
          <w:rFonts w:ascii="Arial" w:cs="Arial" w:eastAsia="Arial" w:hAnsi="Arial"/>
          <w:sz w:val="18"/>
          <w:szCs w:val="18"/>
          <w:color w:val="auto"/>
        </w:rPr>
        <w:t>To qualify for hedge accounting, at the inception of the hedging relationship, the Company formally documents its risk management objective and strategy for undertaking the hedging transaction, as well as its designation of the hedge. Hedge designation and financial statement presentation of changes in estimated fair value of the hedging derivatives are as follows:</w:t>
      </w:r>
    </w:p>
    <w:p>
      <w:pPr>
        <w:spacing w:after="0" w:line="73" w:lineRule="exact"/>
        <w:rPr>
          <w:sz w:val="20"/>
          <w:szCs w:val="20"/>
          <w:color w:val="auto"/>
        </w:rPr>
      </w:pPr>
    </w:p>
    <w:p>
      <w:pPr>
        <w:ind w:left="820" w:right="40" w:hanging="326"/>
        <w:spacing w:after="0" w:line="277" w:lineRule="auto"/>
        <w:tabs>
          <w:tab w:leader="none" w:pos="820" w:val="left"/>
        </w:tabs>
        <w:numPr>
          <w:ilvl w:val="0"/>
          <w:numId w:val="17"/>
        </w:numPr>
        <w:rPr>
          <w:rFonts w:ascii="Arial" w:cs="Arial" w:eastAsia="Arial" w:hAnsi="Arial"/>
          <w:sz w:val="18"/>
          <w:szCs w:val="18"/>
          <w:color w:val="auto"/>
        </w:rPr>
      </w:pPr>
      <w:r>
        <w:rPr>
          <w:rFonts w:ascii="Arial" w:cs="Arial" w:eastAsia="Arial" w:hAnsi="Arial"/>
          <w:sz w:val="18"/>
          <w:szCs w:val="18"/>
          <w:u w:val="single" w:color="auto"/>
          <w:color w:val="auto"/>
        </w:rPr>
        <w:t>Fair value hedge</w:t>
      </w:r>
      <w:r>
        <w:rPr>
          <w:rFonts w:ascii="Arial" w:cs="Arial" w:eastAsia="Arial" w:hAnsi="Arial"/>
          <w:sz w:val="18"/>
          <w:szCs w:val="18"/>
          <w:color w:val="auto"/>
        </w:rPr>
        <w:t xml:space="preserve"> (a hedge of the estimated fair value of a recognized asset or liability) — in net derivative gains (losses), consistent with the change in estimated fair value of the hedged item attributable to the designated risk being hedged.</w:t>
      </w:r>
    </w:p>
    <w:p>
      <w:pPr>
        <w:spacing w:after="0" w:line="62" w:lineRule="exact"/>
        <w:rPr>
          <w:rFonts w:ascii="Arial" w:cs="Arial" w:eastAsia="Arial" w:hAnsi="Arial"/>
          <w:sz w:val="18"/>
          <w:szCs w:val="18"/>
          <w:color w:val="auto"/>
        </w:rPr>
      </w:pPr>
    </w:p>
    <w:p>
      <w:pPr>
        <w:jc w:val="both"/>
        <w:ind w:left="820" w:right="20" w:hanging="326"/>
        <w:spacing w:after="0" w:line="286" w:lineRule="auto"/>
        <w:tabs>
          <w:tab w:leader="none" w:pos="820" w:val="left"/>
        </w:tabs>
        <w:numPr>
          <w:ilvl w:val="0"/>
          <w:numId w:val="17"/>
        </w:numPr>
        <w:rPr>
          <w:rFonts w:ascii="Arial" w:cs="Arial" w:eastAsia="Arial" w:hAnsi="Arial"/>
          <w:sz w:val="17"/>
          <w:szCs w:val="17"/>
          <w:color w:val="auto"/>
        </w:rPr>
      </w:pPr>
      <w:r>
        <w:rPr>
          <w:rFonts w:ascii="Arial" w:cs="Arial" w:eastAsia="Arial" w:hAnsi="Arial"/>
          <w:sz w:val="17"/>
          <w:szCs w:val="17"/>
          <w:u w:val="single" w:color="auto"/>
          <w:color w:val="auto"/>
        </w:rPr>
        <w:t>Cash flow hedge</w:t>
      </w:r>
      <w:r>
        <w:rPr>
          <w:rFonts w:ascii="Arial" w:cs="Arial" w:eastAsia="Arial" w:hAnsi="Arial"/>
          <w:sz w:val="17"/>
          <w:szCs w:val="17"/>
          <w:color w:val="auto"/>
        </w:rPr>
        <w:t xml:space="preserve"> (a hedge of a forecasted transaction or of the variability of cash flows to be received or paid related to a recognized asset or liability) — effectiveness in OCI (deferred gains or losses on the derivative are reclassified into the statement of operations when the Company’s earnings are affected by the variability in cash flows of the hedged item); ineffectiveness in net derivative gains (losses).</w:t>
      </w:r>
    </w:p>
    <w:p>
      <w:pPr>
        <w:spacing w:after="0" w:line="57" w:lineRule="exact"/>
        <w:rPr>
          <w:sz w:val="20"/>
          <w:szCs w:val="20"/>
          <w:color w:val="auto"/>
        </w:rPr>
      </w:pPr>
    </w:p>
    <w:p>
      <w:pPr>
        <w:jc w:val="both"/>
        <w:ind w:left="180" w:right="20" w:firstLine="324"/>
        <w:spacing w:after="0" w:line="277" w:lineRule="auto"/>
        <w:rPr>
          <w:sz w:val="20"/>
          <w:szCs w:val="20"/>
          <w:color w:val="auto"/>
        </w:rPr>
      </w:pPr>
      <w:r>
        <w:rPr>
          <w:rFonts w:ascii="Arial" w:cs="Arial" w:eastAsia="Arial" w:hAnsi="Arial"/>
          <w:sz w:val="18"/>
          <w:szCs w:val="18"/>
          <w:color w:val="auto"/>
        </w:rPr>
        <w:t>The changes in estimated fair values of the hedging derivatives are exclusive of any accruals that are separately reported on the statement of operations within interest income or interest expense to match the location of the hedged item.</w:t>
      </w:r>
    </w:p>
    <w:p>
      <w:pPr>
        <w:spacing w:after="0" w:line="62" w:lineRule="exact"/>
        <w:rPr>
          <w:sz w:val="20"/>
          <w:szCs w:val="20"/>
          <w:color w:val="auto"/>
        </w:rPr>
      </w:pPr>
    </w:p>
    <w:p>
      <w:pPr>
        <w:jc w:val="both"/>
        <w:ind w:left="180" w:right="20" w:firstLine="324"/>
        <w:spacing w:after="0" w:line="273" w:lineRule="auto"/>
        <w:rPr>
          <w:sz w:val="20"/>
          <w:szCs w:val="20"/>
          <w:color w:val="auto"/>
        </w:rPr>
      </w:pPr>
      <w:r>
        <w:rPr>
          <w:rFonts w:ascii="Arial" w:cs="Arial" w:eastAsia="Arial" w:hAnsi="Arial"/>
          <w:sz w:val="17"/>
          <w:szCs w:val="17"/>
          <w:color w:val="auto"/>
        </w:rPr>
        <w:t>In its hedge documentation, the Company sets forth how the hedging instrument is expected to hedge the designated risks related to the hedged item and sets forth the method that will be used to retrospectively and prospectively assess the hedging instrument’s effectiveness and the method that will be used to measure ineffectiveness. A derivative designated as a hedging instrument must be assessed as being highly effective in offsetting the designated risk of the hedged item. Hedge effectiveness is formally assessed at inception and at least quarterly throughout the life of the designated hedging relationship. Assessments of hedge effectiveness and measurements of ineffectiveness are also subject to interpretation and estimation and different interpretations or estimates may have a material effect on the amount reported in net income.</w:t>
      </w:r>
    </w:p>
    <w:p>
      <w:pPr>
        <w:spacing w:after="0" w:line="70" w:lineRule="exact"/>
        <w:rPr>
          <w:sz w:val="20"/>
          <w:szCs w:val="20"/>
          <w:color w:val="auto"/>
        </w:rPr>
      </w:pPr>
    </w:p>
    <w:p>
      <w:pPr>
        <w:jc w:val="both"/>
        <w:ind w:left="180" w:right="20" w:firstLine="324"/>
        <w:spacing w:after="0" w:line="264" w:lineRule="auto"/>
        <w:rPr>
          <w:sz w:val="20"/>
          <w:szCs w:val="20"/>
          <w:color w:val="auto"/>
        </w:rPr>
      </w:pPr>
      <w:r>
        <w:rPr>
          <w:rFonts w:ascii="Arial" w:cs="Arial" w:eastAsia="Arial" w:hAnsi="Arial"/>
          <w:sz w:val="18"/>
          <w:szCs w:val="18"/>
          <w:color w:val="auto"/>
        </w:rPr>
        <w:t>The Company discontinues hedge accounting prospectively when: (i) it is determined that the derivative is no longer highly effective in offsetting changes in the estimated fair value or cash flows of a hedged item; (ii) the derivative expires, is sold, terminated, or exercised; (iii) it is no longer probable that the hedged forecasted transaction will occur; or (iv) the derivative is de-designated as a hedging instrument.</w:t>
      </w:r>
    </w:p>
    <w:p>
      <w:pPr>
        <w:spacing w:after="0" w:line="73" w:lineRule="exact"/>
        <w:rPr>
          <w:sz w:val="20"/>
          <w:szCs w:val="20"/>
          <w:color w:val="auto"/>
        </w:rPr>
      </w:pPr>
    </w:p>
    <w:p>
      <w:pPr>
        <w:jc w:val="both"/>
        <w:ind w:left="180" w:right="20" w:firstLine="324"/>
        <w:spacing w:after="0" w:line="255" w:lineRule="auto"/>
        <w:rPr>
          <w:sz w:val="20"/>
          <w:szCs w:val="20"/>
          <w:color w:val="auto"/>
        </w:rPr>
      </w:pPr>
      <w:r>
        <w:rPr>
          <w:rFonts w:ascii="Arial" w:cs="Arial" w:eastAsia="Arial" w:hAnsi="Arial"/>
          <w:sz w:val="18"/>
          <w:szCs w:val="18"/>
          <w:color w:val="auto"/>
        </w:rPr>
        <w:t>When hedge accounting is discontinued because it is determined that the derivative is not highly effective in offsetting changes in the estimated fair value or cash flows of a hedged item, the derivative continues to be carried on the balance sheet at its estimated fair value, with changes in estimated fair value recognized in net derivative gains (losses). The carrying value of the hedged recognized asset or liability under a fair value hedge is no longer adjusted for changes in its estimated fair value due to the hedged risk, and the cumulative adjustment to its carrying value is amortized into income over the remaining life of the hedged item. Provided the hedged forecasted transaction is still probable of occurrence, the changes in estimated fair value of derivatives recorded in OCI related to discontinued cash flow hedges are released into the statement of operations when the Company’s earnings are affected by the variability in cash flows of the hedged item.</w:t>
      </w:r>
    </w:p>
    <w:p>
      <w:pPr>
        <w:spacing w:after="0" w:line="81" w:lineRule="exact"/>
        <w:rPr>
          <w:sz w:val="20"/>
          <w:szCs w:val="20"/>
          <w:color w:val="auto"/>
        </w:rPr>
      </w:pPr>
    </w:p>
    <w:p>
      <w:pPr>
        <w:jc w:val="both"/>
        <w:ind w:left="180" w:right="20" w:firstLine="324"/>
        <w:spacing w:after="0" w:line="279" w:lineRule="auto"/>
        <w:rPr>
          <w:sz w:val="20"/>
          <w:szCs w:val="20"/>
          <w:color w:val="auto"/>
        </w:rPr>
      </w:pPr>
      <w:r>
        <w:rPr>
          <w:rFonts w:ascii="Arial" w:cs="Arial" w:eastAsia="Arial" w:hAnsi="Arial"/>
          <w:sz w:val="17"/>
          <w:szCs w:val="17"/>
          <w:color w:val="auto"/>
        </w:rPr>
        <w:t>When hedge accounting is discontinued because it is no longer probable that the forecasted transactions will occur on the anticipated date or within two months of that date, the derivative continues to be carried on the balance sheet at its estimated fair value, with changes in estimated fair value recognized currently in net derivative gains (losses). Deferred gains and losses of a derivative recorded in OCI pursuant to the discontinued cash flow hedge of a forecasted transaction that is no longer probable are recognized immediately in net derivative gains (losses).</w:t>
      </w:r>
    </w:p>
    <w:p>
      <w:pPr>
        <w:spacing w:after="0" w:line="63" w:lineRule="exact"/>
        <w:rPr>
          <w:sz w:val="20"/>
          <w:szCs w:val="20"/>
          <w:color w:val="auto"/>
        </w:rPr>
      </w:pPr>
    </w:p>
    <w:p>
      <w:pPr>
        <w:jc w:val="both"/>
        <w:ind w:left="180" w:right="40" w:firstLine="324"/>
        <w:spacing w:after="0" w:line="277" w:lineRule="auto"/>
        <w:rPr>
          <w:sz w:val="20"/>
          <w:szCs w:val="20"/>
          <w:color w:val="auto"/>
        </w:rPr>
      </w:pPr>
      <w:r>
        <w:rPr>
          <w:rFonts w:ascii="Arial" w:cs="Arial" w:eastAsia="Arial" w:hAnsi="Arial"/>
          <w:sz w:val="18"/>
          <w:szCs w:val="18"/>
          <w:color w:val="auto"/>
        </w:rPr>
        <w:t>In all other situations in which hedge accounting is discontinued, the derivative is carried at its estimated fair value on the balance sheet, with changes in its estimated fair value recognized in the current period as net derivative gains (losses).</w:t>
      </w:r>
    </w:p>
    <w:p>
      <w:pPr>
        <w:spacing w:after="0" w:line="19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40"/>
          </w:cols>
          <w:pgMar w:left="240" w:top="234" w:right="219" w:bottom="1440" w:gutter="0" w:footer="0" w:header="0"/>
        </w:sectPr>
      </w:pPr>
    </w:p>
    <w:bookmarkStart w:id="32" w:name="page33"/>
    <w:bookmarkEnd w:id="32"/>
    <w:p>
      <w:pPr>
        <w:ind w:left="340"/>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109"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Brighthouse Financial, Inc.</w:t>
      </w:r>
    </w:p>
    <w:p>
      <w:pPr>
        <w:spacing w:after="0" w:line="117" w:lineRule="exact"/>
        <w:rPr>
          <w:sz w:val="20"/>
          <w:szCs w:val="20"/>
          <w:color w:val="auto"/>
        </w:rPr>
      </w:pPr>
    </w:p>
    <w:p>
      <w:pPr>
        <w:ind w:left="1640"/>
        <w:spacing w:after="0"/>
        <w:rPr>
          <w:sz w:val="20"/>
          <w:szCs w:val="20"/>
          <w:color w:val="auto"/>
        </w:rPr>
      </w:pPr>
      <w:r>
        <w:rPr>
          <w:rFonts w:ascii="Arial" w:cs="Arial" w:eastAsia="Arial" w:hAnsi="Arial"/>
          <w:sz w:val="18"/>
          <w:szCs w:val="18"/>
          <w:b w:val="1"/>
          <w:bCs w:val="1"/>
          <w:color w:val="auto"/>
        </w:rPr>
        <w:t>Notes to the Interim Condensed Consolidated and Combined Financial Statements (Unaudited) — (continued)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Derivatives (continued)</w:t>
      </w:r>
    </w:p>
    <w:p>
      <w:pPr>
        <w:spacing w:after="0" w:line="364"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Embedded Derivatives</w:t>
      </w:r>
    </w:p>
    <w:p>
      <w:pPr>
        <w:spacing w:after="0" w:line="117" w:lineRule="exact"/>
        <w:rPr>
          <w:sz w:val="20"/>
          <w:szCs w:val="20"/>
          <w:color w:val="auto"/>
        </w:rPr>
      </w:pPr>
    </w:p>
    <w:p>
      <w:pPr>
        <w:jc w:val="both"/>
        <w:ind w:left="180" w:firstLine="324"/>
        <w:spacing w:after="0" w:line="286" w:lineRule="auto"/>
        <w:rPr>
          <w:sz w:val="20"/>
          <w:szCs w:val="20"/>
          <w:color w:val="auto"/>
        </w:rPr>
      </w:pPr>
      <w:r>
        <w:rPr>
          <w:rFonts w:ascii="Arial" w:cs="Arial" w:eastAsia="Arial" w:hAnsi="Arial"/>
          <w:sz w:val="17"/>
          <w:szCs w:val="17"/>
          <w:color w:val="auto"/>
        </w:rPr>
        <w:t>The Company sells variable annuities and issues certain insurance products and investment contracts and is a party to certain reinsurance agreements that have embedded derivatives. The Company assesses each identified embedded derivative to determine whether it is required to be bifurcated. The embedded derivative is bifurcated from the host contract and accounted for as a freestanding derivative if:</w:t>
      </w:r>
    </w:p>
    <w:p>
      <w:pPr>
        <w:spacing w:after="0" w:line="57" w:lineRule="exact"/>
        <w:rPr>
          <w:sz w:val="20"/>
          <w:szCs w:val="20"/>
          <w:color w:val="auto"/>
        </w:rPr>
      </w:pPr>
    </w:p>
    <w:p>
      <w:pPr>
        <w:ind w:left="820" w:hanging="326"/>
        <w:spacing w:after="0"/>
        <w:tabs>
          <w:tab w:leader="none" w:pos="82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combined instrument is not accounted for in its entirety at estimated fair value with changes in estimated fair value recorded in earnings;</w:t>
      </w:r>
    </w:p>
    <w:p>
      <w:pPr>
        <w:spacing w:after="0" w:line="128" w:lineRule="exact"/>
        <w:rPr>
          <w:rFonts w:ascii="Arial" w:cs="Arial" w:eastAsia="Arial" w:hAnsi="Arial"/>
          <w:sz w:val="17"/>
          <w:szCs w:val="17"/>
          <w:color w:val="auto"/>
        </w:rPr>
      </w:pPr>
    </w:p>
    <w:p>
      <w:pPr>
        <w:ind w:left="820" w:hanging="326"/>
        <w:spacing w:after="0"/>
        <w:tabs>
          <w:tab w:leader="none" w:pos="8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terms of the embedded derivative are not clearly and closely related to the economic characteristics of the host contract; and</w:t>
      </w:r>
    </w:p>
    <w:p>
      <w:pPr>
        <w:spacing w:after="0" w:line="117" w:lineRule="exact"/>
        <w:rPr>
          <w:rFonts w:ascii="Arial" w:cs="Arial" w:eastAsia="Arial" w:hAnsi="Arial"/>
          <w:sz w:val="18"/>
          <w:szCs w:val="18"/>
          <w:color w:val="auto"/>
        </w:rPr>
      </w:pPr>
    </w:p>
    <w:p>
      <w:pPr>
        <w:ind w:left="820" w:hanging="326"/>
        <w:spacing w:after="0"/>
        <w:tabs>
          <w:tab w:leader="none" w:pos="8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 separate instrument with the same terms as the embedded derivative would qualify as a derivative instrument.</w:t>
      </w:r>
    </w:p>
    <w:p>
      <w:pPr>
        <w:spacing w:after="0" w:line="117" w:lineRule="exact"/>
        <w:rPr>
          <w:sz w:val="20"/>
          <w:szCs w:val="20"/>
          <w:color w:val="auto"/>
        </w:rPr>
      </w:pPr>
    </w:p>
    <w:p>
      <w:pPr>
        <w:jc w:val="both"/>
        <w:ind w:left="180" w:firstLine="324"/>
        <w:spacing w:after="0" w:line="255" w:lineRule="auto"/>
        <w:rPr>
          <w:sz w:val="20"/>
          <w:szCs w:val="20"/>
          <w:color w:val="auto"/>
        </w:rPr>
      </w:pPr>
      <w:r>
        <w:rPr>
          <w:rFonts w:ascii="Arial" w:cs="Arial" w:eastAsia="Arial" w:hAnsi="Arial"/>
          <w:sz w:val="18"/>
          <w:szCs w:val="18"/>
          <w:color w:val="auto"/>
        </w:rPr>
        <w:t>Such embedded derivatives are carried on the balance sheet at estimated fair value with the host contract and changes in their estimated fair value are generally reported in net derivative gains (losses), except for those in policyholder benefits and claims related to ceded reinsurance of GMIB. If the Company is unable to properly identify and measure an embedded derivative for separation from its host contract, the entire contract is carried on the balance sheet at estimated fair value, with changes in estimated fair value recognized in the current period in net investment gains (losses) or net investment income. Additionally, the Company may elect to carry an entire contract on the balance sheet at estimated fair value, with changes in estimated fair value recognized in the current period in net investment gains (losses) or net investment income if that contract contains an embedded derivative that requires bifurcation.</w:t>
      </w:r>
    </w:p>
    <w:p>
      <w:pPr>
        <w:spacing w:after="0" w:line="8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See Note 6 for information about the fair value hierarchy for derivatives.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Derivative Strategies</w:t>
      </w:r>
    </w:p>
    <w:p>
      <w:pPr>
        <w:spacing w:after="0" w:line="11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Company is exposed to various risks relating to its ongoing business operations, including interest rate, foreign currency exchange rate, credit and equity market. The Company uses a variety of strategies to manage these risks, including the use of derivatives.</w:t>
      </w:r>
    </w:p>
    <w:p>
      <w:pPr>
        <w:spacing w:after="0" w:line="62"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Derivatives are financial instruments with values derived from interest rates, foreign currency exchange rates, credit spreads and/or other financial indices. Derivatives may be exchange-traded or contracted in the over-the-counter (“OTC”) market. Certain of the Company’s OTC derivatives are cleared and settled through central clearing counterparties (“OTC-cleared”), while others are bilateral contracts between two counterparties (“OTC-bilateral”). The types of derivatives the Company uses include swaps, forwards, futures and option contracts. To a lesser extent, the Company uses credit default swaps to synthetically replicate investment risks and returns which are not readily available in the cash markets.</w:t>
      </w:r>
    </w:p>
    <w:p>
      <w:pPr>
        <w:spacing w:after="0" w:line="64"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Interest Rate Derivatives</w:t>
      </w:r>
    </w:p>
    <w:p>
      <w:pPr>
        <w:spacing w:after="0" w:line="117" w:lineRule="exact"/>
        <w:rPr>
          <w:sz w:val="20"/>
          <w:szCs w:val="20"/>
          <w:color w:val="auto"/>
        </w:rPr>
      </w:pPr>
    </w:p>
    <w:p>
      <w:pPr>
        <w:jc w:val="both"/>
        <w:ind w:left="180" w:firstLine="324"/>
        <w:spacing w:after="0" w:line="277" w:lineRule="auto"/>
        <w:rPr>
          <w:sz w:val="20"/>
          <w:szCs w:val="20"/>
          <w:color w:val="auto"/>
        </w:rPr>
      </w:pPr>
      <w:r>
        <w:rPr>
          <w:rFonts w:ascii="Arial" w:cs="Arial" w:eastAsia="Arial" w:hAnsi="Arial"/>
          <w:sz w:val="18"/>
          <w:szCs w:val="18"/>
          <w:color w:val="auto"/>
        </w:rPr>
        <w:t>The Company uses a variety of interest rate derivatives to reduce its exposure to changes in interest rates, including interest rate swaps, interest rate total return swaps, caps, floors, swaptions and futures.</w:t>
      </w:r>
    </w:p>
    <w:p>
      <w:pPr>
        <w:spacing w:after="0" w:line="62" w:lineRule="exact"/>
        <w:rPr>
          <w:sz w:val="20"/>
          <w:szCs w:val="20"/>
          <w:color w:val="auto"/>
        </w:rPr>
      </w:pPr>
    </w:p>
    <w:p>
      <w:pPr>
        <w:jc w:val="both"/>
        <w:ind w:left="180" w:firstLine="324"/>
        <w:spacing w:after="0" w:line="279" w:lineRule="auto"/>
        <w:rPr>
          <w:sz w:val="20"/>
          <w:szCs w:val="20"/>
          <w:color w:val="auto"/>
        </w:rPr>
      </w:pPr>
      <w:r>
        <w:rPr>
          <w:rFonts w:ascii="Arial" w:cs="Arial" w:eastAsia="Arial" w:hAnsi="Arial"/>
          <w:sz w:val="17"/>
          <w:szCs w:val="17"/>
          <w:color w:val="auto"/>
        </w:rPr>
        <w:t>Interest rate swaps are used by the Company primarily to reduce market risks from changes in interest rates and to alter interest rate exposure arising from mismatches between assets and liabilities (duration mismatches). In an interest rate swap, the Company agrees with another party to exchange, at specified intervals, the difference between fixed rate and floating rate interest amounts as calculated by reference to an agreed notional amount. The Company utilizes interest rate swaps in fair value, cash flow and nonqualifying hedging relationships.</w:t>
      </w:r>
    </w:p>
    <w:p>
      <w:pPr>
        <w:spacing w:after="0" w:line="63" w:lineRule="exact"/>
        <w:rPr>
          <w:sz w:val="20"/>
          <w:szCs w:val="20"/>
          <w:color w:val="auto"/>
        </w:rPr>
      </w:pPr>
    </w:p>
    <w:p>
      <w:pPr>
        <w:jc w:val="both"/>
        <w:ind w:left="180" w:firstLine="324"/>
        <w:spacing w:after="0" w:line="255" w:lineRule="auto"/>
        <w:rPr>
          <w:sz w:val="20"/>
          <w:szCs w:val="20"/>
          <w:color w:val="auto"/>
        </w:rPr>
      </w:pPr>
      <w:r>
        <w:rPr>
          <w:rFonts w:ascii="Arial" w:cs="Arial" w:eastAsia="Arial" w:hAnsi="Arial"/>
          <w:sz w:val="18"/>
          <w:szCs w:val="18"/>
          <w:color w:val="auto"/>
        </w:rPr>
        <w:t>Interest rate total return swaps are swaps whereby the Company agrees with another party to exchange, at specified intervals, the difference between the economic risk and reward of an asset or a market index and the London Interbank Offered Rate (“LIBOR”), calculated by reference to an agreed notional amount. No cash is exchanged at the outset of the contract. Cash is paid and received over the life of the contract based on the terms of the swap. These transactions are entered into pursuant to master agreements that provide for a single net payment to be made by the counterparty at each due date. Interest rate total return swaps are used by the Company to reduce market risks from changes in interest rates and to alter interest rate exposure arising from mismatches between assets and liabilities (duration mismatches). The Company utilizes interest rate total return swaps in nonqualifying hedging relationships.</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234" w:right="239" w:bottom="1440" w:gutter="0" w:footer="0" w:header="0"/>
        </w:sectPr>
      </w:pPr>
    </w:p>
    <w:bookmarkStart w:id="33" w:name="page34"/>
    <w:bookmarkEnd w:id="33"/>
    <w:p>
      <w:pPr>
        <w:ind w:left="340"/>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109" w:lineRule="exact"/>
        <w:rPr>
          <w:sz w:val="20"/>
          <w:szCs w:val="20"/>
          <w:color w:val="auto"/>
        </w:rPr>
      </w:pPr>
    </w:p>
    <w:p>
      <w:pPr>
        <w:ind w:left="4840"/>
        <w:spacing w:after="0"/>
        <w:rPr>
          <w:sz w:val="20"/>
          <w:szCs w:val="20"/>
          <w:color w:val="auto"/>
        </w:rPr>
      </w:pPr>
      <w:r>
        <w:rPr>
          <w:rFonts w:ascii="Arial" w:cs="Arial" w:eastAsia="Arial" w:hAnsi="Arial"/>
          <w:sz w:val="18"/>
          <w:szCs w:val="18"/>
          <w:b w:val="1"/>
          <w:bCs w:val="1"/>
          <w:color w:val="auto"/>
        </w:rPr>
        <w:t>Brighthouse Financial, Inc.</w:t>
      </w:r>
    </w:p>
    <w:p>
      <w:pPr>
        <w:spacing w:after="0" w:line="117" w:lineRule="exact"/>
        <w:rPr>
          <w:sz w:val="20"/>
          <w:szCs w:val="20"/>
          <w:color w:val="auto"/>
        </w:rPr>
      </w:pPr>
    </w:p>
    <w:p>
      <w:pPr>
        <w:ind w:left="1640"/>
        <w:spacing w:after="0"/>
        <w:rPr>
          <w:sz w:val="20"/>
          <w:szCs w:val="20"/>
          <w:color w:val="auto"/>
        </w:rPr>
      </w:pPr>
      <w:r>
        <w:rPr>
          <w:rFonts w:ascii="Arial" w:cs="Arial" w:eastAsia="Arial" w:hAnsi="Arial"/>
          <w:sz w:val="18"/>
          <w:szCs w:val="18"/>
          <w:b w:val="1"/>
          <w:bCs w:val="1"/>
          <w:color w:val="auto"/>
        </w:rPr>
        <w:t>Notes to the Interim Condensed Consolidated and Combined Financial Statements (Unaudited) — (continued)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Derivatives (continued)</w:t>
      </w:r>
    </w:p>
    <w:p>
      <w:pPr>
        <w:spacing w:after="0" w:line="364" w:lineRule="exact"/>
        <w:rPr>
          <w:sz w:val="20"/>
          <w:szCs w:val="20"/>
          <w:color w:val="auto"/>
        </w:rPr>
      </w:pPr>
    </w:p>
    <w:p>
      <w:pPr>
        <w:jc w:val="both"/>
        <w:ind w:left="180" w:firstLine="324"/>
        <w:spacing w:after="0" w:line="302" w:lineRule="auto"/>
        <w:rPr>
          <w:sz w:val="20"/>
          <w:szCs w:val="20"/>
          <w:color w:val="auto"/>
        </w:rPr>
      </w:pPr>
      <w:r>
        <w:rPr>
          <w:rFonts w:ascii="Arial" w:cs="Arial" w:eastAsia="Arial" w:hAnsi="Arial"/>
          <w:sz w:val="16"/>
          <w:szCs w:val="16"/>
          <w:color w:val="auto"/>
        </w:rPr>
        <w:t>The Company purchases interest rate caps and floors primarily to protect its floating rate liabilities against rises in interest rates above a specified level, and against interest rate exposure arising from mismatches between assets and liabilities, as well as to protect its minimum rate guarantee liabilities against declines in interest rates below a specified level, respectively. In certain instances, the Company locks in the economic impact of existing purchased caps and floors by entering into offsetting written caps and floors. The Company utilizes interest rate caps and floors in nonqualifying hedging relationships.</w:t>
      </w:r>
    </w:p>
    <w:p>
      <w:pPr>
        <w:spacing w:after="0" w:line="46" w:lineRule="exact"/>
        <w:rPr>
          <w:sz w:val="20"/>
          <w:szCs w:val="20"/>
          <w:color w:val="auto"/>
        </w:rPr>
      </w:pPr>
    </w:p>
    <w:p>
      <w:pPr>
        <w:jc w:val="both"/>
        <w:ind w:left="180" w:firstLine="324"/>
        <w:spacing w:after="0" w:line="271" w:lineRule="auto"/>
        <w:rPr>
          <w:sz w:val="20"/>
          <w:szCs w:val="20"/>
          <w:color w:val="auto"/>
        </w:rPr>
      </w:pPr>
      <w:r>
        <w:rPr>
          <w:rFonts w:ascii="Arial" w:cs="Arial" w:eastAsia="Arial" w:hAnsi="Arial"/>
          <w:sz w:val="17"/>
          <w:szCs w:val="17"/>
          <w:color w:val="auto"/>
        </w:rPr>
        <w:t>In exchange-traded interest rate (Treasury and swap) futures transactions, the Company agrees to purchase or sell a specified number of contracts, the value of which is determined by the different classes of interest rate securities, and to post variation margin on a daily basis in an amount equal to the difference in the daily market values of those contracts. The Company enters into exchange-traded futures with regulated futures commission merchants that are members of the exchange. Exchange-traded interest rate (Treasury and swap) futures are used primarily to hedge mismatches between the duration of assets in a portfolio and the duration of liabilities supported by those assets, to hedge against changes in value of securities the Company owns or anticipates acquiring, to hedge against changes in interest rates on anticipated liability issuances by replicating Treasury or swap curve performance, and to hedge minimum guarantees embedded in certain variable annuity products offered by the Company. The Company utilizes exchange-traded interest rate futures in nonqualifying hedging relationships.</w:t>
      </w:r>
    </w:p>
    <w:p>
      <w:pPr>
        <w:spacing w:after="0" w:line="71" w:lineRule="exact"/>
        <w:rPr>
          <w:sz w:val="20"/>
          <w:szCs w:val="20"/>
          <w:color w:val="auto"/>
        </w:rPr>
      </w:pPr>
    </w:p>
    <w:p>
      <w:pPr>
        <w:jc w:val="both"/>
        <w:ind w:left="180" w:firstLine="324"/>
        <w:spacing w:after="0" w:line="302" w:lineRule="auto"/>
        <w:rPr>
          <w:sz w:val="20"/>
          <w:szCs w:val="20"/>
          <w:color w:val="auto"/>
        </w:rPr>
      </w:pPr>
      <w:r>
        <w:rPr>
          <w:rFonts w:ascii="Arial" w:cs="Arial" w:eastAsia="Arial" w:hAnsi="Arial"/>
          <w:sz w:val="16"/>
          <w:szCs w:val="16"/>
          <w:color w:val="auto"/>
        </w:rPr>
        <w:t>Swaptions are used by the Company to hedge interest rate risk associated with the Company’s long-term liabilities and invested assets. A swaption is an option to enter into a swap with a forward starting effective date. In certain instances, the Company locks in the economic impact of existing purchased swaptions by entering into offsetting written swaptions. The Company pays a premium for purchased swaptions and receives a premium for written swaptions. The Company utilizes swaptions in nonqualifying hedging relationships. Swaptions are included in interest rate options.</w:t>
      </w:r>
    </w:p>
    <w:p>
      <w:pPr>
        <w:spacing w:after="0" w:line="46"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Foreign Currency Exchange Rate Derivatives</w:t>
      </w:r>
    </w:p>
    <w:p>
      <w:pPr>
        <w:spacing w:after="0" w:line="117" w:lineRule="exact"/>
        <w:rPr>
          <w:sz w:val="20"/>
          <w:szCs w:val="20"/>
          <w:color w:val="auto"/>
        </w:rPr>
      </w:pPr>
    </w:p>
    <w:p>
      <w:pPr>
        <w:jc w:val="both"/>
        <w:ind w:left="180" w:firstLine="324"/>
        <w:spacing w:after="0" w:line="276" w:lineRule="auto"/>
        <w:rPr>
          <w:sz w:val="20"/>
          <w:szCs w:val="20"/>
          <w:color w:val="auto"/>
        </w:rPr>
      </w:pPr>
      <w:r>
        <w:rPr>
          <w:rFonts w:ascii="Arial" w:cs="Arial" w:eastAsia="Arial" w:hAnsi="Arial"/>
          <w:sz w:val="17"/>
          <w:szCs w:val="17"/>
          <w:color w:val="auto"/>
        </w:rPr>
        <w:t>The Company uses foreign currency swaps to reduce the risk from fluctuations in foreign currency exchange rates associated with its assets and liabilities denominated in foreign currencies. In a foreign currency swap transaction, the Company agrees with another party to exchange, at specified intervals, the difference between one currency and another at a fixed exchange rate, generally set at inception, calculated by reference to an agreed upon notional amount. The notional amount of each currency is exchanged at the inception and termination of the currency swap by each party. The Company utilizes foreign currency swaps in cash flow and nonqualifying hedging relationships.</w:t>
      </w:r>
    </w:p>
    <w:p>
      <w:pPr>
        <w:spacing w:after="0" w:line="64"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To a lesser extent, the Company uses foreign currency forwards in nonqualifying hedging relationships.</w:t>
      </w:r>
    </w:p>
    <w:p>
      <w:pPr>
        <w:spacing w:after="0" w:line="11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Credit Derivatives</w:t>
      </w:r>
    </w:p>
    <w:p>
      <w:pPr>
        <w:spacing w:after="0" w:line="117" w:lineRule="exact"/>
        <w:rPr>
          <w:sz w:val="20"/>
          <w:szCs w:val="20"/>
          <w:color w:val="auto"/>
        </w:rPr>
      </w:pPr>
    </w:p>
    <w:p>
      <w:pPr>
        <w:jc w:val="both"/>
        <w:ind w:left="180" w:firstLine="324"/>
        <w:spacing w:after="0" w:line="254" w:lineRule="auto"/>
        <w:rPr>
          <w:sz w:val="20"/>
          <w:szCs w:val="20"/>
          <w:color w:val="auto"/>
        </w:rPr>
      </w:pPr>
      <w:r>
        <w:rPr>
          <w:rFonts w:ascii="Arial" w:cs="Arial" w:eastAsia="Arial" w:hAnsi="Arial"/>
          <w:sz w:val="18"/>
          <w:szCs w:val="18"/>
          <w:color w:val="auto"/>
        </w:rPr>
        <w:t>The Company enters into purchased credit default swaps to hedge against credit-related changes in the value of its investments. In a credit default swap transaction, the Company agrees with another party to pay, at specified intervals, a premium to hedge credit risk. If a credit event occurs, as defined by the contract, the contract may be cash settled or it may be settled gross by the delivery of par quantities of the referenced investment equal to the specified swap notional amount in exchange for the payment of cash amounts by the counterparty equal to the par value of the investment surrendered. Credit events vary by type of issuer but typically include bankruptcy, failure to pay debt obligations, repudiation, moratorium, involuntary restructuring or governmental intervention. In each case, payout on a credit default swap is triggered only after the Credit Derivatives Determinations Committee of the International Swaps and Derivatives Association, Inc. (“ISDA”) deems that a credit event has occurred. The Company utilizes credit default swaps in nonqualifying hedging relationships.</w:t>
      </w:r>
    </w:p>
    <w:p>
      <w:pPr>
        <w:spacing w:after="0" w:line="84" w:lineRule="exact"/>
        <w:rPr>
          <w:sz w:val="20"/>
          <w:szCs w:val="20"/>
          <w:color w:val="auto"/>
        </w:rPr>
      </w:pPr>
    </w:p>
    <w:p>
      <w:pPr>
        <w:jc w:val="both"/>
        <w:ind w:left="180" w:firstLine="324"/>
        <w:spacing w:after="0" w:line="286" w:lineRule="auto"/>
        <w:rPr>
          <w:sz w:val="20"/>
          <w:szCs w:val="20"/>
          <w:color w:val="auto"/>
        </w:rPr>
      </w:pPr>
      <w:r>
        <w:rPr>
          <w:rFonts w:ascii="Arial" w:cs="Arial" w:eastAsia="Arial" w:hAnsi="Arial"/>
          <w:sz w:val="17"/>
          <w:szCs w:val="17"/>
          <w:color w:val="auto"/>
        </w:rPr>
        <w:t>The Company enters into written credit default swaps to create synthetic credit investments that are either more expensive to acquire or otherwise unavailable in the cash markets. These transactions are a combination of a derivative and one or more cash instruments, such as U.S. government and agency securities or other fixed maturity securities. These credit default swaps are not designated as hedging instruments.</w:t>
      </w:r>
    </w:p>
    <w:p>
      <w:pPr>
        <w:spacing w:after="0" w:line="5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Equity Derivatives</w:t>
      </w:r>
    </w:p>
    <w:p>
      <w:pPr>
        <w:spacing w:after="0" w:line="117" w:lineRule="exact"/>
        <w:rPr>
          <w:sz w:val="20"/>
          <w:szCs w:val="20"/>
          <w:color w:val="auto"/>
        </w:rPr>
      </w:pPr>
    </w:p>
    <w:p>
      <w:pPr>
        <w:jc w:val="both"/>
        <w:ind w:left="180" w:firstLine="324"/>
        <w:spacing w:after="0" w:line="277" w:lineRule="auto"/>
        <w:rPr>
          <w:sz w:val="20"/>
          <w:szCs w:val="20"/>
          <w:color w:val="auto"/>
        </w:rPr>
      </w:pPr>
      <w:r>
        <w:rPr>
          <w:rFonts w:ascii="Arial" w:cs="Arial" w:eastAsia="Arial" w:hAnsi="Arial"/>
          <w:sz w:val="18"/>
          <w:szCs w:val="18"/>
          <w:color w:val="auto"/>
        </w:rPr>
        <w:t>The Company uses a variety of equity derivatives to reduce its exposure to equity market risk, including equity index options, equity variance swaps, exchange-traded equity futures and equity total return swaps.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234" w:right="239" w:bottom="1440" w:gutter="0" w:footer="0" w:header="0"/>
        </w:sectPr>
      </w:pPr>
    </w:p>
    <w:bookmarkStart w:id="34" w:name="page35"/>
    <w:bookmarkEnd w:id="34"/>
    <w:p>
      <w:pPr>
        <w:ind w:left="340"/>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109" w:lineRule="exact"/>
        <w:rPr>
          <w:sz w:val="20"/>
          <w:szCs w:val="20"/>
          <w:color w:val="auto"/>
        </w:rPr>
      </w:pPr>
    </w:p>
    <w:p>
      <w:pPr>
        <w:ind w:left="4840"/>
        <w:spacing w:after="0"/>
        <w:rPr>
          <w:sz w:val="20"/>
          <w:szCs w:val="20"/>
          <w:color w:val="auto"/>
        </w:rPr>
      </w:pPr>
      <w:r>
        <w:rPr>
          <w:rFonts w:ascii="Arial" w:cs="Arial" w:eastAsia="Arial" w:hAnsi="Arial"/>
          <w:sz w:val="18"/>
          <w:szCs w:val="18"/>
          <w:b w:val="1"/>
          <w:bCs w:val="1"/>
          <w:color w:val="auto"/>
        </w:rPr>
        <w:t>Brighthouse Financial, Inc.</w:t>
      </w:r>
    </w:p>
    <w:p>
      <w:pPr>
        <w:spacing w:after="0" w:line="117" w:lineRule="exact"/>
        <w:rPr>
          <w:sz w:val="20"/>
          <w:szCs w:val="20"/>
          <w:color w:val="auto"/>
        </w:rPr>
      </w:pPr>
    </w:p>
    <w:p>
      <w:pPr>
        <w:ind w:left="1640"/>
        <w:spacing w:after="0"/>
        <w:rPr>
          <w:sz w:val="20"/>
          <w:szCs w:val="20"/>
          <w:color w:val="auto"/>
        </w:rPr>
      </w:pPr>
      <w:r>
        <w:rPr>
          <w:rFonts w:ascii="Arial" w:cs="Arial" w:eastAsia="Arial" w:hAnsi="Arial"/>
          <w:sz w:val="18"/>
          <w:szCs w:val="18"/>
          <w:b w:val="1"/>
          <w:bCs w:val="1"/>
          <w:color w:val="auto"/>
        </w:rPr>
        <w:t>Notes to the Interim Condensed Consolidated and Combined Financial Statements (Unaudited) — (continued)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Derivatives (continued)</w:t>
      </w:r>
    </w:p>
    <w:p>
      <w:pPr>
        <w:spacing w:after="0" w:line="364" w:lineRule="exact"/>
        <w:rPr>
          <w:sz w:val="20"/>
          <w:szCs w:val="20"/>
          <w:color w:val="auto"/>
        </w:rPr>
      </w:pPr>
    </w:p>
    <w:p>
      <w:pPr>
        <w:jc w:val="both"/>
        <w:ind w:left="180" w:firstLine="324"/>
        <w:spacing w:after="0" w:line="255" w:lineRule="auto"/>
        <w:rPr>
          <w:sz w:val="20"/>
          <w:szCs w:val="20"/>
          <w:color w:val="auto"/>
        </w:rPr>
      </w:pPr>
      <w:r>
        <w:rPr>
          <w:rFonts w:ascii="Arial" w:cs="Arial" w:eastAsia="Arial" w:hAnsi="Arial"/>
          <w:sz w:val="18"/>
          <w:szCs w:val="18"/>
          <w:color w:val="auto"/>
        </w:rPr>
        <w:t>Equity index options are used by the Company primarily to hedge minimum guarantees embedded in certain variable annuity products offered by the Company. To hedge against adverse changes in equity indices, the Company enters into contracts to sell the equity index within a limited time at a contracted price. The contracts will be net settled in cash based on differentials in the indices at the time of exercise and the strike price. Certain of these contracts may also contain settlement provisions linked to interest rates. In certain instances, the Company may enter into a combination of transactions to hedge adverse changes in equity indices within a pre-determined range through the purchase and sale of options. The Company utilizes equity index options in nonqualifying hedging relationships.</w:t>
      </w:r>
    </w:p>
    <w:p>
      <w:pPr>
        <w:spacing w:after="0" w:line="85" w:lineRule="exact"/>
        <w:rPr>
          <w:sz w:val="20"/>
          <w:szCs w:val="20"/>
          <w:color w:val="auto"/>
        </w:rPr>
      </w:pPr>
    </w:p>
    <w:p>
      <w:pPr>
        <w:jc w:val="both"/>
        <w:ind w:left="180" w:firstLine="324"/>
        <w:spacing w:after="0" w:line="264" w:lineRule="auto"/>
        <w:rPr>
          <w:sz w:val="20"/>
          <w:szCs w:val="20"/>
          <w:color w:val="auto"/>
        </w:rPr>
      </w:pPr>
      <w:r>
        <w:rPr>
          <w:rFonts w:ascii="Arial" w:cs="Arial" w:eastAsia="Arial" w:hAnsi="Arial"/>
          <w:sz w:val="18"/>
          <w:szCs w:val="18"/>
          <w:color w:val="auto"/>
        </w:rPr>
        <w:t>Equity variance swaps are used by the Company primarily to hedge minimum guarantees embedded in certain variable annuity products offered by the Company. In an equity variance swap, the Company agrees with another party to exchange amounts in the future, based on changes in equity volatility over a defined period. The Company utilizes equity variance swaps in nonqualifying hedging relationships.</w:t>
      </w:r>
    </w:p>
    <w:p>
      <w:pPr>
        <w:spacing w:after="0" w:line="73" w:lineRule="exact"/>
        <w:rPr>
          <w:sz w:val="20"/>
          <w:szCs w:val="20"/>
          <w:color w:val="auto"/>
        </w:rPr>
      </w:pPr>
    </w:p>
    <w:p>
      <w:pPr>
        <w:jc w:val="both"/>
        <w:ind w:left="180" w:firstLine="324"/>
        <w:spacing w:after="0" w:line="276" w:lineRule="auto"/>
        <w:rPr>
          <w:sz w:val="20"/>
          <w:szCs w:val="20"/>
          <w:color w:val="auto"/>
        </w:rPr>
      </w:pPr>
      <w:r>
        <w:rPr>
          <w:rFonts w:ascii="Arial" w:cs="Arial" w:eastAsia="Arial" w:hAnsi="Arial"/>
          <w:sz w:val="17"/>
          <w:szCs w:val="17"/>
          <w:color w:val="auto"/>
        </w:rPr>
        <w:t>In exchange-traded equity futures transactions, the Company agrees to purchase or sell a specified number of contracts, the value of which is determined by the different classes of equity securities, and to post variation margin on a daily basis in an amount equal to the difference in the daily market values of those contracts. The Company enters into exchange-traded futures with regulated futures commission merchants that are members of the exchange. Exchange-traded equity futures are used primarily to hedge minimum guarantees embedded in certain variable annuity products offered by the Company. The Company utilizes exchange-traded equity futures in nonqualifying hedging relationships.</w:t>
      </w:r>
    </w:p>
    <w:p>
      <w:pPr>
        <w:spacing w:after="0" w:line="64" w:lineRule="exact"/>
        <w:rPr>
          <w:sz w:val="20"/>
          <w:szCs w:val="20"/>
          <w:color w:val="auto"/>
        </w:rPr>
      </w:pPr>
    </w:p>
    <w:p>
      <w:pPr>
        <w:jc w:val="both"/>
        <w:ind w:left="180" w:firstLine="324"/>
        <w:spacing w:after="0" w:line="276" w:lineRule="auto"/>
        <w:rPr>
          <w:sz w:val="20"/>
          <w:szCs w:val="20"/>
          <w:color w:val="auto"/>
        </w:rPr>
      </w:pPr>
      <w:r>
        <w:rPr>
          <w:rFonts w:ascii="Arial" w:cs="Arial" w:eastAsia="Arial" w:hAnsi="Arial"/>
          <w:sz w:val="17"/>
          <w:szCs w:val="17"/>
          <w:color w:val="auto"/>
        </w:rPr>
        <w:t>In an equity total return swap, the Company agrees with another party to exchange, at specified intervals, the difference between the economic risk and reward of an asset or a market index and the LIBOR, calculated by reference to an agreed notional amount. No cash is exchanged at the outset of the contract. Cash is paid and received over the life of the contract based on the terms of the swap. The Company uses equity total return swaps to hedge its equity market guarantees in certain of its insurance products. Equity total return swaps can be used as hedges or to create synthetic investments. The Company utilizes equity total return swaps in nonqualifying hedging relationships.</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234" w:right="239" w:bottom="1440" w:gutter="0" w:footer="0" w:header="0"/>
        </w:sectPr>
      </w:pPr>
    </w:p>
    <w:bookmarkStart w:id="35" w:name="page36"/>
    <w:bookmarkEnd w:id="35"/>
    <w:p>
      <w:pPr>
        <w:ind w:left="340"/>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109"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Brighthouse Financial, Inc.</w:t>
      </w:r>
    </w:p>
    <w:p>
      <w:pPr>
        <w:spacing w:after="0" w:line="117" w:lineRule="exact"/>
        <w:rPr>
          <w:sz w:val="20"/>
          <w:szCs w:val="20"/>
          <w:color w:val="auto"/>
        </w:rPr>
      </w:pPr>
    </w:p>
    <w:p>
      <w:pPr>
        <w:ind w:left="1640"/>
        <w:spacing w:after="0"/>
        <w:rPr>
          <w:sz w:val="20"/>
          <w:szCs w:val="20"/>
          <w:color w:val="auto"/>
        </w:rPr>
      </w:pPr>
      <w:r>
        <w:rPr>
          <w:rFonts w:ascii="Arial" w:cs="Arial" w:eastAsia="Arial" w:hAnsi="Arial"/>
          <w:sz w:val="18"/>
          <w:szCs w:val="18"/>
          <w:b w:val="1"/>
          <w:bCs w:val="1"/>
          <w:color w:val="auto"/>
        </w:rPr>
        <w:t>Notes to the Interim Condensed Consolidated and Combined Financial Statements (Unaudited) — (continued)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Derivatives (continued)</w:t>
      </w:r>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Primary Risks Managed by Derivatives</w:t>
      </w:r>
    </w:p>
    <w:p>
      <w:pPr>
        <w:spacing w:after="0" w:line="11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following table presents the primary underlying risk exposure, gross notional amount, and estimated fair value of the Company’s derivatives, excluding embedded derivatives, held at:</w:t>
      </w:r>
    </w:p>
    <w:p>
      <w:pPr>
        <w:spacing w:after="0" w:line="302" w:lineRule="exact"/>
        <w:rPr>
          <w:sz w:val="20"/>
          <w:szCs w:val="20"/>
          <w:color w:val="auto"/>
        </w:rPr>
      </w:pPr>
    </w:p>
    <w:tbl>
      <w:tblPr>
        <w:tblLayout w:type="fixed"/>
        <w:tblInd w:w="40" w:type="dxa"/>
        <w:tblCellMar>
          <w:top w:w="0" w:type="dxa"/>
          <w:left w:w="0" w:type="dxa"/>
          <w:bottom w:w="0" w:type="dxa"/>
          <w:right w:w="0" w:type="dxa"/>
        </w:tblCellMar>
      </w:tblPr>
      <w:tr>
        <w:trPr>
          <w:trHeight w:val="174"/>
        </w:trPr>
        <w:tc>
          <w:tcPr>
            <w:tcW w:w="2740" w:type="dxa"/>
            <w:vAlign w:val="bottom"/>
          </w:tcPr>
          <w:p>
            <w:pPr>
              <w:spacing w:after="0"/>
              <w:rPr>
                <w:sz w:val="15"/>
                <w:szCs w:val="15"/>
                <w:color w:val="auto"/>
              </w:rPr>
            </w:pPr>
          </w:p>
        </w:tc>
        <w:tc>
          <w:tcPr>
            <w:tcW w:w="2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gridSpan w:val="5"/>
          </w:tcPr>
          <w:p>
            <w:pPr>
              <w:ind w:left="60"/>
              <w:spacing w:after="0"/>
              <w:rPr>
                <w:sz w:val="20"/>
                <w:szCs w:val="20"/>
                <w:color w:val="auto"/>
              </w:rPr>
            </w:pPr>
            <w:r>
              <w:rPr>
                <w:rFonts w:ascii="Arial" w:cs="Arial" w:eastAsia="Arial" w:hAnsi="Arial"/>
                <w:sz w:val="13"/>
                <w:szCs w:val="13"/>
                <w:b w:val="1"/>
                <w:bCs w:val="1"/>
                <w:color w:val="auto"/>
                <w:w w:val="93"/>
              </w:rPr>
              <w:t>September 30, 2017</w:t>
            </w:r>
          </w:p>
        </w:tc>
        <w:tc>
          <w:tcPr>
            <w:tcW w:w="84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gridSpan w:val="6"/>
          </w:tcPr>
          <w:p>
            <w:pPr>
              <w:jc w:val="center"/>
              <w:spacing w:after="0"/>
              <w:rPr>
                <w:sz w:val="20"/>
                <w:szCs w:val="20"/>
                <w:color w:val="auto"/>
              </w:rPr>
            </w:pPr>
            <w:r>
              <w:rPr>
                <w:rFonts w:ascii="Arial" w:cs="Arial" w:eastAsia="Arial" w:hAnsi="Arial"/>
                <w:sz w:val="13"/>
                <w:szCs w:val="13"/>
                <w:b w:val="1"/>
                <w:bCs w:val="1"/>
                <w:color w:val="auto"/>
                <w:w w:val="87"/>
              </w:rPr>
              <w:t>December 31, 2016</w:t>
            </w:r>
          </w:p>
        </w:tc>
        <w:tc>
          <w:tcPr>
            <w:tcW w:w="7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2740" w:type="dxa"/>
            <w:vAlign w:val="bottom"/>
          </w:tcPr>
          <w:p>
            <w:pPr>
              <w:spacing w:after="0"/>
              <w:rPr>
                <w:sz w:val="19"/>
                <w:szCs w:val="19"/>
                <w:color w:val="auto"/>
              </w:rPr>
            </w:pPr>
          </w:p>
        </w:tc>
        <w:tc>
          <w:tcPr>
            <w:tcW w:w="2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Pr>
          <w:p>
            <w:pPr>
              <w:jc w:val="center"/>
              <w:ind w:right="109"/>
              <w:spacing w:after="0"/>
              <w:rPr>
                <w:sz w:val="20"/>
                <w:szCs w:val="20"/>
                <w:color w:val="auto"/>
              </w:rPr>
            </w:pPr>
            <w:r>
              <w:rPr>
                <w:rFonts w:ascii="Arial" w:cs="Arial" w:eastAsia="Arial" w:hAnsi="Arial"/>
                <w:sz w:val="13"/>
                <w:szCs w:val="13"/>
                <w:b w:val="1"/>
                <w:bCs w:val="1"/>
                <w:color w:val="auto"/>
                <w:w w:val="79"/>
              </w:rPr>
              <w:t>Gross</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900" w:type="dxa"/>
            <w:vAlign w:val="bottom"/>
            <w:gridSpan w:val="5"/>
          </w:tcPr>
          <w:p>
            <w:pPr>
              <w:jc w:val="center"/>
              <w:ind w:right="240"/>
              <w:spacing w:after="0"/>
              <w:rPr>
                <w:sz w:val="20"/>
                <w:szCs w:val="20"/>
                <w:color w:val="auto"/>
              </w:rPr>
            </w:pPr>
            <w:r>
              <w:rPr>
                <w:rFonts w:ascii="Arial" w:cs="Arial" w:eastAsia="Arial" w:hAnsi="Arial"/>
                <w:sz w:val="13"/>
                <w:szCs w:val="13"/>
                <w:b w:val="1"/>
                <w:bCs w:val="1"/>
                <w:color w:val="auto"/>
                <w:w w:val="89"/>
              </w:rPr>
              <w:t>Estimated Fair Value</w:t>
            </w:r>
          </w:p>
        </w:tc>
        <w:tc>
          <w:tcPr>
            <w:tcW w:w="180" w:type="dxa"/>
            <w:vAlign w:val="bottom"/>
          </w:tcPr>
          <w:p>
            <w:pPr>
              <w:spacing w:after="0"/>
              <w:rPr>
                <w:sz w:val="19"/>
                <w:szCs w:val="19"/>
                <w:color w:val="auto"/>
              </w:rPr>
            </w:pPr>
          </w:p>
        </w:tc>
        <w:tc>
          <w:tcPr>
            <w:tcW w:w="640" w:type="dxa"/>
            <w:vAlign w:val="bottom"/>
          </w:tcPr>
          <w:p>
            <w:pPr>
              <w:jc w:val="center"/>
              <w:ind w:right="49"/>
              <w:spacing w:after="0"/>
              <w:rPr>
                <w:sz w:val="20"/>
                <w:szCs w:val="20"/>
                <w:color w:val="auto"/>
              </w:rPr>
            </w:pPr>
            <w:r>
              <w:rPr>
                <w:rFonts w:ascii="Arial" w:cs="Arial" w:eastAsia="Arial" w:hAnsi="Arial"/>
                <w:sz w:val="13"/>
                <w:szCs w:val="13"/>
                <w:b w:val="1"/>
                <w:bCs w:val="1"/>
                <w:color w:val="auto"/>
                <w:w w:val="85"/>
              </w:rPr>
              <w:t>Gross</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20" w:type="dxa"/>
            <w:vAlign w:val="bottom"/>
            <w:gridSpan w:val="4"/>
          </w:tcPr>
          <w:p>
            <w:pPr>
              <w:jc w:val="right"/>
              <w:ind w:right="228"/>
              <w:spacing w:after="0"/>
              <w:rPr>
                <w:sz w:val="20"/>
                <w:szCs w:val="20"/>
                <w:color w:val="auto"/>
              </w:rPr>
            </w:pPr>
            <w:r>
              <w:rPr>
                <w:rFonts w:ascii="Arial" w:cs="Arial" w:eastAsia="Arial" w:hAnsi="Arial"/>
                <w:sz w:val="13"/>
                <w:szCs w:val="13"/>
                <w:b w:val="1"/>
                <w:bCs w:val="1"/>
                <w:color w:val="auto"/>
              </w:rPr>
              <w:t>Estimated Fair Value</w:t>
            </w:r>
          </w:p>
        </w:tc>
        <w:tc>
          <w:tcPr>
            <w:tcW w:w="0" w:type="dxa"/>
            <w:vAlign w:val="bottom"/>
          </w:tcPr>
          <w:p>
            <w:pPr>
              <w:spacing w:after="0"/>
              <w:rPr>
                <w:sz w:val="1"/>
                <w:szCs w:val="1"/>
                <w:color w:val="auto"/>
              </w:rPr>
            </w:pPr>
          </w:p>
        </w:tc>
      </w:tr>
      <w:tr>
        <w:trPr>
          <w:trHeight w:val="32"/>
        </w:trPr>
        <w:tc>
          <w:tcPr>
            <w:tcW w:w="2740" w:type="dxa"/>
            <w:vAlign w:val="bottom"/>
          </w:tcPr>
          <w:p>
            <w:pPr>
              <w:spacing w:after="0"/>
              <w:rPr>
                <w:sz w:val="2"/>
                <w:szCs w:val="2"/>
                <w:color w:val="auto"/>
              </w:rPr>
            </w:pPr>
          </w:p>
        </w:tc>
        <w:tc>
          <w:tcPr>
            <w:tcW w:w="2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vMerge w:val="restart"/>
          </w:tcPr>
          <w:p>
            <w:pPr>
              <w:jc w:val="center"/>
              <w:ind w:right="109"/>
              <w:spacing w:after="0" w:line="135" w:lineRule="exact"/>
              <w:rPr>
                <w:sz w:val="20"/>
                <w:szCs w:val="20"/>
                <w:color w:val="auto"/>
              </w:rPr>
            </w:pPr>
            <w:r>
              <w:rPr>
                <w:rFonts w:ascii="Arial" w:cs="Arial" w:eastAsia="Arial" w:hAnsi="Arial"/>
                <w:sz w:val="13"/>
                <w:szCs w:val="13"/>
                <w:b w:val="1"/>
                <w:bCs w:val="1"/>
                <w:color w:val="auto"/>
                <w:w w:val="88"/>
              </w:rPr>
              <w:t>Notional</w:t>
            </w: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vMerge w:val="restart"/>
          </w:tcPr>
          <w:p>
            <w:pPr>
              <w:jc w:val="center"/>
              <w:ind w:right="69"/>
              <w:spacing w:after="0" w:line="135" w:lineRule="exact"/>
              <w:rPr>
                <w:sz w:val="20"/>
                <w:szCs w:val="20"/>
                <w:color w:val="auto"/>
              </w:rPr>
            </w:pPr>
            <w:r>
              <w:rPr>
                <w:rFonts w:ascii="Arial" w:cs="Arial" w:eastAsia="Arial" w:hAnsi="Arial"/>
                <w:sz w:val="13"/>
                <w:szCs w:val="13"/>
                <w:b w:val="1"/>
                <w:bCs w:val="1"/>
                <w:color w:val="auto"/>
                <w:w w:val="88"/>
              </w:rPr>
              <w:t>Notional</w:t>
            </w: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83"/>
        </w:trPr>
        <w:tc>
          <w:tcPr>
            <w:tcW w:w="2740" w:type="dxa"/>
            <w:vAlign w:val="bottom"/>
          </w:tcPr>
          <w:p>
            <w:pPr>
              <w:spacing w:after="0"/>
              <w:rPr>
                <w:sz w:val="7"/>
                <w:szCs w:val="7"/>
                <w:color w:val="auto"/>
              </w:rPr>
            </w:pPr>
          </w:p>
        </w:tc>
        <w:tc>
          <w:tcPr>
            <w:tcW w:w="26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8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60" w:type="dxa"/>
            <w:vAlign w:val="bottom"/>
          </w:tcPr>
          <w:p>
            <w:pPr>
              <w:spacing w:after="0"/>
              <w:rPr>
                <w:sz w:val="7"/>
                <w:szCs w:val="7"/>
                <w:color w:val="auto"/>
              </w:rPr>
            </w:pPr>
          </w:p>
        </w:tc>
        <w:tc>
          <w:tcPr>
            <w:tcW w:w="6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80" w:type="dxa"/>
            <w:vAlign w:val="bottom"/>
          </w:tcPr>
          <w:p>
            <w:pPr>
              <w:spacing w:after="0"/>
              <w:rPr>
                <w:sz w:val="7"/>
                <w:szCs w:val="7"/>
                <w:color w:val="auto"/>
              </w:rPr>
            </w:pPr>
          </w:p>
        </w:tc>
        <w:tc>
          <w:tcPr>
            <w:tcW w:w="8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8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0" w:type="dxa"/>
            <w:vAlign w:val="bottom"/>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74"/>
        </w:trPr>
        <w:tc>
          <w:tcPr>
            <w:tcW w:w="2740" w:type="dxa"/>
            <w:vAlign w:val="bottom"/>
          </w:tcPr>
          <w:p>
            <w:pPr>
              <w:spacing w:after="0"/>
              <w:rPr>
                <w:sz w:val="15"/>
                <w:szCs w:val="15"/>
                <w:color w:val="auto"/>
              </w:rPr>
            </w:pPr>
          </w:p>
        </w:tc>
        <w:tc>
          <w:tcPr>
            <w:tcW w:w="2720" w:type="dxa"/>
            <w:vAlign w:val="bottom"/>
            <w:gridSpan w:val="2"/>
          </w:tcPr>
          <w:p>
            <w:pPr>
              <w:ind w:left="20"/>
              <w:spacing w:after="0"/>
              <w:rPr>
                <w:sz w:val="20"/>
                <w:szCs w:val="20"/>
                <w:color w:val="auto"/>
              </w:rPr>
            </w:pPr>
            <w:r>
              <w:rPr>
                <w:rFonts w:ascii="Arial" w:cs="Arial" w:eastAsia="Arial" w:hAnsi="Arial"/>
                <w:sz w:val="13"/>
                <w:szCs w:val="13"/>
                <w:b w:val="1"/>
                <w:bCs w:val="1"/>
                <w:color w:val="auto"/>
              </w:rPr>
              <w:t>Primary Underlying Risk Exposure</w:t>
            </w:r>
          </w:p>
        </w:tc>
        <w:tc>
          <w:tcPr>
            <w:tcW w:w="180" w:type="dxa"/>
            <w:vAlign w:val="bottom"/>
          </w:tcPr>
          <w:p>
            <w:pPr>
              <w:spacing w:after="0"/>
              <w:rPr>
                <w:sz w:val="15"/>
                <w:szCs w:val="15"/>
                <w:color w:val="auto"/>
              </w:rPr>
            </w:pPr>
          </w:p>
        </w:tc>
        <w:tc>
          <w:tcPr>
            <w:tcW w:w="760" w:type="dxa"/>
            <w:vAlign w:val="bottom"/>
          </w:tcPr>
          <w:p>
            <w:pPr>
              <w:jc w:val="center"/>
              <w:ind w:right="89"/>
              <w:spacing w:after="0"/>
              <w:rPr>
                <w:sz w:val="20"/>
                <w:szCs w:val="20"/>
                <w:color w:val="auto"/>
              </w:rPr>
            </w:pPr>
            <w:r>
              <w:rPr>
                <w:rFonts w:ascii="Arial" w:cs="Arial" w:eastAsia="Arial" w:hAnsi="Arial"/>
                <w:sz w:val="13"/>
                <w:szCs w:val="13"/>
                <w:b w:val="1"/>
                <w:bCs w:val="1"/>
                <w:color w:val="auto"/>
                <w:w w:val="89"/>
              </w:rPr>
              <w:t>Amount</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gridSpan w:val="2"/>
          </w:tcPr>
          <w:p>
            <w:pPr>
              <w:ind w:left="80"/>
              <w:spacing w:after="0"/>
              <w:rPr>
                <w:sz w:val="20"/>
                <w:szCs w:val="20"/>
                <w:color w:val="auto"/>
              </w:rPr>
            </w:pPr>
            <w:r>
              <w:rPr>
                <w:rFonts w:ascii="Arial" w:cs="Arial" w:eastAsia="Arial" w:hAnsi="Arial"/>
                <w:sz w:val="13"/>
                <w:szCs w:val="13"/>
                <w:b w:val="1"/>
                <w:bCs w:val="1"/>
                <w:color w:val="auto"/>
              </w:rPr>
              <w:t>Assets</w:t>
            </w:r>
          </w:p>
        </w:tc>
        <w:tc>
          <w:tcPr>
            <w:tcW w:w="180" w:type="dxa"/>
            <w:vAlign w:val="bottom"/>
          </w:tcPr>
          <w:p>
            <w:pPr>
              <w:spacing w:after="0"/>
              <w:rPr>
                <w:sz w:val="15"/>
                <w:szCs w:val="15"/>
                <w:color w:val="auto"/>
              </w:rPr>
            </w:pPr>
          </w:p>
        </w:tc>
        <w:tc>
          <w:tcPr>
            <w:tcW w:w="960" w:type="dxa"/>
            <w:vAlign w:val="bottom"/>
            <w:gridSpan w:val="2"/>
          </w:tcPr>
          <w:p>
            <w:pPr>
              <w:ind w:left="60"/>
              <w:spacing w:after="0"/>
              <w:rPr>
                <w:sz w:val="20"/>
                <w:szCs w:val="20"/>
                <w:color w:val="auto"/>
              </w:rPr>
            </w:pPr>
            <w:r>
              <w:rPr>
                <w:rFonts w:ascii="Arial" w:cs="Arial" w:eastAsia="Arial" w:hAnsi="Arial"/>
                <w:sz w:val="13"/>
                <w:szCs w:val="13"/>
                <w:b w:val="1"/>
                <w:bCs w:val="1"/>
                <w:color w:val="auto"/>
              </w:rPr>
              <w:t>Liabilities</w:t>
            </w:r>
          </w:p>
        </w:tc>
        <w:tc>
          <w:tcPr>
            <w:tcW w:w="180" w:type="dxa"/>
            <w:vAlign w:val="bottom"/>
          </w:tcPr>
          <w:p>
            <w:pPr>
              <w:spacing w:after="0"/>
              <w:rPr>
                <w:sz w:val="15"/>
                <w:szCs w:val="15"/>
                <w:color w:val="auto"/>
              </w:rPr>
            </w:pPr>
          </w:p>
        </w:tc>
        <w:tc>
          <w:tcPr>
            <w:tcW w:w="640" w:type="dxa"/>
            <w:vAlign w:val="bottom"/>
          </w:tcPr>
          <w:p>
            <w:pPr>
              <w:jc w:val="center"/>
              <w:ind w:right="49"/>
              <w:spacing w:after="0"/>
              <w:rPr>
                <w:sz w:val="20"/>
                <w:szCs w:val="20"/>
                <w:color w:val="auto"/>
              </w:rPr>
            </w:pPr>
            <w:r>
              <w:rPr>
                <w:rFonts w:ascii="Arial" w:cs="Arial" w:eastAsia="Arial" w:hAnsi="Arial"/>
                <w:sz w:val="13"/>
                <w:szCs w:val="13"/>
                <w:b w:val="1"/>
                <w:bCs w:val="1"/>
                <w:color w:val="auto"/>
                <w:w w:val="89"/>
              </w:rPr>
              <w:t>Amount</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79"/>
              </w:rPr>
              <w:t>Assets</w:t>
            </w:r>
          </w:p>
        </w:tc>
        <w:tc>
          <w:tcPr>
            <w:tcW w:w="140" w:type="dxa"/>
            <w:vAlign w:val="bottom"/>
          </w:tcPr>
          <w:p>
            <w:pPr>
              <w:spacing w:after="0"/>
              <w:rPr>
                <w:sz w:val="15"/>
                <w:szCs w:val="15"/>
                <w:color w:val="auto"/>
              </w:rPr>
            </w:pPr>
          </w:p>
        </w:tc>
        <w:tc>
          <w:tcPr>
            <w:tcW w:w="760" w:type="dxa"/>
            <w:vAlign w:val="bottom"/>
          </w:tcPr>
          <w:p>
            <w:pPr>
              <w:jc w:val="right"/>
              <w:ind w:right="108"/>
              <w:spacing w:after="0"/>
              <w:rPr>
                <w:sz w:val="20"/>
                <w:szCs w:val="20"/>
                <w:color w:val="auto"/>
              </w:rPr>
            </w:pPr>
            <w:r>
              <w:rPr>
                <w:rFonts w:ascii="Arial" w:cs="Arial" w:eastAsia="Arial" w:hAnsi="Arial"/>
                <w:sz w:val="13"/>
                <w:szCs w:val="13"/>
                <w:b w:val="1"/>
                <w:bCs w:val="1"/>
                <w:color w:val="auto"/>
                <w:w w:val="93"/>
              </w:rPr>
              <w:t>Liabilities</w:t>
            </w:r>
          </w:p>
        </w:tc>
        <w:tc>
          <w:tcPr>
            <w:tcW w:w="0" w:type="dxa"/>
            <w:vAlign w:val="bottom"/>
          </w:tcPr>
          <w:p>
            <w:pPr>
              <w:spacing w:after="0"/>
              <w:rPr>
                <w:sz w:val="1"/>
                <w:szCs w:val="1"/>
                <w:color w:val="auto"/>
              </w:rPr>
            </w:pPr>
          </w:p>
        </w:tc>
      </w:tr>
      <w:tr>
        <w:trPr>
          <w:trHeight w:val="262"/>
        </w:trPr>
        <w:tc>
          <w:tcPr>
            <w:tcW w:w="2740" w:type="dxa"/>
            <w:vAlign w:val="bottom"/>
          </w:tcPr>
          <w:p>
            <w:pPr>
              <w:spacing w:after="0"/>
              <w:rPr>
                <w:sz w:val="22"/>
                <w:szCs w:val="22"/>
                <w:color w:val="auto"/>
              </w:rPr>
            </w:pPr>
          </w:p>
        </w:tc>
        <w:tc>
          <w:tcPr>
            <w:tcW w:w="260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760" w:type="dxa"/>
            <w:vAlign w:val="bottom"/>
            <w:tcBorders>
              <w:top w:val="single" w:sz="8" w:color="auto"/>
            </w:tcBorders>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640" w:type="dxa"/>
            <w:vAlign w:val="bottom"/>
            <w:tcBorders>
              <w:top w:val="single" w:sz="8" w:color="auto"/>
            </w:tcBorders>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1140" w:type="dxa"/>
            <w:vAlign w:val="bottom"/>
            <w:tcBorders>
              <w:top w:val="single" w:sz="8" w:color="auto"/>
            </w:tcBorders>
            <w:gridSpan w:val="3"/>
          </w:tcPr>
          <w:p>
            <w:pPr>
              <w:jc w:val="right"/>
              <w:spacing w:after="0"/>
              <w:rPr>
                <w:sz w:val="20"/>
                <w:szCs w:val="20"/>
                <w:color w:val="auto"/>
              </w:rPr>
            </w:pPr>
            <w:r>
              <w:rPr>
                <w:rFonts w:ascii="Arial" w:cs="Arial" w:eastAsia="Arial" w:hAnsi="Arial"/>
                <w:sz w:val="13"/>
                <w:szCs w:val="13"/>
                <w:b w:val="1"/>
                <w:bCs w:val="1"/>
                <w:color w:val="auto"/>
              </w:rPr>
              <w:t>(In millions)</w:t>
            </w:r>
          </w:p>
        </w:tc>
        <w:tc>
          <w:tcPr>
            <w:tcW w:w="640" w:type="dxa"/>
            <w:vAlign w:val="bottom"/>
            <w:tcBorders>
              <w:top w:val="single" w:sz="8" w:color="auto"/>
            </w:tcBorders>
          </w:tcPr>
          <w:p>
            <w:pPr>
              <w:spacing w:after="0"/>
              <w:rPr>
                <w:sz w:val="22"/>
                <w:szCs w:val="22"/>
                <w:color w:val="auto"/>
              </w:rPr>
            </w:pPr>
          </w:p>
        </w:tc>
        <w:tc>
          <w:tcPr>
            <w:tcW w:w="60" w:type="dxa"/>
            <w:vAlign w:val="bottom"/>
            <w:tcBorders>
              <w:top w:val="single" w:sz="8" w:color="auto"/>
            </w:tcBorders>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620" w:type="dxa"/>
            <w:vAlign w:val="bottom"/>
            <w:tcBorders>
              <w:top w:val="single" w:sz="8" w:color="auto"/>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76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99"/>
        </w:trPr>
        <w:tc>
          <w:tcPr>
            <w:tcW w:w="5460" w:type="dxa"/>
            <w:vAlign w:val="bottom"/>
            <w:gridSpan w:val="3"/>
            <w:shd w:val="clear" w:color="auto" w:fill="CCEEFF"/>
          </w:tcPr>
          <w:p>
            <w:pPr>
              <w:ind w:left="40"/>
              <w:spacing w:after="0"/>
              <w:rPr>
                <w:sz w:val="20"/>
                <w:szCs w:val="20"/>
                <w:color w:val="auto"/>
              </w:rPr>
            </w:pPr>
            <w:r>
              <w:rPr>
                <w:rFonts w:ascii="Arial" w:cs="Arial" w:eastAsia="Arial" w:hAnsi="Arial"/>
                <w:sz w:val="14"/>
                <w:szCs w:val="14"/>
                <w:color w:val="auto"/>
              </w:rPr>
              <w:t>Derivatives Designated as Hedging Instruments:</w:t>
            </w: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80"/>
        </w:trPr>
        <w:tc>
          <w:tcPr>
            <w:tcW w:w="2740" w:type="dxa"/>
            <w:vAlign w:val="bottom"/>
            <w:shd w:val="clear" w:color="auto" w:fill="CCEEFF"/>
          </w:tcPr>
          <w:p>
            <w:pPr>
              <w:spacing w:after="0"/>
              <w:rPr>
                <w:sz w:val="6"/>
                <w:szCs w:val="6"/>
                <w:color w:val="auto"/>
              </w:rPr>
            </w:pPr>
          </w:p>
        </w:tc>
        <w:tc>
          <w:tcPr>
            <w:tcW w:w="26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76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64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84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640" w:type="dxa"/>
            <w:vAlign w:val="bottom"/>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6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76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64"/>
        </w:trPr>
        <w:tc>
          <w:tcPr>
            <w:tcW w:w="2740" w:type="dxa"/>
            <w:vAlign w:val="bottom"/>
          </w:tcPr>
          <w:p>
            <w:pPr>
              <w:ind w:left="40"/>
              <w:spacing w:after="0"/>
              <w:rPr>
                <w:sz w:val="20"/>
                <w:szCs w:val="20"/>
                <w:color w:val="auto"/>
              </w:rPr>
            </w:pPr>
            <w:r>
              <w:rPr>
                <w:rFonts w:ascii="Arial" w:cs="Arial" w:eastAsia="Arial" w:hAnsi="Arial"/>
                <w:sz w:val="14"/>
                <w:szCs w:val="14"/>
                <w:color w:val="auto"/>
              </w:rPr>
              <w:t>Fair value hedges:</w:t>
            </w:r>
          </w:p>
        </w:tc>
        <w:tc>
          <w:tcPr>
            <w:tcW w:w="26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274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Interest rate swaps</w:t>
            </w:r>
          </w:p>
        </w:tc>
        <w:tc>
          <w:tcPr>
            <w:tcW w:w="27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Interest rate</w:t>
            </w: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182</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44</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76"/>
              </w:rPr>
              <w:t>$</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310</w:t>
            </w:r>
          </w:p>
        </w:tc>
        <w:tc>
          <w:tcPr>
            <w:tcW w:w="320" w:type="dxa"/>
            <w:vAlign w:val="bottom"/>
            <w:gridSpan w:val="3"/>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41</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2740" w:type="dxa"/>
            <w:vAlign w:val="bottom"/>
          </w:tcPr>
          <w:p>
            <w:pPr>
              <w:ind w:left="40"/>
              <w:spacing w:after="0"/>
              <w:rPr>
                <w:sz w:val="20"/>
                <w:szCs w:val="20"/>
                <w:color w:val="auto"/>
              </w:rPr>
            </w:pPr>
            <w:r>
              <w:rPr>
                <w:rFonts w:ascii="Arial" w:cs="Arial" w:eastAsia="Arial" w:hAnsi="Arial"/>
                <w:sz w:val="14"/>
                <w:szCs w:val="14"/>
                <w:color w:val="auto"/>
              </w:rPr>
              <w:t>Cash flow hedges:</w:t>
            </w:r>
          </w:p>
        </w:tc>
        <w:tc>
          <w:tcPr>
            <w:tcW w:w="26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274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Interest rate swaps</w:t>
            </w:r>
          </w:p>
        </w:tc>
        <w:tc>
          <w:tcPr>
            <w:tcW w:w="27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Interest rate</w:t>
            </w:r>
          </w:p>
        </w:tc>
        <w:tc>
          <w:tcPr>
            <w:tcW w:w="18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45</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4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8</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w:t>
            </w:r>
          </w:p>
        </w:tc>
        <w:tc>
          <w:tcPr>
            <w:tcW w:w="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62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7</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274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Foreign currency swaps</w:t>
            </w:r>
          </w:p>
        </w:tc>
        <w:tc>
          <w:tcPr>
            <w:tcW w:w="272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Foreign currency exchange rate</w:t>
            </w:r>
          </w:p>
        </w:tc>
        <w:tc>
          <w:tcPr>
            <w:tcW w:w="18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1,599</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118</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48</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1,493</w:t>
            </w:r>
          </w:p>
        </w:tc>
        <w:tc>
          <w:tcPr>
            <w:tcW w:w="6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202</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11</w:t>
            </w:r>
          </w:p>
        </w:tc>
        <w:tc>
          <w:tcPr>
            <w:tcW w:w="0" w:type="dxa"/>
            <w:vAlign w:val="bottom"/>
          </w:tcPr>
          <w:p>
            <w:pPr>
              <w:spacing w:after="0"/>
              <w:rPr>
                <w:sz w:val="1"/>
                <w:szCs w:val="1"/>
                <w:color w:val="auto"/>
              </w:rPr>
            </w:pPr>
          </w:p>
        </w:tc>
      </w:tr>
      <w:tr>
        <w:trPr>
          <w:trHeight w:val="250"/>
        </w:trPr>
        <w:tc>
          <w:tcPr>
            <w:tcW w:w="27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Subtotal</w:t>
            </w:r>
          </w:p>
        </w:tc>
        <w:tc>
          <w:tcPr>
            <w:tcW w:w="26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76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1,644</w:t>
            </w:r>
          </w:p>
        </w:tc>
        <w:tc>
          <w:tcPr>
            <w:tcW w:w="12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64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126</w:t>
            </w:r>
          </w:p>
        </w:tc>
        <w:tc>
          <w:tcPr>
            <w:tcW w:w="12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48</w:t>
            </w:r>
          </w:p>
        </w:tc>
        <w:tc>
          <w:tcPr>
            <w:tcW w:w="12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1,538</w:t>
            </w:r>
          </w:p>
        </w:tc>
        <w:tc>
          <w:tcPr>
            <w:tcW w:w="60" w:type="dxa"/>
            <w:vAlign w:val="bottom"/>
            <w:tcBorders>
              <w:bottom w:val="single" w:sz="8" w:color="auto"/>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62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209</w:t>
            </w:r>
          </w:p>
        </w:tc>
        <w:tc>
          <w:tcPr>
            <w:tcW w:w="10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7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11</w:t>
            </w:r>
          </w:p>
        </w:tc>
        <w:tc>
          <w:tcPr>
            <w:tcW w:w="0" w:type="dxa"/>
            <w:vAlign w:val="bottom"/>
          </w:tcPr>
          <w:p>
            <w:pPr>
              <w:spacing w:after="0"/>
              <w:rPr>
                <w:sz w:val="1"/>
                <w:szCs w:val="1"/>
                <w:color w:val="auto"/>
              </w:rPr>
            </w:pPr>
          </w:p>
        </w:tc>
      </w:tr>
      <w:tr>
        <w:trPr>
          <w:trHeight w:val="250"/>
        </w:trPr>
        <w:tc>
          <w:tcPr>
            <w:tcW w:w="2740" w:type="dxa"/>
            <w:vAlign w:val="bottom"/>
            <w:tcBorders>
              <w:bottom w:val="single" w:sz="8" w:color="CCEEFF"/>
            </w:tcBorders>
          </w:tcPr>
          <w:p>
            <w:pPr>
              <w:ind w:left="180"/>
              <w:spacing w:after="0"/>
              <w:rPr>
                <w:sz w:val="20"/>
                <w:szCs w:val="20"/>
                <w:color w:val="auto"/>
              </w:rPr>
            </w:pPr>
            <w:r>
              <w:rPr>
                <w:rFonts w:ascii="Arial" w:cs="Arial" w:eastAsia="Arial" w:hAnsi="Arial"/>
                <w:sz w:val="14"/>
                <w:szCs w:val="14"/>
                <w:color w:val="auto"/>
              </w:rPr>
              <w:t>Total qualifying hedges</w:t>
            </w:r>
          </w:p>
        </w:tc>
        <w:tc>
          <w:tcPr>
            <w:tcW w:w="260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1,826</w:t>
            </w:r>
          </w:p>
        </w:tc>
        <w:tc>
          <w:tcPr>
            <w:tcW w:w="1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170</w:t>
            </w:r>
          </w:p>
        </w:tc>
        <w:tc>
          <w:tcPr>
            <w:tcW w:w="12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48</w:t>
            </w:r>
          </w:p>
        </w:tc>
        <w:tc>
          <w:tcPr>
            <w:tcW w:w="12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1,848</w:t>
            </w:r>
          </w:p>
        </w:tc>
        <w:tc>
          <w:tcPr>
            <w:tcW w:w="60" w:type="dxa"/>
            <w:vAlign w:val="bottom"/>
            <w:tcBorders>
              <w:bottom w:val="single" w:sz="8" w:color="auto"/>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250</w:t>
            </w: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11</w:t>
            </w:r>
          </w:p>
        </w:tc>
        <w:tc>
          <w:tcPr>
            <w:tcW w:w="0" w:type="dxa"/>
            <w:vAlign w:val="bottom"/>
          </w:tcPr>
          <w:p>
            <w:pPr>
              <w:spacing w:after="0"/>
              <w:rPr>
                <w:sz w:val="1"/>
                <w:szCs w:val="1"/>
                <w:color w:val="auto"/>
              </w:rPr>
            </w:pPr>
          </w:p>
        </w:tc>
      </w:tr>
      <w:tr>
        <w:trPr>
          <w:trHeight w:val="270"/>
        </w:trPr>
        <w:tc>
          <w:tcPr>
            <w:tcW w:w="5460" w:type="dxa"/>
            <w:vAlign w:val="bottom"/>
            <w:gridSpan w:val="3"/>
            <w:shd w:val="clear" w:color="auto" w:fill="CCEEFF"/>
          </w:tcPr>
          <w:p>
            <w:pPr>
              <w:ind w:left="40"/>
              <w:spacing w:after="0"/>
              <w:rPr>
                <w:sz w:val="20"/>
                <w:szCs w:val="20"/>
                <w:color w:val="auto"/>
              </w:rPr>
            </w:pPr>
            <w:r>
              <w:rPr>
                <w:rFonts w:ascii="Arial" w:cs="Arial" w:eastAsia="Arial" w:hAnsi="Arial"/>
                <w:sz w:val="14"/>
                <w:szCs w:val="14"/>
                <w:color w:val="auto"/>
              </w:rPr>
              <w:t>Derivatives Not Designated or Not Qualifying as Hedging Instruments:</w:t>
            </w:r>
          </w:p>
        </w:tc>
        <w:tc>
          <w:tcPr>
            <w:tcW w:w="18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6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64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6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2740" w:type="dxa"/>
            <w:vAlign w:val="bottom"/>
          </w:tcPr>
          <w:p>
            <w:pPr>
              <w:ind w:left="40"/>
              <w:spacing w:after="0"/>
              <w:rPr>
                <w:sz w:val="20"/>
                <w:szCs w:val="20"/>
                <w:color w:val="auto"/>
              </w:rPr>
            </w:pPr>
            <w:r>
              <w:rPr>
                <w:rFonts w:ascii="Arial" w:cs="Arial" w:eastAsia="Arial" w:hAnsi="Arial"/>
                <w:sz w:val="14"/>
                <w:szCs w:val="14"/>
                <w:color w:val="auto"/>
              </w:rPr>
              <w:t>Interest rate swaps</w:t>
            </w:r>
          </w:p>
        </w:tc>
        <w:tc>
          <w:tcPr>
            <w:tcW w:w="2720" w:type="dxa"/>
            <w:vAlign w:val="bottom"/>
            <w:gridSpan w:val="2"/>
          </w:tcPr>
          <w:p>
            <w:pPr>
              <w:ind w:left="20"/>
              <w:spacing w:after="0"/>
              <w:rPr>
                <w:sz w:val="20"/>
                <w:szCs w:val="20"/>
                <w:color w:val="auto"/>
              </w:rPr>
            </w:pPr>
            <w:r>
              <w:rPr>
                <w:rFonts w:ascii="Arial" w:cs="Arial" w:eastAsia="Arial" w:hAnsi="Arial"/>
                <w:sz w:val="14"/>
                <w:szCs w:val="14"/>
                <w:color w:val="auto"/>
              </w:rPr>
              <w:t>Interest rate</w:t>
            </w:r>
          </w:p>
        </w:tc>
        <w:tc>
          <w:tcPr>
            <w:tcW w:w="180" w:type="dxa"/>
            <w:vAlign w:val="bottom"/>
          </w:tcPr>
          <w:p>
            <w:pPr>
              <w:spacing w:after="0"/>
              <w:rPr>
                <w:sz w:val="22"/>
                <w:szCs w:val="22"/>
                <w:color w:val="auto"/>
              </w:rPr>
            </w:pPr>
          </w:p>
        </w:tc>
        <w:tc>
          <w:tcPr>
            <w:tcW w:w="760" w:type="dxa"/>
            <w:vAlign w:val="bottom"/>
          </w:tcPr>
          <w:p>
            <w:pPr>
              <w:jc w:val="right"/>
              <w:ind w:right="49"/>
              <w:spacing w:after="0"/>
              <w:rPr>
                <w:sz w:val="20"/>
                <w:szCs w:val="20"/>
                <w:color w:val="auto"/>
              </w:rPr>
            </w:pPr>
            <w:r>
              <w:rPr>
                <w:rFonts w:ascii="Arial" w:cs="Arial" w:eastAsia="Arial" w:hAnsi="Arial"/>
                <w:sz w:val="14"/>
                <w:szCs w:val="14"/>
                <w:color w:val="auto"/>
              </w:rPr>
              <w:t>20,227</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40" w:type="dxa"/>
            <w:vAlign w:val="bottom"/>
          </w:tcPr>
          <w:p>
            <w:pPr>
              <w:jc w:val="right"/>
              <w:ind w:right="49"/>
              <w:spacing w:after="0"/>
              <w:rPr>
                <w:sz w:val="20"/>
                <w:szCs w:val="20"/>
                <w:color w:val="auto"/>
              </w:rPr>
            </w:pPr>
            <w:r>
              <w:rPr>
                <w:rFonts w:ascii="Arial" w:cs="Arial" w:eastAsia="Arial" w:hAnsi="Arial"/>
                <w:sz w:val="14"/>
                <w:szCs w:val="14"/>
                <w:color w:val="auto"/>
              </w:rPr>
              <w:t>994</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40" w:type="dxa"/>
            <w:vAlign w:val="bottom"/>
          </w:tcPr>
          <w:p>
            <w:pPr>
              <w:jc w:val="right"/>
              <w:ind w:right="29"/>
              <w:spacing w:after="0"/>
              <w:rPr>
                <w:sz w:val="20"/>
                <w:szCs w:val="20"/>
                <w:color w:val="auto"/>
              </w:rPr>
            </w:pPr>
            <w:r>
              <w:rPr>
                <w:rFonts w:ascii="Arial" w:cs="Arial" w:eastAsia="Arial" w:hAnsi="Arial"/>
                <w:sz w:val="14"/>
                <w:szCs w:val="14"/>
                <w:color w:val="auto"/>
              </w:rPr>
              <w:t>786</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28,175</w:t>
            </w: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20" w:type="dxa"/>
            <w:vAlign w:val="bottom"/>
          </w:tcPr>
          <w:p>
            <w:pPr>
              <w:jc w:val="right"/>
              <w:ind w:right="29"/>
              <w:spacing w:after="0"/>
              <w:rPr>
                <w:sz w:val="20"/>
                <w:szCs w:val="20"/>
                <w:color w:val="auto"/>
              </w:rPr>
            </w:pPr>
            <w:r>
              <w:rPr>
                <w:rFonts w:ascii="Arial" w:cs="Arial" w:eastAsia="Arial" w:hAnsi="Arial"/>
                <w:sz w:val="14"/>
                <w:szCs w:val="14"/>
                <w:color w:val="auto"/>
              </w:rPr>
              <w:t>1,928</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1,687</w:t>
            </w:r>
          </w:p>
        </w:tc>
        <w:tc>
          <w:tcPr>
            <w:tcW w:w="0" w:type="dxa"/>
            <w:vAlign w:val="bottom"/>
          </w:tcPr>
          <w:p>
            <w:pPr>
              <w:spacing w:after="0"/>
              <w:rPr>
                <w:sz w:val="1"/>
                <w:szCs w:val="1"/>
                <w:color w:val="auto"/>
              </w:rPr>
            </w:pPr>
          </w:p>
        </w:tc>
      </w:tr>
      <w:tr>
        <w:trPr>
          <w:trHeight w:val="276"/>
        </w:trPr>
        <w:tc>
          <w:tcPr>
            <w:tcW w:w="274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Interest rate floors</w:t>
            </w:r>
          </w:p>
        </w:tc>
        <w:tc>
          <w:tcPr>
            <w:tcW w:w="27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Interest rate</w:t>
            </w:r>
          </w:p>
        </w:tc>
        <w:tc>
          <w:tcPr>
            <w:tcW w:w="18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2,100</w:t>
            </w:r>
          </w:p>
        </w:tc>
        <w:tc>
          <w:tcPr>
            <w:tcW w:w="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62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6</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264"/>
        </w:trPr>
        <w:tc>
          <w:tcPr>
            <w:tcW w:w="2740" w:type="dxa"/>
            <w:vAlign w:val="bottom"/>
          </w:tcPr>
          <w:p>
            <w:pPr>
              <w:ind w:left="40"/>
              <w:spacing w:after="0"/>
              <w:rPr>
                <w:sz w:val="20"/>
                <w:szCs w:val="20"/>
                <w:color w:val="auto"/>
              </w:rPr>
            </w:pPr>
            <w:r>
              <w:rPr>
                <w:rFonts w:ascii="Arial" w:cs="Arial" w:eastAsia="Arial" w:hAnsi="Arial"/>
                <w:sz w:val="14"/>
                <w:szCs w:val="14"/>
                <w:color w:val="auto"/>
              </w:rPr>
              <w:t>Interest rate caps</w:t>
            </w:r>
          </w:p>
        </w:tc>
        <w:tc>
          <w:tcPr>
            <w:tcW w:w="2720" w:type="dxa"/>
            <w:vAlign w:val="bottom"/>
            <w:gridSpan w:val="2"/>
          </w:tcPr>
          <w:p>
            <w:pPr>
              <w:ind w:left="20"/>
              <w:spacing w:after="0"/>
              <w:rPr>
                <w:sz w:val="20"/>
                <w:szCs w:val="20"/>
                <w:color w:val="auto"/>
              </w:rPr>
            </w:pPr>
            <w:r>
              <w:rPr>
                <w:rFonts w:ascii="Arial" w:cs="Arial" w:eastAsia="Arial" w:hAnsi="Arial"/>
                <w:sz w:val="14"/>
                <w:szCs w:val="14"/>
                <w:color w:val="auto"/>
              </w:rPr>
              <w:t>Interest rate</w:t>
            </w:r>
          </w:p>
        </w:tc>
        <w:tc>
          <w:tcPr>
            <w:tcW w:w="180" w:type="dxa"/>
            <w:vAlign w:val="bottom"/>
          </w:tcPr>
          <w:p>
            <w:pPr>
              <w:spacing w:after="0"/>
              <w:rPr>
                <w:sz w:val="22"/>
                <w:szCs w:val="22"/>
                <w:color w:val="auto"/>
              </w:rPr>
            </w:pPr>
          </w:p>
        </w:tc>
        <w:tc>
          <w:tcPr>
            <w:tcW w:w="760" w:type="dxa"/>
            <w:vAlign w:val="bottom"/>
          </w:tcPr>
          <w:p>
            <w:pPr>
              <w:jc w:val="right"/>
              <w:ind w:right="49"/>
              <w:spacing w:after="0"/>
              <w:rPr>
                <w:sz w:val="20"/>
                <w:szCs w:val="20"/>
                <w:color w:val="auto"/>
              </w:rPr>
            </w:pPr>
            <w:r>
              <w:rPr>
                <w:rFonts w:ascii="Arial" w:cs="Arial" w:eastAsia="Arial" w:hAnsi="Arial"/>
                <w:sz w:val="14"/>
                <w:szCs w:val="14"/>
                <w:color w:val="auto"/>
              </w:rPr>
              <w:t>5,032</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40" w:type="dxa"/>
            <w:vAlign w:val="bottom"/>
          </w:tcPr>
          <w:p>
            <w:pPr>
              <w:jc w:val="right"/>
              <w:ind w:right="49"/>
              <w:spacing w:after="0"/>
              <w:rPr>
                <w:sz w:val="20"/>
                <w:szCs w:val="20"/>
                <w:color w:val="auto"/>
              </w:rPr>
            </w:pPr>
            <w:r>
              <w:rPr>
                <w:rFonts w:ascii="Arial" w:cs="Arial" w:eastAsia="Arial" w:hAnsi="Arial"/>
                <w:sz w:val="14"/>
                <w:szCs w:val="14"/>
                <w:color w:val="auto"/>
              </w:rPr>
              <w:t>7</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12,042</w:t>
            </w: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20" w:type="dxa"/>
            <w:vAlign w:val="bottom"/>
          </w:tcPr>
          <w:p>
            <w:pPr>
              <w:jc w:val="right"/>
              <w:ind w:right="29"/>
              <w:spacing w:after="0"/>
              <w:rPr>
                <w:sz w:val="20"/>
                <w:szCs w:val="20"/>
                <w:color w:val="auto"/>
              </w:rPr>
            </w:pPr>
            <w:r>
              <w:rPr>
                <w:rFonts w:ascii="Arial" w:cs="Arial" w:eastAsia="Arial" w:hAnsi="Arial"/>
                <w:sz w:val="14"/>
                <w:szCs w:val="14"/>
                <w:color w:val="auto"/>
              </w:rPr>
              <w:t>25</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274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Interest rate futures</w:t>
            </w:r>
          </w:p>
        </w:tc>
        <w:tc>
          <w:tcPr>
            <w:tcW w:w="27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Interest rate</w:t>
            </w:r>
          </w:p>
        </w:tc>
        <w:tc>
          <w:tcPr>
            <w:tcW w:w="18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282</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1,288</w:t>
            </w:r>
          </w:p>
        </w:tc>
        <w:tc>
          <w:tcPr>
            <w:tcW w:w="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62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9</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2740" w:type="dxa"/>
            <w:vAlign w:val="bottom"/>
          </w:tcPr>
          <w:p>
            <w:pPr>
              <w:ind w:left="40"/>
              <w:spacing w:after="0"/>
              <w:rPr>
                <w:sz w:val="20"/>
                <w:szCs w:val="20"/>
                <w:color w:val="auto"/>
              </w:rPr>
            </w:pPr>
            <w:r>
              <w:rPr>
                <w:rFonts w:ascii="Arial" w:cs="Arial" w:eastAsia="Arial" w:hAnsi="Arial"/>
                <w:sz w:val="14"/>
                <w:szCs w:val="14"/>
                <w:color w:val="auto"/>
              </w:rPr>
              <w:t>Interest rate options</w:t>
            </w:r>
          </w:p>
        </w:tc>
        <w:tc>
          <w:tcPr>
            <w:tcW w:w="2720" w:type="dxa"/>
            <w:vAlign w:val="bottom"/>
            <w:gridSpan w:val="2"/>
          </w:tcPr>
          <w:p>
            <w:pPr>
              <w:ind w:left="20"/>
              <w:spacing w:after="0"/>
              <w:rPr>
                <w:sz w:val="20"/>
                <w:szCs w:val="20"/>
                <w:color w:val="auto"/>
              </w:rPr>
            </w:pPr>
            <w:r>
              <w:rPr>
                <w:rFonts w:ascii="Arial" w:cs="Arial" w:eastAsia="Arial" w:hAnsi="Arial"/>
                <w:sz w:val="14"/>
                <w:szCs w:val="14"/>
                <w:color w:val="auto"/>
              </w:rPr>
              <w:t>Interest rate</w:t>
            </w:r>
          </w:p>
        </w:tc>
        <w:tc>
          <w:tcPr>
            <w:tcW w:w="180" w:type="dxa"/>
            <w:vAlign w:val="bottom"/>
          </w:tcPr>
          <w:p>
            <w:pPr>
              <w:spacing w:after="0"/>
              <w:rPr>
                <w:sz w:val="22"/>
                <w:szCs w:val="22"/>
                <w:color w:val="auto"/>
              </w:rPr>
            </w:pPr>
          </w:p>
        </w:tc>
        <w:tc>
          <w:tcPr>
            <w:tcW w:w="760" w:type="dxa"/>
            <w:vAlign w:val="bottom"/>
          </w:tcPr>
          <w:p>
            <w:pPr>
              <w:jc w:val="right"/>
              <w:ind w:right="49"/>
              <w:spacing w:after="0"/>
              <w:rPr>
                <w:sz w:val="20"/>
                <w:szCs w:val="20"/>
                <w:color w:val="auto"/>
              </w:rPr>
            </w:pPr>
            <w:r>
              <w:rPr>
                <w:rFonts w:ascii="Arial" w:cs="Arial" w:eastAsia="Arial" w:hAnsi="Arial"/>
                <w:sz w:val="14"/>
                <w:szCs w:val="14"/>
                <w:color w:val="auto"/>
              </w:rPr>
              <w:t>24,600</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40" w:type="dxa"/>
            <w:vAlign w:val="bottom"/>
          </w:tcPr>
          <w:p>
            <w:pPr>
              <w:jc w:val="right"/>
              <w:ind w:right="49"/>
              <w:spacing w:after="0"/>
              <w:rPr>
                <w:sz w:val="20"/>
                <w:szCs w:val="20"/>
                <w:color w:val="auto"/>
              </w:rPr>
            </w:pPr>
            <w:r>
              <w:rPr>
                <w:rFonts w:ascii="Arial" w:cs="Arial" w:eastAsia="Arial" w:hAnsi="Arial"/>
                <w:sz w:val="14"/>
                <w:szCs w:val="14"/>
                <w:color w:val="auto"/>
              </w:rPr>
              <w:t>183</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40" w:type="dxa"/>
            <w:vAlign w:val="bottom"/>
          </w:tcPr>
          <w:p>
            <w:pPr>
              <w:jc w:val="right"/>
              <w:ind w:right="29"/>
              <w:spacing w:after="0"/>
              <w:rPr>
                <w:sz w:val="20"/>
                <w:szCs w:val="20"/>
                <w:color w:val="auto"/>
              </w:rPr>
            </w:pPr>
            <w:r>
              <w:rPr>
                <w:rFonts w:ascii="Arial" w:cs="Arial" w:eastAsia="Arial" w:hAnsi="Arial"/>
                <w:sz w:val="14"/>
                <w:szCs w:val="14"/>
                <w:color w:val="auto"/>
              </w:rPr>
              <w:t>28</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15,520</w:t>
            </w: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20" w:type="dxa"/>
            <w:vAlign w:val="bottom"/>
          </w:tcPr>
          <w:p>
            <w:pPr>
              <w:jc w:val="right"/>
              <w:ind w:right="29"/>
              <w:spacing w:after="0"/>
              <w:rPr>
                <w:sz w:val="20"/>
                <w:szCs w:val="20"/>
                <w:color w:val="auto"/>
              </w:rPr>
            </w:pPr>
            <w:r>
              <w:rPr>
                <w:rFonts w:ascii="Arial" w:cs="Arial" w:eastAsia="Arial" w:hAnsi="Arial"/>
                <w:sz w:val="14"/>
                <w:szCs w:val="14"/>
                <w:color w:val="auto"/>
              </w:rPr>
              <w:t>136</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274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Interest rate total return swaps</w:t>
            </w:r>
          </w:p>
        </w:tc>
        <w:tc>
          <w:tcPr>
            <w:tcW w:w="27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Interest rate</w:t>
            </w:r>
          </w:p>
        </w:tc>
        <w:tc>
          <w:tcPr>
            <w:tcW w:w="18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3,876</w:t>
            </w:r>
          </w:p>
        </w:tc>
        <w:tc>
          <w:tcPr>
            <w:tcW w:w="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611</w:t>
            </w:r>
          </w:p>
        </w:tc>
        <w:tc>
          <w:tcPr>
            <w:tcW w:w="0" w:type="dxa"/>
            <w:vAlign w:val="bottom"/>
          </w:tcPr>
          <w:p>
            <w:pPr>
              <w:spacing w:after="0"/>
              <w:rPr>
                <w:sz w:val="1"/>
                <w:szCs w:val="1"/>
                <w:color w:val="auto"/>
              </w:rPr>
            </w:pPr>
          </w:p>
        </w:tc>
      </w:tr>
      <w:tr>
        <w:trPr>
          <w:trHeight w:val="264"/>
        </w:trPr>
        <w:tc>
          <w:tcPr>
            <w:tcW w:w="2740" w:type="dxa"/>
            <w:vAlign w:val="bottom"/>
          </w:tcPr>
          <w:p>
            <w:pPr>
              <w:ind w:left="40"/>
              <w:spacing w:after="0"/>
              <w:rPr>
                <w:sz w:val="20"/>
                <w:szCs w:val="20"/>
                <w:color w:val="auto"/>
              </w:rPr>
            </w:pPr>
            <w:r>
              <w:rPr>
                <w:rFonts w:ascii="Arial" w:cs="Arial" w:eastAsia="Arial" w:hAnsi="Arial"/>
                <w:sz w:val="14"/>
                <w:szCs w:val="14"/>
                <w:color w:val="auto"/>
              </w:rPr>
              <w:t>Foreign currency swaps</w:t>
            </w:r>
          </w:p>
        </w:tc>
        <w:tc>
          <w:tcPr>
            <w:tcW w:w="2720" w:type="dxa"/>
            <w:vAlign w:val="bottom"/>
            <w:gridSpan w:val="2"/>
          </w:tcPr>
          <w:p>
            <w:pPr>
              <w:ind w:left="20"/>
              <w:spacing w:after="0"/>
              <w:rPr>
                <w:sz w:val="20"/>
                <w:szCs w:val="20"/>
                <w:color w:val="auto"/>
              </w:rPr>
            </w:pPr>
            <w:r>
              <w:rPr>
                <w:rFonts w:ascii="Arial" w:cs="Arial" w:eastAsia="Arial" w:hAnsi="Arial"/>
                <w:sz w:val="14"/>
                <w:szCs w:val="14"/>
                <w:color w:val="auto"/>
              </w:rPr>
              <w:t>Foreign currency exchange rate</w:t>
            </w:r>
          </w:p>
        </w:tc>
        <w:tc>
          <w:tcPr>
            <w:tcW w:w="180" w:type="dxa"/>
            <w:vAlign w:val="bottom"/>
          </w:tcPr>
          <w:p>
            <w:pPr>
              <w:spacing w:after="0"/>
              <w:rPr>
                <w:sz w:val="22"/>
                <w:szCs w:val="22"/>
                <w:color w:val="auto"/>
              </w:rPr>
            </w:pPr>
          </w:p>
        </w:tc>
        <w:tc>
          <w:tcPr>
            <w:tcW w:w="760" w:type="dxa"/>
            <w:vAlign w:val="bottom"/>
          </w:tcPr>
          <w:p>
            <w:pPr>
              <w:jc w:val="right"/>
              <w:ind w:right="49"/>
              <w:spacing w:after="0"/>
              <w:rPr>
                <w:sz w:val="20"/>
                <w:szCs w:val="20"/>
                <w:color w:val="auto"/>
              </w:rPr>
            </w:pPr>
            <w:r>
              <w:rPr>
                <w:rFonts w:ascii="Arial" w:cs="Arial" w:eastAsia="Arial" w:hAnsi="Arial"/>
                <w:sz w:val="14"/>
                <w:szCs w:val="14"/>
                <w:color w:val="auto"/>
              </w:rPr>
              <w:t>970</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40" w:type="dxa"/>
            <w:vAlign w:val="bottom"/>
          </w:tcPr>
          <w:p>
            <w:pPr>
              <w:jc w:val="right"/>
              <w:ind w:right="49"/>
              <w:spacing w:after="0"/>
              <w:rPr>
                <w:sz w:val="20"/>
                <w:szCs w:val="20"/>
                <w:color w:val="auto"/>
              </w:rPr>
            </w:pPr>
            <w:r>
              <w:rPr>
                <w:rFonts w:ascii="Arial" w:cs="Arial" w:eastAsia="Arial" w:hAnsi="Arial"/>
                <w:sz w:val="14"/>
                <w:szCs w:val="14"/>
                <w:color w:val="auto"/>
              </w:rPr>
              <w:t>82</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40" w:type="dxa"/>
            <w:vAlign w:val="bottom"/>
          </w:tcPr>
          <w:p>
            <w:pPr>
              <w:jc w:val="right"/>
              <w:ind w:right="29"/>
              <w:spacing w:after="0"/>
              <w:rPr>
                <w:sz w:val="20"/>
                <w:szCs w:val="20"/>
                <w:color w:val="auto"/>
              </w:rPr>
            </w:pPr>
            <w:r>
              <w:rPr>
                <w:rFonts w:ascii="Arial" w:cs="Arial" w:eastAsia="Arial" w:hAnsi="Arial"/>
                <w:sz w:val="14"/>
                <w:szCs w:val="14"/>
                <w:color w:val="auto"/>
              </w:rPr>
              <w:t>25</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1,261</w:t>
            </w: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20" w:type="dxa"/>
            <w:vAlign w:val="bottom"/>
          </w:tcPr>
          <w:p>
            <w:pPr>
              <w:jc w:val="right"/>
              <w:ind w:right="29"/>
              <w:spacing w:after="0"/>
              <w:rPr>
                <w:sz w:val="20"/>
                <w:szCs w:val="20"/>
                <w:color w:val="auto"/>
              </w:rPr>
            </w:pPr>
            <w:r>
              <w:rPr>
                <w:rFonts w:ascii="Arial" w:cs="Arial" w:eastAsia="Arial" w:hAnsi="Arial"/>
                <w:sz w:val="14"/>
                <w:szCs w:val="14"/>
                <w:color w:val="auto"/>
              </w:rPr>
              <w:t>155</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276"/>
        </w:trPr>
        <w:tc>
          <w:tcPr>
            <w:tcW w:w="2740" w:type="dxa"/>
            <w:vAlign w:val="bottom"/>
            <w:shd w:val="clear" w:color="auto" w:fill="CCEEFF"/>
          </w:tcPr>
          <w:p>
            <w:pPr>
              <w:ind w:left="40"/>
              <w:spacing w:after="0"/>
              <w:rPr>
                <w:sz w:val="20"/>
                <w:szCs w:val="20"/>
                <w:color w:val="auto"/>
              </w:rPr>
            </w:pPr>
            <w:r>
              <w:rPr>
                <w:rFonts w:ascii="Arial" w:cs="Arial" w:eastAsia="Arial" w:hAnsi="Arial"/>
                <w:sz w:val="14"/>
                <w:szCs w:val="14"/>
                <w:color w:val="auto"/>
              </w:rPr>
              <w:t>Foreign currency forwards</w:t>
            </w:r>
          </w:p>
        </w:tc>
        <w:tc>
          <w:tcPr>
            <w:tcW w:w="27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Foreign currency exchange rate</w:t>
            </w:r>
          </w:p>
        </w:tc>
        <w:tc>
          <w:tcPr>
            <w:tcW w:w="18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166</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4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158</w:t>
            </w:r>
          </w:p>
        </w:tc>
        <w:tc>
          <w:tcPr>
            <w:tcW w:w="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62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9</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2740" w:type="dxa"/>
            <w:vAlign w:val="bottom"/>
          </w:tcPr>
          <w:p>
            <w:pPr>
              <w:ind w:left="40"/>
              <w:spacing w:after="0"/>
              <w:rPr>
                <w:sz w:val="20"/>
                <w:szCs w:val="20"/>
                <w:color w:val="auto"/>
              </w:rPr>
            </w:pPr>
            <w:r>
              <w:rPr>
                <w:rFonts w:ascii="Arial" w:cs="Arial" w:eastAsia="Arial" w:hAnsi="Arial"/>
                <w:sz w:val="14"/>
                <w:szCs w:val="14"/>
                <w:color w:val="auto"/>
              </w:rPr>
              <w:t>Credit default swaps — purchased</w:t>
            </w:r>
          </w:p>
        </w:tc>
        <w:tc>
          <w:tcPr>
            <w:tcW w:w="2720" w:type="dxa"/>
            <w:vAlign w:val="bottom"/>
            <w:gridSpan w:val="2"/>
          </w:tcPr>
          <w:p>
            <w:pPr>
              <w:ind w:left="20"/>
              <w:spacing w:after="0"/>
              <w:rPr>
                <w:sz w:val="20"/>
                <w:szCs w:val="20"/>
                <w:color w:val="auto"/>
              </w:rPr>
            </w:pPr>
            <w:r>
              <w:rPr>
                <w:rFonts w:ascii="Arial" w:cs="Arial" w:eastAsia="Arial" w:hAnsi="Arial"/>
                <w:sz w:val="14"/>
                <w:szCs w:val="14"/>
                <w:color w:val="auto"/>
              </w:rPr>
              <w:t>Credit</w:t>
            </w:r>
          </w:p>
        </w:tc>
        <w:tc>
          <w:tcPr>
            <w:tcW w:w="180" w:type="dxa"/>
            <w:vAlign w:val="bottom"/>
          </w:tcPr>
          <w:p>
            <w:pPr>
              <w:spacing w:after="0"/>
              <w:rPr>
                <w:sz w:val="22"/>
                <w:szCs w:val="22"/>
                <w:color w:val="auto"/>
              </w:rPr>
            </w:pPr>
          </w:p>
        </w:tc>
        <w:tc>
          <w:tcPr>
            <w:tcW w:w="760" w:type="dxa"/>
            <w:vAlign w:val="bottom"/>
          </w:tcPr>
          <w:p>
            <w:pPr>
              <w:jc w:val="right"/>
              <w:ind w:right="49"/>
              <w:spacing w:after="0"/>
              <w:rPr>
                <w:sz w:val="20"/>
                <w:szCs w:val="20"/>
                <w:color w:val="auto"/>
              </w:rPr>
            </w:pPr>
            <w:r>
              <w:rPr>
                <w:rFonts w:ascii="Arial" w:cs="Arial" w:eastAsia="Arial" w:hAnsi="Arial"/>
                <w:sz w:val="14"/>
                <w:szCs w:val="14"/>
                <w:color w:val="auto"/>
              </w:rPr>
              <w:t>37</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37</w:t>
            </w: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2740" w:type="dxa"/>
            <w:vAlign w:val="bottom"/>
            <w:shd w:val="clear" w:color="auto" w:fill="CCEEFF"/>
          </w:tcPr>
          <w:p>
            <w:pPr>
              <w:ind w:left="40"/>
              <w:spacing w:after="0"/>
              <w:rPr>
                <w:sz w:val="20"/>
                <w:szCs w:val="20"/>
                <w:color w:val="auto"/>
              </w:rPr>
            </w:pPr>
            <w:r>
              <w:rPr>
                <w:rFonts w:ascii="Arial" w:cs="Arial" w:eastAsia="Arial" w:hAnsi="Arial"/>
                <w:sz w:val="14"/>
                <w:szCs w:val="14"/>
                <w:color w:val="auto"/>
              </w:rPr>
              <w:t>Credit default swaps — written</w:t>
            </w:r>
          </w:p>
        </w:tc>
        <w:tc>
          <w:tcPr>
            <w:tcW w:w="27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Credit</w:t>
            </w:r>
          </w:p>
        </w:tc>
        <w:tc>
          <w:tcPr>
            <w:tcW w:w="18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1,901</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4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37</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1,913</w:t>
            </w:r>
          </w:p>
        </w:tc>
        <w:tc>
          <w:tcPr>
            <w:tcW w:w="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62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28</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2740" w:type="dxa"/>
            <w:vAlign w:val="bottom"/>
          </w:tcPr>
          <w:p>
            <w:pPr>
              <w:ind w:left="40"/>
              <w:spacing w:after="0"/>
              <w:rPr>
                <w:sz w:val="20"/>
                <w:szCs w:val="20"/>
                <w:color w:val="auto"/>
              </w:rPr>
            </w:pPr>
            <w:r>
              <w:rPr>
                <w:rFonts w:ascii="Arial" w:cs="Arial" w:eastAsia="Arial" w:hAnsi="Arial"/>
                <w:sz w:val="14"/>
                <w:szCs w:val="14"/>
                <w:color w:val="auto"/>
              </w:rPr>
              <w:t>Equity futures</w:t>
            </w:r>
          </w:p>
        </w:tc>
        <w:tc>
          <w:tcPr>
            <w:tcW w:w="2720" w:type="dxa"/>
            <w:vAlign w:val="bottom"/>
            <w:gridSpan w:val="2"/>
          </w:tcPr>
          <w:p>
            <w:pPr>
              <w:ind w:left="20"/>
              <w:spacing w:after="0"/>
              <w:rPr>
                <w:sz w:val="20"/>
                <w:szCs w:val="20"/>
                <w:color w:val="auto"/>
              </w:rPr>
            </w:pPr>
            <w:r>
              <w:rPr>
                <w:rFonts w:ascii="Arial" w:cs="Arial" w:eastAsia="Arial" w:hAnsi="Arial"/>
                <w:sz w:val="14"/>
                <w:szCs w:val="14"/>
                <w:color w:val="auto"/>
              </w:rPr>
              <w:t>Equity market</w:t>
            </w:r>
          </w:p>
        </w:tc>
        <w:tc>
          <w:tcPr>
            <w:tcW w:w="180" w:type="dxa"/>
            <w:vAlign w:val="bottom"/>
          </w:tcPr>
          <w:p>
            <w:pPr>
              <w:spacing w:after="0"/>
              <w:rPr>
                <w:sz w:val="22"/>
                <w:szCs w:val="22"/>
                <w:color w:val="auto"/>
              </w:rPr>
            </w:pPr>
          </w:p>
        </w:tc>
        <w:tc>
          <w:tcPr>
            <w:tcW w:w="760" w:type="dxa"/>
            <w:vAlign w:val="bottom"/>
          </w:tcPr>
          <w:p>
            <w:pPr>
              <w:jc w:val="right"/>
              <w:ind w:right="49"/>
              <w:spacing w:after="0"/>
              <w:rPr>
                <w:sz w:val="20"/>
                <w:szCs w:val="20"/>
                <w:color w:val="auto"/>
              </w:rPr>
            </w:pPr>
            <w:r>
              <w:rPr>
                <w:rFonts w:ascii="Arial" w:cs="Arial" w:eastAsia="Arial" w:hAnsi="Arial"/>
                <w:sz w:val="14"/>
                <w:szCs w:val="14"/>
                <w:color w:val="auto"/>
              </w:rPr>
              <w:t>2,535</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840" w:type="dxa"/>
            <w:vAlign w:val="bottom"/>
          </w:tcPr>
          <w:p>
            <w:pPr>
              <w:jc w:val="right"/>
              <w:ind w:right="29"/>
              <w:spacing w:after="0"/>
              <w:rPr>
                <w:sz w:val="20"/>
                <w:szCs w:val="20"/>
                <w:color w:val="auto"/>
              </w:rPr>
            </w:pPr>
            <w:r>
              <w:rPr>
                <w:rFonts w:ascii="Arial" w:cs="Arial" w:eastAsia="Arial" w:hAnsi="Arial"/>
                <w:sz w:val="14"/>
                <w:szCs w:val="14"/>
                <w:color w:val="auto"/>
              </w:rPr>
              <w:t>11</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8,037</w:t>
            </w: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20" w:type="dxa"/>
            <w:vAlign w:val="bottom"/>
          </w:tcPr>
          <w:p>
            <w:pPr>
              <w:jc w:val="right"/>
              <w:ind w:right="29"/>
              <w:spacing w:after="0"/>
              <w:rPr>
                <w:sz w:val="20"/>
                <w:szCs w:val="20"/>
                <w:color w:val="auto"/>
              </w:rPr>
            </w:pPr>
            <w:r>
              <w:rPr>
                <w:rFonts w:ascii="Arial" w:cs="Arial" w:eastAsia="Arial" w:hAnsi="Arial"/>
                <w:sz w:val="14"/>
                <w:szCs w:val="14"/>
                <w:color w:val="auto"/>
              </w:rPr>
              <w:t>38</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2740" w:type="dxa"/>
            <w:vAlign w:val="bottom"/>
            <w:shd w:val="clear" w:color="auto" w:fill="CCEEFF"/>
          </w:tcPr>
          <w:p>
            <w:pPr>
              <w:ind w:left="40"/>
              <w:spacing w:after="0"/>
              <w:rPr>
                <w:sz w:val="20"/>
                <w:szCs w:val="20"/>
                <w:color w:val="auto"/>
              </w:rPr>
            </w:pPr>
            <w:r>
              <w:rPr>
                <w:rFonts w:ascii="Arial" w:cs="Arial" w:eastAsia="Arial" w:hAnsi="Arial"/>
                <w:sz w:val="14"/>
                <w:szCs w:val="14"/>
                <w:color w:val="auto"/>
              </w:rPr>
              <w:t>Equity index options</w:t>
            </w:r>
          </w:p>
        </w:tc>
        <w:tc>
          <w:tcPr>
            <w:tcW w:w="27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Equity market</w:t>
            </w:r>
          </w:p>
        </w:tc>
        <w:tc>
          <w:tcPr>
            <w:tcW w:w="18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47,728</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4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827</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1,568</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37,501</w:t>
            </w:r>
          </w:p>
        </w:tc>
        <w:tc>
          <w:tcPr>
            <w:tcW w:w="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62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897</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934</w:t>
            </w:r>
          </w:p>
        </w:tc>
        <w:tc>
          <w:tcPr>
            <w:tcW w:w="0" w:type="dxa"/>
            <w:vAlign w:val="bottom"/>
          </w:tcPr>
          <w:p>
            <w:pPr>
              <w:spacing w:after="0"/>
              <w:rPr>
                <w:sz w:val="1"/>
                <w:szCs w:val="1"/>
                <w:color w:val="auto"/>
              </w:rPr>
            </w:pPr>
          </w:p>
        </w:tc>
      </w:tr>
      <w:tr>
        <w:trPr>
          <w:trHeight w:val="264"/>
        </w:trPr>
        <w:tc>
          <w:tcPr>
            <w:tcW w:w="2740" w:type="dxa"/>
            <w:vAlign w:val="bottom"/>
          </w:tcPr>
          <w:p>
            <w:pPr>
              <w:ind w:left="40"/>
              <w:spacing w:after="0"/>
              <w:rPr>
                <w:sz w:val="20"/>
                <w:szCs w:val="20"/>
                <w:color w:val="auto"/>
              </w:rPr>
            </w:pPr>
            <w:r>
              <w:rPr>
                <w:rFonts w:ascii="Arial" w:cs="Arial" w:eastAsia="Arial" w:hAnsi="Arial"/>
                <w:sz w:val="14"/>
                <w:szCs w:val="14"/>
                <w:color w:val="auto"/>
              </w:rPr>
              <w:t>Equity variance swaps</w:t>
            </w:r>
          </w:p>
        </w:tc>
        <w:tc>
          <w:tcPr>
            <w:tcW w:w="2720" w:type="dxa"/>
            <w:vAlign w:val="bottom"/>
            <w:gridSpan w:val="2"/>
          </w:tcPr>
          <w:p>
            <w:pPr>
              <w:ind w:left="20"/>
              <w:spacing w:after="0"/>
              <w:rPr>
                <w:sz w:val="20"/>
                <w:szCs w:val="20"/>
                <w:color w:val="auto"/>
              </w:rPr>
            </w:pPr>
            <w:r>
              <w:rPr>
                <w:rFonts w:ascii="Arial" w:cs="Arial" w:eastAsia="Arial" w:hAnsi="Arial"/>
                <w:sz w:val="14"/>
                <w:szCs w:val="14"/>
                <w:color w:val="auto"/>
              </w:rPr>
              <w:t>Equity market</w:t>
            </w:r>
          </w:p>
        </w:tc>
        <w:tc>
          <w:tcPr>
            <w:tcW w:w="180" w:type="dxa"/>
            <w:vAlign w:val="bottom"/>
          </w:tcPr>
          <w:p>
            <w:pPr>
              <w:spacing w:after="0"/>
              <w:rPr>
                <w:sz w:val="22"/>
                <w:szCs w:val="22"/>
                <w:color w:val="auto"/>
              </w:rPr>
            </w:pPr>
          </w:p>
        </w:tc>
        <w:tc>
          <w:tcPr>
            <w:tcW w:w="760" w:type="dxa"/>
            <w:vAlign w:val="bottom"/>
          </w:tcPr>
          <w:p>
            <w:pPr>
              <w:jc w:val="right"/>
              <w:ind w:right="49"/>
              <w:spacing w:after="0"/>
              <w:rPr>
                <w:sz w:val="20"/>
                <w:szCs w:val="20"/>
                <w:color w:val="auto"/>
              </w:rPr>
            </w:pPr>
            <w:r>
              <w:rPr>
                <w:rFonts w:ascii="Arial" w:cs="Arial" w:eastAsia="Arial" w:hAnsi="Arial"/>
                <w:sz w:val="14"/>
                <w:szCs w:val="14"/>
                <w:color w:val="auto"/>
              </w:rPr>
              <w:t>14,894</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40" w:type="dxa"/>
            <w:vAlign w:val="bottom"/>
          </w:tcPr>
          <w:p>
            <w:pPr>
              <w:jc w:val="right"/>
              <w:ind w:right="49"/>
              <w:spacing w:after="0"/>
              <w:rPr>
                <w:sz w:val="20"/>
                <w:szCs w:val="20"/>
                <w:color w:val="auto"/>
              </w:rPr>
            </w:pPr>
            <w:r>
              <w:rPr>
                <w:rFonts w:ascii="Arial" w:cs="Arial" w:eastAsia="Arial" w:hAnsi="Arial"/>
                <w:sz w:val="14"/>
                <w:szCs w:val="14"/>
                <w:color w:val="auto"/>
              </w:rPr>
              <w:t>176</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40" w:type="dxa"/>
            <w:vAlign w:val="bottom"/>
          </w:tcPr>
          <w:p>
            <w:pPr>
              <w:jc w:val="right"/>
              <w:ind w:right="29"/>
              <w:spacing w:after="0"/>
              <w:rPr>
                <w:sz w:val="20"/>
                <w:szCs w:val="20"/>
                <w:color w:val="auto"/>
              </w:rPr>
            </w:pPr>
            <w:r>
              <w:rPr>
                <w:rFonts w:ascii="Arial" w:cs="Arial" w:eastAsia="Arial" w:hAnsi="Arial"/>
                <w:sz w:val="14"/>
                <w:szCs w:val="14"/>
                <w:color w:val="auto"/>
              </w:rPr>
              <w:t>607</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14,894</w:t>
            </w: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20" w:type="dxa"/>
            <w:vAlign w:val="bottom"/>
          </w:tcPr>
          <w:p>
            <w:pPr>
              <w:jc w:val="right"/>
              <w:ind w:right="29"/>
              <w:spacing w:after="0"/>
              <w:rPr>
                <w:sz w:val="20"/>
                <w:szCs w:val="20"/>
                <w:color w:val="auto"/>
              </w:rPr>
            </w:pPr>
            <w:r>
              <w:rPr>
                <w:rFonts w:ascii="Arial" w:cs="Arial" w:eastAsia="Arial" w:hAnsi="Arial"/>
                <w:sz w:val="14"/>
                <w:szCs w:val="14"/>
                <w:color w:val="auto"/>
              </w:rPr>
              <w:t>140</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517</w:t>
            </w:r>
          </w:p>
        </w:tc>
        <w:tc>
          <w:tcPr>
            <w:tcW w:w="0" w:type="dxa"/>
            <w:vAlign w:val="bottom"/>
          </w:tcPr>
          <w:p>
            <w:pPr>
              <w:spacing w:after="0"/>
              <w:rPr>
                <w:sz w:val="1"/>
                <w:szCs w:val="1"/>
                <w:color w:val="auto"/>
              </w:rPr>
            </w:pPr>
          </w:p>
        </w:tc>
      </w:tr>
      <w:tr>
        <w:trPr>
          <w:trHeight w:val="270"/>
        </w:trPr>
        <w:tc>
          <w:tcPr>
            <w:tcW w:w="2740" w:type="dxa"/>
            <w:vAlign w:val="bottom"/>
            <w:shd w:val="clear" w:color="auto" w:fill="CCEEFF"/>
          </w:tcPr>
          <w:p>
            <w:pPr>
              <w:ind w:left="40"/>
              <w:spacing w:after="0"/>
              <w:rPr>
                <w:sz w:val="20"/>
                <w:szCs w:val="20"/>
                <w:color w:val="auto"/>
              </w:rPr>
            </w:pPr>
            <w:r>
              <w:rPr>
                <w:rFonts w:ascii="Arial" w:cs="Arial" w:eastAsia="Arial" w:hAnsi="Arial"/>
                <w:sz w:val="14"/>
                <w:szCs w:val="14"/>
                <w:color w:val="auto"/>
              </w:rPr>
              <w:t>Equity total return swaps</w:t>
            </w:r>
          </w:p>
        </w:tc>
        <w:tc>
          <w:tcPr>
            <w:tcW w:w="27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Equity market</w:t>
            </w:r>
          </w:p>
        </w:tc>
        <w:tc>
          <w:tcPr>
            <w:tcW w:w="180" w:type="dxa"/>
            <w:vAlign w:val="bottom"/>
            <w:shd w:val="clear" w:color="auto" w:fill="CCEEFF"/>
          </w:tcPr>
          <w:p>
            <w:pPr>
              <w:spacing w:after="0"/>
              <w:rPr>
                <w:sz w:val="23"/>
                <w:szCs w:val="23"/>
                <w:color w:val="auto"/>
              </w:rPr>
            </w:pPr>
          </w:p>
        </w:tc>
        <w:tc>
          <w:tcPr>
            <w:tcW w:w="76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1,794</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3"/>
                <w:szCs w:val="23"/>
                <w:color w:val="auto"/>
              </w:rPr>
            </w:pPr>
          </w:p>
        </w:tc>
        <w:tc>
          <w:tcPr>
            <w:tcW w:w="84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63</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2,855</w:t>
            </w:r>
          </w:p>
        </w:tc>
        <w:tc>
          <w:tcPr>
            <w:tcW w:w="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62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7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117</w:t>
            </w:r>
          </w:p>
        </w:tc>
        <w:tc>
          <w:tcPr>
            <w:tcW w:w="0" w:type="dxa"/>
            <w:vAlign w:val="bottom"/>
          </w:tcPr>
          <w:p>
            <w:pPr>
              <w:spacing w:after="0"/>
              <w:rPr>
                <w:sz w:val="1"/>
                <w:szCs w:val="1"/>
                <w:color w:val="auto"/>
              </w:rPr>
            </w:pPr>
          </w:p>
        </w:tc>
      </w:tr>
      <w:tr>
        <w:trPr>
          <w:trHeight w:val="250"/>
        </w:trPr>
        <w:tc>
          <w:tcPr>
            <w:tcW w:w="5460" w:type="dxa"/>
            <w:vAlign w:val="bottom"/>
            <w:tcBorders>
              <w:bottom w:val="single" w:sz="8" w:color="CCEEFF"/>
            </w:tcBorders>
            <w:gridSpan w:val="3"/>
          </w:tcPr>
          <w:p>
            <w:pPr>
              <w:ind w:left="180"/>
              <w:spacing w:after="0"/>
              <w:rPr>
                <w:sz w:val="20"/>
                <w:szCs w:val="20"/>
                <w:color w:val="auto"/>
              </w:rPr>
            </w:pPr>
            <w:r>
              <w:rPr>
                <w:rFonts w:ascii="Arial" w:cs="Arial" w:eastAsia="Arial" w:hAnsi="Arial"/>
                <w:sz w:val="14"/>
                <w:szCs w:val="14"/>
                <w:color w:val="auto"/>
              </w:rPr>
              <w:t>Total non-designated or nonqualifying derivatives</w:t>
            </w:r>
          </w:p>
        </w:tc>
        <w:tc>
          <w:tcPr>
            <w:tcW w:w="180" w:type="dxa"/>
            <w:vAlign w:val="bottom"/>
            <w:tcBorders>
              <w:top w:val="single" w:sz="8" w:color="auto"/>
              <w:bottom w:val="single" w:sz="8" w:color="auto"/>
            </w:tcBorders>
          </w:tcPr>
          <w:p>
            <w:pPr>
              <w:spacing w:after="0"/>
              <w:rPr>
                <w:sz w:val="21"/>
                <w:szCs w:val="21"/>
                <w:color w:val="auto"/>
              </w:rPr>
            </w:pPr>
          </w:p>
        </w:tc>
        <w:tc>
          <w:tcPr>
            <w:tcW w:w="760" w:type="dxa"/>
            <w:vAlign w:val="bottom"/>
            <w:tcBorders>
              <w:top w:val="single" w:sz="8" w:color="auto"/>
              <w:bottom w:val="single" w:sz="8" w:color="auto"/>
            </w:tcBorders>
          </w:tcPr>
          <w:p>
            <w:pPr>
              <w:jc w:val="right"/>
              <w:ind w:right="49"/>
              <w:spacing w:after="0"/>
              <w:rPr>
                <w:sz w:val="20"/>
                <w:szCs w:val="20"/>
                <w:color w:val="auto"/>
              </w:rPr>
            </w:pPr>
            <w:r>
              <w:rPr>
                <w:rFonts w:ascii="Arial" w:cs="Arial" w:eastAsia="Arial" w:hAnsi="Arial"/>
                <w:sz w:val="14"/>
                <w:szCs w:val="14"/>
                <w:color w:val="auto"/>
              </w:rPr>
              <w:t>120,166</w:t>
            </w:r>
          </w:p>
        </w:tc>
        <w:tc>
          <w:tcPr>
            <w:tcW w:w="120" w:type="dxa"/>
            <w:vAlign w:val="bottom"/>
            <w:tcBorders>
              <w:bottom w:val="single" w:sz="8" w:color="CCEEFF"/>
            </w:tcBorders>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640" w:type="dxa"/>
            <w:vAlign w:val="bottom"/>
            <w:tcBorders>
              <w:top w:val="single" w:sz="8" w:color="auto"/>
              <w:bottom w:val="single" w:sz="8" w:color="auto"/>
            </w:tcBorders>
          </w:tcPr>
          <w:p>
            <w:pPr>
              <w:jc w:val="right"/>
              <w:ind w:right="49"/>
              <w:spacing w:after="0"/>
              <w:rPr>
                <w:sz w:val="20"/>
                <w:szCs w:val="20"/>
                <w:color w:val="auto"/>
              </w:rPr>
            </w:pPr>
            <w:r>
              <w:rPr>
                <w:rFonts w:ascii="Arial" w:cs="Arial" w:eastAsia="Arial" w:hAnsi="Arial"/>
                <w:sz w:val="14"/>
                <w:szCs w:val="14"/>
                <w:color w:val="auto"/>
              </w:rPr>
              <w:t>2,307</w:t>
            </w:r>
          </w:p>
        </w:tc>
        <w:tc>
          <w:tcPr>
            <w:tcW w:w="12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84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4"/>
                <w:szCs w:val="14"/>
                <w:color w:val="auto"/>
              </w:rPr>
              <w:t>3,088</w:t>
            </w:r>
          </w:p>
        </w:tc>
        <w:tc>
          <w:tcPr>
            <w:tcW w:w="12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129,657</w:t>
            </w:r>
          </w:p>
        </w:tc>
        <w:tc>
          <w:tcPr>
            <w:tcW w:w="60" w:type="dxa"/>
            <w:vAlign w:val="bottom"/>
            <w:tcBorders>
              <w:top w:val="single" w:sz="8" w:color="auto"/>
              <w:bottom w:val="single" w:sz="8" w:color="auto"/>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62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4"/>
                <w:szCs w:val="14"/>
                <w:color w:val="auto"/>
              </w:rPr>
              <w:t>3,372</w:t>
            </w:r>
          </w:p>
        </w:tc>
        <w:tc>
          <w:tcPr>
            <w:tcW w:w="10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76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3,872</w:t>
            </w:r>
          </w:p>
        </w:tc>
        <w:tc>
          <w:tcPr>
            <w:tcW w:w="0" w:type="dxa"/>
            <w:vAlign w:val="bottom"/>
          </w:tcPr>
          <w:p>
            <w:pPr>
              <w:spacing w:after="0"/>
              <w:rPr>
                <w:sz w:val="1"/>
                <w:szCs w:val="1"/>
                <w:color w:val="auto"/>
              </w:rPr>
            </w:pPr>
          </w:p>
        </w:tc>
      </w:tr>
      <w:tr>
        <w:trPr>
          <w:trHeight w:val="248"/>
        </w:trPr>
        <w:tc>
          <w:tcPr>
            <w:tcW w:w="2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Total</w:t>
            </w:r>
          </w:p>
        </w:tc>
        <w:tc>
          <w:tcPr>
            <w:tcW w:w="26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rPr>
              <w:t>121,992</w:t>
            </w:r>
          </w:p>
        </w:tc>
        <w:tc>
          <w:tcPr>
            <w:tcW w:w="2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rPr>
              <w:t>2,477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76"/>
              </w:rPr>
              <w:t>$</w:t>
            </w:r>
          </w:p>
        </w:tc>
        <w:tc>
          <w:tcPr>
            <w:tcW w:w="84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3,136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131,505</w:t>
            </w:r>
          </w:p>
        </w:tc>
        <w:tc>
          <w:tcPr>
            <w:tcW w:w="32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3,622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3,883</w:t>
            </w:r>
          </w:p>
        </w:tc>
        <w:tc>
          <w:tcPr>
            <w:tcW w:w="0" w:type="dxa"/>
            <w:vAlign w:val="bottom"/>
          </w:tcPr>
          <w:p>
            <w:pPr>
              <w:spacing w:after="0"/>
              <w:rPr>
                <w:sz w:val="1"/>
                <w:szCs w:val="1"/>
                <w:color w:val="auto"/>
              </w:rPr>
            </w:pPr>
          </w:p>
        </w:tc>
      </w:tr>
      <w:tr>
        <w:trPr>
          <w:trHeight w:val="20"/>
        </w:trPr>
        <w:tc>
          <w:tcPr>
            <w:tcW w:w="2740" w:type="dxa"/>
            <w:vAlign w:val="bottom"/>
            <w:tcBorders>
              <w:top w:val="single" w:sz="8" w:color="CCEEFF"/>
            </w:tcBorders>
          </w:tcPr>
          <w:p>
            <w:pPr>
              <w:spacing w:after="0" w:line="20" w:lineRule="exact"/>
              <w:rPr>
                <w:sz w:val="1"/>
                <w:szCs w:val="1"/>
                <w:color w:val="auto"/>
              </w:rPr>
            </w:pPr>
          </w:p>
        </w:tc>
        <w:tc>
          <w:tcPr>
            <w:tcW w:w="26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jc w:val="both"/>
        <w:ind w:firstLine="324"/>
        <w:spacing w:after="0" w:line="288" w:lineRule="auto"/>
        <w:rPr>
          <w:sz w:val="20"/>
          <w:szCs w:val="20"/>
          <w:color w:val="auto"/>
        </w:rPr>
      </w:pPr>
      <w:r>
        <w:rPr>
          <w:rFonts w:ascii="Arial" w:cs="Arial" w:eastAsia="Arial" w:hAnsi="Arial"/>
          <w:sz w:val="16"/>
          <w:szCs w:val="16"/>
          <w:color w:val="auto"/>
        </w:rPr>
        <w:t>Based on gross notional amounts, a substantial portion of the Company’s derivatives was not designated or did not qualify as part of a hedging relationship at both September 30, 2017 and December 31, 2016. The Company’s use of derivatives includes (i) derivatives that serve as macro hedges of the Company’s exposure to various risks and that generally do not qualify for hedge accounting due to the criteria required under the portfolio hedging rules;</w:t>
      </w:r>
    </w:p>
    <w:p>
      <w:pPr>
        <w:jc w:val="both"/>
        <w:ind w:firstLine="8"/>
        <w:spacing w:after="0" w:line="290" w:lineRule="auto"/>
        <w:tabs>
          <w:tab w:leader="none" w:pos="278" w:val="left"/>
        </w:tabs>
        <w:numPr>
          <w:ilvl w:val="0"/>
          <w:numId w:val="19"/>
        </w:numPr>
        <w:rPr>
          <w:rFonts w:ascii="Arial" w:cs="Arial" w:eastAsia="Arial" w:hAnsi="Arial"/>
          <w:sz w:val="16"/>
          <w:szCs w:val="16"/>
          <w:color w:val="auto"/>
        </w:rPr>
      </w:pPr>
      <w:r>
        <w:rPr>
          <w:rFonts w:ascii="Arial" w:cs="Arial" w:eastAsia="Arial" w:hAnsi="Arial"/>
          <w:sz w:val="16"/>
          <w:szCs w:val="16"/>
          <w:color w:val="auto"/>
        </w:rPr>
        <w:t>derivatives that economically hedge insurance liabilities that contain mortality or morbidity risk and that generally do not qualify for hedge accounting because the lack of these risks in the derivatives cannot support an expectation of a highly effective hedging relationship; (iii) derivatives that economically hedge embedded derivatives that do not qualify for hedge accounting because the changes in estimated fair value of the embedded derivatives are already recorded in net income; and (iv) written credit default swaps that are used to create synthetic credit investments and that do not qualify for hedge accounting because they do not involve a hedging relationship. For these nonqualified derivatives, changes in market factors can lead to the recognition of fair value changes on the statement of operations without an offsetting gain or loss recognized in earnings for the item being hedged.</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234" w:right="239" w:bottom="1440" w:gutter="0" w:footer="0" w:header="0"/>
        </w:sectPr>
      </w:pPr>
    </w:p>
    <w:bookmarkStart w:id="36" w:name="page37"/>
    <w:bookmarkEnd w:id="36"/>
    <w:p>
      <w:pPr>
        <w:ind w:left="340"/>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109"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Brighthouse Financial, Inc.</w:t>
      </w:r>
    </w:p>
    <w:p>
      <w:pPr>
        <w:spacing w:after="0" w:line="117" w:lineRule="exact"/>
        <w:rPr>
          <w:sz w:val="20"/>
          <w:szCs w:val="20"/>
          <w:color w:val="auto"/>
        </w:rPr>
      </w:pPr>
    </w:p>
    <w:p>
      <w:pPr>
        <w:ind w:left="1640"/>
        <w:spacing w:after="0"/>
        <w:rPr>
          <w:sz w:val="20"/>
          <w:szCs w:val="20"/>
          <w:color w:val="auto"/>
        </w:rPr>
      </w:pPr>
      <w:r>
        <w:rPr>
          <w:rFonts w:ascii="Arial" w:cs="Arial" w:eastAsia="Arial" w:hAnsi="Arial"/>
          <w:sz w:val="18"/>
          <w:szCs w:val="18"/>
          <w:b w:val="1"/>
          <w:bCs w:val="1"/>
          <w:color w:val="auto"/>
        </w:rPr>
        <w:t>Notes to the Interim Condensed Consolidated and Combined Financial Statements (Unaudited) — (continued)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Derivatives (continued)</w:t>
      </w:r>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Derivative Gains (Losses)</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components of net derivative gains (losses) were as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20" w:type="dxa"/>
            <w:vAlign w:val="bottom"/>
            <w:gridSpan w:val="3"/>
          </w:tcPr>
          <w:p>
            <w:pPr>
              <w:jc w:val="center"/>
              <w:ind w:left="424"/>
              <w:spacing w:after="0"/>
              <w:rPr>
                <w:sz w:val="20"/>
                <w:szCs w:val="20"/>
                <w:color w:val="auto"/>
              </w:rPr>
            </w:pPr>
            <w:r>
              <w:rPr>
                <w:rFonts w:ascii="Arial" w:cs="Arial" w:eastAsia="Arial" w:hAnsi="Arial"/>
                <w:sz w:val="14"/>
                <w:szCs w:val="14"/>
                <w:b w:val="1"/>
                <w:bCs w:val="1"/>
                <w:color w:val="auto"/>
                <w:w w:val="95"/>
              </w:rPr>
              <w:t>Three Months</w:t>
            </w: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80" w:type="dxa"/>
            <w:vAlign w:val="bottom"/>
            <w:gridSpan w:val="3"/>
          </w:tcPr>
          <w:p>
            <w:pPr>
              <w:jc w:val="center"/>
              <w:ind w:left="324"/>
              <w:spacing w:after="0"/>
              <w:rPr>
                <w:sz w:val="20"/>
                <w:szCs w:val="20"/>
                <w:color w:val="auto"/>
              </w:rPr>
            </w:pPr>
            <w:r>
              <w:rPr>
                <w:rFonts w:ascii="Arial" w:cs="Arial" w:eastAsia="Arial" w:hAnsi="Arial"/>
                <w:sz w:val="14"/>
                <w:szCs w:val="14"/>
                <w:b w:val="1"/>
                <w:bCs w:val="1"/>
                <w:color w:val="auto"/>
                <w:w w:val="95"/>
              </w:rPr>
              <w:t>Nine Months</w:t>
            </w: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65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20" w:type="dxa"/>
            <w:vAlign w:val="bottom"/>
            <w:gridSpan w:val="3"/>
          </w:tcPr>
          <w:p>
            <w:pPr>
              <w:jc w:val="center"/>
              <w:ind w:left="384"/>
              <w:spacing w:after="0" w:line="149" w:lineRule="exact"/>
              <w:rPr>
                <w:sz w:val="20"/>
                <w:szCs w:val="20"/>
                <w:color w:val="auto"/>
              </w:rPr>
            </w:pPr>
            <w:r>
              <w:rPr>
                <w:rFonts w:ascii="Arial" w:cs="Arial" w:eastAsia="Arial" w:hAnsi="Arial"/>
                <w:sz w:val="14"/>
                <w:szCs w:val="14"/>
                <w:b w:val="1"/>
                <w:bCs w:val="1"/>
                <w:color w:val="auto"/>
                <w:w w:val="93"/>
              </w:rPr>
              <w:t>Ended</w:t>
            </w: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80" w:type="dxa"/>
            <w:vAlign w:val="bottom"/>
            <w:gridSpan w:val="3"/>
          </w:tcPr>
          <w:p>
            <w:pPr>
              <w:jc w:val="center"/>
              <w:ind w:left="284"/>
              <w:spacing w:after="0" w:line="149" w:lineRule="exact"/>
              <w:rPr>
                <w:sz w:val="20"/>
                <w:szCs w:val="20"/>
                <w:color w:val="auto"/>
              </w:rPr>
            </w:pPr>
            <w:r>
              <w:rPr>
                <w:rFonts w:ascii="Arial" w:cs="Arial" w:eastAsia="Arial" w:hAnsi="Arial"/>
                <w:sz w:val="14"/>
                <w:szCs w:val="14"/>
                <w:b w:val="1"/>
                <w:bCs w:val="1"/>
                <w:color w:val="auto"/>
                <w:w w:val="93"/>
              </w:rPr>
              <w:t>Ended</w:t>
            </w: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65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3"/>
          </w:tcPr>
          <w:p>
            <w:pPr>
              <w:jc w:val="center"/>
              <w:ind w:left="424"/>
              <w:spacing w:after="0"/>
              <w:rPr>
                <w:sz w:val="20"/>
                <w:szCs w:val="20"/>
                <w:color w:val="auto"/>
              </w:rPr>
            </w:pPr>
            <w:r>
              <w:rPr>
                <w:rFonts w:ascii="Arial" w:cs="Arial" w:eastAsia="Arial" w:hAnsi="Arial"/>
                <w:sz w:val="14"/>
                <w:szCs w:val="14"/>
                <w:b w:val="1"/>
                <w:bCs w:val="1"/>
                <w:color w:val="auto"/>
                <w:w w:val="91"/>
              </w:rPr>
              <w:t>September 30,</w:t>
            </w:r>
          </w:p>
        </w:tc>
        <w:tc>
          <w:tcPr>
            <w:tcW w:w="7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3"/>
          </w:tcPr>
          <w:p>
            <w:pPr>
              <w:jc w:val="center"/>
              <w:ind w:left="324"/>
              <w:spacing w:after="0"/>
              <w:rPr>
                <w:sz w:val="20"/>
                <w:szCs w:val="20"/>
                <w:color w:val="auto"/>
              </w:rPr>
            </w:pPr>
            <w:r>
              <w:rPr>
                <w:rFonts w:ascii="Arial" w:cs="Arial" w:eastAsia="Arial" w:hAnsi="Arial"/>
                <w:sz w:val="14"/>
                <w:szCs w:val="14"/>
                <w:b w:val="1"/>
                <w:bCs w:val="1"/>
                <w:color w:val="auto"/>
                <w:w w:val="91"/>
              </w:rPr>
              <w:t>September 30,</w:t>
            </w:r>
          </w:p>
        </w:tc>
        <w:tc>
          <w:tcPr>
            <w:tcW w:w="7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654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64"/>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343"/>
              <w:spacing w:after="0"/>
              <w:rPr>
                <w:sz w:val="20"/>
                <w:szCs w:val="20"/>
                <w:color w:val="auto"/>
              </w:rPr>
            </w:pPr>
            <w:r>
              <w:rPr>
                <w:rFonts w:ascii="Arial" w:cs="Arial" w:eastAsia="Arial" w:hAnsi="Arial"/>
                <w:sz w:val="14"/>
                <w:szCs w:val="14"/>
                <w:b w:val="1"/>
                <w:bCs w:val="1"/>
                <w:color w:val="auto"/>
                <w:w w:val="96"/>
              </w:rPr>
              <w:t>2016</w:t>
            </w:r>
          </w:p>
        </w:tc>
        <w:tc>
          <w:tcPr>
            <w:tcW w:w="12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344"/>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341"/>
              <w:spacing w:after="0"/>
              <w:rPr>
                <w:sz w:val="20"/>
                <w:szCs w:val="20"/>
                <w:color w:val="auto"/>
              </w:rPr>
            </w:pPr>
            <w:r>
              <w:rPr>
                <w:rFonts w:ascii="Arial" w:cs="Arial" w:eastAsia="Arial" w:hAnsi="Arial"/>
                <w:sz w:val="14"/>
                <w:szCs w:val="14"/>
                <w:b w:val="1"/>
                <w:bCs w:val="1"/>
                <w:color w:val="auto"/>
                <w:w w:val="89"/>
              </w:rPr>
              <w:t>2016</w:t>
            </w:r>
          </w:p>
        </w:tc>
        <w:tc>
          <w:tcPr>
            <w:tcW w:w="0" w:type="dxa"/>
            <w:vAlign w:val="bottom"/>
          </w:tcPr>
          <w:p>
            <w:pPr>
              <w:spacing w:after="0"/>
              <w:rPr>
                <w:sz w:val="1"/>
                <w:szCs w:val="1"/>
                <w:color w:val="auto"/>
              </w:rPr>
            </w:pPr>
          </w:p>
        </w:tc>
      </w:tr>
      <w:tr>
        <w:trPr>
          <w:trHeight w:val="250"/>
        </w:trPr>
        <w:tc>
          <w:tcPr>
            <w:tcW w:w="65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millions)</w:t>
            </w: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6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Freestanding derivatives and hedging gains (losses) (1)</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ind w:right="4"/>
              <w:spacing w:after="0"/>
              <w:rPr>
                <w:sz w:val="20"/>
                <w:szCs w:val="20"/>
                <w:color w:val="auto"/>
              </w:rPr>
            </w:pPr>
            <w:r>
              <w:rPr>
                <w:rFonts w:ascii="Arial" w:cs="Arial" w:eastAsia="Arial" w:hAnsi="Arial"/>
                <w:sz w:val="16"/>
                <w:szCs w:val="16"/>
                <w:color w:val="auto"/>
              </w:rPr>
              <w:t>(746)</w:t>
            </w: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(1,032)</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(2,097)</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7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258</w:t>
            </w:r>
          </w:p>
        </w:tc>
        <w:tc>
          <w:tcPr>
            <w:tcW w:w="0" w:type="dxa"/>
            <w:vAlign w:val="bottom"/>
          </w:tcPr>
          <w:p>
            <w:pPr>
              <w:spacing w:after="0"/>
              <w:rPr>
                <w:sz w:val="1"/>
                <w:szCs w:val="1"/>
                <w:color w:val="auto"/>
              </w:rPr>
            </w:pPr>
          </w:p>
        </w:tc>
      </w:tr>
      <w:tr>
        <w:trPr>
          <w:trHeight w:val="237"/>
        </w:trPr>
        <w:tc>
          <w:tcPr>
            <w:tcW w:w="6540" w:type="dxa"/>
            <w:vAlign w:val="bottom"/>
          </w:tcPr>
          <w:p>
            <w:pPr>
              <w:ind w:left="40"/>
              <w:spacing w:after="0"/>
              <w:rPr>
                <w:sz w:val="20"/>
                <w:szCs w:val="20"/>
                <w:color w:val="auto"/>
              </w:rPr>
            </w:pPr>
            <w:r>
              <w:rPr>
                <w:rFonts w:ascii="Arial" w:cs="Arial" w:eastAsia="Arial" w:hAnsi="Arial"/>
                <w:sz w:val="16"/>
                <w:szCs w:val="16"/>
                <w:color w:val="auto"/>
              </w:rPr>
              <w:t>Embedded derivatives gains (losses)</w:t>
            </w:r>
          </w:p>
        </w:tc>
        <w:tc>
          <w:tcPr>
            <w:tcW w:w="260" w:type="dxa"/>
            <w:vAlign w:val="bottom"/>
          </w:tcPr>
          <w:p>
            <w:pPr>
              <w:spacing w:after="0"/>
              <w:rPr>
                <w:sz w:val="20"/>
                <w:szCs w:val="20"/>
                <w:color w:val="auto"/>
              </w:rPr>
            </w:pPr>
          </w:p>
        </w:tc>
        <w:tc>
          <w:tcPr>
            <w:tcW w:w="900" w:type="dxa"/>
            <w:vAlign w:val="bottom"/>
          </w:tcPr>
          <w:p>
            <w:pPr>
              <w:jc w:val="right"/>
              <w:ind w:right="44"/>
              <w:spacing w:after="0"/>
              <w:rPr>
                <w:sz w:val="20"/>
                <w:szCs w:val="20"/>
                <w:color w:val="auto"/>
              </w:rPr>
            </w:pPr>
            <w:r>
              <w:rPr>
                <w:rFonts w:ascii="Arial" w:cs="Arial" w:eastAsia="Arial" w:hAnsi="Arial"/>
                <w:sz w:val="16"/>
                <w:szCs w:val="16"/>
                <w:color w:val="auto"/>
              </w:rPr>
              <w:t>582</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40" w:type="dxa"/>
            <w:vAlign w:val="bottom"/>
          </w:tcPr>
          <w:p>
            <w:pPr>
              <w:jc w:val="right"/>
              <w:ind w:right="23"/>
              <w:spacing w:after="0"/>
              <w:rPr>
                <w:sz w:val="20"/>
                <w:szCs w:val="20"/>
                <w:color w:val="auto"/>
              </w:rPr>
            </w:pPr>
            <w:r>
              <w:rPr>
                <w:rFonts w:ascii="Arial" w:cs="Arial" w:eastAsia="Arial" w:hAnsi="Arial"/>
                <w:sz w:val="16"/>
                <w:szCs w:val="16"/>
                <w:color w:val="auto"/>
              </w:rPr>
              <w:t>531</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80" w:type="dxa"/>
            <w:vAlign w:val="bottom"/>
          </w:tcPr>
          <w:p>
            <w:pPr>
              <w:jc w:val="right"/>
              <w:ind w:right="44"/>
              <w:spacing w:after="0"/>
              <w:rPr>
                <w:sz w:val="20"/>
                <w:szCs w:val="20"/>
                <w:color w:val="auto"/>
              </w:rPr>
            </w:pPr>
            <w:r>
              <w:rPr>
                <w:rFonts w:ascii="Arial" w:cs="Arial" w:eastAsia="Arial" w:hAnsi="Arial"/>
                <w:sz w:val="16"/>
                <w:szCs w:val="16"/>
                <w:color w:val="auto"/>
              </w:rPr>
              <w:t>890</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(3,439)</w:t>
            </w:r>
          </w:p>
        </w:tc>
        <w:tc>
          <w:tcPr>
            <w:tcW w:w="0" w:type="dxa"/>
            <w:vAlign w:val="bottom"/>
          </w:tcPr>
          <w:p>
            <w:pPr>
              <w:spacing w:after="0"/>
              <w:rPr>
                <w:sz w:val="1"/>
                <w:szCs w:val="1"/>
                <w:color w:val="auto"/>
              </w:rPr>
            </w:pPr>
          </w:p>
        </w:tc>
      </w:tr>
      <w:tr>
        <w:trPr>
          <w:trHeight w:val="33"/>
        </w:trPr>
        <w:tc>
          <w:tcPr>
            <w:tcW w:w="65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5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Total net derivative gains (losses)</w:t>
            </w: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6"/>
                <w:szCs w:val="16"/>
                <w:color w:val="auto"/>
              </w:rPr>
              <w:t>(164)</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(501)</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(1,207)</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(3,181)</w:t>
            </w:r>
          </w:p>
        </w:tc>
        <w:tc>
          <w:tcPr>
            <w:tcW w:w="0" w:type="dxa"/>
            <w:vAlign w:val="bottom"/>
          </w:tcPr>
          <w:p>
            <w:pPr>
              <w:spacing w:after="0"/>
              <w:rPr>
                <w:sz w:val="1"/>
                <w:szCs w:val="1"/>
                <w:color w:val="auto"/>
              </w:rPr>
            </w:pPr>
          </w:p>
        </w:tc>
      </w:tr>
      <w:tr>
        <w:trPr>
          <w:trHeight w:val="20"/>
        </w:trPr>
        <w:tc>
          <w:tcPr>
            <w:tcW w:w="6540" w:type="dxa"/>
            <w:vAlign w:val="bottom"/>
            <w:vMerge w:val="restart"/>
          </w:tcPr>
          <w:p>
            <w:pPr>
              <w:jc w:val="right"/>
              <w:ind w:right="5161"/>
              <w:spacing w:after="0"/>
              <w:rPr>
                <w:sz w:val="20"/>
                <w:szCs w:val="20"/>
                <w:color w:val="auto"/>
              </w:rPr>
            </w:pPr>
            <w:r>
              <w:rPr>
                <w:rFonts w:ascii="Arial" w:cs="Arial" w:eastAsia="Arial" w:hAnsi="Arial"/>
                <w:sz w:val="14"/>
                <w:szCs w:val="14"/>
                <w:color w:val="auto"/>
                <w:w w:val="91"/>
              </w:rPr>
              <w:t>__________________</w:t>
            </w: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6540" w:type="dxa"/>
            <w:vAlign w:val="bottom"/>
            <w:vMerge w:val="continue"/>
          </w:tcPr>
          <w:p>
            <w:pPr>
              <w:spacing w:after="0"/>
              <w:rPr>
                <w:sz w:val="13"/>
                <w:szCs w:val="13"/>
                <w:color w:val="auto"/>
              </w:rPr>
            </w:pPr>
          </w:p>
        </w:tc>
        <w:tc>
          <w:tcPr>
            <w:tcW w:w="2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2" w:lineRule="exact"/>
        <w:rPr>
          <w:sz w:val="20"/>
          <w:szCs w:val="20"/>
          <w:color w:val="auto"/>
        </w:rPr>
      </w:pPr>
    </w:p>
    <w:p>
      <w:pPr>
        <w:ind w:left="500" w:hanging="492"/>
        <w:spacing w:after="0" w:line="277" w:lineRule="auto"/>
        <w:tabs>
          <w:tab w:leader="none" w:pos="5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Includes foreign currency transaction gains (losses) on hedged items in cash flow and nonqualifying hedging relationships, which are not presented elsewhere in this note.</w:t>
      </w:r>
    </w:p>
    <w:p>
      <w:pPr>
        <w:spacing w:after="0" w:line="6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earned income on derivatives:</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5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300" w:type="dxa"/>
            <w:vAlign w:val="bottom"/>
            <w:gridSpan w:val="3"/>
          </w:tcPr>
          <w:p>
            <w:pPr>
              <w:jc w:val="center"/>
              <w:ind w:right="262"/>
              <w:spacing w:after="0"/>
              <w:rPr>
                <w:sz w:val="20"/>
                <w:szCs w:val="20"/>
                <w:color w:val="auto"/>
              </w:rPr>
            </w:pPr>
            <w:r>
              <w:rPr>
                <w:rFonts w:ascii="Arial" w:cs="Arial" w:eastAsia="Arial" w:hAnsi="Arial"/>
                <w:sz w:val="14"/>
                <w:szCs w:val="14"/>
                <w:b w:val="1"/>
                <w:bCs w:val="1"/>
                <w:color w:val="auto"/>
                <w:w w:val="95"/>
              </w:rPr>
              <w:t>Three Months</w:t>
            </w: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00" w:type="dxa"/>
            <w:vAlign w:val="bottom"/>
            <w:gridSpan w:val="3"/>
          </w:tcPr>
          <w:p>
            <w:pPr>
              <w:jc w:val="center"/>
              <w:spacing w:after="0"/>
              <w:rPr>
                <w:sz w:val="20"/>
                <w:szCs w:val="20"/>
                <w:color w:val="auto"/>
              </w:rPr>
            </w:pPr>
            <w:r>
              <w:rPr>
                <w:rFonts w:ascii="Arial" w:cs="Arial" w:eastAsia="Arial" w:hAnsi="Arial"/>
                <w:sz w:val="14"/>
                <w:szCs w:val="14"/>
                <w:b w:val="1"/>
                <w:bCs w:val="1"/>
                <w:color w:val="auto"/>
                <w:w w:val="95"/>
              </w:rPr>
              <w:t>Nine Months</w:t>
            </w:r>
          </w:p>
        </w:tc>
        <w:tc>
          <w:tcPr>
            <w:tcW w:w="720" w:type="dxa"/>
            <w:vAlign w:val="bottom"/>
          </w:tcPr>
          <w:p>
            <w:pPr>
              <w:spacing w:after="0"/>
              <w:rPr>
                <w:sz w:val="14"/>
                <w:szCs w:val="14"/>
                <w:color w:val="auto"/>
              </w:rPr>
            </w:pPr>
          </w:p>
        </w:tc>
      </w:tr>
      <w:tr>
        <w:trPr>
          <w:trHeight w:val="149"/>
        </w:trPr>
        <w:tc>
          <w:tcPr>
            <w:tcW w:w="65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300" w:type="dxa"/>
            <w:vAlign w:val="bottom"/>
            <w:gridSpan w:val="3"/>
          </w:tcPr>
          <w:p>
            <w:pPr>
              <w:jc w:val="center"/>
              <w:ind w:right="302"/>
              <w:spacing w:after="0" w:line="149" w:lineRule="exact"/>
              <w:rPr>
                <w:sz w:val="20"/>
                <w:szCs w:val="20"/>
                <w:color w:val="auto"/>
              </w:rPr>
            </w:pPr>
            <w:r>
              <w:rPr>
                <w:rFonts w:ascii="Arial" w:cs="Arial" w:eastAsia="Arial" w:hAnsi="Arial"/>
                <w:sz w:val="14"/>
                <w:szCs w:val="14"/>
                <w:b w:val="1"/>
                <w:bCs w:val="1"/>
                <w:color w:val="auto"/>
                <w:w w:val="93"/>
              </w:rPr>
              <w:t>Ended</w:t>
            </w: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0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3"/>
              </w:rPr>
              <w:t>Ended</w:t>
            </w:r>
          </w:p>
        </w:tc>
        <w:tc>
          <w:tcPr>
            <w:tcW w:w="720" w:type="dxa"/>
            <w:vAlign w:val="bottom"/>
          </w:tcPr>
          <w:p>
            <w:pPr>
              <w:spacing w:after="0"/>
              <w:rPr>
                <w:sz w:val="12"/>
                <w:szCs w:val="12"/>
                <w:color w:val="auto"/>
              </w:rPr>
            </w:pPr>
          </w:p>
        </w:tc>
      </w:tr>
      <w:tr>
        <w:trPr>
          <w:trHeight w:val="192"/>
        </w:trPr>
        <w:tc>
          <w:tcPr>
            <w:tcW w:w="6540" w:type="dxa"/>
            <w:vAlign w:val="bottom"/>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3"/>
          </w:tcPr>
          <w:p>
            <w:pPr>
              <w:jc w:val="center"/>
              <w:ind w:right="262"/>
              <w:spacing w:after="0"/>
              <w:rPr>
                <w:sz w:val="20"/>
                <w:szCs w:val="20"/>
                <w:color w:val="auto"/>
              </w:rPr>
            </w:pPr>
            <w:r>
              <w:rPr>
                <w:rFonts w:ascii="Arial" w:cs="Arial" w:eastAsia="Arial" w:hAnsi="Arial"/>
                <w:sz w:val="14"/>
                <w:szCs w:val="14"/>
                <w:b w:val="1"/>
                <w:bCs w:val="1"/>
                <w:color w:val="auto"/>
                <w:w w:val="91"/>
              </w:rPr>
              <w:t>September 30,</w:t>
            </w:r>
          </w:p>
        </w:tc>
        <w:tc>
          <w:tcPr>
            <w:tcW w:w="3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1"/>
              </w:rPr>
              <w:t>September 30,</w:t>
            </w:r>
          </w:p>
        </w:tc>
        <w:tc>
          <w:tcPr>
            <w:tcW w:w="720" w:type="dxa"/>
            <w:vAlign w:val="bottom"/>
            <w:tcBorders>
              <w:bottom w:val="single" w:sz="8" w:color="auto"/>
            </w:tcBorders>
          </w:tcPr>
          <w:p>
            <w:pPr>
              <w:spacing w:after="0"/>
              <w:rPr>
                <w:sz w:val="16"/>
                <w:szCs w:val="16"/>
                <w:color w:val="auto"/>
              </w:rPr>
            </w:pPr>
          </w:p>
        </w:tc>
      </w:tr>
      <w:tr>
        <w:trPr>
          <w:trHeight w:val="264"/>
        </w:trPr>
        <w:tc>
          <w:tcPr>
            <w:tcW w:w="6540" w:type="dxa"/>
            <w:vAlign w:val="bottom"/>
          </w:tcPr>
          <w:p>
            <w:pPr>
              <w:spacing w:after="0"/>
              <w:rPr>
                <w:sz w:val="22"/>
                <w:szCs w:val="22"/>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4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2016</w:t>
            </w:r>
          </w:p>
        </w:tc>
        <w:tc>
          <w:tcPr>
            <w:tcW w:w="38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4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341"/>
              <w:spacing w:after="0"/>
              <w:rPr>
                <w:sz w:val="20"/>
                <w:szCs w:val="20"/>
                <w:color w:val="auto"/>
              </w:rPr>
            </w:pPr>
            <w:r>
              <w:rPr>
                <w:rFonts w:ascii="Arial" w:cs="Arial" w:eastAsia="Arial" w:hAnsi="Arial"/>
                <w:sz w:val="14"/>
                <w:szCs w:val="14"/>
                <w:b w:val="1"/>
                <w:bCs w:val="1"/>
                <w:color w:val="auto"/>
                <w:w w:val="89"/>
              </w:rPr>
              <w:t>2016</w:t>
            </w:r>
          </w:p>
        </w:tc>
      </w:tr>
      <w:tr>
        <w:trPr>
          <w:trHeight w:val="250"/>
        </w:trPr>
        <w:tc>
          <w:tcPr>
            <w:tcW w:w="65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220" w:type="dxa"/>
            <w:vAlign w:val="bottom"/>
            <w:gridSpan w:val="3"/>
          </w:tcPr>
          <w:p>
            <w:pPr>
              <w:jc w:val="right"/>
              <w:ind w:right="362"/>
              <w:spacing w:after="0"/>
              <w:rPr>
                <w:sz w:val="20"/>
                <w:szCs w:val="20"/>
                <w:color w:val="auto"/>
              </w:rPr>
            </w:pPr>
            <w:r>
              <w:rPr>
                <w:rFonts w:ascii="Arial" w:cs="Arial" w:eastAsia="Arial" w:hAnsi="Arial"/>
                <w:sz w:val="14"/>
                <w:szCs w:val="14"/>
                <w:b w:val="1"/>
                <w:bCs w:val="1"/>
                <w:color w:val="auto"/>
                <w:w w:val="96"/>
              </w:rPr>
              <w:t>(In millions)</w:t>
            </w:r>
          </w:p>
        </w:tc>
        <w:tc>
          <w:tcPr>
            <w:tcW w:w="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20" w:type="dxa"/>
            <w:vAlign w:val="bottom"/>
          </w:tcPr>
          <w:p>
            <w:pPr>
              <w:spacing w:after="0"/>
              <w:rPr>
                <w:sz w:val="21"/>
                <w:szCs w:val="21"/>
                <w:color w:val="auto"/>
              </w:rPr>
            </w:pPr>
          </w:p>
        </w:tc>
      </w:tr>
      <w:tr>
        <w:trPr>
          <w:trHeight w:val="256"/>
        </w:trPr>
        <w:tc>
          <w:tcPr>
            <w:tcW w:w="6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Qualifying hedges:</w:t>
            </w:r>
          </w:p>
        </w:tc>
        <w:tc>
          <w:tcPr>
            <w:tcW w:w="74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spacing w:after="0"/>
              <w:rPr>
                <w:sz w:val="22"/>
                <w:szCs w:val="22"/>
                <w:color w:val="auto"/>
              </w:rPr>
            </w:pPr>
          </w:p>
        </w:tc>
      </w:tr>
      <w:tr>
        <w:trPr>
          <w:trHeight w:val="237"/>
        </w:trPr>
        <w:tc>
          <w:tcPr>
            <w:tcW w:w="6540" w:type="dxa"/>
            <w:vAlign w:val="bottom"/>
          </w:tcPr>
          <w:p>
            <w:pPr>
              <w:ind w:left="40"/>
              <w:spacing w:after="0"/>
              <w:rPr>
                <w:sz w:val="20"/>
                <w:szCs w:val="20"/>
                <w:color w:val="auto"/>
              </w:rPr>
            </w:pPr>
            <w:r>
              <w:rPr>
                <w:rFonts w:ascii="Arial" w:cs="Arial" w:eastAsia="Arial" w:hAnsi="Arial"/>
                <w:sz w:val="16"/>
                <w:szCs w:val="16"/>
                <w:color w:val="auto"/>
              </w:rPr>
              <w:t>Net investment income</w:t>
            </w:r>
          </w:p>
        </w:tc>
        <w:tc>
          <w:tcPr>
            <w:tcW w:w="740" w:type="dxa"/>
            <w:vAlign w:val="bottom"/>
          </w:tcPr>
          <w:p>
            <w:pPr>
              <w:jc w:val="right"/>
              <w:ind w:right="562"/>
              <w:spacing w:after="0"/>
              <w:rPr>
                <w:sz w:val="20"/>
                <w:szCs w:val="20"/>
                <w:color w:val="auto"/>
              </w:rPr>
            </w:pPr>
            <w:r>
              <w:rPr>
                <w:rFonts w:ascii="Arial" w:cs="Arial" w:eastAsia="Arial" w:hAnsi="Arial"/>
                <w:sz w:val="16"/>
                <w:szCs w:val="16"/>
                <w:color w:val="auto"/>
                <w:w w:val="89"/>
              </w:rPr>
              <w:t>$</w:t>
            </w:r>
          </w:p>
        </w:tc>
        <w:tc>
          <w:tcPr>
            <w:tcW w:w="420" w:type="dxa"/>
            <w:vAlign w:val="bottom"/>
          </w:tcPr>
          <w:p>
            <w:pPr>
              <w:jc w:val="right"/>
              <w:ind w:right="43"/>
              <w:spacing w:after="0"/>
              <w:rPr>
                <w:sz w:val="20"/>
                <w:szCs w:val="20"/>
                <w:color w:val="auto"/>
              </w:rPr>
            </w:pPr>
            <w:r>
              <w:rPr>
                <w:rFonts w:ascii="Arial" w:cs="Arial" w:eastAsia="Arial" w:hAnsi="Arial"/>
                <w:sz w:val="16"/>
                <w:szCs w:val="16"/>
                <w:color w:val="auto"/>
              </w:rPr>
              <w:t>5</w:t>
            </w:r>
          </w:p>
        </w:tc>
        <w:tc>
          <w:tcPr>
            <w:tcW w:w="120" w:type="dxa"/>
            <w:vAlign w:val="bottom"/>
          </w:tcPr>
          <w:p>
            <w:pPr>
              <w:spacing w:after="0"/>
              <w:rPr>
                <w:sz w:val="20"/>
                <w:szCs w:val="20"/>
                <w:color w:val="auto"/>
              </w:rPr>
            </w:pPr>
          </w:p>
        </w:tc>
        <w:tc>
          <w:tcPr>
            <w:tcW w:w="760" w:type="dxa"/>
            <w:vAlign w:val="bottom"/>
          </w:tcPr>
          <w:p>
            <w:pPr>
              <w:jc w:val="right"/>
              <w:ind w:right="582"/>
              <w:spacing w:after="0"/>
              <w:rPr>
                <w:sz w:val="20"/>
                <w:szCs w:val="20"/>
                <w:color w:val="auto"/>
              </w:rPr>
            </w:pPr>
            <w:r>
              <w:rPr>
                <w:rFonts w:ascii="Arial" w:cs="Arial" w:eastAsia="Arial" w:hAnsi="Arial"/>
                <w:sz w:val="16"/>
                <w:szCs w:val="16"/>
                <w:color w:val="auto"/>
                <w:w w:val="89"/>
              </w:rPr>
              <w:t>$</w:t>
            </w:r>
          </w:p>
        </w:tc>
        <w:tc>
          <w:tcPr>
            <w:tcW w:w="380" w:type="dxa"/>
            <w:vAlign w:val="bottom"/>
          </w:tcPr>
          <w:p>
            <w:pPr>
              <w:jc w:val="right"/>
              <w:ind w:right="21"/>
              <w:spacing w:after="0"/>
              <w:rPr>
                <w:sz w:val="20"/>
                <w:szCs w:val="20"/>
                <w:color w:val="auto"/>
              </w:rPr>
            </w:pPr>
            <w:r>
              <w:rPr>
                <w:rFonts w:ascii="Arial" w:cs="Arial" w:eastAsia="Arial" w:hAnsi="Arial"/>
                <w:sz w:val="16"/>
                <w:szCs w:val="16"/>
                <w:color w:val="auto"/>
              </w:rPr>
              <w:t>5</w:t>
            </w:r>
          </w:p>
        </w:tc>
        <w:tc>
          <w:tcPr>
            <w:tcW w:w="120" w:type="dxa"/>
            <w:vAlign w:val="bottom"/>
          </w:tcPr>
          <w:p>
            <w:pPr>
              <w:spacing w:after="0"/>
              <w:rPr>
                <w:sz w:val="20"/>
                <w:szCs w:val="20"/>
                <w:color w:val="auto"/>
              </w:rPr>
            </w:pPr>
          </w:p>
        </w:tc>
        <w:tc>
          <w:tcPr>
            <w:tcW w:w="720" w:type="dxa"/>
            <w:vAlign w:val="bottom"/>
          </w:tcPr>
          <w:p>
            <w:pPr>
              <w:jc w:val="right"/>
              <w:ind w:right="542"/>
              <w:spacing w:after="0"/>
              <w:rPr>
                <w:sz w:val="20"/>
                <w:szCs w:val="20"/>
                <w:color w:val="auto"/>
              </w:rPr>
            </w:pPr>
            <w:r>
              <w:rPr>
                <w:rFonts w:ascii="Arial" w:cs="Arial" w:eastAsia="Arial" w:hAnsi="Arial"/>
                <w:sz w:val="16"/>
                <w:szCs w:val="16"/>
                <w:color w:val="auto"/>
                <w:w w:val="89"/>
              </w:rPr>
              <w:t>$</w:t>
            </w:r>
          </w:p>
        </w:tc>
        <w:tc>
          <w:tcPr>
            <w:tcW w:w="400" w:type="dxa"/>
            <w:vAlign w:val="bottom"/>
          </w:tcPr>
          <w:p>
            <w:pPr>
              <w:jc w:val="right"/>
              <w:ind w:right="43"/>
              <w:spacing w:after="0"/>
              <w:rPr>
                <w:sz w:val="20"/>
                <w:szCs w:val="20"/>
                <w:color w:val="auto"/>
              </w:rPr>
            </w:pPr>
            <w:r>
              <w:rPr>
                <w:rFonts w:ascii="Arial" w:cs="Arial" w:eastAsia="Arial" w:hAnsi="Arial"/>
                <w:sz w:val="16"/>
                <w:szCs w:val="16"/>
                <w:color w:val="auto"/>
              </w:rPr>
              <w:t>17</w:t>
            </w:r>
          </w:p>
        </w:tc>
        <w:tc>
          <w:tcPr>
            <w:tcW w:w="100" w:type="dxa"/>
            <w:vAlign w:val="bottom"/>
          </w:tcPr>
          <w:p>
            <w:pPr>
              <w:spacing w:after="0"/>
              <w:rPr>
                <w:sz w:val="20"/>
                <w:szCs w:val="20"/>
                <w:color w:val="auto"/>
              </w:rPr>
            </w:pPr>
          </w:p>
        </w:tc>
        <w:tc>
          <w:tcPr>
            <w:tcW w:w="400" w:type="dxa"/>
            <w:vAlign w:val="bottom"/>
          </w:tcPr>
          <w:p>
            <w:pPr>
              <w:jc w:val="right"/>
              <w:ind w:right="219"/>
              <w:spacing w:after="0"/>
              <w:rPr>
                <w:sz w:val="20"/>
                <w:szCs w:val="20"/>
                <w:color w:val="auto"/>
              </w:rPr>
            </w:pPr>
            <w:r>
              <w:rPr>
                <w:rFonts w:ascii="Arial" w:cs="Arial" w:eastAsia="Arial" w:hAnsi="Arial"/>
                <w:sz w:val="16"/>
                <w:szCs w:val="16"/>
                <w:color w:val="auto"/>
                <w:w w:val="89"/>
              </w:rPr>
              <w:t>$</w:t>
            </w:r>
          </w:p>
        </w:tc>
        <w:tc>
          <w:tcPr>
            <w:tcW w:w="720" w:type="dxa"/>
            <w:vAlign w:val="bottom"/>
          </w:tcPr>
          <w:p>
            <w:pPr>
              <w:jc w:val="right"/>
              <w:ind w:right="21"/>
              <w:spacing w:after="0"/>
              <w:rPr>
                <w:sz w:val="20"/>
                <w:szCs w:val="20"/>
                <w:color w:val="auto"/>
              </w:rPr>
            </w:pPr>
            <w:r>
              <w:rPr>
                <w:rFonts w:ascii="Arial" w:cs="Arial" w:eastAsia="Arial" w:hAnsi="Arial"/>
                <w:sz w:val="16"/>
                <w:szCs w:val="16"/>
                <w:color w:val="auto"/>
              </w:rPr>
              <w:t>14</w:t>
            </w:r>
          </w:p>
        </w:tc>
      </w:tr>
      <w:tr>
        <w:trPr>
          <w:trHeight w:val="33"/>
        </w:trPr>
        <w:tc>
          <w:tcPr>
            <w:tcW w:w="6540" w:type="dxa"/>
            <w:vAlign w:val="bottom"/>
          </w:tcPr>
          <w:p>
            <w:pPr>
              <w:spacing w:after="0"/>
              <w:rPr>
                <w:sz w:val="2"/>
                <w:szCs w:val="2"/>
                <w:color w:val="auto"/>
              </w:rPr>
            </w:pPr>
          </w:p>
        </w:tc>
        <w:tc>
          <w:tcPr>
            <w:tcW w:w="7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50"/>
        </w:trPr>
        <w:tc>
          <w:tcPr>
            <w:tcW w:w="6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Nonqualifying hedges:</w:t>
            </w:r>
          </w:p>
        </w:tc>
        <w:tc>
          <w:tcPr>
            <w:tcW w:w="74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r>
      <w:tr>
        <w:trPr>
          <w:trHeight w:val="237"/>
        </w:trPr>
        <w:tc>
          <w:tcPr>
            <w:tcW w:w="6540" w:type="dxa"/>
            <w:vAlign w:val="bottom"/>
          </w:tcPr>
          <w:p>
            <w:pPr>
              <w:ind w:left="40"/>
              <w:spacing w:after="0"/>
              <w:rPr>
                <w:sz w:val="20"/>
                <w:szCs w:val="20"/>
                <w:color w:val="auto"/>
              </w:rPr>
            </w:pPr>
            <w:r>
              <w:rPr>
                <w:rFonts w:ascii="Arial" w:cs="Arial" w:eastAsia="Arial" w:hAnsi="Arial"/>
                <w:sz w:val="16"/>
                <w:szCs w:val="16"/>
                <w:color w:val="auto"/>
              </w:rPr>
              <w:t>Net derivative gains (losses)</w:t>
            </w:r>
          </w:p>
        </w:tc>
        <w:tc>
          <w:tcPr>
            <w:tcW w:w="740" w:type="dxa"/>
            <w:vAlign w:val="bottom"/>
          </w:tcPr>
          <w:p>
            <w:pPr>
              <w:spacing w:after="0"/>
              <w:rPr>
                <w:sz w:val="20"/>
                <w:szCs w:val="20"/>
                <w:color w:val="auto"/>
              </w:rPr>
            </w:pPr>
          </w:p>
        </w:tc>
        <w:tc>
          <w:tcPr>
            <w:tcW w:w="420" w:type="dxa"/>
            <w:vAlign w:val="bottom"/>
          </w:tcPr>
          <w:p>
            <w:pPr>
              <w:jc w:val="right"/>
              <w:ind w:right="43"/>
              <w:spacing w:after="0"/>
              <w:rPr>
                <w:sz w:val="20"/>
                <w:szCs w:val="20"/>
                <w:color w:val="auto"/>
              </w:rPr>
            </w:pPr>
            <w:r>
              <w:rPr>
                <w:rFonts w:ascii="Arial" w:cs="Arial" w:eastAsia="Arial" w:hAnsi="Arial"/>
                <w:sz w:val="16"/>
                <w:szCs w:val="16"/>
                <w:color w:val="auto"/>
              </w:rPr>
              <w:t>67</w:t>
            </w: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80" w:type="dxa"/>
            <w:vAlign w:val="bottom"/>
          </w:tcPr>
          <w:p>
            <w:pPr>
              <w:jc w:val="right"/>
              <w:ind w:right="21"/>
              <w:spacing w:after="0"/>
              <w:rPr>
                <w:sz w:val="20"/>
                <w:szCs w:val="20"/>
                <w:color w:val="auto"/>
              </w:rPr>
            </w:pPr>
            <w:r>
              <w:rPr>
                <w:rFonts w:ascii="Arial" w:cs="Arial" w:eastAsia="Arial" w:hAnsi="Arial"/>
                <w:sz w:val="16"/>
                <w:szCs w:val="16"/>
                <w:color w:val="auto"/>
                <w:w w:val="97"/>
              </w:rPr>
              <w:t>125</w:t>
            </w:r>
          </w:p>
        </w:tc>
        <w:tc>
          <w:tcPr>
            <w:tcW w:w="1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00" w:type="dxa"/>
            <w:vAlign w:val="bottom"/>
          </w:tcPr>
          <w:p>
            <w:pPr>
              <w:jc w:val="right"/>
              <w:ind w:right="43"/>
              <w:spacing w:after="0"/>
              <w:rPr>
                <w:sz w:val="20"/>
                <w:szCs w:val="20"/>
                <w:color w:val="auto"/>
              </w:rPr>
            </w:pPr>
            <w:r>
              <w:rPr>
                <w:rFonts w:ascii="Arial" w:cs="Arial" w:eastAsia="Arial" w:hAnsi="Arial"/>
                <w:sz w:val="16"/>
                <w:szCs w:val="16"/>
                <w:color w:val="auto"/>
                <w:w w:val="97"/>
              </w:rPr>
              <w:t>253</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20" w:type="dxa"/>
            <w:vAlign w:val="bottom"/>
          </w:tcPr>
          <w:p>
            <w:pPr>
              <w:jc w:val="right"/>
              <w:ind w:right="21"/>
              <w:spacing w:after="0"/>
              <w:rPr>
                <w:sz w:val="20"/>
                <w:szCs w:val="20"/>
                <w:color w:val="auto"/>
              </w:rPr>
            </w:pPr>
            <w:r>
              <w:rPr>
                <w:rFonts w:ascii="Arial" w:cs="Arial" w:eastAsia="Arial" w:hAnsi="Arial"/>
                <w:sz w:val="16"/>
                <w:szCs w:val="16"/>
                <w:color w:val="auto"/>
              </w:rPr>
              <w:t>321</w:t>
            </w:r>
          </w:p>
        </w:tc>
      </w:tr>
      <w:tr>
        <w:trPr>
          <w:trHeight w:val="33"/>
        </w:trPr>
        <w:tc>
          <w:tcPr>
            <w:tcW w:w="6540" w:type="dxa"/>
            <w:vAlign w:val="bottom"/>
          </w:tcPr>
          <w:p>
            <w:pPr>
              <w:spacing w:after="0"/>
              <w:rPr>
                <w:sz w:val="2"/>
                <w:szCs w:val="2"/>
                <w:color w:val="auto"/>
              </w:rPr>
            </w:pPr>
          </w:p>
        </w:tc>
        <w:tc>
          <w:tcPr>
            <w:tcW w:w="7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70"/>
        </w:trPr>
        <w:tc>
          <w:tcPr>
            <w:tcW w:w="6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Policyholder benefits and claims</w:t>
            </w:r>
          </w:p>
        </w:tc>
        <w:tc>
          <w:tcPr>
            <w:tcW w:w="74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4</w:t>
            </w:r>
          </w:p>
        </w:tc>
        <w:tc>
          <w:tcPr>
            <w:tcW w:w="12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8</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11</w:t>
            </w:r>
          </w:p>
        </w:tc>
      </w:tr>
      <w:tr>
        <w:trPr>
          <w:trHeight w:val="217"/>
        </w:trPr>
        <w:tc>
          <w:tcPr>
            <w:tcW w:w="6540" w:type="dxa"/>
            <w:vAlign w:val="bottom"/>
          </w:tcPr>
          <w:p>
            <w:pPr>
              <w:ind w:left="200"/>
              <w:spacing w:after="0"/>
              <w:rPr>
                <w:sz w:val="20"/>
                <w:szCs w:val="20"/>
                <w:color w:val="auto"/>
              </w:rPr>
            </w:pPr>
            <w:r>
              <w:rPr>
                <w:rFonts w:ascii="Arial" w:cs="Arial" w:eastAsia="Arial" w:hAnsi="Arial"/>
                <w:sz w:val="16"/>
                <w:szCs w:val="16"/>
                <w:color w:val="auto"/>
              </w:rPr>
              <w:t>Total</w:t>
            </w:r>
          </w:p>
        </w:tc>
        <w:tc>
          <w:tcPr>
            <w:tcW w:w="740" w:type="dxa"/>
            <w:vAlign w:val="bottom"/>
            <w:tcBorders>
              <w:top w:val="single" w:sz="8" w:color="auto"/>
            </w:tcBorders>
          </w:tcPr>
          <w:p>
            <w:pPr>
              <w:jc w:val="right"/>
              <w:ind w:right="562"/>
              <w:spacing w:after="0"/>
              <w:rPr>
                <w:sz w:val="20"/>
                <w:szCs w:val="20"/>
                <w:color w:val="auto"/>
              </w:rPr>
            </w:pPr>
            <w:r>
              <w:rPr>
                <w:rFonts w:ascii="Arial" w:cs="Arial" w:eastAsia="Arial" w:hAnsi="Arial"/>
                <w:sz w:val="16"/>
                <w:szCs w:val="16"/>
                <w:color w:val="auto"/>
                <w:w w:val="89"/>
              </w:rPr>
              <w:t>$</w:t>
            </w:r>
          </w:p>
        </w:tc>
        <w:tc>
          <w:tcPr>
            <w:tcW w:w="420" w:type="dxa"/>
            <w:vAlign w:val="bottom"/>
            <w:tcBorders>
              <w:top w:val="single" w:sz="8" w:color="auto"/>
            </w:tcBorders>
          </w:tcPr>
          <w:p>
            <w:pPr>
              <w:jc w:val="right"/>
              <w:ind w:right="43"/>
              <w:spacing w:after="0"/>
              <w:rPr>
                <w:sz w:val="20"/>
                <w:szCs w:val="20"/>
                <w:color w:val="auto"/>
              </w:rPr>
            </w:pPr>
            <w:r>
              <w:rPr>
                <w:rFonts w:ascii="Arial" w:cs="Arial" w:eastAsia="Arial" w:hAnsi="Arial"/>
                <w:sz w:val="16"/>
                <w:szCs w:val="16"/>
                <w:color w:val="auto"/>
              </w:rPr>
              <w:t>73</w:t>
            </w:r>
          </w:p>
        </w:tc>
        <w:tc>
          <w:tcPr>
            <w:tcW w:w="120" w:type="dxa"/>
            <w:vAlign w:val="bottom"/>
          </w:tcPr>
          <w:p>
            <w:pPr>
              <w:spacing w:after="0"/>
              <w:rPr>
                <w:sz w:val="18"/>
                <w:szCs w:val="18"/>
                <w:color w:val="auto"/>
              </w:rPr>
            </w:pPr>
          </w:p>
        </w:tc>
        <w:tc>
          <w:tcPr>
            <w:tcW w:w="760" w:type="dxa"/>
            <w:vAlign w:val="bottom"/>
            <w:tcBorders>
              <w:top w:val="single" w:sz="8" w:color="auto"/>
            </w:tcBorders>
          </w:tcPr>
          <w:p>
            <w:pPr>
              <w:jc w:val="right"/>
              <w:ind w:right="582"/>
              <w:spacing w:after="0"/>
              <w:rPr>
                <w:sz w:val="20"/>
                <w:szCs w:val="20"/>
                <w:color w:val="auto"/>
              </w:rPr>
            </w:pPr>
            <w:r>
              <w:rPr>
                <w:rFonts w:ascii="Arial" w:cs="Arial" w:eastAsia="Arial" w:hAnsi="Arial"/>
                <w:sz w:val="16"/>
                <w:szCs w:val="16"/>
                <w:color w:val="auto"/>
                <w:w w:val="89"/>
              </w:rPr>
              <w:t>$</w:t>
            </w:r>
          </w:p>
        </w:tc>
        <w:tc>
          <w:tcPr>
            <w:tcW w:w="380" w:type="dxa"/>
            <w:vAlign w:val="bottom"/>
            <w:tcBorders>
              <w:top w:val="single" w:sz="8" w:color="auto"/>
            </w:tcBorders>
          </w:tcPr>
          <w:p>
            <w:pPr>
              <w:jc w:val="right"/>
              <w:ind w:right="21"/>
              <w:spacing w:after="0"/>
              <w:rPr>
                <w:sz w:val="20"/>
                <w:szCs w:val="20"/>
                <w:color w:val="auto"/>
              </w:rPr>
            </w:pPr>
            <w:r>
              <w:rPr>
                <w:rFonts w:ascii="Arial" w:cs="Arial" w:eastAsia="Arial" w:hAnsi="Arial"/>
                <w:sz w:val="16"/>
                <w:szCs w:val="16"/>
                <w:color w:val="auto"/>
                <w:w w:val="97"/>
              </w:rPr>
              <w:t>134</w:t>
            </w:r>
          </w:p>
        </w:tc>
        <w:tc>
          <w:tcPr>
            <w:tcW w:w="120" w:type="dxa"/>
            <w:vAlign w:val="bottom"/>
          </w:tcPr>
          <w:p>
            <w:pPr>
              <w:spacing w:after="0"/>
              <w:rPr>
                <w:sz w:val="18"/>
                <w:szCs w:val="18"/>
                <w:color w:val="auto"/>
              </w:rPr>
            </w:pPr>
          </w:p>
        </w:tc>
        <w:tc>
          <w:tcPr>
            <w:tcW w:w="720" w:type="dxa"/>
            <w:vAlign w:val="bottom"/>
            <w:tcBorders>
              <w:top w:val="single" w:sz="8" w:color="auto"/>
            </w:tcBorders>
          </w:tcPr>
          <w:p>
            <w:pPr>
              <w:jc w:val="right"/>
              <w:ind w:right="542"/>
              <w:spacing w:after="0"/>
              <w:rPr>
                <w:sz w:val="20"/>
                <w:szCs w:val="20"/>
                <w:color w:val="auto"/>
              </w:rPr>
            </w:pPr>
            <w:r>
              <w:rPr>
                <w:rFonts w:ascii="Arial" w:cs="Arial" w:eastAsia="Arial" w:hAnsi="Arial"/>
                <w:sz w:val="16"/>
                <w:szCs w:val="16"/>
                <w:color w:val="auto"/>
                <w:w w:val="89"/>
              </w:rPr>
              <w:t>$</w:t>
            </w:r>
          </w:p>
        </w:tc>
        <w:tc>
          <w:tcPr>
            <w:tcW w:w="400" w:type="dxa"/>
            <w:vAlign w:val="bottom"/>
            <w:tcBorders>
              <w:top w:val="single" w:sz="8" w:color="auto"/>
            </w:tcBorders>
          </w:tcPr>
          <w:p>
            <w:pPr>
              <w:jc w:val="right"/>
              <w:ind w:right="43"/>
              <w:spacing w:after="0"/>
              <w:rPr>
                <w:sz w:val="20"/>
                <w:szCs w:val="20"/>
                <w:color w:val="auto"/>
              </w:rPr>
            </w:pPr>
            <w:r>
              <w:rPr>
                <w:rFonts w:ascii="Arial" w:cs="Arial" w:eastAsia="Arial" w:hAnsi="Arial"/>
                <w:sz w:val="16"/>
                <w:szCs w:val="16"/>
                <w:color w:val="auto"/>
                <w:w w:val="97"/>
              </w:rPr>
              <w:t>278</w:t>
            </w:r>
          </w:p>
        </w:tc>
        <w:tc>
          <w:tcPr>
            <w:tcW w:w="100" w:type="dxa"/>
            <w:vAlign w:val="bottom"/>
          </w:tcPr>
          <w:p>
            <w:pPr>
              <w:spacing w:after="0"/>
              <w:rPr>
                <w:sz w:val="18"/>
                <w:szCs w:val="18"/>
                <w:color w:val="auto"/>
              </w:rPr>
            </w:pPr>
          </w:p>
        </w:tc>
        <w:tc>
          <w:tcPr>
            <w:tcW w:w="400" w:type="dxa"/>
            <w:vAlign w:val="bottom"/>
            <w:tcBorders>
              <w:top w:val="single" w:sz="8" w:color="auto"/>
            </w:tcBorders>
          </w:tcPr>
          <w:p>
            <w:pPr>
              <w:jc w:val="right"/>
              <w:ind w:right="219"/>
              <w:spacing w:after="0"/>
              <w:rPr>
                <w:sz w:val="20"/>
                <w:szCs w:val="20"/>
                <w:color w:val="auto"/>
              </w:rPr>
            </w:pPr>
            <w:r>
              <w:rPr>
                <w:rFonts w:ascii="Arial" w:cs="Arial" w:eastAsia="Arial" w:hAnsi="Arial"/>
                <w:sz w:val="16"/>
                <w:szCs w:val="16"/>
                <w:color w:val="auto"/>
                <w:w w:val="89"/>
              </w:rPr>
              <w:t>$</w:t>
            </w:r>
          </w:p>
        </w:tc>
        <w:tc>
          <w:tcPr>
            <w:tcW w:w="720" w:type="dxa"/>
            <w:vAlign w:val="bottom"/>
            <w:tcBorders>
              <w:top w:val="single" w:sz="8" w:color="auto"/>
            </w:tcBorders>
          </w:tcPr>
          <w:p>
            <w:pPr>
              <w:jc w:val="right"/>
              <w:ind w:right="21"/>
              <w:spacing w:after="0"/>
              <w:rPr>
                <w:sz w:val="20"/>
                <w:szCs w:val="20"/>
                <w:color w:val="auto"/>
              </w:rPr>
            </w:pPr>
            <w:r>
              <w:rPr>
                <w:rFonts w:ascii="Arial" w:cs="Arial" w:eastAsia="Arial" w:hAnsi="Arial"/>
                <w:sz w:val="16"/>
                <w:szCs w:val="16"/>
                <w:color w:val="auto"/>
              </w:rPr>
              <w:t>346</w:t>
            </w:r>
          </w:p>
        </w:tc>
      </w:tr>
      <w:tr>
        <w:trPr>
          <w:trHeight w:val="33"/>
        </w:trPr>
        <w:tc>
          <w:tcPr>
            <w:tcW w:w="654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0"/>
        </w:trPr>
        <w:tc>
          <w:tcPr>
            <w:tcW w:w="654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234" w:right="239" w:bottom="1440" w:gutter="0" w:footer="0" w:header="0"/>
        </w:sectPr>
      </w:pPr>
    </w:p>
    <w:bookmarkStart w:id="37" w:name="page38"/>
    <w:bookmarkEnd w:id="37"/>
    <w:p>
      <w:pPr>
        <w:ind w:left="340"/>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109"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Brighthouse Financial, Inc.</w:t>
      </w:r>
    </w:p>
    <w:p>
      <w:pPr>
        <w:spacing w:after="0" w:line="117" w:lineRule="exact"/>
        <w:rPr>
          <w:sz w:val="20"/>
          <w:szCs w:val="20"/>
          <w:color w:val="auto"/>
        </w:rPr>
      </w:pPr>
    </w:p>
    <w:p>
      <w:pPr>
        <w:ind w:left="1640"/>
        <w:spacing w:after="0"/>
        <w:rPr>
          <w:sz w:val="20"/>
          <w:szCs w:val="20"/>
          <w:color w:val="auto"/>
        </w:rPr>
      </w:pPr>
      <w:r>
        <w:rPr>
          <w:rFonts w:ascii="Arial" w:cs="Arial" w:eastAsia="Arial" w:hAnsi="Arial"/>
          <w:sz w:val="18"/>
          <w:szCs w:val="18"/>
          <w:b w:val="1"/>
          <w:bCs w:val="1"/>
          <w:color w:val="auto"/>
        </w:rPr>
        <w:t>Notes to the Interim Condensed Consolidated and Combined Financial Statements (Unaudited) — (continued)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Derivatives (continued)</w:t>
      </w:r>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Nonqualifying Derivatives and Derivatives for Purposes Other Than Hedging</w:t>
      </w:r>
    </w:p>
    <w:p>
      <w:pPr>
        <w:spacing w:after="0" w:line="117"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following table presents the amount and location of gains (losses) recognized in income for derivatives that were not designated or qualifying as hedging instruments: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4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8"/>
              </w:rPr>
              <w:t>Net</w:t>
            </w:r>
          </w:p>
        </w:tc>
        <w:tc>
          <w:tcPr>
            <w:tcW w:w="240" w:type="dxa"/>
            <w:vAlign w:val="bottom"/>
          </w:tcPr>
          <w:p>
            <w:pPr>
              <w:spacing w:after="0"/>
              <w:rPr>
                <w:sz w:val="14"/>
                <w:szCs w:val="14"/>
                <w:color w:val="auto"/>
              </w:rPr>
            </w:pPr>
          </w:p>
        </w:tc>
        <w:tc>
          <w:tcPr>
            <w:tcW w:w="14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8"/>
              </w:rPr>
              <w:t>Net</w:t>
            </w:r>
          </w:p>
        </w:tc>
        <w:tc>
          <w:tcPr>
            <w:tcW w:w="260" w:type="dxa"/>
            <w:vAlign w:val="bottom"/>
          </w:tcPr>
          <w:p>
            <w:pPr>
              <w:spacing w:after="0"/>
              <w:rPr>
                <w:sz w:val="14"/>
                <w:szCs w:val="14"/>
                <w:color w:val="auto"/>
              </w:rPr>
            </w:pPr>
          </w:p>
        </w:tc>
        <w:tc>
          <w:tcPr>
            <w:tcW w:w="1320" w:type="dxa"/>
            <w:vAlign w:val="bottom"/>
          </w:tcPr>
          <w:p>
            <w:pPr>
              <w:jc w:val="center"/>
              <w:ind w:right="180"/>
              <w:spacing w:after="0"/>
              <w:rPr>
                <w:sz w:val="20"/>
                <w:szCs w:val="20"/>
                <w:color w:val="auto"/>
              </w:rPr>
            </w:pPr>
            <w:r>
              <w:rPr>
                <w:rFonts w:ascii="Arial" w:cs="Arial" w:eastAsia="Arial" w:hAnsi="Arial"/>
                <w:sz w:val="14"/>
                <w:szCs w:val="14"/>
                <w:b w:val="1"/>
                <w:bCs w:val="1"/>
                <w:color w:val="auto"/>
                <w:w w:val="92"/>
              </w:rPr>
              <w:t>Policyholder</w:t>
            </w:r>
          </w:p>
        </w:tc>
        <w:tc>
          <w:tcPr>
            <w:tcW w:w="0" w:type="dxa"/>
            <w:vAlign w:val="bottom"/>
          </w:tcPr>
          <w:p>
            <w:pPr>
              <w:spacing w:after="0"/>
              <w:rPr>
                <w:sz w:val="1"/>
                <w:szCs w:val="1"/>
                <w:color w:val="auto"/>
              </w:rPr>
            </w:pPr>
          </w:p>
        </w:tc>
      </w:tr>
      <w:tr>
        <w:trPr>
          <w:trHeight w:val="149"/>
        </w:trPr>
        <w:tc>
          <w:tcPr>
            <w:tcW w:w="64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52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5"/>
              </w:rPr>
              <w:t>Derivative</w:t>
            </w:r>
          </w:p>
        </w:tc>
        <w:tc>
          <w:tcPr>
            <w:tcW w:w="240" w:type="dxa"/>
            <w:vAlign w:val="bottom"/>
          </w:tcPr>
          <w:p>
            <w:pPr>
              <w:spacing w:after="0"/>
              <w:rPr>
                <w:sz w:val="12"/>
                <w:szCs w:val="12"/>
                <w:color w:val="auto"/>
              </w:rPr>
            </w:pPr>
          </w:p>
        </w:tc>
        <w:tc>
          <w:tcPr>
            <w:tcW w:w="144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1"/>
              </w:rPr>
              <w:t>Investment</w:t>
            </w:r>
          </w:p>
        </w:tc>
        <w:tc>
          <w:tcPr>
            <w:tcW w:w="260" w:type="dxa"/>
            <w:vAlign w:val="bottom"/>
          </w:tcPr>
          <w:p>
            <w:pPr>
              <w:spacing w:after="0"/>
              <w:rPr>
                <w:sz w:val="12"/>
                <w:szCs w:val="12"/>
                <w:color w:val="auto"/>
              </w:rPr>
            </w:pPr>
          </w:p>
        </w:tc>
        <w:tc>
          <w:tcPr>
            <w:tcW w:w="1320" w:type="dxa"/>
            <w:vAlign w:val="bottom"/>
          </w:tcPr>
          <w:p>
            <w:pPr>
              <w:jc w:val="center"/>
              <w:ind w:right="180"/>
              <w:spacing w:after="0" w:line="149" w:lineRule="exact"/>
              <w:rPr>
                <w:sz w:val="20"/>
                <w:szCs w:val="20"/>
                <w:color w:val="auto"/>
              </w:rPr>
            </w:pPr>
            <w:r>
              <w:rPr>
                <w:rFonts w:ascii="Arial" w:cs="Arial" w:eastAsia="Arial" w:hAnsi="Arial"/>
                <w:sz w:val="14"/>
                <w:szCs w:val="14"/>
                <w:b w:val="1"/>
                <w:bCs w:val="1"/>
                <w:color w:val="auto"/>
                <w:w w:val="92"/>
              </w:rPr>
              <w:t>Benefits and</w:t>
            </w:r>
          </w:p>
        </w:tc>
        <w:tc>
          <w:tcPr>
            <w:tcW w:w="0" w:type="dxa"/>
            <w:vAlign w:val="bottom"/>
          </w:tcPr>
          <w:p>
            <w:pPr>
              <w:spacing w:after="0"/>
              <w:rPr>
                <w:sz w:val="1"/>
                <w:szCs w:val="1"/>
                <w:color w:val="auto"/>
              </w:rPr>
            </w:pPr>
          </w:p>
        </w:tc>
      </w:tr>
      <w:tr>
        <w:trPr>
          <w:trHeight w:val="192"/>
        </w:trPr>
        <w:tc>
          <w:tcPr>
            <w:tcW w:w="64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2"/>
          </w:tcPr>
          <w:p>
            <w:pPr>
              <w:jc w:val="center"/>
              <w:ind w:right="360"/>
              <w:spacing w:after="0"/>
              <w:rPr>
                <w:sz w:val="20"/>
                <w:szCs w:val="20"/>
                <w:color w:val="auto"/>
              </w:rPr>
            </w:pPr>
            <w:r>
              <w:rPr>
                <w:rFonts w:ascii="Arial" w:cs="Arial" w:eastAsia="Arial" w:hAnsi="Arial"/>
                <w:sz w:val="14"/>
                <w:szCs w:val="14"/>
                <w:b w:val="1"/>
                <w:bCs w:val="1"/>
                <w:color w:val="auto"/>
                <w:w w:val="87"/>
              </w:rPr>
              <w:t>Gains (Losses)</w:t>
            </w:r>
          </w:p>
        </w:tc>
        <w:tc>
          <w:tcPr>
            <w:tcW w:w="24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4"/>
                <w:szCs w:val="14"/>
                <w:b w:val="1"/>
                <w:bCs w:val="1"/>
                <w:color w:val="auto"/>
                <w:w w:val="94"/>
              </w:rPr>
              <w:t>Income (1)</w:t>
            </w:r>
          </w:p>
        </w:tc>
        <w:tc>
          <w:tcPr>
            <w:tcW w:w="2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center"/>
              <w:ind w:right="220"/>
              <w:spacing w:after="0"/>
              <w:rPr>
                <w:sz w:val="20"/>
                <w:szCs w:val="20"/>
                <w:color w:val="auto"/>
              </w:rPr>
            </w:pPr>
            <w:r>
              <w:rPr>
                <w:rFonts w:ascii="Arial" w:cs="Arial" w:eastAsia="Arial" w:hAnsi="Arial"/>
                <w:sz w:val="14"/>
                <w:szCs w:val="14"/>
                <w:b w:val="1"/>
                <w:bCs w:val="1"/>
                <w:color w:val="auto"/>
                <w:w w:val="92"/>
              </w:rPr>
              <w:t>Claims (2)</w:t>
            </w:r>
          </w:p>
        </w:tc>
        <w:tc>
          <w:tcPr>
            <w:tcW w:w="0" w:type="dxa"/>
            <w:vAlign w:val="bottom"/>
          </w:tcPr>
          <w:p>
            <w:pPr>
              <w:spacing w:after="0"/>
              <w:rPr>
                <w:sz w:val="1"/>
                <w:szCs w:val="1"/>
                <w:color w:val="auto"/>
              </w:rPr>
            </w:pPr>
          </w:p>
        </w:tc>
      </w:tr>
      <w:tr>
        <w:trPr>
          <w:trHeight w:val="250"/>
        </w:trPr>
        <w:tc>
          <w:tcPr>
            <w:tcW w:w="64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4"/>
              </w:rPr>
              <w:t>(In millions)</w:t>
            </w:r>
          </w:p>
        </w:tc>
        <w:tc>
          <w:tcPr>
            <w:tcW w:w="2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Three Months Ended September 30, 2017</w:t>
            </w:r>
          </w:p>
        </w:tc>
        <w:tc>
          <w:tcPr>
            <w:tcW w:w="24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6400" w:type="dxa"/>
            <w:vAlign w:val="bottom"/>
          </w:tcPr>
          <w:p>
            <w:pPr>
              <w:ind w:left="40"/>
              <w:spacing w:after="0"/>
              <w:rPr>
                <w:sz w:val="20"/>
                <w:szCs w:val="20"/>
                <w:color w:val="auto"/>
              </w:rPr>
            </w:pPr>
            <w:r>
              <w:rPr>
                <w:rFonts w:ascii="Arial" w:cs="Arial" w:eastAsia="Arial" w:hAnsi="Arial"/>
                <w:sz w:val="16"/>
                <w:szCs w:val="16"/>
                <w:color w:val="auto"/>
              </w:rPr>
              <w:t>Interest rate derivatives</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400" w:type="dxa"/>
            <w:vAlign w:val="bottom"/>
          </w:tcPr>
          <w:p>
            <w:pPr>
              <w:jc w:val="right"/>
              <w:spacing w:after="0"/>
              <w:rPr>
                <w:sz w:val="20"/>
                <w:szCs w:val="20"/>
                <w:color w:val="auto"/>
              </w:rPr>
            </w:pPr>
            <w:r>
              <w:rPr>
                <w:rFonts w:ascii="Arial" w:cs="Arial" w:eastAsia="Arial" w:hAnsi="Arial"/>
                <w:sz w:val="16"/>
                <w:szCs w:val="16"/>
                <w:color w:val="auto"/>
              </w:rPr>
              <w:t>(81)</w:t>
            </w:r>
          </w:p>
        </w:tc>
        <w:tc>
          <w:tcPr>
            <w:tcW w:w="120" w:type="dxa"/>
            <w:vAlign w:val="bottom"/>
          </w:tcPr>
          <w:p>
            <w:pPr>
              <w:spacing w:after="0"/>
              <w:rPr>
                <w:sz w:val="20"/>
                <w:szCs w:val="20"/>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4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320" w:type="dxa"/>
            <w:vAlign w:val="bottom"/>
          </w:tcPr>
          <w:p>
            <w:pPr>
              <w:jc w:val="right"/>
              <w:ind w:right="20"/>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33"/>
        </w:trPr>
        <w:tc>
          <w:tcPr>
            <w:tcW w:w="64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Foreign currency exchange rate derivatives</w:t>
            </w:r>
          </w:p>
        </w:tc>
        <w:tc>
          <w:tcPr>
            <w:tcW w:w="2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6400" w:type="dxa"/>
            <w:vAlign w:val="bottom"/>
          </w:tcPr>
          <w:p>
            <w:pPr>
              <w:ind w:left="40"/>
              <w:spacing w:after="0"/>
              <w:rPr>
                <w:sz w:val="20"/>
                <w:szCs w:val="20"/>
                <w:color w:val="auto"/>
              </w:rPr>
            </w:pPr>
            <w:r>
              <w:rPr>
                <w:rFonts w:ascii="Arial" w:cs="Arial" w:eastAsia="Arial" w:hAnsi="Arial"/>
                <w:sz w:val="16"/>
                <w:szCs w:val="16"/>
                <w:color w:val="auto"/>
              </w:rPr>
              <w:t>Credit derivatives — written</w:t>
            </w:r>
          </w:p>
        </w:tc>
        <w:tc>
          <w:tcPr>
            <w:tcW w:w="240" w:type="dxa"/>
            <w:vAlign w:val="bottom"/>
          </w:tcPr>
          <w:p>
            <w:pPr>
              <w:spacing w:after="0"/>
              <w:rPr>
                <w:sz w:val="20"/>
                <w:szCs w:val="20"/>
                <w:color w:val="auto"/>
              </w:rPr>
            </w:pPr>
          </w:p>
        </w:tc>
        <w:tc>
          <w:tcPr>
            <w:tcW w:w="1400" w:type="dxa"/>
            <w:vAlign w:val="bottom"/>
          </w:tcPr>
          <w:p>
            <w:pPr>
              <w:jc w:val="right"/>
              <w:ind w:right="60"/>
              <w:spacing w:after="0"/>
              <w:rPr>
                <w:sz w:val="20"/>
                <w:szCs w:val="20"/>
                <w:color w:val="auto"/>
              </w:rPr>
            </w:pPr>
            <w:r>
              <w:rPr>
                <w:rFonts w:ascii="Arial" w:cs="Arial" w:eastAsia="Arial" w:hAnsi="Arial"/>
                <w:sz w:val="16"/>
                <w:szCs w:val="16"/>
                <w:color w:val="auto"/>
              </w:rPr>
              <w:t>6</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132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64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Equity derivatives</w:t>
            </w:r>
          </w:p>
        </w:tc>
        <w:tc>
          <w:tcPr>
            <w:tcW w:w="24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(712)</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(64)</w:t>
            </w:r>
          </w:p>
        </w:tc>
        <w:tc>
          <w:tcPr>
            <w:tcW w:w="0" w:type="dxa"/>
            <w:vAlign w:val="bottom"/>
          </w:tcPr>
          <w:p>
            <w:pPr>
              <w:spacing w:after="0"/>
              <w:rPr>
                <w:sz w:val="1"/>
                <w:szCs w:val="1"/>
                <w:color w:val="auto"/>
              </w:rPr>
            </w:pPr>
          </w:p>
        </w:tc>
      </w:tr>
      <w:tr>
        <w:trPr>
          <w:trHeight w:val="217"/>
        </w:trPr>
        <w:tc>
          <w:tcPr>
            <w:tcW w:w="6400" w:type="dxa"/>
            <w:vAlign w:val="bottom"/>
          </w:tcPr>
          <w:p>
            <w:pPr>
              <w:ind w:left="200"/>
              <w:spacing w:after="0"/>
              <w:rPr>
                <w:sz w:val="20"/>
                <w:szCs w:val="20"/>
                <w:color w:val="auto"/>
              </w:rPr>
            </w:pPr>
            <w:r>
              <w:rPr>
                <w:rFonts w:ascii="Arial" w:cs="Arial" w:eastAsia="Arial" w:hAnsi="Arial"/>
                <w:sz w:val="16"/>
                <w:szCs w:val="16"/>
                <w:color w:val="auto"/>
              </w:rPr>
              <w:t>Total</w:t>
            </w:r>
          </w:p>
        </w:tc>
        <w:tc>
          <w:tcPr>
            <w:tcW w:w="2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(817)</w:t>
            </w:r>
          </w:p>
        </w:tc>
        <w:tc>
          <w:tcPr>
            <w:tcW w:w="120" w:type="dxa"/>
            <w:vAlign w:val="bottom"/>
          </w:tcPr>
          <w:p>
            <w:pPr>
              <w:spacing w:after="0"/>
              <w:rPr>
                <w:sz w:val="18"/>
                <w:szCs w:val="18"/>
                <w:color w:val="auto"/>
              </w:rPr>
            </w:pPr>
          </w:p>
        </w:tc>
        <w:tc>
          <w:tcPr>
            <w:tcW w:w="24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34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26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(58)</w:t>
            </w:r>
          </w:p>
        </w:tc>
        <w:tc>
          <w:tcPr>
            <w:tcW w:w="0" w:type="dxa"/>
            <w:vAlign w:val="bottom"/>
          </w:tcPr>
          <w:p>
            <w:pPr>
              <w:spacing w:after="0"/>
              <w:rPr>
                <w:sz w:val="1"/>
                <w:szCs w:val="1"/>
                <w:color w:val="auto"/>
              </w:rPr>
            </w:pPr>
          </w:p>
        </w:tc>
      </w:tr>
      <w:tr>
        <w:trPr>
          <w:trHeight w:val="73"/>
        </w:trPr>
        <w:tc>
          <w:tcPr>
            <w:tcW w:w="6400" w:type="dxa"/>
            <w:vAlign w:val="bottom"/>
            <w:tcBorders>
              <w:bottom w:val="single" w:sz="8" w:color="CCEEFF"/>
            </w:tcBorders>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140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134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132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31"/>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Three Months Ended September 30, 2016</w:t>
            </w:r>
          </w:p>
        </w:tc>
        <w:tc>
          <w:tcPr>
            <w:tcW w:w="24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6400" w:type="dxa"/>
            <w:vAlign w:val="bottom"/>
          </w:tcPr>
          <w:p>
            <w:pPr>
              <w:ind w:left="40"/>
              <w:spacing w:after="0"/>
              <w:rPr>
                <w:sz w:val="20"/>
                <w:szCs w:val="20"/>
                <w:color w:val="auto"/>
              </w:rPr>
            </w:pPr>
            <w:r>
              <w:rPr>
                <w:rFonts w:ascii="Arial" w:cs="Arial" w:eastAsia="Arial" w:hAnsi="Arial"/>
                <w:sz w:val="16"/>
                <w:szCs w:val="16"/>
                <w:color w:val="auto"/>
              </w:rPr>
              <w:t>Interest rate derivatives</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400" w:type="dxa"/>
            <w:vAlign w:val="bottom"/>
          </w:tcPr>
          <w:p>
            <w:pPr>
              <w:jc w:val="right"/>
              <w:spacing w:after="0"/>
              <w:rPr>
                <w:sz w:val="20"/>
                <w:szCs w:val="20"/>
                <w:color w:val="auto"/>
              </w:rPr>
            </w:pPr>
            <w:r>
              <w:rPr>
                <w:rFonts w:ascii="Arial" w:cs="Arial" w:eastAsia="Arial" w:hAnsi="Arial"/>
                <w:sz w:val="16"/>
                <w:szCs w:val="16"/>
                <w:color w:val="auto"/>
              </w:rPr>
              <w:t>(372)</w:t>
            </w:r>
          </w:p>
        </w:tc>
        <w:tc>
          <w:tcPr>
            <w:tcW w:w="120" w:type="dxa"/>
            <w:vAlign w:val="bottom"/>
          </w:tcPr>
          <w:p>
            <w:pPr>
              <w:spacing w:after="0"/>
              <w:rPr>
                <w:sz w:val="20"/>
                <w:szCs w:val="20"/>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4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33"/>
        </w:trPr>
        <w:tc>
          <w:tcPr>
            <w:tcW w:w="64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Foreign currency exchange rate derivatives</w:t>
            </w:r>
          </w:p>
        </w:tc>
        <w:tc>
          <w:tcPr>
            <w:tcW w:w="2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6400" w:type="dxa"/>
            <w:vAlign w:val="bottom"/>
          </w:tcPr>
          <w:p>
            <w:pPr>
              <w:ind w:left="40"/>
              <w:spacing w:after="0"/>
              <w:rPr>
                <w:sz w:val="20"/>
                <w:szCs w:val="20"/>
                <w:color w:val="auto"/>
              </w:rPr>
            </w:pPr>
            <w:r>
              <w:rPr>
                <w:rFonts w:ascii="Arial" w:cs="Arial" w:eastAsia="Arial" w:hAnsi="Arial"/>
                <w:sz w:val="16"/>
                <w:szCs w:val="16"/>
                <w:color w:val="auto"/>
              </w:rPr>
              <w:t>Credit derivatives — written</w:t>
            </w:r>
          </w:p>
        </w:tc>
        <w:tc>
          <w:tcPr>
            <w:tcW w:w="240" w:type="dxa"/>
            <w:vAlign w:val="bottom"/>
          </w:tcPr>
          <w:p>
            <w:pPr>
              <w:spacing w:after="0"/>
              <w:rPr>
                <w:sz w:val="20"/>
                <w:szCs w:val="20"/>
                <w:color w:val="auto"/>
              </w:rPr>
            </w:pPr>
          </w:p>
        </w:tc>
        <w:tc>
          <w:tcPr>
            <w:tcW w:w="1400" w:type="dxa"/>
            <w:vAlign w:val="bottom"/>
          </w:tcPr>
          <w:p>
            <w:pPr>
              <w:jc w:val="right"/>
              <w:ind w:right="60"/>
              <w:spacing w:after="0"/>
              <w:rPr>
                <w:sz w:val="20"/>
                <w:szCs w:val="20"/>
                <w:color w:val="auto"/>
              </w:rPr>
            </w:pPr>
            <w:r>
              <w:rPr>
                <w:rFonts w:ascii="Arial" w:cs="Arial" w:eastAsia="Arial" w:hAnsi="Arial"/>
                <w:sz w:val="16"/>
                <w:szCs w:val="16"/>
                <w:color w:val="auto"/>
              </w:rPr>
              <w:t>9</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132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64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Equity derivatives</w:t>
            </w:r>
          </w:p>
        </w:tc>
        <w:tc>
          <w:tcPr>
            <w:tcW w:w="24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(794)</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(188)</w:t>
            </w:r>
          </w:p>
        </w:tc>
        <w:tc>
          <w:tcPr>
            <w:tcW w:w="0" w:type="dxa"/>
            <w:vAlign w:val="bottom"/>
          </w:tcPr>
          <w:p>
            <w:pPr>
              <w:spacing w:after="0"/>
              <w:rPr>
                <w:sz w:val="1"/>
                <w:szCs w:val="1"/>
                <w:color w:val="auto"/>
              </w:rPr>
            </w:pPr>
          </w:p>
        </w:tc>
      </w:tr>
      <w:tr>
        <w:trPr>
          <w:trHeight w:val="217"/>
        </w:trPr>
        <w:tc>
          <w:tcPr>
            <w:tcW w:w="6400" w:type="dxa"/>
            <w:vAlign w:val="bottom"/>
          </w:tcPr>
          <w:p>
            <w:pPr>
              <w:ind w:left="200"/>
              <w:spacing w:after="0"/>
              <w:rPr>
                <w:sz w:val="20"/>
                <w:szCs w:val="20"/>
                <w:color w:val="auto"/>
              </w:rPr>
            </w:pPr>
            <w:r>
              <w:rPr>
                <w:rFonts w:ascii="Arial" w:cs="Arial" w:eastAsia="Arial" w:hAnsi="Arial"/>
                <w:sz w:val="16"/>
                <w:szCs w:val="16"/>
                <w:color w:val="auto"/>
              </w:rPr>
              <w:t>Total</w:t>
            </w:r>
          </w:p>
        </w:tc>
        <w:tc>
          <w:tcPr>
            <w:tcW w:w="2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(1,165)</w:t>
            </w:r>
          </w:p>
        </w:tc>
        <w:tc>
          <w:tcPr>
            <w:tcW w:w="120" w:type="dxa"/>
            <w:vAlign w:val="bottom"/>
          </w:tcPr>
          <w:p>
            <w:pPr>
              <w:spacing w:after="0"/>
              <w:rPr>
                <w:sz w:val="18"/>
                <w:szCs w:val="18"/>
                <w:color w:val="auto"/>
              </w:rPr>
            </w:pPr>
          </w:p>
        </w:tc>
        <w:tc>
          <w:tcPr>
            <w:tcW w:w="24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8"/>
                <w:szCs w:val="18"/>
                <w:color w:val="auto"/>
              </w:rPr>
            </w:pPr>
          </w:p>
        </w:tc>
        <w:tc>
          <w:tcPr>
            <w:tcW w:w="26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(191)</w:t>
            </w:r>
          </w:p>
        </w:tc>
        <w:tc>
          <w:tcPr>
            <w:tcW w:w="0" w:type="dxa"/>
            <w:vAlign w:val="bottom"/>
          </w:tcPr>
          <w:p>
            <w:pPr>
              <w:spacing w:after="0"/>
              <w:rPr>
                <w:sz w:val="1"/>
                <w:szCs w:val="1"/>
                <w:color w:val="auto"/>
              </w:rPr>
            </w:pPr>
          </w:p>
        </w:tc>
      </w:tr>
      <w:tr>
        <w:trPr>
          <w:trHeight w:val="73"/>
        </w:trPr>
        <w:tc>
          <w:tcPr>
            <w:tcW w:w="6400" w:type="dxa"/>
            <w:vAlign w:val="bottom"/>
            <w:tcBorders>
              <w:bottom w:val="single" w:sz="8" w:color="CCEEFF"/>
            </w:tcBorders>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140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134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132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31"/>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Nine Months Ended September 30, 2017</w:t>
            </w:r>
          </w:p>
        </w:tc>
        <w:tc>
          <w:tcPr>
            <w:tcW w:w="24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6400" w:type="dxa"/>
            <w:vAlign w:val="bottom"/>
          </w:tcPr>
          <w:p>
            <w:pPr>
              <w:ind w:left="40"/>
              <w:spacing w:after="0"/>
              <w:rPr>
                <w:sz w:val="20"/>
                <w:szCs w:val="20"/>
                <w:color w:val="auto"/>
              </w:rPr>
            </w:pPr>
            <w:r>
              <w:rPr>
                <w:rFonts w:ascii="Arial" w:cs="Arial" w:eastAsia="Arial" w:hAnsi="Arial"/>
                <w:sz w:val="16"/>
                <w:szCs w:val="16"/>
                <w:color w:val="auto"/>
              </w:rPr>
              <w:t>Interest rate derivatives</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400" w:type="dxa"/>
            <w:vAlign w:val="bottom"/>
          </w:tcPr>
          <w:p>
            <w:pPr>
              <w:jc w:val="right"/>
              <w:spacing w:after="0"/>
              <w:rPr>
                <w:sz w:val="20"/>
                <w:szCs w:val="20"/>
                <w:color w:val="auto"/>
              </w:rPr>
            </w:pPr>
            <w:r>
              <w:rPr>
                <w:rFonts w:ascii="Arial" w:cs="Arial" w:eastAsia="Arial" w:hAnsi="Arial"/>
                <w:sz w:val="16"/>
                <w:szCs w:val="16"/>
                <w:color w:val="auto"/>
              </w:rPr>
              <w:t>(145)</w:t>
            </w:r>
          </w:p>
        </w:tc>
        <w:tc>
          <w:tcPr>
            <w:tcW w:w="120" w:type="dxa"/>
            <w:vAlign w:val="bottom"/>
          </w:tcPr>
          <w:p>
            <w:pPr>
              <w:spacing w:after="0"/>
              <w:rPr>
                <w:sz w:val="20"/>
                <w:szCs w:val="20"/>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4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320" w:type="dxa"/>
            <w:vAlign w:val="bottom"/>
          </w:tcPr>
          <w:p>
            <w:pPr>
              <w:jc w:val="right"/>
              <w:ind w:right="20"/>
              <w:spacing w:after="0"/>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33"/>
        </w:trPr>
        <w:tc>
          <w:tcPr>
            <w:tcW w:w="64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Foreign currency exchange rate derivatives</w:t>
            </w:r>
          </w:p>
        </w:tc>
        <w:tc>
          <w:tcPr>
            <w:tcW w:w="2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6400" w:type="dxa"/>
            <w:vAlign w:val="bottom"/>
          </w:tcPr>
          <w:p>
            <w:pPr>
              <w:ind w:left="40"/>
              <w:spacing w:after="0"/>
              <w:rPr>
                <w:sz w:val="20"/>
                <w:szCs w:val="20"/>
                <w:color w:val="auto"/>
              </w:rPr>
            </w:pPr>
            <w:r>
              <w:rPr>
                <w:rFonts w:ascii="Arial" w:cs="Arial" w:eastAsia="Arial" w:hAnsi="Arial"/>
                <w:sz w:val="16"/>
                <w:szCs w:val="16"/>
                <w:color w:val="auto"/>
              </w:rPr>
              <w:t>Credit derivatives — written</w:t>
            </w:r>
          </w:p>
        </w:tc>
        <w:tc>
          <w:tcPr>
            <w:tcW w:w="240" w:type="dxa"/>
            <w:vAlign w:val="bottom"/>
          </w:tcPr>
          <w:p>
            <w:pPr>
              <w:spacing w:after="0"/>
              <w:rPr>
                <w:sz w:val="20"/>
                <w:szCs w:val="20"/>
                <w:color w:val="auto"/>
              </w:rPr>
            </w:pPr>
          </w:p>
        </w:tc>
        <w:tc>
          <w:tcPr>
            <w:tcW w:w="1400" w:type="dxa"/>
            <w:vAlign w:val="bottom"/>
          </w:tcPr>
          <w:p>
            <w:pPr>
              <w:jc w:val="right"/>
              <w:ind w:right="60"/>
              <w:spacing w:after="0"/>
              <w:rPr>
                <w:sz w:val="20"/>
                <w:szCs w:val="20"/>
                <w:color w:val="auto"/>
              </w:rPr>
            </w:pPr>
            <w:r>
              <w:rPr>
                <w:rFonts w:ascii="Arial" w:cs="Arial" w:eastAsia="Arial" w:hAnsi="Arial"/>
                <w:sz w:val="16"/>
                <w:szCs w:val="16"/>
                <w:color w:val="auto"/>
              </w:rPr>
              <w:t>17</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132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64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Equity derivatives</w:t>
            </w:r>
          </w:p>
        </w:tc>
        <w:tc>
          <w:tcPr>
            <w:tcW w:w="24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(2,123)</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(341)</w:t>
            </w:r>
          </w:p>
        </w:tc>
        <w:tc>
          <w:tcPr>
            <w:tcW w:w="0" w:type="dxa"/>
            <w:vAlign w:val="bottom"/>
          </w:tcPr>
          <w:p>
            <w:pPr>
              <w:spacing w:after="0"/>
              <w:rPr>
                <w:sz w:val="1"/>
                <w:szCs w:val="1"/>
                <w:color w:val="auto"/>
              </w:rPr>
            </w:pPr>
          </w:p>
        </w:tc>
      </w:tr>
      <w:tr>
        <w:trPr>
          <w:trHeight w:val="217"/>
        </w:trPr>
        <w:tc>
          <w:tcPr>
            <w:tcW w:w="6400" w:type="dxa"/>
            <w:vAlign w:val="bottom"/>
          </w:tcPr>
          <w:p>
            <w:pPr>
              <w:ind w:left="200"/>
              <w:spacing w:after="0"/>
              <w:rPr>
                <w:sz w:val="20"/>
                <w:szCs w:val="20"/>
                <w:color w:val="auto"/>
              </w:rPr>
            </w:pPr>
            <w:r>
              <w:rPr>
                <w:rFonts w:ascii="Arial" w:cs="Arial" w:eastAsia="Arial" w:hAnsi="Arial"/>
                <w:sz w:val="16"/>
                <w:szCs w:val="16"/>
                <w:color w:val="auto"/>
              </w:rPr>
              <w:t>Total</w:t>
            </w:r>
          </w:p>
        </w:tc>
        <w:tc>
          <w:tcPr>
            <w:tcW w:w="2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(2,323)</w:t>
            </w:r>
          </w:p>
        </w:tc>
        <w:tc>
          <w:tcPr>
            <w:tcW w:w="120" w:type="dxa"/>
            <w:vAlign w:val="bottom"/>
          </w:tcPr>
          <w:p>
            <w:pPr>
              <w:spacing w:after="0"/>
              <w:rPr>
                <w:sz w:val="18"/>
                <w:szCs w:val="18"/>
                <w:color w:val="auto"/>
              </w:rPr>
            </w:pPr>
          </w:p>
        </w:tc>
        <w:tc>
          <w:tcPr>
            <w:tcW w:w="24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26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(333)</w:t>
            </w:r>
          </w:p>
        </w:tc>
        <w:tc>
          <w:tcPr>
            <w:tcW w:w="0" w:type="dxa"/>
            <w:vAlign w:val="bottom"/>
          </w:tcPr>
          <w:p>
            <w:pPr>
              <w:spacing w:after="0"/>
              <w:rPr>
                <w:sz w:val="1"/>
                <w:szCs w:val="1"/>
                <w:color w:val="auto"/>
              </w:rPr>
            </w:pPr>
          </w:p>
        </w:tc>
      </w:tr>
      <w:tr>
        <w:trPr>
          <w:trHeight w:val="73"/>
        </w:trPr>
        <w:tc>
          <w:tcPr>
            <w:tcW w:w="6400" w:type="dxa"/>
            <w:vAlign w:val="bottom"/>
            <w:tcBorders>
              <w:bottom w:val="single" w:sz="8" w:color="CCEEFF"/>
            </w:tcBorders>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140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134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132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31"/>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Nine Months Ended September 30, 2016</w:t>
            </w:r>
          </w:p>
        </w:tc>
        <w:tc>
          <w:tcPr>
            <w:tcW w:w="24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6400" w:type="dxa"/>
            <w:vAlign w:val="bottom"/>
          </w:tcPr>
          <w:p>
            <w:pPr>
              <w:ind w:left="40"/>
              <w:spacing w:after="0"/>
              <w:rPr>
                <w:sz w:val="20"/>
                <w:szCs w:val="20"/>
                <w:color w:val="auto"/>
              </w:rPr>
            </w:pPr>
            <w:r>
              <w:rPr>
                <w:rFonts w:ascii="Arial" w:cs="Arial" w:eastAsia="Arial" w:hAnsi="Arial"/>
                <w:sz w:val="16"/>
                <w:szCs w:val="16"/>
                <w:color w:val="auto"/>
              </w:rPr>
              <w:t>Interest rate derivatives</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400" w:type="dxa"/>
            <w:vAlign w:val="bottom"/>
          </w:tcPr>
          <w:p>
            <w:pPr>
              <w:jc w:val="right"/>
              <w:ind w:right="60"/>
              <w:spacing w:after="0"/>
              <w:rPr>
                <w:sz w:val="20"/>
                <w:szCs w:val="20"/>
                <w:color w:val="auto"/>
              </w:rPr>
            </w:pPr>
            <w:r>
              <w:rPr>
                <w:rFonts w:ascii="Arial" w:cs="Arial" w:eastAsia="Arial" w:hAnsi="Arial"/>
                <w:sz w:val="16"/>
                <w:szCs w:val="16"/>
                <w:color w:val="auto"/>
              </w:rPr>
              <w:t>1,044</w:t>
            </w:r>
          </w:p>
        </w:tc>
        <w:tc>
          <w:tcPr>
            <w:tcW w:w="120" w:type="dxa"/>
            <w:vAlign w:val="bottom"/>
          </w:tcPr>
          <w:p>
            <w:pPr>
              <w:spacing w:after="0"/>
              <w:rPr>
                <w:sz w:val="20"/>
                <w:szCs w:val="20"/>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4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320" w:type="dxa"/>
            <w:vAlign w:val="bottom"/>
          </w:tcPr>
          <w:p>
            <w:pPr>
              <w:jc w:val="right"/>
              <w:ind w:right="20"/>
              <w:spacing w:after="0"/>
              <w:rPr>
                <w:sz w:val="20"/>
                <w:szCs w:val="20"/>
                <w:color w:val="auto"/>
              </w:rPr>
            </w:pPr>
            <w:r>
              <w:rPr>
                <w:rFonts w:ascii="Arial" w:cs="Arial" w:eastAsia="Arial" w:hAnsi="Arial"/>
                <w:sz w:val="16"/>
                <w:szCs w:val="16"/>
                <w:color w:val="auto"/>
              </w:rPr>
              <w:t>26</w:t>
            </w:r>
          </w:p>
        </w:tc>
        <w:tc>
          <w:tcPr>
            <w:tcW w:w="0" w:type="dxa"/>
            <w:vAlign w:val="bottom"/>
          </w:tcPr>
          <w:p>
            <w:pPr>
              <w:spacing w:after="0"/>
              <w:rPr>
                <w:sz w:val="1"/>
                <w:szCs w:val="1"/>
                <w:color w:val="auto"/>
              </w:rPr>
            </w:pPr>
          </w:p>
        </w:tc>
      </w:tr>
      <w:tr>
        <w:trPr>
          <w:trHeight w:val="33"/>
        </w:trPr>
        <w:tc>
          <w:tcPr>
            <w:tcW w:w="64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Foreign currency exchange rate derivatives</w:t>
            </w:r>
          </w:p>
        </w:tc>
        <w:tc>
          <w:tcPr>
            <w:tcW w:w="2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24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6400" w:type="dxa"/>
            <w:vAlign w:val="bottom"/>
          </w:tcPr>
          <w:p>
            <w:pPr>
              <w:ind w:left="40"/>
              <w:spacing w:after="0"/>
              <w:rPr>
                <w:sz w:val="20"/>
                <w:szCs w:val="20"/>
                <w:color w:val="auto"/>
              </w:rPr>
            </w:pPr>
            <w:r>
              <w:rPr>
                <w:rFonts w:ascii="Arial" w:cs="Arial" w:eastAsia="Arial" w:hAnsi="Arial"/>
                <w:sz w:val="16"/>
                <w:szCs w:val="16"/>
                <w:color w:val="auto"/>
              </w:rPr>
              <w:t>Credit derivatives — written</w:t>
            </w:r>
          </w:p>
        </w:tc>
        <w:tc>
          <w:tcPr>
            <w:tcW w:w="240" w:type="dxa"/>
            <w:vAlign w:val="bottom"/>
          </w:tcPr>
          <w:p>
            <w:pPr>
              <w:spacing w:after="0"/>
              <w:rPr>
                <w:sz w:val="20"/>
                <w:szCs w:val="20"/>
                <w:color w:val="auto"/>
              </w:rPr>
            </w:pPr>
          </w:p>
        </w:tc>
        <w:tc>
          <w:tcPr>
            <w:tcW w:w="1400" w:type="dxa"/>
            <w:vAlign w:val="bottom"/>
          </w:tcPr>
          <w:p>
            <w:pPr>
              <w:jc w:val="right"/>
              <w:ind w:right="60"/>
              <w:spacing w:after="0"/>
              <w:rPr>
                <w:sz w:val="20"/>
                <w:szCs w:val="20"/>
                <w:color w:val="auto"/>
              </w:rPr>
            </w:pPr>
            <w:r>
              <w:rPr>
                <w:rFonts w:ascii="Arial" w:cs="Arial" w:eastAsia="Arial" w:hAnsi="Arial"/>
                <w:sz w:val="16"/>
                <w:szCs w:val="16"/>
                <w:color w:val="auto"/>
              </w:rPr>
              <w:t>8</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132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64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Equity derivatives</w:t>
            </w:r>
          </w:p>
        </w:tc>
        <w:tc>
          <w:tcPr>
            <w:tcW w:w="24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(1,145)</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(205)</w:t>
            </w:r>
          </w:p>
        </w:tc>
        <w:tc>
          <w:tcPr>
            <w:tcW w:w="0" w:type="dxa"/>
            <w:vAlign w:val="bottom"/>
          </w:tcPr>
          <w:p>
            <w:pPr>
              <w:spacing w:after="0"/>
              <w:rPr>
                <w:sz w:val="1"/>
                <w:szCs w:val="1"/>
                <w:color w:val="auto"/>
              </w:rPr>
            </w:pPr>
          </w:p>
        </w:tc>
      </w:tr>
      <w:tr>
        <w:trPr>
          <w:trHeight w:val="217"/>
        </w:trPr>
        <w:tc>
          <w:tcPr>
            <w:tcW w:w="6400" w:type="dxa"/>
            <w:vAlign w:val="bottom"/>
          </w:tcPr>
          <w:p>
            <w:pPr>
              <w:ind w:left="200"/>
              <w:spacing w:after="0"/>
              <w:rPr>
                <w:sz w:val="20"/>
                <w:szCs w:val="20"/>
                <w:color w:val="auto"/>
              </w:rPr>
            </w:pPr>
            <w:r>
              <w:rPr>
                <w:rFonts w:ascii="Arial" w:cs="Arial" w:eastAsia="Arial" w:hAnsi="Arial"/>
                <w:sz w:val="16"/>
                <w:szCs w:val="16"/>
                <w:color w:val="auto"/>
              </w:rPr>
              <w:t>Total</w:t>
            </w:r>
          </w:p>
        </w:tc>
        <w:tc>
          <w:tcPr>
            <w:tcW w:w="2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(69)</w:t>
            </w:r>
          </w:p>
        </w:tc>
        <w:tc>
          <w:tcPr>
            <w:tcW w:w="120" w:type="dxa"/>
            <w:vAlign w:val="bottom"/>
          </w:tcPr>
          <w:p>
            <w:pPr>
              <w:spacing w:after="0"/>
              <w:rPr>
                <w:sz w:val="18"/>
                <w:szCs w:val="18"/>
                <w:color w:val="auto"/>
              </w:rPr>
            </w:pPr>
          </w:p>
        </w:tc>
        <w:tc>
          <w:tcPr>
            <w:tcW w:w="24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w:t>
            </w:r>
          </w:p>
        </w:tc>
        <w:tc>
          <w:tcPr>
            <w:tcW w:w="100" w:type="dxa"/>
            <w:vAlign w:val="bottom"/>
          </w:tcPr>
          <w:p>
            <w:pPr>
              <w:spacing w:after="0"/>
              <w:rPr>
                <w:sz w:val="18"/>
                <w:szCs w:val="18"/>
                <w:color w:val="auto"/>
              </w:rPr>
            </w:pPr>
          </w:p>
        </w:tc>
        <w:tc>
          <w:tcPr>
            <w:tcW w:w="26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(179)</w:t>
            </w:r>
          </w:p>
        </w:tc>
        <w:tc>
          <w:tcPr>
            <w:tcW w:w="0" w:type="dxa"/>
            <w:vAlign w:val="bottom"/>
          </w:tcPr>
          <w:p>
            <w:pPr>
              <w:spacing w:after="0"/>
              <w:rPr>
                <w:sz w:val="1"/>
                <w:szCs w:val="1"/>
                <w:color w:val="auto"/>
              </w:rPr>
            </w:pPr>
          </w:p>
        </w:tc>
      </w:tr>
      <w:tr>
        <w:trPr>
          <w:trHeight w:val="33"/>
        </w:trPr>
        <w:tc>
          <w:tcPr>
            <w:tcW w:w="6400" w:type="dxa"/>
            <w:vAlign w:val="bottom"/>
            <w:vMerge w:val="restart"/>
          </w:tcPr>
          <w:p>
            <w:pPr>
              <w:spacing w:after="0"/>
              <w:rPr>
                <w:sz w:val="20"/>
                <w:szCs w:val="20"/>
                <w:color w:val="auto"/>
              </w:rPr>
            </w:pPr>
            <w:r>
              <w:rPr>
                <w:rFonts w:ascii="Arial" w:cs="Arial" w:eastAsia="Arial" w:hAnsi="Arial"/>
                <w:sz w:val="14"/>
                <w:szCs w:val="14"/>
                <w:color w:val="auto"/>
              </w:rPr>
              <w:t>__________________</w:t>
            </w:r>
          </w:p>
        </w:tc>
        <w:tc>
          <w:tcPr>
            <w:tcW w:w="2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640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92" w:lineRule="exact"/>
        <w:rPr>
          <w:sz w:val="20"/>
          <w:szCs w:val="20"/>
          <w:color w:val="auto"/>
        </w:rPr>
      </w:pPr>
    </w:p>
    <w:p>
      <w:pPr>
        <w:ind w:left="500" w:hanging="492"/>
        <w:spacing w:after="0"/>
        <w:tabs>
          <w:tab w:leader="none" w:pos="5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Changes in estimated fair value related to economic hedges of equity method investments in joint ventures.</w:t>
      </w:r>
    </w:p>
    <w:p>
      <w:pPr>
        <w:spacing w:after="0" w:line="117" w:lineRule="exact"/>
        <w:rPr>
          <w:rFonts w:ascii="Arial" w:cs="Arial" w:eastAsia="Arial" w:hAnsi="Arial"/>
          <w:sz w:val="18"/>
          <w:szCs w:val="18"/>
          <w:color w:val="auto"/>
        </w:rPr>
      </w:pPr>
    </w:p>
    <w:p>
      <w:pPr>
        <w:ind w:left="500" w:hanging="492"/>
        <w:spacing w:after="0"/>
        <w:tabs>
          <w:tab w:leader="none" w:pos="5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Changes in estimated fair value related to economic hedges of variable annuity guarantees included in future policy benefits.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Hedges</w:t>
      </w:r>
    </w:p>
    <w:p>
      <w:pPr>
        <w:spacing w:after="0" w:line="117"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The Company designates and accounts for interest rate swaps to convert fixed rate assets and liabilities to floating rate assets and liabilities as fair value hedges when they have met the requirements of fair value hedging.</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234" w:right="239" w:bottom="1440" w:gutter="0" w:footer="0" w:header="0"/>
        </w:sectPr>
      </w:pPr>
    </w:p>
    <w:bookmarkStart w:id="38" w:name="page39"/>
    <w:bookmarkEnd w:id="38"/>
    <w:p>
      <w:pPr>
        <w:ind w:left="340"/>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109" w:lineRule="exact"/>
        <w:rPr>
          <w:sz w:val="20"/>
          <w:szCs w:val="20"/>
          <w:color w:val="auto"/>
        </w:rPr>
      </w:pPr>
    </w:p>
    <w:p>
      <w:pPr>
        <w:ind w:left="4840"/>
        <w:spacing w:after="0"/>
        <w:rPr>
          <w:sz w:val="20"/>
          <w:szCs w:val="20"/>
          <w:color w:val="auto"/>
        </w:rPr>
      </w:pPr>
      <w:r>
        <w:rPr>
          <w:rFonts w:ascii="Arial" w:cs="Arial" w:eastAsia="Arial" w:hAnsi="Arial"/>
          <w:sz w:val="18"/>
          <w:szCs w:val="18"/>
          <w:b w:val="1"/>
          <w:bCs w:val="1"/>
          <w:color w:val="auto"/>
        </w:rPr>
        <w:t>Brighthouse Financial, Inc.</w:t>
      </w:r>
    </w:p>
    <w:p>
      <w:pPr>
        <w:spacing w:after="0" w:line="117" w:lineRule="exact"/>
        <w:rPr>
          <w:sz w:val="20"/>
          <w:szCs w:val="20"/>
          <w:color w:val="auto"/>
        </w:rPr>
      </w:pPr>
    </w:p>
    <w:p>
      <w:pPr>
        <w:ind w:left="1640"/>
        <w:spacing w:after="0"/>
        <w:rPr>
          <w:sz w:val="20"/>
          <w:szCs w:val="20"/>
          <w:color w:val="auto"/>
        </w:rPr>
      </w:pPr>
      <w:r>
        <w:rPr>
          <w:rFonts w:ascii="Arial" w:cs="Arial" w:eastAsia="Arial" w:hAnsi="Arial"/>
          <w:sz w:val="18"/>
          <w:szCs w:val="18"/>
          <w:b w:val="1"/>
          <w:bCs w:val="1"/>
          <w:color w:val="auto"/>
        </w:rPr>
        <w:t>Notes to the Interim Condensed Consolidated and Combined Financial Statements (Unaudited) — (continued)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Derivatives (continued)</w:t>
      </w:r>
    </w:p>
    <w:p>
      <w:pPr>
        <w:spacing w:after="0" w:line="364"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Company recognizes gains and losses on derivatives and the related hedged items in fair value hedges within net derivative gains (losses). The following table presents the amount of such net derivative gains (losses):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tcPr>
          <w:p>
            <w:pPr>
              <w:jc w:val="center"/>
              <w:ind w:left="211"/>
              <w:spacing w:after="0"/>
              <w:rPr>
                <w:sz w:val="20"/>
                <w:szCs w:val="20"/>
                <w:color w:val="auto"/>
              </w:rPr>
            </w:pPr>
            <w:r>
              <w:rPr>
                <w:rFonts w:ascii="Arial" w:cs="Arial" w:eastAsia="Arial" w:hAnsi="Arial"/>
                <w:sz w:val="13"/>
                <w:szCs w:val="13"/>
                <w:b w:val="1"/>
                <w:bCs w:val="1"/>
                <w:color w:val="auto"/>
                <w:w w:val="89"/>
              </w:rPr>
              <w:t>Net Derivative</w:t>
            </w: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6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89"/>
              </w:rPr>
              <w:t>Net Derivative</w:t>
            </w:r>
          </w:p>
        </w:tc>
        <w:tc>
          <w:tcPr>
            <w:tcW w:w="200" w:type="dxa"/>
            <w:vAlign w:val="bottom"/>
          </w:tcPr>
          <w:p>
            <w:pPr>
              <w:spacing w:after="0"/>
              <w:rPr>
                <w:sz w:val="13"/>
                <w:szCs w:val="13"/>
                <w:color w:val="auto"/>
              </w:rPr>
            </w:pPr>
          </w:p>
        </w:tc>
        <w:tc>
          <w:tcPr>
            <w:tcW w:w="1160" w:type="dxa"/>
            <w:vAlign w:val="bottom"/>
          </w:tcPr>
          <w:p>
            <w:pPr>
              <w:jc w:val="center"/>
              <w:ind w:right="130"/>
              <w:spacing w:after="0"/>
              <w:rPr>
                <w:sz w:val="20"/>
                <w:szCs w:val="20"/>
                <w:color w:val="auto"/>
              </w:rPr>
            </w:pPr>
            <w:r>
              <w:rPr>
                <w:rFonts w:ascii="Arial" w:cs="Arial" w:eastAsia="Arial" w:hAnsi="Arial"/>
                <w:sz w:val="13"/>
                <w:szCs w:val="13"/>
                <w:b w:val="1"/>
                <w:bCs w:val="1"/>
                <w:color w:val="auto"/>
                <w:w w:val="85"/>
              </w:rPr>
              <w:t>Ineffectiveness</w:t>
            </w:r>
          </w:p>
        </w:tc>
        <w:tc>
          <w:tcPr>
            <w:tcW w:w="0" w:type="dxa"/>
            <w:vAlign w:val="bottom"/>
          </w:tcPr>
          <w:p>
            <w:pPr>
              <w:spacing w:after="0"/>
              <w:rPr>
                <w:sz w:val="1"/>
                <w:szCs w:val="1"/>
                <w:color w:val="auto"/>
              </w:rPr>
            </w:pPr>
          </w:p>
        </w:tc>
      </w:tr>
      <w:tr>
        <w:trPr>
          <w:trHeight w:val="135"/>
        </w:trPr>
        <w:tc>
          <w:tcPr>
            <w:tcW w:w="2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jc w:val="center"/>
              <w:ind w:left="211"/>
              <w:spacing w:after="0" w:line="135" w:lineRule="exact"/>
              <w:rPr>
                <w:sz w:val="20"/>
                <w:szCs w:val="20"/>
                <w:color w:val="auto"/>
              </w:rPr>
            </w:pPr>
            <w:r>
              <w:rPr>
                <w:rFonts w:ascii="Arial" w:cs="Arial" w:eastAsia="Arial" w:hAnsi="Arial"/>
                <w:sz w:val="13"/>
                <w:szCs w:val="13"/>
                <w:b w:val="1"/>
                <w:bCs w:val="1"/>
                <w:color w:val="auto"/>
                <w:w w:val="83"/>
              </w:rPr>
              <w:t>Gains (Losses)</w:t>
            </w: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60" w:type="dxa"/>
            <w:vAlign w:val="bottom"/>
            <w:gridSpan w:val="2"/>
          </w:tcPr>
          <w:p>
            <w:pPr>
              <w:jc w:val="center"/>
              <w:ind w:right="280"/>
              <w:spacing w:after="0" w:line="135" w:lineRule="exact"/>
              <w:rPr>
                <w:sz w:val="20"/>
                <w:szCs w:val="20"/>
                <w:color w:val="auto"/>
              </w:rPr>
            </w:pPr>
            <w:r>
              <w:rPr>
                <w:rFonts w:ascii="Arial" w:cs="Arial" w:eastAsia="Arial" w:hAnsi="Arial"/>
                <w:sz w:val="13"/>
                <w:szCs w:val="13"/>
                <w:b w:val="1"/>
                <w:bCs w:val="1"/>
                <w:color w:val="auto"/>
                <w:w w:val="83"/>
              </w:rPr>
              <w:t>Gains (Losses)</w:t>
            </w:r>
          </w:p>
        </w:tc>
        <w:tc>
          <w:tcPr>
            <w:tcW w:w="200" w:type="dxa"/>
            <w:vAlign w:val="bottom"/>
          </w:tcPr>
          <w:p>
            <w:pPr>
              <w:spacing w:after="0"/>
              <w:rPr>
                <w:sz w:val="11"/>
                <w:szCs w:val="11"/>
                <w:color w:val="auto"/>
              </w:rPr>
            </w:pPr>
          </w:p>
        </w:tc>
        <w:tc>
          <w:tcPr>
            <w:tcW w:w="1160" w:type="dxa"/>
            <w:vAlign w:val="bottom"/>
          </w:tcPr>
          <w:p>
            <w:pPr>
              <w:jc w:val="center"/>
              <w:ind w:right="130"/>
              <w:spacing w:after="0" w:line="135" w:lineRule="exact"/>
              <w:rPr>
                <w:sz w:val="20"/>
                <w:szCs w:val="20"/>
                <w:color w:val="auto"/>
              </w:rPr>
            </w:pPr>
            <w:r>
              <w:rPr>
                <w:rFonts w:ascii="Arial" w:cs="Arial" w:eastAsia="Arial" w:hAnsi="Arial"/>
                <w:sz w:val="13"/>
                <w:szCs w:val="13"/>
                <w:b w:val="1"/>
                <w:bCs w:val="1"/>
                <w:color w:val="auto"/>
                <w:w w:val="86"/>
              </w:rPr>
              <w:t>Recognized in</w:t>
            </w:r>
          </w:p>
        </w:tc>
        <w:tc>
          <w:tcPr>
            <w:tcW w:w="0" w:type="dxa"/>
            <w:vAlign w:val="bottom"/>
          </w:tcPr>
          <w:p>
            <w:pPr>
              <w:spacing w:after="0"/>
              <w:rPr>
                <w:sz w:val="1"/>
                <w:szCs w:val="1"/>
                <w:color w:val="auto"/>
              </w:rPr>
            </w:pPr>
          </w:p>
        </w:tc>
      </w:tr>
      <w:tr>
        <w:trPr>
          <w:trHeight w:val="135"/>
        </w:trPr>
        <w:tc>
          <w:tcPr>
            <w:tcW w:w="3000" w:type="dxa"/>
            <w:vAlign w:val="bottom"/>
            <w:gridSpan w:val="2"/>
          </w:tcPr>
          <w:p>
            <w:pPr>
              <w:ind w:left="40"/>
              <w:spacing w:after="0" w:line="135" w:lineRule="exact"/>
              <w:rPr>
                <w:sz w:val="20"/>
                <w:szCs w:val="20"/>
                <w:color w:val="auto"/>
              </w:rPr>
            </w:pPr>
            <w:r>
              <w:rPr>
                <w:rFonts w:ascii="Arial" w:cs="Arial" w:eastAsia="Arial" w:hAnsi="Arial"/>
                <w:sz w:val="13"/>
                <w:szCs w:val="13"/>
                <w:b w:val="1"/>
                <w:bCs w:val="1"/>
                <w:color w:val="auto"/>
              </w:rPr>
              <w:t>Derivatives in Fair Value</w:t>
            </w:r>
          </w:p>
        </w:tc>
        <w:tc>
          <w:tcPr>
            <w:tcW w:w="4120" w:type="dxa"/>
            <w:vAlign w:val="bottom"/>
            <w:gridSpan w:val="2"/>
          </w:tcPr>
          <w:p>
            <w:pPr>
              <w:ind w:left="1260"/>
              <w:spacing w:after="0" w:line="135" w:lineRule="exact"/>
              <w:rPr>
                <w:sz w:val="20"/>
                <w:szCs w:val="20"/>
                <w:color w:val="auto"/>
              </w:rPr>
            </w:pPr>
            <w:r>
              <w:rPr>
                <w:rFonts w:ascii="Arial" w:cs="Arial" w:eastAsia="Arial" w:hAnsi="Arial"/>
                <w:sz w:val="13"/>
                <w:szCs w:val="13"/>
                <w:b w:val="1"/>
                <w:bCs w:val="1"/>
                <w:color w:val="auto"/>
              </w:rPr>
              <w:t>Hedged Items in Fair Value</w:t>
            </w:r>
          </w:p>
        </w:tc>
        <w:tc>
          <w:tcPr>
            <w:tcW w:w="1100" w:type="dxa"/>
            <w:vAlign w:val="bottom"/>
          </w:tcPr>
          <w:p>
            <w:pPr>
              <w:jc w:val="center"/>
              <w:ind w:left="211"/>
              <w:spacing w:after="0" w:line="135" w:lineRule="exact"/>
              <w:rPr>
                <w:sz w:val="20"/>
                <w:szCs w:val="20"/>
                <w:color w:val="auto"/>
              </w:rPr>
            </w:pPr>
            <w:r>
              <w:rPr>
                <w:rFonts w:ascii="Arial" w:cs="Arial" w:eastAsia="Arial" w:hAnsi="Arial"/>
                <w:sz w:val="13"/>
                <w:szCs w:val="13"/>
                <w:b w:val="1"/>
                <w:bCs w:val="1"/>
                <w:color w:val="auto"/>
                <w:w w:val="84"/>
              </w:rPr>
              <w:t>Recognized</w:t>
            </w: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60" w:type="dxa"/>
            <w:vAlign w:val="bottom"/>
            <w:gridSpan w:val="2"/>
          </w:tcPr>
          <w:p>
            <w:pPr>
              <w:jc w:val="center"/>
              <w:ind w:right="280"/>
              <w:spacing w:after="0" w:line="135" w:lineRule="exact"/>
              <w:rPr>
                <w:sz w:val="20"/>
                <w:szCs w:val="20"/>
                <w:color w:val="auto"/>
              </w:rPr>
            </w:pPr>
            <w:r>
              <w:rPr>
                <w:rFonts w:ascii="Arial" w:cs="Arial" w:eastAsia="Arial" w:hAnsi="Arial"/>
                <w:sz w:val="13"/>
                <w:szCs w:val="13"/>
                <w:b w:val="1"/>
                <w:bCs w:val="1"/>
                <w:color w:val="auto"/>
                <w:w w:val="87"/>
              </w:rPr>
              <w:t>Recognized for</w:t>
            </w:r>
          </w:p>
        </w:tc>
        <w:tc>
          <w:tcPr>
            <w:tcW w:w="200" w:type="dxa"/>
            <w:vAlign w:val="bottom"/>
          </w:tcPr>
          <w:p>
            <w:pPr>
              <w:spacing w:after="0"/>
              <w:rPr>
                <w:sz w:val="11"/>
                <w:szCs w:val="11"/>
                <w:color w:val="auto"/>
              </w:rPr>
            </w:pPr>
          </w:p>
        </w:tc>
        <w:tc>
          <w:tcPr>
            <w:tcW w:w="1160" w:type="dxa"/>
            <w:vAlign w:val="bottom"/>
          </w:tcPr>
          <w:p>
            <w:pPr>
              <w:jc w:val="center"/>
              <w:ind w:right="110"/>
              <w:spacing w:after="0" w:line="135" w:lineRule="exact"/>
              <w:rPr>
                <w:sz w:val="20"/>
                <w:szCs w:val="20"/>
                <w:color w:val="auto"/>
              </w:rPr>
            </w:pPr>
            <w:r>
              <w:rPr>
                <w:rFonts w:ascii="Arial" w:cs="Arial" w:eastAsia="Arial" w:hAnsi="Arial"/>
                <w:sz w:val="13"/>
                <w:szCs w:val="13"/>
                <w:b w:val="1"/>
                <w:bCs w:val="1"/>
                <w:color w:val="auto"/>
                <w:w w:val="89"/>
              </w:rPr>
              <w:t>Net Derivative</w:t>
            </w:r>
          </w:p>
        </w:tc>
        <w:tc>
          <w:tcPr>
            <w:tcW w:w="0" w:type="dxa"/>
            <w:vAlign w:val="bottom"/>
          </w:tcPr>
          <w:p>
            <w:pPr>
              <w:spacing w:after="0"/>
              <w:rPr>
                <w:sz w:val="1"/>
                <w:szCs w:val="1"/>
                <w:color w:val="auto"/>
              </w:rPr>
            </w:pPr>
          </w:p>
        </w:tc>
      </w:tr>
      <w:tr>
        <w:trPr>
          <w:trHeight w:val="174"/>
        </w:trPr>
        <w:tc>
          <w:tcPr>
            <w:tcW w:w="3000" w:type="dxa"/>
            <w:vAlign w:val="bottom"/>
            <w:gridSpan w:val="2"/>
          </w:tcPr>
          <w:p>
            <w:pPr>
              <w:ind w:left="40"/>
              <w:spacing w:after="0"/>
              <w:rPr>
                <w:sz w:val="20"/>
                <w:szCs w:val="20"/>
                <w:color w:val="auto"/>
              </w:rPr>
            </w:pPr>
            <w:r>
              <w:rPr>
                <w:rFonts w:ascii="Arial" w:cs="Arial" w:eastAsia="Arial" w:hAnsi="Arial"/>
                <w:sz w:val="13"/>
                <w:szCs w:val="13"/>
                <w:b w:val="1"/>
                <w:bCs w:val="1"/>
                <w:color w:val="auto"/>
              </w:rPr>
              <w:t>Hedging Relationships</w:t>
            </w:r>
          </w:p>
        </w:tc>
        <w:tc>
          <w:tcPr>
            <w:tcW w:w="4120" w:type="dxa"/>
            <w:vAlign w:val="bottom"/>
            <w:gridSpan w:val="2"/>
          </w:tcPr>
          <w:p>
            <w:pPr>
              <w:ind w:left="1380"/>
              <w:spacing w:after="0"/>
              <w:rPr>
                <w:sz w:val="20"/>
                <w:szCs w:val="20"/>
                <w:color w:val="auto"/>
              </w:rPr>
            </w:pPr>
            <w:r>
              <w:rPr>
                <w:rFonts w:ascii="Arial" w:cs="Arial" w:eastAsia="Arial" w:hAnsi="Arial"/>
                <w:sz w:val="13"/>
                <w:szCs w:val="13"/>
                <w:b w:val="1"/>
                <w:bCs w:val="1"/>
                <w:color w:val="auto"/>
              </w:rPr>
              <w:t>Hedging Relationships</w:t>
            </w:r>
          </w:p>
        </w:tc>
        <w:tc>
          <w:tcPr>
            <w:tcW w:w="1100" w:type="dxa"/>
            <w:vAlign w:val="bottom"/>
          </w:tcPr>
          <w:p>
            <w:pPr>
              <w:jc w:val="center"/>
              <w:ind w:left="191"/>
              <w:spacing w:after="0"/>
              <w:rPr>
                <w:sz w:val="20"/>
                <w:szCs w:val="20"/>
                <w:color w:val="auto"/>
              </w:rPr>
            </w:pPr>
            <w:r>
              <w:rPr>
                <w:rFonts w:ascii="Arial" w:cs="Arial" w:eastAsia="Arial" w:hAnsi="Arial"/>
                <w:sz w:val="13"/>
                <w:szCs w:val="13"/>
                <w:b w:val="1"/>
                <w:bCs w:val="1"/>
                <w:color w:val="auto"/>
                <w:w w:val="88"/>
              </w:rPr>
              <w:t>for Derivatives</w:t>
            </w: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6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86"/>
              </w:rPr>
              <w:t>Hedged Items</w:t>
            </w:r>
          </w:p>
        </w:tc>
        <w:tc>
          <w:tcPr>
            <w:tcW w:w="200" w:type="dxa"/>
            <w:vAlign w:val="bottom"/>
          </w:tcPr>
          <w:p>
            <w:pPr>
              <w:spacing w:after="0"/>
              <w:rPr>
                <w:sz w:val="15"/>
                <w:szCs w:val="15"/>
                <w:color w:val="auto"/>
              </w:rPr>
            </w:pPr>
          </w:p>
        </w:tc>
        <w:tc>
          <w:tcPr>
            <w:tcW w:w="1160" w:type="dxa"/>
            <w:vAlign w:val="bottom"/>
          </w:tcPr>
          <w:p>
            <w:pPr>
              <w:jc w:val="center"/>
              <w:ind w:right="110"/>
              <w:spacing w:after="0"/>
              <w:rPr>
                <w:sz w:val="20"/>
                <w:szCs w:val="20"/>
                <w:color w:val="auto"/>
              </w:rPr>
            </w:pPr>
            <w:r>
              <w:rPr>
                <w:rFonts w:ascii="Arial" w:cs="Arial" w:eastAsia="Arial" w:hAnsi="Arial"/>
                <w:sz w:val="13"/>
                <w:szCs w:val="13"/>
                <w:b w:val="1"/>
                <w:bCs w:val="1"/>
                <w:color w:val="auto"/>
                <w:w w:val="83"/>
              </w:rPr>
              <w:t>Gains (Losses)</w:t>
            </w:r>
          </w:p>
        </w:tc>
        <w:tc>
          <w:tcPr>
            <w:tcW w:w="0" w:type="dxa"/>
            <w:vAlign w:val="bottom"/>
          </w:tcPr>
          <w:p>
            <w:pPr>
              <w:spacing w:after="0"/>
              <w:rPr>
                <w:sz w:val="1"/>
                <w:szCs w:val="1"/>
                <w:color w:val="auto"/>
              </w:rPr>
            </w:pPr>
          </w:p>
        </w:tc>
      </w:tr>
      <w:tr>
        <w:trPr>
          <w:trHeight w:val="262"/>
        </w:trPr>
        <w:tc>
          <w:tcPr>
            <w:tcW w:w="288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400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100" w:type="dxa"/>
            <w:vAlign w:val="bottom"/>
            <w:tcBorders>
              <w:top w:val="single" w:sz="8" w:color="auto"/>
            </w:tcBorders>
          </w:tcPr>
          <w:p>
            <w:pPr>
              <w:spacing w:after="0"/>
              <w:rPr>
                <w:sz w:val="22"/>
                <w:szCs w:val="22"/>
                <w:color w:val="auto"/>
              </w:rPr>
            </w:pPr>
          </w:p>
        </w:tc>
        <w:tc>
          <w:tcPr>
            <w:tcW w:w="280" w:type="dxa"/>
            <w:vAlign w:val="bottom"/>
            <w:tcBorders>
              <w:top w:val="single" w:sz="8" w:color="auto"/>
            </w:tcBorders>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1260" w:type="dxa"/>
            <w:vAlign w:val="bottom"/>
            <w:tcBorders>
              <w:top w:val="single" w:sz="8" w:color="auto"/>
            </w:tcBorders>
            <w:gridSpan w:val="2"/>
          </w:tcPr>
          <w:p>
            <w:pPr>
              <w:jc w:val="center"/>
              <w:ind w:right="300"/>
              <w:spacing w:after="0"/>
              <w:rPr>
                <w:sz w:val="20"/>
                <w:szCs w:val="20"/>
                <w:color w:val="auto"/>
              </w:rPr>
            </w:pPr>
            <w:r>
              <w:rPr>
                <w:rFonts w:ascii="Arial" w:cs="Arial" w:eastAsia="Arial" w:hAnsi="Arial"/>
                <w:sz w:val="13"/>
                <w:szCs w:val="13"/>
                <w:b w:val="1"/>
                <w:bCs w:val="1"/>
                <w:color w:val="auto"/>
                <w:w w:val="93"/>
              </w:rPr>
              <w:t>(In millions)</w:t>
            </w:r>
          </w:p>
        </w:tc>
        <w:tc>
          <w:tcPr>
            <w:tcW w:w="200" w:type="dxa"/>
            <w:vAlign w:val="bottom"/>
            <w:tcBorders>
              <w:top w:val="single" w:sz="8" w:color="auto"/>
            </w:tcBorders>
          </w:tcPr>
          <w:p>
            <w:pPr>
              <w:spacing w:after="0"/>
              <w:rPr>
                <w:sz w:val="22"/>
                <w:szCs w:val="22"/>
                <w:color w:val="auto"/>
              </w:rPr>
            </w:pPr>
          </w:p>
        </w:tc>
        <w:tc>
          <w:tcPr>
            <w:tcW w:w="116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78"/>
        </w:trPr>
        <w:tc>
          <w:tcPr>
            <w:tcW w:w="3000" w:type="dxa"/>
            <w:vAlign w:val="bottom"/>
            <w:gridSpan w:val="2"/>
            <w:shd w:val="clear" w:color="auto" w:fill="CCEEFF"/>
          </w:tcPr>
          <w:p>
            <w:pPr>
              <w:ind w:left="40"/>
              <w:spacing w:after="0"/>
              <w:rPr>
                <w:sz w:val="20"/>
                <w:szCs w:val="20"/>
                <w:color w:val="auto"/>
              </w:rPr>
            </w:pPr>
            <w:r>
              <w:rPr>
                <w:rFonts w:ascii="Arial" w:cs="Arial" w:eastAsia="Arial" w:hAnsi="Arial"/>
                <w:sz w:val="14"/>
                <w:szCs w:val="14"/>
                <w:b w:val="1"/>
                <w:bCs w:val="1"/>
                <w:color w:val="auto"/>
              </w:rPr>
              <w:t>Three Months Ended September 30, 2017</w:t>
            </w:r>
          </w:p>
        </w:tc>
        <w:tc>
          <w:tcPr>
            <w:tcW w:w="40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3000" w:type="dxa"/>
            <w:vAlign w:val="bottom"/>
            <w:gridSpan w:val="2"/>
          </w:tcPr>
          <w:p>
            <w:pPr>
              <w:ind w:left="40"/>
              <w:spacing w:after="0"/>
              <w:rPr>
                <w:sz w:val="20"/>
                <w:szCs w:val="20"/>
                <w:color w:val="auto"/>
              </w:rPr>
            </w:pPr>
            <w:r>
              <w:rPr>
                <w:rFonts w:ascii="Arial" w:cs="Arial" w:eastAsia="Arial" w:hAnsi="Arial"/>
                <w:sz w:val="14"/>
                <w:szCs w:val="14"/>
                <w:color w:val="auto"/>
              </w:rPr>
              <w:t>Interest rate swaps:</w:t>
            </w:r>
          </w:p>
        </w:tc>
        <w:tc>
          <w:tcPr>
            <w:tcW w:w="4120" w:type="dxa"/>
            <w:vAlign w:val="bottom"/>
            <w:gridSpan w:val="2"/>
            <w:vMerge w:val="restart"/>
          </w:tcPr>
          <w:p>
            <w:pPr>
              <w:ind w:left="20"/>
              <w:spacing w:after="0"/>
              <w:rPr>
                <w:sz w:val="20"/>
                <w:szCs w:val="20"/>
                <w:color w:val="auto"/>
              </w:rPr>
            </w:pPr>
            <w:r>
              <w:rPr>
                <w:rFonts w:ascii="Arial" w:cs="Arial" w:eastAsia="Arial" w:hAnsi="Arial"/>
                <w:sz w:val="14"/>
                <w:szCs w:val="14"/>
                <w:color w:val="auto"/>
              </w:rPr>
              <w:t>Fixed maturity securities</w:t>
            </w:r>
          </w:p>
        </w:tc>
        <w:tc>
          <w:tcPr>
            <w:tcW w:w="1100" w:type="dxa"/>
            <w:vAlign w:val="bottom"/>
            <w:vMerge w:val="restart"/>
          </w:tcPr>
          <w:p>
            <w:pPr>
              <w:jc w:val="right"/>
              <w:ind w:right="931"/>
              <w:spacing w:after="0"/>
              <w:rPr>
                <w:sz w:val="20"/>
                <w:szCs w:val="20"/>
                <w:color w:val="auto"/>
              </w:rPr>
            </w:pPr>
            <w:r>
              <w:rPr>
                <w:rFonts w:ascii="Arial" w:cs="Arial" w:eastAsia="Arial" w:hAnsi="Arial"/>
                <w:sz w:val="14"/>
                <w:szCs w:val="14"/>
                <w:color w:val="auto"/>
              </w:rPr>
              <w:t>$</w:t>
            </w:r>
          </w:p>
        </w:tc>
        <w:tc>
          <w:tcPr>
            <w:tcW w:w="40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w w:val="99"/>
              </w:rPr>
              <w:t>—</w:t>
            </w:r>
          </w:p>
        </w:tc>
        <w:tc>
          <w:tcPr>
            <w:tcW w:w="180" w:type="dxa"/>
            <w:vAlign w:val="bottom"/>
            <w:vMerge w:val="restart"/>
          </w:tcPr>
          <w:p>
            <w:pPr>
              <w:jc w:val="right"/>
              <w:ind w:right="28"/>
              <w:spacing w:after="0"/>
              <w:rPr>
                <w:sz w:val="20"/>
                <w:szCs w:val="20"/>
                <w:color w:val="auto"/>
              </w:rPr>
            </w:pPr>
            <w:r>
              <w:rPr>
                <w:rFonts w:ascii="Arial" w:cs="Arial" w:eastAsia="Arial" w:hAnsi="Arial"/>
                <w:sz w:val="14"/>
                <w:szCs w:val="14"/>
                <w:color w:val="auto"/>
                <w:w w:val="76"/>
              </w:rPr>
              <w:t>$</w:t>
            </w:r>
          </w:p>
        </w:tc>
        <w:tc>
          <w:tcPr>
            <w:tcW w:w="126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1160" w:type="dxa"/>
            <w:vAlign w:val="bottom"/>
            <w:vMerge w:val="restart"/>
          </w:tcPr>
          <w:p>
            <w:pPr>
              <w:jc w:val="right"/>
              <w:ind w:right="3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74"/>
        </w:trPr>
        <w:tc>
          <w:tcPr>
            <w:tcW w:w="2880" w:type="dxa"/>
            <w:vAlign w:val="bottom"/>
          </w:tcPr>
          <w:p>
            <w:pPr>
              <w:spacing w:after="0"/>
              <w:rPr>
                <w:sz w:val="6"/>
                <w:szCs w:val="6"/>
                <w:color w:val="auto"/>
              </w:rPr>
            </w:pPr>
          </w:p>
        </w:tc>
        <w:tc>
          <w:tcPr>
            <w:tcW w:w="120" w:type="dxa"/>
            <w:vAlign w:val="bottom"/>
          </w:tcPr>
          <w:p>
            <w:pPr>
              <w:spacing w:after="0"/>
              <w:rPr>
                <w:sz w:val="6"/>
                <w:szCs w:val="6"/>
                <w:color w:val="auto"/>
              </w:rPr>
            </w:pPr>
          </w:p>
        </w:tc>
        <w:tc>
          <w:tcPr>
            <w:tcW w:w="4120" w:type="dxa"/>
            <w:vAlign w:val="bottom"/>
            <w:gridSpan w:val="2"/>
            <w:vMerge w:val="continue"/>
          </w:tcPr>
          <w:p>
            <w:pPr>
              <w:spacing w:after="0"/>
              <w:rPr>
                <w:sz w:val="6"/>
                <w:szCs w:val="6"/>
                <w:color w:val="auto"/>
              </w:rPr>
            </w:pPr>
          </w:p>
        </w:tc>
        <w:tc>
          <w:tcPr>
            <w:tcW w:w="1100" w:type="dxa"/>
            <w:vAlign w:val="bottom"/>
            <w:vMerge w:val="continue"/>
          </w:tcPr>
          <w:p>
            <w:pPr>
              <w:spacing w:after="0"/>
              <w:rPr>
                <w:sz w:val="6"/>
                <w:szCs w:val="6"/>
                <w:color w:val="auto"/>
              </w:rPr>
            </w:pPr>
          </w:p>
        </w:tc>
        <w:tc>
          <w:tcPr>
            <w:tcW w:w="400" w:type="dxa"/>
            <w:vAlign w:val="bottom"/>
            <w:gridSpan w:val="2"/>
            <w:vMerge w:val="continue"/>
          </w:tcPr>
          <w:p>
            <w:pPr>
              <w:spacing w:after="0"/>
              <w:rPr>
                <w:sz w:val="6"/>
                <w:szCs w:val="6"/>
                <w:color w:val="auto"/>
              </w:rPr>
            </w:pPr>
          </w:p>
        </w:tc>
        <w:tc>
          <w:tcPr>
            <w:tcW w:w="180" w:type="dxa"/>
            <w:vAlign w:val="bottom"/>
            <w:vMerge w:val="continue"/>
          </w:tcPr>
          <w:p>
            <w:pPr>
              <w:spacing w:after="0"/>
              <w:rPr>
                <w:sz w:val="6"/>
                <w:szCs w:val="6"/>
                <w:color w:val="auto"/>
              </w:rPr>
            </w:pPr>
          </w:p>
        </w:tc>
        <w:tc>
          <w:tcPr>
            <w:tcW w:w="1260" w:type="dxa"/>
            <w:vAlign w:val="bottom"/>
            <w:gridSpan w:val="2"/>
            <w:vMerge w:val="continue"/>
          </w:tcPr>
          <w:p>
            <w:pPr>
              <w:spacing w:after="0"/>
              <w:rPr>
                <w:sz w:val="6"/>
                <w:szCs w:val="6"/>
                <w:color w:val="auto"/>
              </w:rPr>
            </w:pPr>
          </w:p>
        </w:tc>
        <w:tc>
          <w:tcPr>
            <w:tcW w:w="200" w:type="dxa"/>
            <w:vAlign w:val="bottom"/>
            <w:vMerge w:val="continue"/>
          </w:tcPr>
          <w:p>
            <w:pPr>
              <w:spacing w:after="0"/>
              <w:rPr>
                <w:sz w:val="6"/>
                <w:szCs w:val="6"/>
                <w:color w:val="auto"/>
              </w:rPr>
            </w:pPr>
          </w:p>
        </w:tc>
        <w:tc>
          <w:tcPr>
            <w:tcW w:w="11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76"/>
        </w:trPr>
        <w:tc>
          <w:tcPr>
            <w:tcW w:w="28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1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Policyholder liabilities (1)</w:t>
            </w:r>
          </w:p>
        </w:tc>
        <w:tc>
          <w:tcPr>
            <w:tcW w:w="1100" w:type="dxa"/>
            <w:vAlign w:val="bottom"/>
            <w:tcBorders>
              <w:bottom w:val="single" w:sz="8" w:color="auto"/>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w:t>
            </w:r>
          </w:p>
        </w:tc>
        <w:tc>
          <w:tcPr>
            <w:tcW w:w="120" w:type="dxa"/>
            <w:vAlign w:val="bottom"/>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spacing w:after="0"/>
              <w:rPr>
                <w:sz w:val="24"/>
                <w:szCs w:val="24"/>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spacing w:after="0"/>
              <w:rPr>
                <w:sz w:val="24"/>
                <w:szCs w:val="24"/>
                <w:color w:val="auto"/>
              </w:rPr>
            </w:pPr>
          </w:p>
        </w:tc>
        <w:tc>
          <w:tcPr>
            <w:tcW w:w="11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1"/>
        </w:trPr>
        <w:tc>
          <w:tcPr>
            <w:tcW w:w="3000" w:type="dxa"/>
            <w:vAlign w:val="bottom"/>
            <w:gridSpan w:val="2"/>
          </w:tcPr>
          <w:p>
            <w:pPr>
              <w:ind w:left="200"/>
              <w:spacing w:after="0"/>
              <w:rPr>
                <w:sz w:val="20"/>
                <w:szCs w:val="20"/>
                <w:color w:val="auto"/>
              </w:rPr>
            </w:pPr>
            <w:r>
              <w:rPr>
                <w:rFonts w:ascii="Arial" w:cs="Arial" w:eastAsia="Arial" w:hAnsi="Arial"/>
                <w:sz w:val="14"/>
                <w:szCs w:val="14"/>
                <w:color w:val="auto"/>
              </w:rPr>
              <w:t>Total</w:t>
            </w:r>
          </w:p>
        </w:tc>
        <w:tc>
          <w:tcPr>
            <w:tcW w:w="4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vMerge w:val="restart"/>
          </w:tcPr>
          <w:p>
            <w:pPr>
              <w:jc w:val="right"/>
              <w:ind w:right="931"/>
              <w:spacing w:after="0"/>
              <w:rPr>
                <w:sz w:val="20"/>
                <w:szCs w:val="20"/>
                <w:color w:val="auto"/>
              </w:rPr>
            </w:pPr>
            <w:r>
              <w:rPr>
                <w:rFonts w:ascii="Arial" w:cs="Arial" w:eastAsia="Arial" w:hAnsi="Arial"/>
                <w:sz w:val="14"/>
                <w:szCs w:val="14"/>
                <w:color w:val="auto"/>
              </w:rPr>
              <w:t>$</w:t>
            </w:r>
          </w:p>
        </w:tc>
        <w:tc>
          <w:tcPr>
            <w:tcW w:w="280" w:type="dxa"/>
            <w:vAlign w:val="bottom"/>
            <w:vMerge w:val="restart"/>
          </w:tcPr>
          <w:p>
            <w:pPr>
              <w:jc w:val="right"/>
              <w:ind w:right="48"/>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14"/>
                <w:szCs w:val="14"/>
                <w:color w:val="auto"/>
              </w:rPr>
            </w:pPr>
          </w:p>
        </w:tc>
        <w:tc>
          <w:tcPr>
            <w:tcW w:w="180" w:type="dxa"/>
            <w:vAlign w:val="bottom"/>
            <w:vMerge w:val="restart"/>
          </w:tcPr>
          <w:p>
            <w:pPr>
              <w:jc w:val="right"/>
              <w:ind w:right="28"/>
              <w:spacing w:after="0"/>
              <w:rPr>
                <w:sz w:val="20"/>
                <w:szCs w:val="20"/>
                <w:color w:val="auto"/>
              </w:rPr>
            </w:pPr>
            <w:r>
              <w:rPr>
                <w:rFonts w:ascii="Arial" w:cs="Arial" w:eastAsia="Arial" w:hAnsi="Arial"/>
                <w:sz w:val="14"/>
                <w:szCs w:val="14"/>
                <w:color w:val="auto"/>
                <w:w w:val="76"/>
              </w:rPr>
              <w:t>$</w:t>
            </w:r>
          </w:p>
        </w:tc>
        <w:tc>
          <w:tcPr>
            <w:tcW w:w="1160" w:type="dxa"/>
            <w:vAlign w:val="bottom"/>
            <w:vMerge w:val="restart"/>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4"/>
                <w:szCs w:val="14"/>
                <w:color w:val="auto"/>
              </w:rPr>
            </w:pPr>
          </w:p>
        </w:tc>
        <w:tc>
          <w:tcPr>
            <w:tcW w:w="20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1160" w:type="dxa"/>
            <w:vAlign w:val="bottom"/>
            <w:vMerge w:val="restart"/>
          </w:tcPr>
          <w:p>
            <w:pPr>
              <w:jc w:val="right"/>
              <w:ind w:right="3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00"/>
        </w:trPr>
        <w:tc>
          <w:tcPr>
            <w:tcW w:w="2880" w:type="dxa"/>
            <w:vAlign w:val="bottom"/>
            <w:tcBorders>
              <w:bottom w:val="single" w:sz="8" w:color="CCEEFF"/>
            </w:tcBorders>
          </w:tcPr>
          <w:p>
            <w:pPr>
              <w:spacing w:after="0"/>
              <w:rPr>
                <w:sz w:val="8"/>
                <w:szCs w:val="8"/>
                <w:color w:val="auto"/>
              </w:rPr>
            </w:pPr>
          </w:p>
        </w:tc>
        <w:tc>
          <w:tcPr>
            <w:tcW w:w="120" w:type="dxa"/>
            <w:vAlign w:val="bottom"/>
            <w:tcBorders>
              <w:bottom w:val="single" w:sz="8" w:color="CCEEFF"/>
            </w:tcBorders>
          </w:tcPr>
          <w:p>
            <w:pPr>
              <w:spacing w:after="0"/>
              <w:rPr>
                <w:sz w:val="8"/>
                <w:szCs w:val="8"/>
                <w:color w:val="auto"/>
              </w:rPr>
            </w:pPr>
          </w:p>
        </w:tc>
        <w:tc>
          <w:tcPr>
            <w:tcW w:w="4000" w:type="dxa"/>
            <w:vAlign w:val="bottom"/>
            <w:tcBorders>
              <w:bottom w:val="single" w:sz="8" w:color="CCEEFF"/>
            </w:tcBorders>
          </w:tcPr>
          <w:p>
            <w:pPr>
              <w:spacing w:after="0"/>
              <w:rPr>
                <w:sz w:val="8"/>
                <w:szCs w:val="8"/>
                <w:color w:val="auto"/>
              </w:rPr>
            </w:pPr>
          </w:p>
        </w:tc>
        <w:tc>
          <w:tcPr>
            <w:tcW w:w="120" w:type="dxa"/>
            <w:vAlign w:val="bottom"/>
            <w:tcBorders>
              <w:bottom w:val="single" w:sz="8" w:color="CCEEFF"/>
            </w:tcBorders>
          </w:tcPr>
          <w:p>
            <w:pPr>
              <w:spacing w:after="0"/>
              <w:rPr>
                <w:sz w:val="8"/>
                <w:szCs w:val="8"/>
                <w:color w:val="auto"/>
              </w:rPr>
            </w:pPr>
          </w:p>
        </w:tc>
        <w:tc>
          <w:tcPr>
            <w:tcW w:w="1100" w:type="dxa"/>
            <w:vAlign w:val="bottom"/>
            <w:tcBorders>
              <w:bottom w:val="single" w:sz="8" w:color="auto"/>
            </w:tcBorders>
            <w:vMerge w:val="continue"/>
          </w:tcPr>
          <w:p>
            <w:pPr>
              <w:spacing w:after="0"/>
              <w:rPr>
                <w:sz w:val="8"/>
                <w:szCs w:val="8"/>
                <w:color w:val="auto"/>
              </w:rPr>
            </w:pPr>
          </w:p>
        </w:tc>
        <w:tc>
          <w:tcPr>
            <w:tcW w:w="280" w:type="dxa"/>
            <w:vAlign w:val="bottom"/>
            <w:tcBorders>
              <w:bottom w:val="single" w:sz="8" w:color="auto"/>
            </w:tcBorders>
            <w:vMerge w:val="continue"/>
          </w:tcPr>
          <w:p>
            <w:pPr>
              <w:spacing w:after="0"/>
              <w:rPr>
                <w:sz w:val="8"/>
                <w:szCs w:val="8"/>
                <w:color w:val="auto"/>
              </w:rPr>
            </w:pPr>
          </w:p>
        </w:tc>
        <w:tc>
          <w:tcPr>
            <w:tcW w:w="120" w:type="dxa"/>
            <w:vAlign w:val="bottom"/>
            <w:tcBorders>
              <w:bottom w:val="single" w:sz="8" w:color="CCEEFF"/>
            </w:tcBorders>
          </w:tcPr>
          <w:p>
            <w:pPr>
              <w:spacing w:after="0"/>
              <w:rPr>
                <w:sz w:val="8"/>
                <w:szCs w:val="8"/>
                <w:color w:val="auto"/>
              </w:rPr>
            </w:pPr>
          </w:p>
        </w:tc>
        <w:tc>
          <w:tcPr>
            <w:tcW w:w="180" w:type="dxa"/>
            <w:vAlign w:val="bottom"/>
            <w:tcBorders>
              <w:bottom w:val="single" w:sz="8" w:color="auto"/>
            </w:tcBorders>
            <w:vMerge w:val="continue"/>
          </w:tcPr>
          <w:p>
            <w:pPr>
              <w:spacing w:after="0"/>
              <w:rPr>
                <w:sz w:val="8"/>
                <w:szCs w:val="8"/>
                <w:color w:val="auto"/>
              </w:rPr>
            </w:pPr>
          </w:p>
        </w:tc>
        <w:tc>
          <w:tcPr>
            <w:tcW w:w="1160" w:type="dxa"/>
            <w:vAlign w:val="bottom"/>
            <w:tcBorders>
              <w:bottom w:val="single" w:sz="8" w:color="auto"/>
            </w:tcBorders>
            <w:vMerge w:val="continue"/>
          </w:tcPr>
          <w:p>
            <w:pPr>
              <w:spacing w:after="0"/>
              <w:rPr>
                <w:sz w:val="8"/>
                <w:szCs w:val="8"/>
                <w:color w:val="auto"/>
              </w:rPr>
            </w:pPr>
          </w:p>
        </w:tc>
        <w:tc>
          <w:tcPr>
            <w:tcW w:w="100" w:type="dxa"/>
            <w:vAlign w:val="bottom"/>
            <w:tcBorders>
              <w:bottom w:val="single" w:sz="8" w:color="CCEEFF"/>
            </w:tcBorders>
          </w:tcPr>
          <w:p>
            <w:pPr>
              <w:spacing w:after="0"/>
              <w:rPr>
                <w:sz w:val="8"/>
                <w:szCs w:val="8"/>
                <w:color w:val="auto"/>
              </w:rPr>
            </w:pPr>
          </w:p>
        </w:tc>
        <w:tc>
          <w:tcPr>
            <w:tcW w:w="200" w:type="dxa"/>
            <w:vAlign w:val="bottom"/>
            <w:tcBorders>
              <w:bottom w:val="single" w:sz="8" w:color="auto"/>
            </w:tcBorders>
            <w:vMerge w:val="continue"/>
          </w:tcPr>
          <w:p>
            <w:pPr>
              <w:spacing w:after="0"/>
              <w:rPr>
                <w:sz w:val="8"/>
                <w:szCs w:val="8"/>
                <w:color w:val="auto"/>
              </w:rPr>
            </w:pPr>
          </w:p>
        </w:tc>
        <w:tc>
          <w:tcPr>
            <w:tcW w:w="116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57"/>
        </w:trPr>
        <w:tc>
          <w:tcPr>
            <w:tcW w:w="3000" w:type="dxa"/>
            <w:vAlign w:val="bottom"/>
            <w:gridSpan w:val="2"/>
            <w:shd w:val="clear" w:color="auto" w:fill="CCEEFF"/>
          </w:tcPr>
          <w:p>
            <w:pPr>
              <w:ind w:left="40"/>
              <w:spacing w:after="0"/>
              <w:rPr>
                <w:sz w:val="20"/>
                <w:szCs w:val="20"/>
                <w:color w:val="auto"/>
              </w:rPr>
            </w:pPr>
            <w:r>
              <w:rPr>
                <w:rFonts w:ascii="Arial" w:cs="Arial" w:eastAsia="Arial" w:hAnsi="Arial"/>
                <w:sz w:val="14"/>
                <w:szCs w:val="14"/>
                <w:b w:val="1"/>
                <w:bCs w:val="1"/>
                <w:color w:val="auto"/>
              </w:rPr>
              <w:t>Three Months Ended September 30, 2016</w:t>
            </w:r>
          </w:p>
        </w:tc>
        <w:tc>
          <w:tcPr>
            <w:tcW w:w="40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91"/>
        </w:trPr>
        <w:tc>
          <w:tcPr>
            <w:tcW w:w="3000" w:type="dxa"/>
            <w:vAlign w:val="bottom"/>
            <w:gridSpan w:val="2"/>
          </w:tcPr>
          <w:p>
            <w:pPr>
              <w:ind w:left="40"/>
              <w:spacing w:after="0"/>
              <w:rPr>
                <w:sz w:val="20"/>
                <w:szCs w:val="20"/>
                <w:color w:val="auto"/>
              </w:rPr>
            </w:pPr>
            <w:r>
              <w:rPr>
                <w:rFonts w:ascii="Arial" w:cs="Arial" w:eastAsia="Arial" w:hAnsi="Arial"/>
                <w:sz w:val="14"/>
                <w:szCs w:val="14"/>
                <w:color w:val="auto"/>
              </w:rPr>
              <w:t>Interest rate swaps:</w:t>
            </w:r>
          </w:p>
        </w:tc>
        <w:tc>
          <w:tcPr>
            <w:tcW w:w="4120" w:type="dxa"/>
            <w:vAlign w:val="bottom"/>
            <w:gridSpan w:val="2"/>
            <w:vMerge w:val="restart"/>
          </w:tcPr>
          <w:p>
            <w:pPr>
              <w:ind w:left="20"/>
              <w:spacing w:after="0"/>
              <w:rPr>
                <w:sz w:val="20"/>
                <w:szCs w:val="20"/>
                <w:color w:val="auto"/>
              </w:rPr>
            </w:pPr>
            <w:r>
              <w:rPr>
                <w:rFonts w:ascii="Arial" w:cs="Arial" w:eastAsia="Arial" w:hAnsi="Arial"/>
                <w:sz w:val="14"/>
                <w:szCs w:val="14"/>
                <w:color w:val="auto"/>
              </w:rPr>
              <w:t>Fixed maturity securities</w:t>
            </w:r>
          </w:p>
        </w:tc>
        <w:tc>
          <w:tcPr>
            <w:tcW w:w="1100" w:type="dxa"/>
            <w:vAlign w:val="bottom"/>
            <w:vMerge w:val="restart"/>
          </w:tcPr>
          <w:p>
            <w:pPr>
              <w:jc w:val="right"/>
              <w:ind w:right="931"/>
              <w:spacing w:after="0"/>
              <w:rPr>
                <w:sz w:val="20"/>
                <w:szCs w:val="20"/>
                <w:color w:val="auto"/>
              </w:rPr>
            </w:pPr>
            <w:r>
              <w:rPr>
                <w:rFonts w:ascii="Arial" w:cs="Arial" w:eastAsia="Arial" w:hAnsi="Arial"/>
                <w:sz w:val="14"/>
                <w:szCs w:val="14"/>
                <w:color w:val="auto"/>
              </w:rPr>
              <w:t>$</w:t>
            </w:r>
          </w:p>
        </w:tc>
        <w:tc>
          <w:tcPr>
            <w:tcW w:w="280" w:type="dxa"/>
            <w:vAlign w:val="bottom"/>
            <w:vMerge w:val="restart"/>
          </w:tcPr>
          <w:p>
            <w:pPr>
              <w:jc w:val="right"/>
              <w:ind w:right="48"/>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16"/>
                <w:szCs w:val="16"/>
                <w:color w:val="auto"/>
              </w:rPr>
            </w:pPr>
          </w:p>
        </w:tc>
        <w:tc>
          <w:tcPr>
            <w:tcW w:w="180" w:type="dxa"/>
            <w:vAlign w:val="bottom"/>
            <w:vMerge w:val="restart"/>
          </w:tcPr>
          <w:p>
            <w:pPr>
              <w:jc w:val="right"/>
              <w:ind w:right="28"/>
              <w:spacing w:after="0"/>
              <w:rPr>
                <w:sz w:val="20"/>
                <w:szCs w:val="20"/>
                <w:color w:val="auto"/>
              </w:rPr>
            </w:pPr>
            <w:r>
              <w:rPr>
                <w:rFonts w:ascii="Arial" w:cs="Arial" w:eastAsia="Arial" w:hAnsi="Arial"/>
                <w:sz w:val="14"/>
                <w:szCs w:val="14"/>
                <w:color w:val="auto"/>
                <w:w w:val="76"/>
              </w:rPr>
              <w:t>$</w:t>
            </w:r>
          </w:p>
        </w:tc>
        <w:tc>
          <w:tcPr>
            <w:tcW w:w="1160" w:type="dxa"/>
            <w:vAlign w:val="bottom"/>
            <w:vMerge w:val="restart"/>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6"/>
                <w:szCs w:val="16"/>
                <w:color w:val="auto"/>
              </w:rPr>
            </w:pPr>
          </w:p>
        </w:tc>
        <w:tc>
          <w:tcPr>
            <w:tcW w:w="20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1160" w:type="dxa"/>
            <w:vAlign w:val="bottom"/>
            <w:vMerge w:val="restart"/>
          </w:tcPr>
          <w:p>
            <w:pPr>
              <w:jc w:val="right"/>
              <w:ind w:right="30"/>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74"/>
        </w:trPr>
        <w:tc>
          <w:tcPr>
            <w:tcW w:w="2880" w:type="dxa"/>
            <w:vAlign w:val="bottom"/>
          </w:tcPr>
          <w:p>
            <w:pPr>
              <w:spacing w:after="0"/>
              <w:rPr>
                <w:sz w:val="6"/>
                <w:szCs w:val="6"/>
                <w:color w:val="auto"/>
              </w:rPr>
            </w:pPr>
          </w:p>
        </w:tc>
        <w:tc>
          <w:tcPr>
            <w:tcW w:w="120" w:type="dxa"/>
            <w:vAlign w:val="bottom"/>
          </w:tcPr>
          <w:p>
            <w:pPr>
              <w:spacing w:after="0"/>
              <w:rPr>
                <w:sz w:val="6"/>
                <w:szCs w:val="6"/>
                <w:color w:val="auto"/>
              </w:rPr>
            </w:pPr>
          </w:p>
        </w:tc>
        <w:tc>
          <w:tcPr>
            <w:tcW w:w="4120" w:type="dxa"/>
            <w:vAlign w:val="bottom"/>
            <w:gridSpan w:val="2"/>
            <w:vMerge w:val="continue"/>
          </w:tcPr>
          <w:p>
            <w:pPr>
              <w:spacing w:after="0"/>
              <w:rPr>
                <w:sz w:val="6"/>
                <w:szCs w:val="6"/>
                <w:color w:val="auto"/>
              </w:rPr>
            </w:pPr>
          </w:p>
        </w:tc>
        <w:tc>
          <w:tcPr>
            <w:tcW w:w="1100" w:type="dxa"/>
            <w:vAlign w:val="bottom"/>
            <w:vMerge w:val="continue"/>
          </w:tcPr>
          <w:p>
            <w:pPr>
              <w:spacing w:after="0"/>
              <w:rPr>
                <w:sz w:val="6"/>
                <w:szCs w:val="6"/>
                <w:color w:val="auto"/>
              </w:rPr>
            </w:pPr>
          </w:p>
        </w:tc>
        <w:tc>
          <w:tcPr>
            <w:tcW w:w="2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80" w:type="dxa"/>
            <w:vAlign w:val="bottom"/>
            <w:vMerge w:val="continue"/>
          </w:tcPr>
          <w:p>
            <w:pPr>
              <w:spacing w:after="0"/>
              <w:rPr>
                <w:sz w:val="6"/>
                <w:szCs w:val="6"/>
                <w:color w:val="auto"/>
              </w:rPr>
            </w:pPr>
          </w:p>
        </w:tc>
        <w:tc>
          <w:tcPr>
            <w:tcW w:w="116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200" w:type="dxa"/>
            <w:vAlign w:val="bottom"/>
            <w:vMerge w:val="continue"/>
          </w:tcPr>
          <w:p>
            <w:pPr>
              <w:spacing w:after="0"/>
              <w:rPr>
                <w:sz w:val="6"/>
                <w:szCs w:val="6"/>
                <w:color w:val="auto"/>
              </w:rPr>
            </w:pPr>
          </w:p>
        </w:tc>
        <w:tc>
          <w:tcPr>
            <w:tcW w:w="11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76"/>
        </w:trPr>
        <w:tc>
          <w:tcPr>
            <w:tcW w:w="28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1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Policyholder liabilities (1)</w:t>
            </w:r>
          </w:p>
        </w:tc>
        <w:tc>
          <w:tcPr>
            <w:tcW w:w="1100" w:type="dxa"/>
            <w:vAlign w:val="bottom"/>
            <w:tcBorders>
              <w:bottom w:val="single" w:sz="8" w:color="auto"/>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w:t>
            </w:r>
          </w:p>
        </w:tc>
        <w:tc>
          <w:tcPr>
            <w:tcW w:w="120" w:type="dxa"/>
            <w:vAlign w:val="bottom"/>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spacing w:after="0"/>
              <w:rPr>
                <w:sz w:val="24"/>
                <w:szCs w:val="24"/>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spacing w:after="0"/>
              <w:rPr>
                <w:sz w:val="24"/>
                <w:szCs w:val="24"/>
                <w:color w:val="auto"/>
              </w:rPr>
            </w:pPr>
          </w:p>
        </w:tc>
        <w:tc>
          <w:tcPr>
            <w:tcW w:w="11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1"/>
        </w:trPr>
        <w:tc>
          <w:tcPr>
            <w:tcW w:w="3000" w:type="dxa"/>
            <w:vAlign w:val="bottom"/>
            <w:gridSpan w:val="2"/>
          </w:tcPr>
          <w:p>
            <w:pPr>
              <w:ind w:left="200"/>
              <w:spacing w:after="0"/>
              <w:rPr>
                <w:sz w:val="20"/>
                <w:szCs w:val="20"/>
                <w:color w:val="auto"/>
              </w:rPr>
            </w:pPr>
            <w:r>
              <w:rPr>
                <w:rFonts w:ascii="Arial" w:cs="Arial" w:eastAsia="Arial" w:hAnsi="Arial"/>
                <w:sz w:val="14"/>
                <w:szCs w:val="14"/>
                <w:color w:val="auto"/>
              </w:rPr>
              <w:t>Total</w:t>
            </w:r>
          </w:p>
        </w:tc>
        <w:tc>
          <w:tcPr>
            <w:tcW w:w="4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vMerge w:val="restart"/>
          </w:tcPr>
          <w:p>
            <w:pPr>
              <w:jc w:val="right"/>
              <w:ind w:right="931"/>
              <w:spacing w:after="0"/>
              <w:rPr>
                <w:sz w:val="20"/>
                <w:szCs w:val="20"/>
                <w:color w:val="auto"/>
              </w:rPr>
            </w:pPr>
            <w:r>
              <w:rPr>
                <w:rFonts w:ascii="Arial" w:cs="Arial" w:eastAsia="Arial" w:hAnsi="Arial"/>
                <w:sz w:val="14"/>
                <w:szCs w:val="14"/>
                <w:color w:val="auto"/>
              </w:rPr>
              <w:t>$</w:t>
            </w:r>
          </w:p>
        </w:tc>
        <w:tc>
          <w:tcPr>
            <w:tcW w:w="280" w:type="dxa"/>
            <w:vAlign w:val="bottom"/>
            <w:vMerge w:val="restart"/>
          </w:tcPr>
          <w:p>
            <w:pPr>
              <w:jc w:val="right"/>
              <w:ind w:right="48"/>
              <w:spacing w:after="0"/>
              <w:rPr>
                <w:sz w:val="20"/>
                <w:szCs w:val="20"/>
                <w:color w:val="auto"/>
              </w:rPr>
            </w:pPr>
            <w:r>
              <w:rPr>
                <w:rFonts w:ascii="Arial" w:cs="Arial" w:eastAsia="Arial" w:hAnsi="Arial"/>
                <w:sz w:val="14"/>
                <w:szCs w:val="14"/>
                <w:color w:val="auto"/>
              </w:rPr>
              <w:t>3</w:t>
            </w:r>
          </w:p>
        </w:tc>
        <w:tc>
          <w:tcPr>
            <w:tcW w:w="120" w:type="dxa"/>
            <w:vAlign w:val="bottom"/>
          </w:tcPr>
          <w:p>
            <w:pPr>
              <w:spacing w:after="0"/>
              <w:rPr>
                <w:sz w:val="14"/>
                <w:szCs w:val="14"/>
                <w:color w:val="auto"/>
              </w:rPr>
            </w:pPr>
          </w:p>
        </w:tc>
        <w:tc>
          <w:tcPr>
            <w:tcW w:w="180" w:type="dxa"/>
            <w:vAlign w:val="bottom"/>
            <w:vMerge w:val="restart"/>
          </w:tcPr>
          <w:p>
            <w:pPr>
              <w:jc w:val="right"/>
              <w:ind w:right="28"/>
              <w:spacing w:after="0"/>
              <w:rPr>
                <w:sz w:val="20"/>
                <w:szCs w:val="20"/>
                <w:color w:val="auto"/>
              </w:rPr>
            </w:pPr>
            <w:r>
              <w:rPr>
                <w:rFonts w:ascii="Arial" w:cs="Arial" w:eastAsia="Arial" w:hAnsi="Arial"/>
                <w:sz w:val="14"/>
                <w:szCs w:val="14"/>
                <w:color w:val="auto"/>
                <w:w w:val="76"/>
              </w:rPr>
              <w:t>$</w:t>
            </w:r>
          </w:p>
        </w:tc>
        <w:tc>
          <w:tcPr>
            <w:tcW w:w="1160" w:type="dxa"/>
            <w:vAlign w:val="bottom"/>
            <w:vMerge w:val="restart"/>
          </w:tcPr>
          <w:p>
            <w:pPr>
              <w:jc w:val="right"/>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14"/>
                <w:szCs w:val="14"/>
                <w:color w:val="auto"/>
              </w:rPr>
            </w:pPr>
          </w:p>
        </w:tc>
        <w:tc>
          <w:tcPr>
            <w:tcW w:w="20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1160" w:type="dxa"/>
            <w:vAlign w:val="bottom"/>
            <w:vMerge w:val="restart"/>
          </w:tcPr>
          <w:p>
            <w:pPr>
              <w:jc w:val="right"/>
              <w:ind w:right="30"/>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00"/>
        </w:trPr>
        <w:tc>
          <w:tcPr>
            <w:tcW w:w="2880" w:type="dxa"/>
            <w:vAlign w:val="bottom"/>
            <w:tcBorders>
              <w:bottom w:val="single" w:sz="8" w:color="CCEEFF"/>
            </w:tcBorders>
          </w:tcPr>
          <w:p>
            <w:pPr>
              <w:spacing w:after="0"/>
              <w:rPr>
                <w:sz w:val="8"/>
                <w:szCs w:val="8"/>
                <w:color w:val="auto"/>
              </w:rPr>
            </w:pPr>
          </w:p>
        </w:tc>
        <w:tc>
          <w:tcPr>
            <w:tcW w:w="120" w:type="dxa"/>
            <w:vAlign w:val="bottom"/>
            <w:tcBorders>
              <w:bottom w:val="single" w:sz="8" w:color="CCEEFF"/>
            </w:tcBorders>
          </w:tcPr>
          <w:p>
            <w:pPr>
              <w:spacing w:after="0"/>
              <w:rPr>
                <w:sz w:val="8"/>
                <w:szCs w:val="8"/>
                <w:color w:val="auto"/>
              </w:rPr>
            </w:pPr>
          </w:p>
        </w:tc>
        <w:tc>
          <w:tcPr>
            <w:tcW w:w="4000" w:type="dxa"/>
            <w:vAlign w:val="bottom"/>
            <w:tcBorders>
              <w:bottom w:val="single" w:sz="8" w:color="CCEEFF"/>
            </w:tcBorders>
          </w:tcPr>
          <w:p>
            <w:pPr>
              <w:spacing w:after="0"/>
              <w:rPr>
                <w:sz w:val="8"/>
                <w:szCs w:val="8"/>
                <w:color w:val="auto"/>
              </w:rPr>
            </w:pPr>
          </w:p>
        </w:tc>
        <w:tc>
          <w:tcPr>
            <w:tcW w:w="120" w:type="dxa"/>
            <w:vAlign w:val="bottom"/>
            <w:tcBorders>
              <w:bottom w:val="single" w:sz="8" w:color="CCEEFF"/>
            </w:tcBorders>
          </w:tcPr>
          <w:p>
            <w:pPr>
              <w:spacing w:after="0"/>
              <w:rPr>
                <w:sz w:val="8"/>
                <w:szCs w:val="8"/>
                <w:color w:val="auto"/>
              </w:rPr>
            </w:pPr>
          </w:p>
        </w:tc>
        <w:tc>
          <w:tcPr>
            <w:tcW w:w="1100" w:type="dxa"/>
            <w:vAlign w:val="bottom"/>
            <w:tcBorders>
              <w:bottom w:val="single" w:sz="8" w:color="auto"/>
            </w:tcBorders>
            <w:vMerge w:val="continue"/>
          </w:tcPr>
          <w:p>
            <w:pPr>
              <w:spacing w:after="0"/>
              <w:rPr>
                <w:sz w:val="8"/>
                <w:szCs w:val="8"/>
                <w:color w:val="auto"/>
              </w:rPr>
            </w:pPr>
          </w:p>
        </w:tc>
        <w:tc>
          <w:tcPr>
            <w:tcW w:w="280" w:type="dxa"/>
            <w:vAlign w:val="bottom"/>
            <w:tcBorders>
              <w:bottom w:val="single" w:sz="8" w:color="auto"/>
            </w:tcBorders>
            <w:vMerge w:val="continue"/>
          </w:tcPr>
          <w:p>
            <w:pPr>
              <w:spacing w:after="0"/>
              <w:rPr>
                <w:sz w:val="8"/>
                <w:szCs w:val="8"/>
                <w:color w:val="auto"/>
              </w:rPr>
            </w:pPr>
          </w:p>
        </w:tc>
        <w:tc>
          <w:tcPr>
            <w:tcW w:w="120" w:type="dxa"/>
            <w:vAlign w:val="bottom"/>
            <w:tcBorders>
              <w:bottom w:val="single" w:sz="8" w:color="CCEEFF"/>
            </w:tcBorders>
          </w:tcPr>
          <w:p>
            <w:pPr>
              <w:spacing w:after="0"/>
              <w:rPr>
                <w:sz w:val="8"/>
                <w:szCs w:val="8"/>
                <w:color w:val="auto"/>
              </w:rPr>
            </w:pPr>
          </w:p>
        </w:tc>
        <w:tc>
          <w:tcPr>
            <w:tcW w:w="180" w:type="dxa"/>
            <w:vAlign w:val="bottom"/>
            <w:tcBorders>
              <w:bottom w:val="single" w:sz="8" w:color="auto"/>
            </w:tcBorders>
            <w:vMerge w:val="continue"/>
          </w:tcPr>
          <w:p>
            <w:pPr>
              <w:spacing w:after="0"/>
              <w:rPr>
                <w:sz w:val="8"/>
                <w:szCs w:val="8"/>
                <w:color w:val="auto"/>
              </w:rPr>
            </w:pPr>
          </w:p>
        </w:tc>
        <w:tc>
          <w:tcPr>
            <w:tcW w:w="1160" w:type="dxa"/>
            <w:vAlign w:val="bottom"/>
            <w:tcBorders>
              <w:bottom w:val="single" w:sz="8" w:color="auto"/>
            </w:tcBorders>
            <w:vMerge w:val="continue"/>
          </w:tcPr>
          <w:p>
            <w:pPr>
              <w:spacing w:after="0"/>
              <w:rPr>
                <w:sz w:val="8"/>
                <w:szCs w:val="8"/>
                <w:color w:val="auto"/>
              </w:rPr>
            </w:pPr>
          </w:p>
        </w:tc>
        <w:tc>
          <w:tcPr>
            <w:tcW w:w="100" w:type="dxa"/>
            <w:vAlign w:val="bottom"/>
            <w:tcBorders>
              <w:bottom w:val="single" w:sz="8" w:color="CCEEFF"/>
            </w:tcBorders>
          </w:tcPr>
          <w:p>
            <w:pPr>
              <w:spacing w:after="0"/>
              <w:rPr>
                <w:sz w:val="8"/>
                <w:szCs w:val="8"/>
                <w:color w:val="auto"/>
              </w:rPr>
            </w:pPr>
          </w:p>
        </w:tc>
        <w:tc>
          <w:tcPr>
            <w:tcW w:w="200" w:type="dxa"/>
            <w:vAlign w:val="bottom"/>
            <w:tcBorders>
              <w:bottom w:val="single" w:sz="8" w:color="auto"/>
            </w:tcBorders>
            <w:vMerge w:val="continue"/>
          </w:tcPr>
          <w:p>
            <w:pPr>
              <w:spacing w:after="0"/>
              <w:rPr>
                <w:sz w:val="8"/>
                <w:szCs w:val="8"/>
                <w:color w:val="auto"/>
              </w:rPr>
            </w:pPr>
          </w:p>
        </w:tc>
        <w:tc>
          <w:tcPr>
            <w:tcW w:w="116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57"/>
        </w:trPr>
        <w:tc>
          <w:tcPr>
            <w:tcW w:w="3000" w:type="dxa"/>
            <w:vAlign w:val="bottom"/>
            <w:gridSpan w:val="2"/>
            <w:shd w:val="clear" w:color="auto" w:fill="CCEEFF"/>
          </w:tcPr>
          <w:p>
            <w:pPr>
              <w:ind w:left="40"/>
              <w:spacing w:after="0"/>
              <w:rPr>
                <w:sz w:val="20"/>
                <w:szCs w:val="20"/>
                <w:color w:val="auto"/>
              </w:rPr>
            </w:pPr>
            <w:r>
              <w:rPr>
                <w:rFonts w:ascii="Arial" w:cs="Arial" w:eastAsia="Arial" w:hAnsi="Arial"/>
                <w:sz w:val="14"/>
                <w:szCs w:val="14"/>
                <w:b w:val="1"/>
                <w:bCs w:val="1"/>
                <w:color w:val="auto"/>
              </w:rPr>
              <w:t>Nine Months Ended September 30, 2017</w:t>
            </w:r>
          </w:p>
        </w:tc>
        <w:tc>
          <w:tcPr>
            <w:tcW w:w="40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91"/>
        </w:trPr>
        <w:tc>
          <w:tcPr>
            <w:tcW w:w="3000" w:type="dxa"/>
            <w:vAlign w:val="bottom"/>
            <w:gridSpan w:val="2"/>
          </w:tcPr>
          <w:p>
            <w:pPr>
              <w:ind w:left="40"/>
              <w:spacing w:after="0"/>
              <w:rPr>
                <w:sz w:val="20"/>
                <w:szCs w:val="20"/>
                <w:color w:val="auto"/>
              </w:rPr>
            </w:pPr>
            <w:r>
              <w:rPr>
                <w:rFonts w:ascii="Arial" w:cs="Arial" w:eastAsia="Arial" w:hAnsi="Arial"/>
                <w:sz w:val="14"/>
                <w:szCs w:val="14"/>
                <w:color w:val="auto"/>
              </w:rPr>
              <w:t>Interest rate swaps:</w:t>
            </w:r>
          </w:p>
        </w:tc>
        <w:tc>
          <w:tcPr>
            <w:tcW w:w="4120" w:type="dxa"/>
            <w:vAlign w:val="bottom"/>
            <w:gridSpan w:val="2"/>
            <w:vMerge w:val="restart"/>
          </w:tcPr>
          <w:p>
            <w:pPr>
              <w:ind w:left="20"/>
              <w:spacing w:after="0"/>
              <w:rPr>
                <w:sz w:val="20"/>
                <w:szCs w:val="20"/>
                <w:color w:val="auto"/>
              </w:rPr>
            </w:pPr>
            <w:r>
              <w:rPr>
                <w:rFonts w:ascii="Arial" w:cs="Arial" w:eastAsia="Arial" w:hAnsi="Arial"/>
                <w:sz w:val="14"/>
                <w:szCs w:val="14"/>
                <w:color w:val="auto"/>
              </w:rPr>
              <w:t>Fixed maturity securities</w:t>
            </w:r>
          </w:p>
        </w:tc>
        <w:tc>
          <w:tcPr>
            <w:tcW w:w="1100" w:type="dxa"/>
            <w:vAlign w:val="bottom"/>
            <w:vMerge w:val="restart"/>
          </w:tcPr>
          <w:p>
            <w:pPr>
              <w:jc w:val="right"/>
              <w:ind w:right="931"/>
              <w:spacing w:after="0"/>
              <w:rPr>
                <w:sz w:val="20"/>
                <w:szCs w:val="20"/>
                <w:color w:val="auto"/>
              </w:rPr>
            </w:pPr>
            <w:r>
              <w:rPr>
                <w:rFonts w:ascii="Arial" w:cs="Arial" w:eastAsia="Arial" w:hAnsi="Arial"/>
                <w:sz w:val="14"/>
                <w:szCs w:val="14"/>
                <w:color w:val="auto"/>
              </w:rPr>
              <w:t>$</w:t>
            </w:r>
          </w:p>
        </w:tc>
        <w:tc>
          <w:tcPr>
            <w:tcW w:w="40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w w:val="99"/>
              </w:rPr>
              <w:t>—</w:t>
            </w:r>
          </w:p>
        </w:tc>
        <w:tc>
          <w:tcPr>
            <w:tcW w:w="180" w:type="dxa"/>
            <w:vAlign w:val="bottom"/>
            <w:vMerge w:val="restart"/>
          </w:tcPr>
          <w:p>
            <w:pPr>
              <w:jc w:val="right"/>
              <w:ind w:right="28"/>
              <w:spacing w:after="0"/>
              <w:rPr>
                <w:sz w:val="20"/>
                <w:szCs w:val="20"/>
                <w:color w:val="auto"/>
              </w:rPr>
            </w:pPr>
            <w:r>
              <w:rPr>
                <w:rFonts w:ascii="Arial" w:cs="Arial" w:eastAsia="Arial" w:hAnsi="Arial"/>
                <w:sz w:val="14"/>
                <w:szCs w:val="14"/>
                <w:color w:val="auto"/>
                <w:w w:val="76"/>
              </w:rPr>
              <w:t>$</w:t>
            </w:r>
          </w:p>
        </w:tc>
        <w:tc>
          <w:tcPr>
            <w:tcW w:w="126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1160" w:type="dxa"/>
            <w:vAlign w:val="bottom"/>
            <w:vMerge w:val="restart"/>
          </w:tcPr>
          <w:p>
            <w:pPr>
              <w:jc w:val="right"/>
              <w:ind w:right="3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74"/>
        </w:trPr>
        <w:tc>
          <w:tcPr>
            <w:tcW w:w="2880" w:type="dxa"/>
            <w:vAlign w:val="bottom"/>
          </w:tcPr>
          <w:p>
            <w:pPr>
              <w:spacing w:after="0"/>
              <w:rPr>
                <w:sz w:val="6"/>
                <w:szCs w:val="6"/>
                <w:color w:val="auto"/>
              </w:rPr>
            </w:pPr>
          </w:p>
        </w:tc>
        <w:tc>
          <w:tcPr>
            <w:tcW w:w="120" w:type="dxa"/>
            <w:vAlign w:val="bottom"/>
          </w:tcPr>
          <w:p>
            <w:pPr>
              <w:spacing w:after="0"/>
              <w:rPr>
                <w:sz w:val="6"/>
                <w:szCs w:val="6"/>
                <w:color w:val="auto"/>
              </w:rPr>
            </w:pPr>
          </w:p>
        </w:tc>
        <w:tc>
          <w:tcPr>
            <w:tcW w:w="4120" w:type="dxa"/>
            <w:vAlign w:val="bottom"/>
            <w:gridSpan w:val="2"/>
            <w:vMerge w:val="continue"/>
          </w:tcPr>
          <w:p>
            <w:pPr>
              <w:spacing w:after="0"/>
              <w:rPr>
                <w:sz w:val="6"/>
                <w:szCs w:val="6"/>
                <w:color w:val="auto"/>
              </w:rPr>
            </w:pPr>
          </w:p>
        </w:tc>
        <w:tc>
          <w:tcPr>
            <w:tcW w:w="1100" w:type="dxa"/>
            <w:vAlign w:val="bottom"/>
            <w:vMerge w:val="continue"/>
          </w:tcPr>
          <w:p>
            <w:pPr>
              <w:spacing w:after="0"/>
              <w:rPr>
                <w:sz w:val="6"/>
                <w:szCs w:val="6"/>
                <w:color w:val="auto"/>
              </w:rPr>
            </w:pPr>
          </w:p>
        </w:tc>
        <w:tc>
          <w:tcPr>
            <w:tcW w:w="400" w:type="dxa"/>
            <w:vAlign w:val="bottom"/>
            <w:gridSpan w:val="2"/>
            <w:vMerge w:val="continue"/>
          </w:tcPr>
          <w:p>
            <w:pPr>
              <w:spacing w:after="0"/>
              <w:rPr>
                <w:sz w:val="6"/>
                <w:szCs w:val="6"/>
                <w:color w:val="auto"/>
              </w:rPr>
            </w:pPr>
          </w:p>
        </w:tc>
        <w:tc>
          <w:tcPr>
            <w:tcW w:w="180" w:type="dxa"/>
            <w:vAlign w:val="bottom"/>
            <w:vMerge w:val="continue"/>
          </w:tcPr>
          <w:p>
            <w:pPr>
              <w:spacing w:after="0"/>
              <w:rPr>
                <w:sz w:val="6"/>
                <w:szCs w:val="6"/>
                <w:color w:val="auto"/>
              </w:rPr>
            </w:pPr>
          </w:p>
        </w:tc>
        <w:tc>
          <w:tcPr>
            <w:tcW w:w="1260" w:type="dxa"/>
            <w:vAlign w:val="bottom"/>
            <w:gridSpan w:val="2"/>
            <w:vMerge w:val="continue"/>
          </w:tcPr>
          <w:p>
            <w:pPr>
              <w:spacing w:after="0"/>
              <w:rPr>
                <w:sz w:val="6"/>
                <w:szCs w:val="6"/>
                <w:color w:val="auto"/>
              </w:rPr>
            </w:pPr>
          </w:p>
        </w:tc>
        <w:tc>
          <w:tcPr>
            <w:tcW w:w="200" w:type="dxa"/>
            <w:vAlign w:val="bottom"/>
            <w:vMerge w:val="continue"/>
          </w:tcPr>
          <w:p>
            <w:pPr>
              <w:spacing w:after="0"/>
              <w:rPr>
                <w:sz w:val="6"/>
                <w:szCs w:val="6"/>
                <w:color w:val="auto"/>
              </w:rPr>
            </w:pPr>
          </w:p>
        </w:tc>
        <w:tc>
          <w:tcPr>
            <w:tcW w:w="11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76"/>
        </w:trPr>
        <w:tc>
          <w:tcPr>
            <w:tcW w:w="28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1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Policyholder liabilities (1)</w:t>
            </w:r>
          </w:p>
        </w:tc>
        <w:tc>
          <w:tcPr>
            <w:tcW w:w="1100" w:type="dxa"/>
            <w:vAlign w:val="bottom"/>
            <w:tcBorders>
              <w:bottom w:val="single" w:sz="8" w:color="auto"/>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w:t>
            </w:r>
          </w:p>
        </w:tc>
        <w:tc>
          <w:tcPr>
            <w:tcW w:w="120" w:type="dxa"/>
            <w:vAlign w:val="bottom"/>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spacing w:after="0"/>
              <w:rPr>
                <w:sz w:val="24"/>
                <w:szCs w:val="24"/>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spacing w:after="0"/>
              <w:rPr>
                <w:sz w:val="24"/>
                <w:szCs w:val="24"/>
                <w:color w:val="auto"/>
              </w:rPr>
            </w:pPr>
          </w:p>
        </w:tc>
        <w:tc>
          <w:tcPr>
            <w:tcW w:w="11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1"/>
        </w:trPr>
        <w:tc>
          <w:tcPr>
            <w:tcW w:w="3000" w:type="dxa"/>
            <w:vAlign w:val="bottom"/>
            <w:gridSpan w:val="2"/>
          </w:tcPr>
          <w:p>
            <w:pPr>
              <w:ind w:left="200"/>
              <w:spacing w:after="0"/>
              <w:rPr>
                <w:sz w:val="20"/>
                <w:szCs w:val="20"/>
                <w:color w:val="auto"/>
              </w:rPr>
            </w:pPr>
            <w:r>
              <w:rPr>
                <w:rFonts w:ascii="Arial" w:cs="Arial" w:eastAsia="Arial" w:hAnsi="Arial"/>
                <w:sz w:val="14"/>
                <w:szCs w:val="14"/>
                <w:color w:val="auto"/>
              </w:rPr>
              <w:t>Total</w:t>
            </w:r>
          </w:p>
        </w:tc>
        <w:tc>
          <w:tcPr>
            <w:tcW w:w="4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vMerge w:val="restart"/>
          </w:tcPr>
          <w:p>
            <w:pPr>
              <w:jc w:val="right"/>
              <w:ind w:right="931"/>
              <w:spacing w:after="0"/>
              <w:rPr>
                <w:sz w:val="20"/>
                <w:szCs w:val="20"/>
                <w:color w:val="auto"/>
              </w:rPr>
            </w:pPr>
            <w:r>
              <w:rPr>
                <w:rFonts w:ascii="Arial" w:cs="Arial" w:eastAsia="Arial" w:hAnsi="Arial"/>
                <w:sz w:val="14"/>
                <w:szCs w:val="14"/>
                <w:color w:val="auto"/>
              </w:rPr>
              <w:t>$</w:t>
            </w:r>
          </w:p>
        </w:tc>
        <w:tc>
          <w:tcPr>
            <w:tcW w:w="280" w:type="dxa"/>
            <w:vAlign w:val="bottom"/>
            <w:vMerge w:val="restart"/>
          </w:tcPr>
          <w:p>
            <w:pPr>
              <w:jc w:val="right"/>
              <w:ind w:right="48"/>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14"/>
                <w:szCs w:val="14"/>
                <w:color w:val="auto"/>
              </w:rPr>
            </w:pPr>
          </w:p>
        </w:tc>
        <w:tc>
          <w:tcPr>
            <w:tcW w:w="180" w:type="dxa"/>
            <w:vAlign w:val="bottom"/>
            <w:vMerge w:val="restart"/>
          </w:tcPr>
          <w:p>
            <w:pPr>
              <w:jc w:val="right"/>
              <w:ind w:right="28"/>
              <w:spacing w:after="0"/>
              <w:rPr>
                <w:sz w:val="20"/>
                <w:szCs w:val="20"/>
                <w:color w:val="auto"/>
              </w:rPr>
            </w:pPr>
            <w:r>
              <w:rPr>
                <w:rFonts w:ascii="Arial" w:cs="Arial" w:eastAsia="Arial" w:hAnsi="Arial"/>
                <w:sz w:val="14"/>
                <w:szCs w:val="14"/>
                <w:color w:val="auto"/>
                <w:w w:val="76"/>
              </w:rPr>
              <w:t>$</w:t>
            </w:r>
          </w:p>
        </w:tc>
        <w:tc>
          <w:tcPr>
            <w:tcW w:w="1160" w:type="dxa"/>
            <w:vAlign w:val="bottom"/>
            <w:vMerge w:val="restart"/>
          </w:tcPr>
          <w:p>
            <w:pPr>
              <w:jc w:val="right"/>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14"/>
                <w:szCs w:val="14"/>
                <w:color w:val="auto"/>
              </w:rPr>
            </w:pPr>
          </w:p>
        </w:tc>
        <w:tc>
          <w:tcPr>
            <w:tcW w:w="20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1160" w:type="dxa"/>
            <w:vAlign w:val="bottom"/>
            <w:vMerge w:val="restart"/>
          </w:tcPr>
          <w:p>
            <w:pPr>
              <w:jc w:val="right"/>
              <w:ind w:right="3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00"/>
        </w:trPr>
        <w:tc>
          <w:tcPr>
            <w:tcW w:w="2880" w:type="dxa"/>
            <w:vAlign w:val="bottom"/>
            <w:tcBorders>
              <w:bottom w:val="single" w:sz="8" w:color="CCEEFF"/>
            </w:tcBorders>
          </w:tcPr>
          <w:p>
            <w:pPr>
              <w:spacing w:after="0"/>
              <w:rPr>
                <w:sz w:val="8"/>
                <w:szCs w:val="8"/>
                <w:color w:val="auto"/>
              </w:rPr>
            </w:pPr>
          </w:p>
        </w:tc>
        <w:tc>
          <w:tcPr>
            <w:tcW w:w="120" w:type="dxa"/>
            <w:vAlign w:val="bottom"/>
            <w:tcBorders>
              <w:bottom w:val="single" w:sz="8" w:color="CCEEFF"/>
            </w:tcBorders>
          </w:tcPr>
          <w:p>
            <w:pPr>
              <w:spacing w:after="0"/>
              <w:rPr>
                <w:sz w:val="8"/>
                <w:szCs w:val="8"/>
                <w:color w:val="auto"/>
              </w:rPr>
            </w:pPr>
          </w:p>
        </w:tc>
        <w:tc>
          <w:tcPr>
            <w:tcW w:w="4000" w:type="dxa"/>
            <w:vAlign w:val="bottom"/>
            <w:tcBorders>
              <w:bottom w:val="single" w:sz="8" w:color="CCEEFF"/>
            </w:tcBorders>
          </w:tcPr>
          <w:p>
            <w:pPr>
              <w:spacing w:after="0"/>
              <w:rPr>
                <w:sz w:val="8"/>
                <w:szCs w:val="8"/>
                <w:color w:val="auto"/>
              </w:rPr>
            </w:pPr>
          </w:p>
        </w:tc>
        <w:tc>
          <w:tcPr>
            <w:tcW w:w="120" w:type="dxa"/>
            <w:vAlign w:val="bottom"/>
            <w:tcBorders>
              <w:bottom w:val="single" w:sz="8" w:color="CCEEFF"/>
            </w:tcBorders>
          </w:tcPr>
          <w:p>
            <w:pPr>
              <w:spacing w:after="0"/>
              <w:rPr>
                <w:sz w:val="8"/>
                <w:szCs w:val="8"/>
                <w:color w:val="auto"/>
              </w:rPr>
            </w:pPr>
          </w:p>
        </w:tc>
        <w:tc>
          <w:tcPr>
            <w:tcW w:w="1100" w:type="dxa"/>
            <w:vAlign w:val="bottom"/>
            <w:tcBorders>
              <w:bottom w:val="single" w:sz="8" w:color="auto"/>
            </w:tcBorders>
            <w:vMerge w:val="continue"/>
          </w:tcPr>
          <w:p>
            <w:pPr>
              <w:spacing w:after="0"/>
              <w:rPr>
                <w:sz w:val="8"/>
                <w:szCs w:val="8"/>
                <w:color w:val="auto"/>
              </w:rPr>
            </w:pPr>
          </w:p>
        </w:tc>
        <w:tc>
          <w:tcPr>
            <w:tcW w:w="280" w:type="dxa"/>
            <w:vAlign w:val="bottom"/>
            <w:tcBorders>
              <w:bottom w:val="single" w:sz="8" w:color="auto"/>
            </w:tcBorders>
            <w:vMerge w:val="continue"/>
          </w:tcPr>
          <w:p>
            <w:pPr>
              <w:spacing w:after="0"/>
              <w:rPr>
                <w:sz w:val="8"/>
                <w:szCs w:val="8"/>
                <w:color w:val="auto"/>
              </w:rPr>
            </w:pPr>
          </w:p>
        </w:tc>
        <w:tc>
          <w:tcPr>
            <w:tcW w:w="120" w:type="dxa"/>
            <w:vAlign w:val="bottom"/>
            <w:tcBorders>
              <w:bottom w:val="single" w:sz="8" w:color="CCEEFF"/>
            </w:tcBorders>
          </w:tcPr>
          <w:p>
            <w:pPr>
              <w:spacing w:after="0"/>
              <w:rPr>
                <w:sz w:val="8"/>
                <w:szCs w:val="8"/>
                <w:color w:val="auto"/>
              </w:rPr>
            </w:pPr>
          </w:p>
        </w:tc>
        <w:tc>
          <w:tcPr>
            <w:tcW w:w="180" w:type="dxa"/>
            <w:vAlign w:val="bottom"/>
            <w:tcBorders>
              <w:bottom w:val="single" w:sz="8" w:color="auto"/>
            </w:tcBorders>
            <w:vMerge w:val="continue"/>
          </w:tcPr>
          <w:p>
            <w:pPr>
              <w:spacing w:after="0"/>
              <w:rPr>
                <w:sz w:val="8"/>
                <w:szCs w:val="8"/>
                <w:color w:val="auto"/>
              </w:rPr>
            </w:pPr>
          </w:p>
        </w:tc>
        <w:tc>
          <w:tcPr>
            <w:tcW w:w="1160" w:type="dxa"/>
            <w:vAlign w:val="bottom"/>
            <w:tcBorders>
              <w:bottom w:val="single" w:sz="8" w:color="auto"/>
            </w:tcBorders>
            <w:vMerge w:val="continue"/>
          </w:tcPr>
          <w:p>
            <w:pPr>
              <w:spacing w:after="0"/>
              <w:rPr>
                <w:sz w:val="8"/>
                <w:szCs w:val="8"/>
                <w:color w:val="auto"/>
              </w:rPr>
            </w:pPr>
          </w:p>
        </w:tc>
        <w:tc>
          <w:tcPr>
            <w:tcW w:w="100" w:type="dxa"/>
            <w:vAlign w:val="bottom"/>
            <w:tcBorders>
              <w:bottom w:val="single" w:sz="8" w:color="CCEEFF"/>
            </w:tcBorders>
          </w:tcPr>
          <w:p>
            <w:pPr>
              <w:spacing w:after="0"/>
              <w:rPr>
                <w:sz w:val="8"/>
                <w:szCs w:val="8"/>
                <w:color w:val="auto"/>
              </w:rPr>
            </w:pPr>
          </w:p>
        </w:tc>
        <w:tc>
          <w:tcPr>
            <w:tcW w:w="200" w:type="dxa"/>
            <w:vAlign w:val="bottom"/>
            <w:tcBorders>
              <w:bottom w:val="single" w:sz="8" w:color="auto"/>
            </w:tcBorders>
            <w:vMerge w:val="continue"/>
          </w:tcPr>
          <w:p>
            <w:pPr>
              <w:spacing w:after="0"/>
              <w:rPr>
                <w:sz w:val="8"/>
                <w:szCs w:val="8"/>
                <w:color w:val="auto"/>
              </w:rPr>
            </w:pPr>
          </w:p>
        </w:tc>
        <w:tc>
          <w:tcPr>
            <w:tcW w:w="116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57"/>
        </w:trPr>
        <w:tc>
          <w:tcPr>
            <w:tcW w:w="3000" w:type="dxa"/>
            <w:vAlign w:val="bottom"/>
            <w:gridSpan w:val="2"/>
            <w:shd w:val="clear" w:color="auto" w:fill="CCEEFF"/>
          </w:tcPr>
          <w:p>
            <w:pPr>
              <w:ind w:left="40"/>
              <w:spacing w:after="0"/>
              <w:rPr>
                <w:sz w:val="20"/>
                <w:szCs w:val="20"/>
                <w:color w:val="auto"/>
              </w:rPr>
            </w:pPr>
            <w:r>
              <w:rPr>
                <w:rFonts w:ascii="Arial" w:cs="Arial" w:eastAsia="Arial" w:hAnsi="Arial"/>
                <w:sz w:val="14"/>
                <w:szCs w:val="14"/>
                <w:b w:val="1"/>
                <w:bCs w:val="1"/>
                <w:color w:val="auto"/>
              </w:rPr>
              <w:t>Nine Months Ended September 30, 2016</w:t>
            </w:r>
          </w:p>
        </w:tc>
        <w:tc>
          <w:tcPr>
            <w:tcW w:w="40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91"/>
        </w:trPr>
        <w:tc>
          <w:tcPr>
            <w:tcW w:w="3000" w:type="dxa"/>
            <w:vAlign w:val="bottom"/>
            <w:gridSpan w:val="2"/>
          </w:tcPr>
          <w:p>
            <w:pPr>
              <w:ind w:left="40"/>
              <w:spacing w:after="0"/>
              <w:rPr>
                <w:sz w:val="20"/>
                <w:szCs w:val="20"/>
                <w:color w:val="auto"/>
              </w:rPr>
            </w:pPr>
            <w:r>
              <w:rPr>
                <w:rFonts w:ascii="Arial" w:cs="Arial" w:eastAsia="Arial" w:hAnsi="Arial"/>
                <w:sz w:val="14"/>
                <w:szCs w:val="14"/>
                <w:color w:val="auto"/>
              </w:rPr>
              <w:t>Interest rate swaps:</w:t>
            </w:r>
          </w:p>
        </w:tc>
        <w:tc>
          <w:tcPr>
            <w:tcW w:w="4120" w:type="dxa"/>
            <w:vAlign w:val="bottom"/>
            <w:gridSpan w:val="2"/>
            <w:vMerge w:val="restart"/>
          </w:tcPr>
          <w:p>
            <w:pPr>
              <w:ind w:left="20"/>
              <w:spacing w:after="0"/>
              <w:rPr>
                <w:sz w:val="20"/>
                <w:szCs w:val="20"/>
                <w:color w:val="auto"/>
              </w:rPr>
            </w:pPr>
            <w:r>
              <w:rPr>
                <w:rFonts w:ascii="Arial" w:cs="Arial" w:eastAsia="Arial" w:hAnsi="Arial"/>
                <w:sz w:val="14"/>
                <w:szCs w:val="14"/>
                <w:color w:val="auto"/>
              </w:rPr>
              <w:t>Fixed maturity securities</w:t>
            </w:r>
          </w:p>
        </w:tc>
        <w:tc>
          <w:tcPr>
            <w:tcW w:w="1100" w:type="dxa"/>
            <w:vAlign w:val="bottom"/>
            <w:vMerge w:val="restart"/>
          </w:tcPr>
          <w:p>
            <w:pPr>
              <w:jc w:val="right"/>
              <w:ind w:right="931"/>
              <w:spacing w:after="0"/>
              <w:rPr>
                <w:sz w:val="20"/>
                <w:szCs w:val="20"/>
                <w:color w:val="auto"/>
              </w:rPr>
            </w:pPr>
            <w:r>
              <w:rPr>
                <w:rFonts w:ascii="Arial" w:cs="Arial" w:eastAsia="Arial" w:hAnsi="Arial"/>
                <w:sz w:val="14"/>
                <w:szCs w:val="14"/>
                <w:color w:val="auto"/>
              </w:rPr>
              <w:t>$</w:t>
            </w:r>
          </w:p>
        </w:tc>
        <w:tc>
          <w:tcPr>
            <w:tcW w:w="280" w:type="dxa"/>
            <w:vAlign w:val="bottom"/>
            <w:vMerge w:val="restart"/>
          </w:tcPr>
          <w:p>
            <w:pPr>
              <w:jc w:val="right"/>
              <w:ind w:right="8"/>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16"/>
                <w:szCs w:val="16"/>
                <w:color w:val="auto"/>
              </w:rPr>
            </w:pPr>
          </w:p>
        </w:tc>
        <w:tc>
          <w:tcPr>
            <w:tcW w:w="180" w:type="dxa"/>
            <w:vAlign w:val="bottom"/>
            <w:vMerge w:val="restart"/>
          </w:tcPr>
          <w:p>
            <w:pPr>
              <w:jc w:val="right"/>
              <w:ind w:right="28"/>
              <w:spacing w:after="0"/>
              <w:rPr>
                <w:sz w:val="20"/>
                <w:szCs w:val="20"/>
                <w:color w:val="auto"/>
              </w:rPr>
            </w:pPr>
            <w:r>
              <w:rPr>
                <w:rFonts w:ascii="Arial" w:cs="Arial" w:eastAsia="Arial" w:hAnsi="Arial"/>
                <w:sz w:val="14"/>
                <w:szCs w:val="14"/>
                <w:color w:val="auto"/>
                <w:w w:val="76"/>
              </w:rPr>
              <w:t>$</w:t>
            </w:r>
          </w:p>
        </w:tc>
        <w:tc>
          <w:tcPr>
            <w:tcW w:w="1160" w:type="dxa"/>
            <w:vAlign w:val="bottom"/>
            <w:vMerge w:val="restart"/>
          </w:tcPr>
          <w:p>
            <w:pPr>
              <w:jc w:val="right"/>
              <w:ind w:right="31"/>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6"/>
                <w:szCs w:val="16"/>
                <w:color w:val="auto"/>
              </w:rPr>
            </w:pPr>
          </w:p>
        </w:tc>
        <w:tc>
          <w:tcPr>
            <w:tcW w:w="20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1160" w:type="dxa"/>
            <w:vAlign w:val="bottom"/>
            <w:vMerge w:val="restart"/>
          </w:tcPr>
          <w:p>
            <w:pPr>
              <w:jc w:val="right"/>
              <w:ind w:right="3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74"/>
        </w:trPr>
        <w:tc>
          <w:tcPr>
            <w:tcW w:w="2880" w:type="dxa"/>
            <w:vAlign w:val="bottom"/>
          </w:tcPr>
          <w:p>
            <w:pPr>
              <w:spacing w:after="0"/>
              <w:rPr>
                <w:sz w:val="6"/>
                <w:szCs w:val="6"/>
                <w:color w:val="auto"/>
              </w:rPr>
            </w:pPr>
          </w:p>
        </w:tc>
        <w:tc>
          <w:tcPr>
            <w:tcW w:w="120" w:type="dxa"/>
            <w:vAlign w:val="bottom"/>
          </w:tcPr>
          <w:p>
            <w:pPr>
              <w:spacing w:after="0"/>
              <w:rPr>
                <w:sz w:val="6"/>
                <w:szCs w:val="6"/>
                <w:color w:val="auto"/>
              </w:rPr>
            </w:pPr>
          </w:p>
        </w:tc>
        <w:tc>
          <w:tcPr>
            <w:tcW w:w="4120" w:type="dxa"/>
            <w:vAlign w:val="bottom"/>
            <w:gridSpan w:val="2"/>
            <w:vMerge w:val="continue"/>
          </w:tcPr>
          <w:p>
            <w:pPr>
              <w:spacing w:after="0"/>
              <w:rPr>
                <w:sz w:val="6"/>
                <w:szCs w:val="6"/>
                <w:color w:val="auto"/>
              </w:rPr>
            </w:pPr>
          </w:p>
        </w:tc>
        <w:tc>
          <w:tcPr>
            <w:tcW w:w="1100" w:type="dxa"/>
            <w:vAlign w:val="bottom"/>
            <w:vMerge w:val="continue"/>
          </w:tcPr>
          <w:p>
            <w:pPr>
              <w:spacing w:after="0"/>
              <w:rPr>
                <w:sz w:val="6"/>
                <w:szCs w:val="6"/>
                <w:color w:val="auto"/>
              </w:rPr>
            </w:pPr>
          </w:p>
        </w:tc>
        <w:tc>
          <w:tcPr>
            <w:tcW w:w="2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80" w:type="dxa"/>
            <w:vAlign w:val="bottom"/>
            <w:vMerge w:val="continue"/>
          </w:tcPr>
          <w:p>
            <w:pPr>
              <w:spacing w:after="0"/>
              <w:rPr>
                <w:sz w:val="6"/>
                <w:szCs w:val="6"/>
                <w:color w:val="auto"/>
              </w:rPr>
            </w:pPr>
          </w:p>
        </w:tc>
        <w:tc>
          <w:tcPr>
            <w:tcW w:w="116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200" w:type="dxa"/>
            <w:vAlign w:val="bottom"/>
            <w:vMerge w:val="continue"/>
          </w:tcPr>
          <w:p>
            <w:pPr>
              <w:spacing w:after="0"/>
              <w:rPr>
                <w:sz w:val="6"/>
                <w:szCs w:val="6"/>
                <w:color w:val="auto"/>
              </w:rPr>
            </w:pPr>
          </w:p>
        </w:tc>
        <w:tc>
          <w:tcPr>
            <w:tcW w:w="11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76"/>
        </w:trPr>
        <w:tc>
          <w:tcPr>
            <w:tcW w:w="28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1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Policyholder liabilities (1)</w:t>
            </w:r>
          </w:p>
        </w:tc>
        <w:tc>
          <w:tcPr>
            <w:tcW w:w="1100" w:type="dxa"/>
            <w:vAlign w:val="bottom"/>
            <w:tcBorders>
              <w:bottom w:val="single" w:sz="8" w:color="auto"/>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w w:val="89"/>
              </w:rPr>
              <w:t>25</w:t>
            </w:r>
          </w:p>
        </w:tc>
        <w:tc>
          <w:tcPr>
            <w:tcW w:w="120" w:type="dxa"/>
            <w:vAlign w:val="bottom"/>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spacing w:after="0"/>
              <w:rPr>
                <w:sz w:val="24"/>
                <w:szCs w:val="24"/>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w:t>
            </w:r>
          </w:p>
        </w:tc>
        <w:tc>
          <w:tcPr>
            <w:tcW w:w="100" w:type="dxa"/>
            <w:vAlign w:val="bottom"/>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spacing w:after="0"/>
              <w:rPr>
                <w:sz w:val="24"/>
                <w:szCs w:val="24"/>
                <w:color w:val="auto"/>
              </w:rPr>
            </w:pPr>
          </w:p>
        </w:tc>
        <w:tc>
          <w:tcPr>
            <w:tcW w:w="11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1"/>
        </w:trPr>
        <w:tc>
          <w:tcPr>
            <w:tcW w:w="3000" w:type="dxa"/>
            <w:vAlign w:val="bottom"/>
            <w:gridSpan w:val="2"/>
          </w:tcPr>
          <w:p>
            <w:pPr>
              <w:ind w:left="200"/>
              <w:spacing w:after="0"/>
              <w:rPr>
                <w:sz w:val="20"/>
                <w:szCs w:val="20"/>
                <w:color w:val="auto"/>
              </w:rPr>
            </w:pPr>
            <w:r>
              <w:rPr>
                <w:rFonts w:ascii="Arial" w:cs="Arial" w:eastAsia="Arial" w:hAnsi="Arial"/>
                <w:sz w:val="14"/>
                <w:szCs w:val="14"/>
                <w:color w:val="auto"/>
              </w:rPr>
              <w:t>Total</w:t>
            </w:r>
          </w:p>
        </w:tc>
        <w:tc>
          <w:tcPr>
            <w:tcW w:w="4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vMerge w:val="restart"/>
          </w:tcPr>
          <w:p>
            <w:pPr>
              <w:jc w:val="right"/>
              <w:ind w:right="931"/>
              <w:spacing w:after="0"/>
              <w:rPr>
                <w:sz w:val="20"/>
                <w:szCs w:val="20"/>
                <w:color w:val="auto"/>
              </w:rPr>
            </w:pPr>
            <w:r>
              <w:rPr>
                <w:rFonts w:ascii="Arial" w:cs="Arial" w:eastAsia="Arial" w:hAnsi="Arial"/>
                <w:sz w:val="14"/>
                <w:szCs w:val="14"/>
                <w:color w:val="auto"/>
              </w:rPr>
              <w:t>$</w:t>
            </w:r>
          </w:p>
        </w:tc>
        <w:tc>
          <w:tcPr>
            <w:tcW w:w="280" w:type="dxa"/>
            <w:vAlign w:val="bottom"/>
            <w:vMerge w:val="restart"/>
          </w:tcPr>
          <w:p>
            <w:pPr>
              <w:jc w:val="right"/>
              <w:ind w:right="48"/>
              <w:spacing w:after="0"/>
              <w:rPr>
                <w:sz w:val="20"/>
                <w:szCs w:val="20"/>
                <w:color w:val="auto"/>
              </w:rPr>
            </w:pPr>
            <w:r>
              <w:rPr>
                <w:rFonts w:ascii="Arial" w:cs="Arial" w:eastAsia="Arial" w:hAnsi="Arial"/>
                <w:sz w:val="14"/>
                <w:szCs w:val="14"/>
                <w:color w:val="auto"/>
                <w:w w:val="89"/>
              </w:rPr>
              <w:t>24</w:t>
            </w:r>
          </w:p>
        </w:tc>
        <w:tc>
          <w:tcPr>
            <w:tcW w:w="120" w:type="dxa"/>
            <w:vAlign w:val="bottom"/>
          </w:tcPr>
          <w:p>
            <w:pPr>
              <w:spacing w:after="0"/>
              <w:rPr>
                <w:sz w:val="14"/>
                <w:szCs w:val="14"/>
                <w:color w:val="auto"/>
              </w:rPr>
            </w:pPr>
          </w:p>
        </w:tc>
        <w:tc>
          <w:tcPr>
            <w:tcW w:w="180" w:type="dxa"/>
            <w:vAlign w:val="bottom"/>
            <w:vMerge w:val="restart"/>
          </w:tcPr>
          <w:p>
            <w:pPr>
              <w:jc w:val="right"/>
              <w:ind w:right="28"/>
              <w:spacing w:after="0"/>
              <w:rPr>
                <w:sz w:val="20"/>
                <w:szCs w:val="20"/>
                <w:color w:val="auto"/>
              </w:rPr>
            </w:pPr>
            <w:r>
              <w:rPr>
                <w:rFonts w:ascii="Arial" w:cs="Arial" w:eastAsia="Arial" w:hAnsi="Arial"/>
                <w:sz w:val="14"/>
                <w:szCs w:val="14"/>
                <w:color w:val="auto"/>
                <w:w w:val="76"/>
              </w:rPr>
              <w:t>$</w:t>
            </w:r>
          </w:p>
        </w:tc>
        <w:tc>
          <w:tcPr>
            <w:tcW w:w="1160" w:type="dxa"/>
            <w:vAlign w:val="bottom"/>
            <w:vMerge w:val="restart"/>
          </w:tcPr>
          <w:p>
            <w:pPr>
              <w:jc w:val="right"/>
              <w:spacing w:after="0"/>
              <w:rPr>
                <w:sz w:val="20"/>
                <w:szCs w:val="20"/>
                <w:color w:val="auto"/>
              </w:rPr>
            </w:pPr>
            <w:r>
              <w:rPr>
                <w:rFonts w:ascii="Arial" w:cs="Arial" w:eastAsia="Arial" w:hAnsi="Arial"/>
                <w:sz w:val="14"/>
                <w:szCs w:val="14"/>
                <w:color w:val="auto"/>
              </w:rPr>
              <w:t>(24)</w:t>
            </w:r>
          </w:p>
        </w:tc>
        <w:tc>
          <w:tcPr>
            <w:tcW w:w="100" w:type="dxa"/>
            <w:vAlign w:val="bottom"/>
          </w:tcPr>
          <w:p>
            <w:pPr>
              <w:spacing w:after="0"/>
              <w:rPr>
                <w:sz w:val="14"/>
                <w:szCs w:val="14"/>
                <w:color w:val="auto"/>
              </w:rPr>
            </w:pPr>
          </w:p>
        </w:tc>
        <w:tc>
          <w:tcPr>
            <w:tcW w:w="20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1160" w:type="dxa"/>
            <w:vAlign w:val="bottom"/>
            <w:vMerge w:val="restart"/>
          </w:tcPr>
          <w:p>
            <w:pPr>
              <w:jc w:val="right"/>
              <w:ind w:right="3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54"/>
        </w:trPr>
        <w:tc>
          <w:tcPr>
            <w:tcW w:w="2880" w:type="dxa"/>
            <w:vAlign w:val="bottom"/>
          </w:tcPr>
          <w:p>
            <w:pPr>
              <w:spacing w:after="0"/>
              <w:rPr>
                <w:sz w:val="4"/>
                <w:szCs w:val="4"/>
                <w:color w:val="auto"/>
              </w:rPr>
            </w:pPr>
          </w:p>
        </w:tc>
        <w:tc>
          <w:tcPr>
            <w:tcW w:w="120" w:type="dxa"/>
            <w:vAlign w:val="bottom"/>
          </w:tcPr>
          <w:p>
            <w:pPr>
              <w:spacing w:after="0"/>
              <w:rPr>
                <w:sz w:val="4"/>
                <w:szCs w:val="4"/>
                <w:color w:val="auto"/>
              </w:rPr>
            </w:pPr>
          </w:p>
        </w:tc>
        <w:tc>
          <w:tcPr>
            <w:tcW w:w="40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100" w:type="dxa"/>
            <w:vAlign w:val="bottom"/>
            <w:vMerge w:val="continue"/>
          </w:tcPr>
          <w:p>
            <w:pPr>
              <w:spacing w:after="0"/>
              <w:rPr>
                <w:sz w:val="4"/>
                <w:szCs w:val="4"/>
                <w:color w:val="auto"/>
              </w:rPr>
            </w:pPr>
          </w:p>
        </w:tc>
        <w:tc>
          <w:tcPr>
            <w:tcW w:w="28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4516120</wp:posOffset>
            </wp:positionH>
            <wp:positionV relativeFrom="paragraph">
              <wp:posOffset>7620</wp:posOffset>
            </wp:positionV>
            <wp:extent cx="273558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735580" cy="8890"/>
                    </a:xfrm>
                    <a:prstGeom prst="rect">
                      <a:avLst/>
                    </a:prstGeom>
                    <a:noFill/>
                  </pic:spPr>
                </pic:pic>
              </a:graphicData>
            </a:graphic>
          </wp:anchor>
        </w:drawing>
      </w:r>
    </w:p>
    <w:p>
      <w:pPr>
        <w:spacing w:after="0" w:line="14"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4516120</wp:posOffset>
            </wp:positionH>
            <wp:positionV relativeFrom="paragraph">
              <wp:posOffset>-98425</wp:posOffset>
            </wp:positionV>
            <wp:extent cx="273558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735580" cy="8890"/>
                    </a:xfrm>
                    <a:prstGeom prst="rect">
                      <a:avLst/>
                    </a:prstGeom>
                    <a:noFill/>
                  </pic:spPr>
                </pic:pic>
              </a:graphicData>
            </a:graphic>
          </wp:anchor>
        </w:drawing>
      </w:r>
    </w:p>
    <w:p>
      <w:pPr>
        <w:spacing w:after="0" w:line="93" w:lineRule="exact"/>
        <w:rPr>
          <w:sz w:val="20"/>
          <w:szCs w:val="20"/>
          <w:color w:val="auto"/>
        </w:rPr>
      </w:pPr>
    </w:p>
    <w:p>
      <w:pPr>
        <w:ind w:left="500" w:hanging="492"/>
        <w:spacing w:after="0"/>
        <w:tabs>
          <w:tab w:leader="none" w:pos="5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Fixed rate liabilities reported in policyholder account balances or future policy benefits.</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All components of each derivative’s gain or loss were included in the assessment of hedge effectiveness.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 Hedges</w:t>
      </w:r>
    </w:p>
    <w:p>
      <w:pPr>
        <w:spacing w:after="0" w:line="117"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The Company designates and accounts for the following as cash flow hedges when they have met the requirements of cash flow hedging: (i) interest rate swaps to convert floating rate assets and liabilities to fixed rate assets and liabilities; (ii) foreign currency swaps to hedge the foreign currency cash flow exposure of foreign currency denominated assets and liabilities; (iii) interest rate forwards and credit forwards to lock in the price to be paid for forward purchases of investments; and (iv) interest rate swaps and interest rate forwards to hedge the forecasted purchases of fixed-rate investments.</w:t>
      </w:r>
    </w:p>
    <w:p>
      <w:pPr>
        <w:spacing w:after="0" w:line="46"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In certain instances, the Company discontinued cash flow hedge accounting because the forecasted transactions were no longer probable of occurring. Because certain of the forecasted transactions also were not probable of occurring within two months of the anticipated date, the Company reclassified amounts from AOCI into net derivative gains (losses). These amounts were $0 and $12 million, for the three months and nine months ended September 30, 2017, respectively, and $1 million and $1 million for the three months and nine months ended September 30, 2016, respectively.</w:t>
      </w:r>
    </w:p>
    <w:p>
      <w:pPr>
        <w:spacing w:after="0" w:line="63"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At September 30, 2017 and December 31, 2016, the maximum length of time over which the Company was hedging its exposure to variability in future cash flows for forecasted transactions did not exceed two years and three years, respectively.</w:t>
      </w:r>
    </w:p>
    <w:p>
      <w:pPr>
        <w:spacing w:after="0" w:line="62" w:lineRule="exact"/>
        <w:rPr>
          <w:sz w:val="20"/>
          <w:szCs w:val="20"/>
          <w:color w:val="auto"/>
        </w:rPr>
      </w:pPr>
    </w:p>
    <w:p>
      <w:pPr>
        <w:jc w:val="center"/>
        <w:ind w:right="-239"/>
        <w:spacing w:after="0"/>
        <w:rPr>
          <w:sz w:val="20"/>
          <w:szCs w:val="20"/>
          <w:color w:val="auto"/>
        </w:rPr>
      </w:pPr>
      <w:r>
        <w:rPr>
          <w:rFonts w:ascii="Arial" w:cs="Arial" w:eastAsia="Arial" w:hAnsi="Arial"/>
          <w:sz w:val="16"/>
          <w:szCs w:val="16"/>
          <w:color w:val="auto"/>
        </w:rPr>
        <w:t>At September 30, 2017 and December 31, 2016, the balance in AOCI associated with cash flow hedges was $293 million and $414 million, respectively.</w:t>
      </w: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234" w:right="239" w:bottom="1440" w:gutter="0" w:footer="0" w:header="0"/>
        </w:sectPr>
      </w:pPr>
    </w:p>
    <w:bookmarkStart w:id="39" w:name="page40"/>
    <w:bookmarkEnd w:id="39"/>
    <w:p>
      <w:pPr>
        <w:ind w:left="340"/>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109" w:lineRule="exact"/>
        <w:rPr>
          <w:sz w:val="20"/>
          <w:szCs w:val="20"/>
          <w:color w:val="auto"/>
        </w:rPr>
      </w:pPr>
    </w:p>
    <w:p>
      <w:pPr>
        <w:ind w:left="4840"/>
        <w:spacing w:after="0"/>
        <w:rPr>
          <w:sz w:val="20"/>
          <w:szCs w:val="20"/>
          <w:color w:val="auto"/>
        </w:rPr>
      </w:pPr>
      <w:r>
        <w:rPr>
          <w:rFonts w:ascii="Arial" w:cs="Arial" w:eastAsia="Arial" w:hAnsi="Arial"/>
          <w:sz w:val="18"/>
          <w:szCs w:val="18"/>
          <w:b w:val="1"/>
          <w:bCs w:val="1"/>
          <w:color w:val="auto"/>
        </w:rPr>
        <w:t>Brighthouse Financial, Inc.</w:t>
      </w:r>
    </w:p>
    <w:p>
      <w:pPr>
        <w:spacing w:after="0" w:line="117" w:lineRule="exact"/>
        <w:rPr>
          <w:sz w:val="20"/>
          <w:szCs w:val="20"/>
          <w:color w:val="auto"/>
        </w:rPr>
      </w:pPr>
    </w:p>
    <w:p>
      <w:pPr>
        <w:ind w:left="1640"/>
        <w:spacing w:after="0"/>
        <w:rPr>
          <w:sz w:val="20"/>
          <w:szCs w:val="20"/>
          <w:color w:val="auto"/>
        </w:rPr>
      </w:pPr>
      <w:r>
        <w:rPr>
          <w:rFonts w:ascii="Arial" w:cs="Arial" w:eastAsia="Arial" w:hAnsi="Arial"/>
          <w:sz w:val="18"/>
          <w:szCs w:val="18"/>
          <w:b w:val="1"/>
          <w:bCs w:val="1"/>
          <w:color w:val="auto"/>
        </w:rPr>
        <w:t>Notes to the Interim Condensed Consolidated and Combined Financial Statements (Unaudited) — (continued)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Derivatives (continued)</w:t>
      </w:r>
    </w:p>
    <w:p>
      <w:pPr>
        <w:spacing w:after="0" w:line="364"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following table presents the effects of derivatives in cash flow hedging relationships on the consolidated and combined statements of operations and comprehensive income (loss) and the consolidated and combined statements of equity:</w:t>
      </w:r>
    </w:p>
    <w:p>
      <w:pPr>
        <w:sectPr>
          <w:pgSz w:w="11900" w:h="16838" w:orient="portrait"/>
          <w:cols w:equalWidth="0" w:num="1">
            <w:col w:w="11420"/>
          </w:cols>
          <w:pgMar w:left="240" w:top="234" w:right="239" w:bottom="1440" w:gutter="0" w:footer="0" w:header="0"/>
        </w:sectPr>
      </w:pPr>
    </w:p>
    <w:p>
      <w:pPr>
        <w:spacing w:after="0" w:line="200" w:lineRule="exact"/>
        <w:rPr>
          <w:sz w:val="20"/>
          <w:szCs w:val="20"/>
          <w:color w:val="auto"/>
        </w:rPr>
      </w:pPr>
    </w:p>
    <w:p>
      <w:pPr>
        <w:spacing w:after="0" w:line="290"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Derivatives in Cash Flow</w:t>
      </w:r>
    </w:p>
    <w:p>
      <w:pPr>
        <w:ind w:left="40"/>
        <w:spacing w:after="0"/>
        <w:rPr>
          <w:sz w:val="20"/>
          <w:szCs w:val="20"/>
          <w:color w:val="auto"/>
        </w:rPr>
      </w:pPr>
      <w:r>
        <w:rPr>
          <w:rFonts w:ascii="Arial" w:cs="Arial" w:eastAsia="Arial" w:hAnsi="Arial"/>
          <w:sz w:val="13"/>
          <w:szCs w:val="13"/>
          <w:b w:val="1"/>
          <w:bCs w:val="1"/>
          <w:color w:val="auto"/>
        </w:rPr>
        <w:t>Hedging Relationships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312166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12166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40" w:right="1740"/>
        <w:spacing w:after="0" w:line="339" w:lineRule="auto"/>
        <w:rPr>
          <w:sz w:val="20"/>
          <w:szCs w:val="20"/>
          <w:color w:val="auto"/>
        </w:rPr>
      </w:pPr>
      <w:r>
        <w:rPr>
          <w:rFonts w:ascii="Arial" w:cs="Arial" w:eastAsia="Arial" w:hAnsi="Arial"/>
          <w:sz w:val="14"/>
          <w:szCs w:val="14"/>
          <w:b w:val="1"/>
          <w:bCs w:val="1"/>
          <w:color w:val="auto"/>
        </w:rPr>
        <w:t xml:space="preserve">Three Months Ended September 30, 2017 </w:t>
      </w:r>
      <w:r>
        <w:rPr>
          <w:rFonts w:ascii="Arial" w:cs="Arial" w:eastAsia="Arial" w:hAnsi="Arial"/>
          <w:sz w:val="14"/>
          <w:szCs w:val="14"/>
          <w:color w:val="auto"/>
        </w:rPr>
        <w:t>Interest rate swaps</w:t>
      </w:r>
    </w:p>
    <w:p>
      <w:pPr>
        <w:spacing w:after="0" w:line="22" w:lineRule="exact"/>
        <w:rPr>
          <w:sz w:val="20"/>
          <w:szCs w:val="20"/>
          <w:color w:val="auto"/>
        </w:rPr>
      </w:pPr>
    </w:p>
    <w:p>
      <w:pPr>
        <w:ind w:left="40"/>
        <w:spacing w:after="0"/>
        <w:rPr>
          <w:sz w:val="20"/>
          <w:szCs w:val="20"/>
          <w:color w:val="auto"/>
        </w:rPr>
      </w:pPr>
      <w:r>
        <w:rPr>
          <w:rFonts w:ascii="Arial" w:cs="Arial" w:eastAsia="Arial" w:hAnsi="Arial"/>
          <w:sz w:val="14"/>
          <w:szCs w:val="14"/>
          <w:color w:val="auto"/>
        </w:rPr>
        <w:t>Interest rate forwards</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Foreign currency swaps</w:t>
      </w:r>
    </w:p>
    <w:p>
      <w:pPr>
        <w:spacing w:after="0" w:line="109" w:lineRule="exact"/>
        <w:rPr>
          <w:sz w:val="20"/>
          <w:szCs w:val="20"/>
          <w:color w:val="auto"/>
        </w:rPr>
      </w:pPr>
    </w:p>
    <w:p>
      <w:pPr>
        <w:ind w:left="200"/>
        <w:spacing w:after="0"/>
        <w:rPr>
          <w:sz w:val="20"/>
          <w:szCs w:val="20"/>
          <w:color w:val="auto"/>
        </w:rPr>
      </w:pPr>
      <w:r>
        <w:rPr>
          <w:rFonts w:ascii="Arial" w:cs="Arial" w:eastAsia="Arial" w:hAnsi="Arial"/>
          <w:sz w:val="14"/>
          <w:szCs w:val="14"/>
          <w:color w:val="auto"/>
        </w:rPr>
        <w:t>Total</w:t>
      </w:r>
    </w:p>
    <w:p>
      <w:pPr>
        <w:spacing w:after="0" w:line="200" w:lineRule="exact"/>
        <w:rPr>
          <w:sz w:val="20"/>
          <w:szCs w:val="20"/>
          <w:color w:val="auto"/>
        </w:rPr>
      </w:pPr>
    </w:p>
    <w:p>
      <w:pPr>
        <w:ind w:left="40" w:right="1740"/>
        <w:spacing w:after="0" w:line="339" w:lineRule="auto"/>
        <w:rPr>
          <w:sz w:val="20"/>
          <w:szCs w:val="20"/>
          <w:color w:val="auto"/>
        </w:rPr>
      </w:pPr>
      <w:r>
        <w:rPr>
          <w:rFonts w:ascii="Arial" w:cs="Arial" w:eastAsia="Arial" w:hAnsi="Arial"/>
          <w:sz w:val="14"/>
          <w:szCs w:val="14"/>
          <w:b w:val="1"/>
          <w:bCs w:val="1"/>
          <w:color w:val="auto"/>
        </w:rPr>
        <w:t xml:space="preserve">Three Months Ended September 30, 2016 </w:t>
      </w:r>
      <w:r>
        <w:rPr>
          <w:rFonts w:ascii="Arial" w:cs="Arial" w:eastAsia="Arial" w:hAnsi="Arial"/>
          <w:sz w:val="14"/>
          <w:szCs w:val="14"/>
          <w:color w:val="auto"/>
        </w:rPr>
        <w:t>Interest rate swaps</w:t>
      </w:r>
    </w:p>
    <w:p>
      <w:pPr>
        <w:spacing w:after="0" w:line="22" w:lineRule="exact"/>
        <w:rPr>
          <w:sz w:val="20"/>
          <w:szCs w:val="20"/>
          <w:color w:val="auto"/>
        </w:rPr>
      </w:pPr>
    </w:p>
    <w:p>
      <w:pPr>
        <w:ind w:left="40"/>
        <w:spacing w:after="0"/>
        <w:rPr>
          <w:sz w:val="20"/>
          <w:szCs w:val="20"/>
          <w:color w:val="auto"/>
        </w:rPr>
      </w:pPr>
      <w:r>
        <w:rPr>
          <w:rFonts w:ascii="Arial" w:cs="Arial" w:eastAsia="Arial" w:hAnsi="Arial"/>
          <w:sz w:val="14"/>
          <w:szCs w:val="14"/>
          <w:color w:val="auto"/>
        </w:rPr>
        <w:t>Interest rate forwards</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Foreign currency swaps</w:t>
      </w:r>
    </w:p>
    <w:p>
      <w:pPr>
        <w:spacing w:after="0" w:line="109" w:lineRule="exact"/>
        <w:rPr>
          <w:sz w:val="20"/>
          <w:szCs w:val="20"/>
          <w:color w:val="auto"/>
        </w:rPr>
      </w:pPr>
    </w:p>
    <w:p>
      <w:pPr>
        <w:ind w:left="200"/>
        <w:spacing w:after="0"/>
        <w:rPr>
          <w:sz w:val="20"/>
          <w:szCs w:val="20"/>
          <w:color w:val="auto"/>
        </w:rPr>
      </w:pPr>
      <w:r>
        <w:rPr>
          <w:rFonts w:ascii="Arial" w:cs="Arial" w:eastAsia="Arial" w:hAnsi="Arial"/>
          <w:sz w:val="14"/>
          <w:szCs w:val="14"/>
          <w:color w:val="auto"/>
        </w:rPr>
        <w:t>Total</w:t>
      </w:r>
    </w:p>
    <w:p>
      <w:pPr>
        <w:spacing w:after="0" w:line="200"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Nine Months Ended September 30, 2017</w:t>
      </w:r>
    </w:p>
    <w:p>
      <w:pPr>
        <w:spacing w:after="0" w:line="57" w:lineRule="exact"/>
        <w:rPr>
          <w:sz w:val="20"/>
          <w:szCs w:val="20"/>
          <w:color w:val="auto"/>
        </w:rPr>
      </w:pPr>
    </w:p>
    <w:p>
      <w:pPr>
        <w:ind w:left="40"/>
        <w:spacing w:after="0"/>
        <w:rPr>
          <w:sz w:val="20"/>
          <w:szCs w:val="20"/>
          <w:color w:val="auto"/>
        </w:rPr>
      </w:pPr>
      <w:r>
        <w:rPr>
          <w:rFonts w:ascii="Arial" w:cs="Arial" w:eastAsia="Arial" w:hAnsi="Arial"/>
          <w:sz w:val="14"/>
          <w:szCs w:val="14"/>
          <w:color w:val="auto"/>
        </w:rPr>
        <w:t>Interest rate swaps</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Interest rate forwards</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Foreign currency swaps</w:t>
      </w:r>
    </w:p>
    <w:p>
      <w:pPr>
        <w:spacing w:after="0" w:line="109" w:lineRule="exact"/>
        <w:rPr>
          <w:sz w:val="20"/>
          <w:szCs w:val="20"/>
          <w:color w:val="auto"/>
        </w:rPr>
      </w:pPr>
    </w:p>
    <w:p>
      <w:pPr>
        <w:ind w:left="200"/>
        <w:spacing w:after="0"/>
        <w:rPr>
          <w:sz w:val="20"/>
          <w:szCs w:val="20"/>
          <w:color w:val="auto"/>
        </w:rPr>
      </w:pPr>
      <w:r>
        <w:rPr>
          <w:rFonts w:ascii="Arial" w:cs="Arial" w:eastAsia="Arial" w:hAnsi="Arial"/>
          <w:sz w:val="14"/>
          <w:szCs w:val="14"/>
          <w:color w:val="auto"/>
        </w:rPr>
        <w:t>Total</w:t>
      </w:r>
    </w:p>
    <w:p>
      <w:pPr>
        <w:spacing w:after="0" w:line="200"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Nine Months Ended September 30, 2016</w:t>
      </w:r>
    </w:p>
    <w:p>
      <w:pPr>
        <w:spacing w:after="0" w:line="57" w:lineRule="exact"/>
        <w:rPr>
          <w:sz w:val="20"/>
          <w:szCs w:val="20"/>
          <w:color w:val="auto"/>
        </w:rPr>
      </w:pPr>
    </w:p>
    <w:p>
      <w:pPr>
        <w:ind w:left="40"/>
        <w:spacing w:after="0"/>
        <w:rPr>
          <w:sz w:val="20"/>
          <w:szCs w:val="20"/>
          <w:color w:val="auto"/>
        </w:rPr>
      </w:pPr>
      <w:r>
        <w:rPr>
          <w:rFonts w:ascii="Arial" w:cs="Arial" w:eastAsia="Arial" w:hAnsi="Arial"/>
          <w:sz w:val="14"/>
          <w:szCs w:val="14"/>
          <w:color w:val="auto"/>
        </w:rPr>
        <w:t>Interest rate swaps</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Interest rate forwards</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Foreign currency swaps</w:t>
      </w:r>
    </w:p>
    <w:p>
      <w:pPr>
        <w:spacing w:after="0" w:line="109" w:lineRule="exact"/>
        <w:rPr>
          <w:sz w:val="20"/>
          <w:szCs w:val="20"/>
          <w:color w:val="auto"/>
        </w:rPr>
      </w:pPr>
    </w:p>
    <w:p>
      <w:pPr>
        <w:ind w:left="200"/>
        <w:spacing w:after="0"/>
        <w:rPr>
          <w:sz w:val="20"/>
          <w:szCs w:val="20"/>
          <w:color w:val="auto"/>
        </w:rPr>
      </w:pPr>
      <w:r>
        <w:rPr>
          <w:rFonts w:ascii="Arial" w:cs="Arial" w:eastAsia="Arial" w:hAnsi="Arial"/>
          <w:sz w:val="14"/>
          <w:szCs w:val="14"/>
          <w:color w:val="auto"/>
        </w:rPr>
        <w:t>Total</w:t>
      </w:r>
    </w:p>
    <w:p>
      <w:pPr>
        <w:spacing w:after="0" w:line="20" w:lineRule="exact"/>
        <w:rPr>
          <w:sz w:val="20"/>
          <w:szCs w:val="20"/>
          <w:color w:val="auto"/>
        </w:rPr>
      </w:pPr>
      <w:r>
        <w:rPr>
          <w:sz w:val="20"/>
          <w:szCs w:val="20"/>
          <w:color w:val="auto"/>
        </w:rPr>
        <w:br w:type="column"/>
      </w:r>
    </w:p>
    <w:p>
      <w:pPr>
        <w:spacing w:after="0" w:line="18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1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40" w:type="dxa"/>
            <w:vAlign w:val="bottom"/>
            <w:gridSpan w:val="3"/>
          </w:tcPr>
          <w:p>
            <w:pPr>
              <w:jc w:val="center"/>
              <w:ind w:right="80"/>
              <w:spacing w:after="0"/>
              <w:rPr>
                <w:sz w:val="20"/>
                <w:szCs w:val="20"/>
                <w:color w:val="auto"/>
              </w:rPr>
            </w:pPr>
            <w:r>
              <w:rPr>
                <w:rFonts w:ascii="Arial" w:cs="Arial" w:eastAsia="Arial" w:hAnsi="Arial"/>
                <w:sz w:val="13"/>
                <w:szCs w:val="13"/>
                <w:b w:val="1"/>
                <w:bCs w:val="1"/>
                <w:color w:val="auto"/>
                <w:w w:val="89"/>
              </w:rPr>
              <w:t>Amount and Location</w:t>
            </w:r>
          </w:p>
        </w:tc>
        <w:tc>
          <w:tcPr>
            <w:tcW w:w="1800" w:type="dxa"/>
            <w:vAlign w:val="bottom"/>
          </w:tcPr>
          <w:p>
            <w:pPr>
              <w:jc w:val="center"/>
              <w:spacing w:after="0"/>
              <w:rPr>
                <w:sz w:val="20"/>
                <w:szCs w:val="20"/>
                <w:color w:val="auto"/>
              </w:rPr>
            </w:pPr>
            <w:r>
              <w:rPr>
                <w:rFonts w:ascii="Arial" w:cs="Arial" w:eastAsia="Arial" w:hAnsi="Arial"/>
                <w:sz w:val="13"/>
                <w:szCs w:val="13"/>
                <w:b w:val="1"/>
                <w:bCs w:val="1"/>
                <w:color w:val="auto"/>
                <w:w w:val="88"/>
              </w:rPr>
              <w:t>Amount and Location</w:t>
            </w:r>
          </w:p>
        </w:tc>
      </w:tr>
      <w:tr>
        <w:trPr>
          <w:trHeight w:val="135"/>
        </w:trPr>
        <w:tc>
          <w:tcPr>
            <w:tcW w:w="174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87"/>
              </w:rPr>
              <w:t>Amount of Gains</w:t>
            </w:r>
          </w:p>
        </w:tc>
        <w:tc>
          <w:tcPr>
            <w:tcW w:w="2840" w:type="dxa"/>
            <w:vAlign w:val="bottom"/>
            <w:gridSpan w:val="3"/>
          </w:tcPr>
          <w:p>
            <w:pPr>
              <w:jc w:val="center"/>
              <w:ind w:right="80"/>
              <w:spacing w:after="0" w:line="135" w:lineRule="exact"/>
              <w:rPr>
                <w:sz w:val="20"/>
                <w:szCs w:val="20"/>
                <w:color w:val="auto"/>
              </w:rPr>
            </w:pPr>
            <w:r>
              <w:rPr>
                <w:rFonts w:ascii="Arial" w:cs="Arial" w:eastAsia="Arial" w:hAnsi="Arial"/>
                <w:sz w:val="13"/>
                <w:szCs w:val="13"/>
                <w:b w:val="1"/>
                <w:bCs w:val="1"/>
                <w:color w:val="auto"/>
                <w:w w:val="84"/>
              </w:rPr>
              <w:t>of Gains (Losses)</w:t>
            </w:r>
          </w:p>
        </w:tc>
        <w:tc>
          <w:tcPr>
            <w:tcW w:w="18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4"/>
              </w:rPr>
              <w:t>of Gains (Losses)</w:t>
            </w:r>
          </w:p>
        </w:tc>
      </w:tr>
      <w:tr>
        <w:trPr>
          <w:trHeight w:val="135"/>
        </w:trPr>
        <w:tc>
          <w:tcPr>
            <w:tcW w:w="174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85"/>
              </w:rPr>
              <w:t>(Losses) Deferred in</w:t>
            </w:r>
          </w:p>
        </w:tc>
        <w:tc>
          <w:tcPr>
            <w:tcW w:w="2840" w:type="dxa"/>
            <w:vAlign w:val="bottom"/>
            <w:gridSpan w:val="3"/>
          </w:tcPr>
          <w:p>
            <w:pPr>
              <w:jc w:val="center"/>
              <w:ind w:right="80"/>
              <w:spacing w:after="0" w:line="135" w:lineRule="exact"/>
              <w:rPr>
                <w:sz w:val="20"/>
                <w:szCs w:val="20"/>
                <w:color w:val="auto"/>
              </w:rPr>
            </w:pPr>
            <w:r>
              <w:rPr>
                <w:rFonts w:ascii="Arial" w:cs="Arial" w:eastAsia="Arial" w:hAnsi="Arial"/>
                <w:sz w:val="13"/>
                <w:szCs w:val="13"/>
                <w:b w:val="1"/>
                <w:bCs w:val="1"/>
                <w:color w:val="auto"/>
                <w:w w:val="84"/>
              </w:rPr>
              <w:t>Reclassified from</w:t>
            </w:r>
          </w:p>
        </w:tc>
        <w:tc>
          <w:tcPr>
            <w:tcW w:w="18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5"/>
              </w:rPr>
              <w:t>Recognized in Income</w:t>
            </w:r>
          </w:p>
        </w:tc>
      </w:tr>
      <w:tr>
        <w:trPr>
          <w:trHeight w:val="174"/>
        </w:trPr>
        <w:tc>
          <w:tcPr>
            <w:tcW w:w="16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1"/>
              </w:rPr>
              <w:t>AOCI on Derivatives</w:t>
            </w:r>
          </w:p>
        </w:tc>
        <w:tc>
          <w:tcPr>
            <w:tcW w:w="120" w:type="dxa"/>
            <w:vAlign w:val="bottom"/>
          </w:tcPr>
          <w:p>
            <w:pPr>
              <w:spacing w:after="0"/>
              <w:rPr>
                <w:sz w:val="15"/>
                <w:szCs w:val="15"/>
                <w:color w:val="auto"/>
              </w:rPr>
            </w:pPr>
          </w:p>
        </w:tc>
        <w:tc>
          <w:tcPr>
            <w:tcW w:w="2720" w:type="dxa"/>
            <w:vAlign w:val="bottom"/>
            <w:tcBorders>
              <w:bottom w:val="single" w:sz="8" w:color="auto"/>
            </w:tcBorders>
            <w:gridSpan w:val="2"/>
          </w:tcPr>
          <w:p>
            <w:pPr>
              <w:jc w:val="center"/>
              <w:spacing w:after="0"/>
              <w:rPr>
                <w:sz w:val="20"/>
                <w:szCs w:val="20"/>
                <w:color w:val="auto"/>
              </w:rPr>
            </w:pPr>
            <w:r>
              <w:rPr>
                <w:rFonts w:ascii="Arial" w:cs="Arial" w:eastAsia="Arial" w:hAnsi="Arial"/>
                <w:sz w:val="13"/>
                <w:szCs w:val="13"/>
                <w:b w:val="1"/>
                <w:bCs w:val="1"/>
                <w:color w:val="auto"/>
                <w:w w:val="89"/>
              </w:rPr>
              <w:t>AOCI into Income (Loss)</w:t>
            </w:r>
          </w:p>
        </w:tc>
        <w:tc>
          <w:tcPr>
            <w:tcW w:w="120" w:type="dxa"/>
            <w:vAlign w:val="bottom"/>
          </w:tcPr>
          <w:p>
            <w:pPr>
              <w:spacing w:after="0"/>
              <w:rPr>
                <w:sz w:val="15"/>
                <w:szCs w:val="15"/>
                <w:color w:val="auto"/>
              </w:rPr>
            </w:pPr>
          </w:p>
        </w:tc>
        <w:tc>
          <w:tcPr>
            <w:tcW w:w="18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6"/>
              </w:rPr>
              <w:t>(Loss) on Derivatives</w:t>
            </w:r>
          </w:p>
        </w:tc>
      </w:tr>
      <w:tr>
        <w:trPr>
          <w:trHeight w:val="264"/>
        </w:trPr>
        <w:tc>
          <w:tcPr>
            <w:tcW w:w="16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9"/>
              </w:rPr>
              <w:t>(Effective Portion)</w:t>
            </w:r>
          </w:p>
        </w:tc>
        <w:tc>
          <w:tcPr>
            <w:tcW w:w="120" w:type="dxa"/>
            <w:vAlign w:val="bottom"/>
          </w:tcPr>
          <w:p>
            <w:pPr>
              <w:spacing w:after="0"/>
              <w:rPr>
                <w:sz w:val="22"/>
                <w:szCs w:val="22"/>
                <w:color w:val="auto"/>
              </w:rPr>
            </w:pPr>
          </w:p>
        </w:tc>
        <w:tc>
          <w:tcPr>
            <w:tcW w:w="2720" w:type="dxa"/>
            <w:vAlign w:val="bottom"/>
            <w:tcBorders>
              <w:bottom w:val="single" w:sz="8" w:color="auto"/>
            </w:tcBorders>
            <w:gridSpan w:val="2"/>
          </w:tcPr>
          <w:p>
            <w:pPr>
              <w:jc w:val="center"/>
              <w:spacing w:after="0"/>
              <w:rPr>
                <w:sz w:val="20"/>
                <w:szCs w:val="20"/>
                <w:color w:val="auto"/>
              </w:rPr>
            </w:pPr>
            <w:r>
              <w:rPr>
                <w:rFonts w:ascii="Arial" w:cs="Arial" w:eastAsia="Arial" w:hAnsi="Arial"/>
                <w:sz w:val="13"/>
                <w:szCs w:val="13"/>
                <w:b w:val="1"/>
                <w:bCs w:val="1"/>
                <w:color w:val="auto"/>
                <w:w w:val="89"/>
              </w:rPr>
              <w:t>(Effective Portion)</w:t>
            </w:r>
          </w:p>
        </w:tc>
        <w:tc>
          <w:tcPr>
            <w:tcW w:w="120" w:type="dxa"/>
            <w:vAlign w:val="bottom"/>
          </w:tcPr>
          <w:p>
            <w:pPr>
              <w:spacing w:after="0"/>
              <w:rPr>
                <w:sz w:val="22"/>
                <w:szCs w:val="22"/>
                <w:color w:val="auto"/>
              </w:rPr>
            </w:pPr>
          </w:p>
        </w:tc>
        <w:tc>
          <w:tcPr>
            <w:tcW w:w="18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8"/>
              </w:rPr>
              <w:t>(Ineffective Portion)</w:t>
            </w:r>
          </w:p>
        </w:tc>
      </w:tr>
      <w:tr>
        <w:trPr>
          <w:trHeight w:val="144"/>
        </w:trPr>
        <w:tc>
          <w:tcPr>
            <w:tcW w:w="1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ind w:left="240"/>
              <w:spacing w:after="0" w:line="144" w:lineRule="exact"/>
              <w:rPr>
                <w:sz w:val="20"/>
                <w:szCs w:val="20"/>
                <w:color w:val="auto"/>
              </w:rPr>
            </w:pPr>
            <w:r>
              <w:rPr>
                <w:rFonts w:ascii="Arial" w:cs="Arial" w:eastAsia="Arial" w:hAnsi="Arial"/>
                <w:sz w:val="13"/>
                <w:szCs w:val="13"/>
                <w:b w:val="1"/>
                <w:bCs w:val="1"/>
                <w:color w:val="auto"/>
                <w:w w:val="89"/>
              </w:rPr>
              <w:t>Net Derivative</w:t>
            </w:r>
          </w:p>
        </w:tc>
        <w:tc>
          <w:tcPr>
            <w:tcW w:w="1800" w:type="dxa"/>
            <w:vAlign w:val="bottom"/>
            <w:gridSpan w:val="2"/>
          </w:tcPr>
          <w:p>
            <w:pPr>
              <w:jc w:val="center"/>
              <w:ind w:left="157"/>
              <w:spacing w:after="0" w:line="144" w:lineRule="exact"/>
              <w:rPr>
                <w:sz w:val="20"/>
                <w:szCs w:val="20"/>
                <w:color w:val="auto"/>
              </w:rPr>
            </w:pPr>
            <w:r>
              <w:rPr>
                <w:rFonts w:ascii="Arial" w:cs="Arial" w:eastAsia="Arial" w:hAnsi="Arial"/>
                <w:sz w:val="13"/>
                <w:szCs w:val="13"/>
                <w:b w:val="1"/>
                <w:bCs w:val="1"/>
                <w:color w:val="auto"/>
                <w:w w:val="87"/>
              </w:rPr>
              <w:t>Net Investment</w:t>
            </w:r>
          </w:p>
        </w:tc>
        <w:tc>
          <w:tcPr>
            <w:tcW w:w="180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89"/>
              </w:rPr>
              <w:t>Net Derivative</w:t>
            </w:r>
          </w:p>
        </w:tc>
      </w:tr>
      <w:tr>
        <w:trPr>
          <w:trHeight w:val="174"/>
        </w:trPr>
        <w:tc>
          <w:tcPr>
            <w:tcW w:w="1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Borders>
              <w:bottom w:val="single" w:sz="8" w:color="auto"/>
            </w:tcBorders>
          </w:tcPr>
          <w:p>
            <w:pPr>
              <w:ind w:left="240"/>
              <w:spacing w:after="0"/>
              <w:rPr>
                <w:sz w:val="20"/>
                <w:szCs w:val="20"/>
                <w:color w:val="auto"/>
              </w:rPr>
            </w:pPr>
            <w:r>
              <w:rPr>
                <w:rFonts w:ascii="Arial" w:cs="Arial" w:eastAsia="Arial" w:hAnsi="Arial"/>
                <w:sz w:val="13"/>
                <w:szCs w:val="13"/>
                <w:b w:val="1"/>
                <w:bCs w:val="1"/>
                <w:color w:val="auto"/>
                <w:w w:val="83"/>
              </w:rPr>
              <w:t>Gains (Losses)</w:t>
            </w:r>
          </w:p>
        </w:tc>
        <w:tc>
          <w:tcPr>
            <w:tcW w:w="1680" w:type="dxa"/>
            <w:vAlign w:val="bottom"/>
            <w:tcBorders>
              <w:bottom w:val="single" w:sz="8" w:color="auto"/>
            </w:tcBorders>
          </w:tcPr>
          <w:p>
            <w:pPr>
              <w:jc w:val="center"/>
              <w:ind w:left="257"/>
              <w:spacing w:after="0"/>
              <w:rPr>
                <w:sz w:val="20"/>
                <w:szCs w:val="20"/>
                <w:color w:val="auto"/>
              </w:rPr>
            </w:pPr>
            <w:r>
              <w:rPr>
                <w:rFonts w:ascii="Arial" w:cs="Arial" w:eastAsia="Arial" w:hAnsi="Arial"/>
                <w:sz w:val="13"/>
                <w:szCs w:val="13"/>
                <w:b w:val="1"/>
                <w:bCs w:val="1"/>
                <w:color w:val="auto"/>
                <w:w w:val="87"/>
              </w:rPr>
              <w:t>Income</w:t>
            </w:r>
          </w:p>
        </w:tc>
        <w:tc>
          <w:tcPr>
            <w:tcW w:w="120" w:type="dxa"/>
            <w:vAlign w:val="bottom"/>
          </w:tcPr>
          <w:p>
            <w:pPr>
              <w:spacing w:after="0"/>
              <w:rPr>
                <w:sz w:val="15"/>
                <w:szCs w:val="15"/>
                <w:color w:val="auto"/>
              </w:rPr>
            </w:pPr>
          </w:p>
        </w:tc>
        <w:tc>
          <w:tcPr>
            <w:tcW w:w="18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3"/>
              </w:rPr>
              <w:t>Gains (Losses)</w:t>
            </w:r>
          </w:p>
        </w:tc>
      </w:tr>
      <w:tr>
        <w:trPr>
          <w:trHeight w:val="254"/>
        </w:trPr>
        <w:tc>
          <w:tcPr>
            <w:tcW w:w="16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800" w:type="dxa"/>
            <w:vAlign w:val="bottom"/>
            <w:gridSpan w:val="2"/>
          </w:tcPr>
          <w:p>
            <w:pPr>
              <w:jc w:val="center"/>
              <w:ind w:right="1140"/>
              <w:spacing w:after="0"/>
              <w:rPr>
                <w:sz w:val="20"/>
                <w:szCs w:val="20"/>
                <w:color w:val="auto"/>
              </w:rPr>
            </w:pPr>
            <w:r>
              <w:rPr>
                <w:rFonts w:ascii="Arial" w:cs="Arial" w:eastAsia="Arial" w:hAnsi="Arial"/>
                <w:sz w:val="13"/>
                <w:szCs w:val="13"/>
                <w:b w:val="1"/>
                <w:bCs w:val="1"/>
                <w:color w:val="auto"/>
                <w:w w:val="90"/>
              </w:rPr>
              <w:t>(In millions)</w:t>
            </w:r>
          </w:p>
        </w:tc>
        <w:tc>
          <w:tcPr>
            <w:tcW w:w="1800" w:type="dxa"/>
            <w:vAlign w:val="bottom"/>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-3194685</wp:posOffset>
            </wp:positionH>
            <wp:positionV relativeFrom="paragraph">
              <wp:posOffset>10160</wp:posOffset>
            </wp:positionV>
            <wp:extent cx="7246620" cy="1714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680" w:type="dxa"/>
            <w:vAlign w:val="bottom"/>
          </w:tcPr>
          <w:p>
            <w:pPr>
              <w:jc w:val="right"/>
              <w:ind w:right="508"/>
              <w:spacing w:after="0"/>
              <w:rPr>
                <w:sz w:val="20"/>
                <w:szCs w:val="20"/>
                <w:color w:val="auto"/>
              </w:rPr>
            </w:pPr>
            <w:r>
              <w:rPr>
                <w:rFonts w:ascii="Arial" w:cs="Arial" w:eastAsia="Arial" w:hAnsi="Arial"/>
                <w:sz w:val="14"/>
                <w:szCs w:val="14"/>
                <w:color w:val="auto"/>
              </w:rPr>
              <w:t>$</w:t>
            </w:r>
          </w:p>
        </w:tc>
        <w:tc>
          <w:tcPr>
            <w:tcW w:w="10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560" w:type="dxa"/>
            <w:vAlign w:val="bottom"/>
          </w:tcPr>
          <w:p>
            <w:pPr>
              <w:jc w:val="right"/>
              <w:ind w:right="388"/>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600" w:type="dxa"/>
            <w:vAlign w:val="bottom"/>
          </w:tcPr>
          <w:p>
            <w:pPr>
              <w:jc w:val="right"/>
              <w:ind w:right="428"/>
              <w:spacing w:after="0"/>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668"/>
              <w:spacing w:after="0"/>
              <w:rPr>
                <w:sz w:val="20"/>
                <w:szCs w:val="20"/>
                <w:color w:val="auto"/>
              </w:rPr>
            </w:pPr>
            <w:r>
              <w:rPr>
                <w:rFonts w:ascii="Arial" w:cs="Arial" w:eastAsia="Arial" w:hAnsi="Arial"/>
                <w:sz w:val="14"/>
                <w:szCs w:val="14"/>
                <w:color w:val="auto"/>
                <w:w w:val="76"/>
              </w:rPr>
              <w:t>$</w:t>
            </w:r>
          </w:p>
        </w:tc>
        <w:tc>
          <w:tcPr>
            <w:tcW w:w="980" w:type="dxa"/>
            <w:vAlign w:val="bottom"/>
          </w:tcPr>
          <w:p>
            <w:pPr>
              <w:ind w:left="720"/>
              <w:spacing w:after="0"/>
              <w:rPr>
                <w:sz w:val="20"/>
                <w:szCs w:val="20"/>
                <w:color w:val="auto"/>
              </w:rPr>
            </w:pPr>
            <w:r>
              <w:rPr>
                <w:rFonts w:ascii="Arial" w:cs="Arial" w:eastAsia="Arial" w:hAnsi="Arial"/>
                <w:sz w:val="14"/>
                <w:szCs w:val="14"/>
                <w:color w:val="auto"/>
              </w:rPr>
              <w:t>—</w:t>
            </w:r>
          </w:p>
        </w:tc>
      </w:tr>
      <w:tr>
        <w:trPr>
          <w:trHeight w:val="270"/>
        </w:trPr>
        <w:tc>
          <w:tcPr>
            <w:tcW w:w="680" w:type="dxa"/>
            <w:vAlign w:val="bottom"/>
          </w:tcPr>
          <w:p>
            <w:pPr>
              <w:spacing w:after="0"/>
              <w:rPr>
                <w:sz w:val="23"/>
                <w:szCs w:val="23"/>
                <w:color w:val="auto"/>
              </w:rPr>
            </w:pP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600" w:type="dxa"/>
            <w:vAlign w:val="bottom"/>
          </w:tcPr>
          <w:p>
            <w:pPr>
              <w:spacing w:after="0"/>
              <w:rPr>
                <w:sz w:val="23"/>
                <w:szCs w:val="23"/>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980" w:type="dxa"/>
            <w:vAlign w:val="bottom"/>
          </w:tcPr>
          <w:p>
            <w:pPr>
              <w:ind w:left="720"/>
              <w:spacing w:after="0"/>
              <w:rPr>
                <w:sz w:val="20"/>
                <w:szCs w:val="20"/>
                <w:color w:val="auto"/>
              </w:rPr>
            </w:pPr>
            <w:r>
              <w:rPr>
                <w:rFonts w:ascii="Arial" w:cs="Arial" w:eastAsia="Arial" w:hAnsi="Arial"/>
                <w:sz w:val="14"/>
                <w:szCs w:val="14"/>
                <w:color w:val="auto"/>
              </w:rPr>
              <w:t>—</w:t>
            </w:r>
          </w:p>
        </w:tc>
      </w:tr>
      <w:tr>
        <w:trPr>
          <w:trHeight w:val="276"/>
        </w:trPr>
        <w:tc>
          <w:tcPr>
            <w:tcW w:w="6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(53)</w:t>
            </w:r>
          </w:p>
        </w:tc>
        <w:tc>
          <w:tcPr>
            <w:tcW w:w="120" w:type="dxa"/>
            <w:vAlign w:val="bottom"/>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ind w:left="720"/>
              <w:spacing w:after="0"/>
              <w:rPr>
                <w:sz w:val="20"/>
                <w:szCs w:val="20"/>
                <w:color w:val="auto"/>
              </w:rPr>
            </w:pPr>
            <w:r>
              <w:rPr>
                <w:rFonts w:ascii="Arial" w:cs="Arial" w:eastAsia="Arial" w:hAnsi="Arial"/>
                <w:sz w:val="14"/>
                <w:szCs w:val="14"/>
                <w:color w:val="auto"/>
              </w:rPr>
              <w:t>—</w:t>
            </w:r>
          </w:p>
        </w:tc>
      </w:tr>
      <w:tr>
        <w:trPr>
          <w:trHeight w:val="237"/>
        </w:trPr>
        <w:tc>
          <w:tcPr>
            <w:tcW w:w="68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(52)</w:t>
            </w:r>
          </w:p>
        </w:tc>
        <w:tc>
          <w:tcPr>
            <w:tcW w:w="120" w:type="dxa"/>
            <w:vAlign w:val="bottom"/>
          </w:tcPr>
          <w:p>
            <w:pPr>
              <w:spacing w:after="0"/>
              <w:rPr>
                <w:sz w:val="20"/>
                <w:szCs w:val="20"/>
                <w:color w:val="auto"/>
              </w:rPr>
            </w:pPr>
          </w:p>
        </w:tc>
        <w:tc>
          <w:tcPr>
            <w:tcW w:w="56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0"/>
                <w:szCs w:val="20"/>
                <w:color w:val="auto"/>
              </w:rPr>
            </w:pPr>
          </w:p>
        </w:tc>
        <w:tc>
          <w:tcPr>
            <w:tcW w:w="60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20"/>
                <w:szCs w:val="20"/>
                <w:color w:val="auto"/>
              </w:rPr>
            </w:pPr>
          </w:p>
        </w:tc>
        <w:tc>
          <w:tcPr>
            <w:tcW w:w="820" w:type="dxa"/>
            <w:vAlign w:val="bottom"/>
            <w:tcBorders>
              <w:bottom w:val="single" w:sz="8" w:color="auto"/>
            </w:tcBorders>
          </w:tcPr>
          <w:p>
            <w:pPr>
              <w:jc w:val="right"/>
              <w:ind w:right="668"/>
              <w:spacing w:after="0"/>
              <w:rPr>
                <w:sz w:val="20"/>
                <w:szCs w:val="20"/>
                <w:color w:val="auto"/>
              </w:rPr>
            </w:pPr>
            <w:r>
              <w:rPr>
                <w:rFonts w:ascii="Arial" w:cs="Arial" w:eastAsia="Arial" w:hAnsi="Arial"/>
                <w:sz w:val="14"/>
                <w:szCs w:val="14"/>
                <w:color w:val="auto"/>
                <w:w w:val="76"/>
              </w:rPr>
              <w:t>$</w:t>
            </w:r>
          </w:p>
        </w:tc>
        <w:tc>
          <w:tcPr>
            <w:tcW w:w="980" w:type="dxa"/>
            <w:vAlign w:val="bottom"/>
            <w:tcBorders>
              <w:bottom w:val="single" w:sz="8" w:color="auto"/>
            </w:tcBorders>
          </w:tcPr>
          <w:p>
            <w:pPr>
              <w:ind w:left="720"/>
              <w:spacing w:after="0"/>
              <w:rPr>
                <w:sz w:val="20"/>
                <w:szCs w:val="20"/>
                <w:color w:val="auto"/>
              </w:rPr>
            </w:pPr>
            <w:r>
              <w:rPr>
                <w:rFonts w:ascii="Arial" w:cs="Arial" w:eastAsia="Arial" w:hAnsi="Arial"/>
                <w:sz w:val="14"/>
                <w:szCs w:val="14"/>
                <w:color w:val="auto"/>
              </w:rPr>
              <w:t>—</w:t>
            </w:r>
          </w:p>
        </w:tc>
      </w:tr>
      <w:tr>
        <w:trPr>
          <w:trHeight w:val="20"/>
        </w:trPr>
        <w:tc>
          <w:tcPr>
            <w:tcW w:w="6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515"/>
        </w:trPr>
        <w:tc>
          <w:tcPr>
            <w:tcW w:w="680" w:type="dxa"/>
            <w:vAlign w:val="bottom"/>
          </w:tcPr>
          <w:p>
            <w:pPr>
              <w:jc w:val="right"/>
              <w:ind w:right="50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24"/>
                <w:szCs w:val="24"/>
                <w:color w:val="auto"/>
              </w:rPr>
            </w:pPr>
          </w:p>
        </w:tc>
        <w:tc>
          <w:tcPr>
            <w:tcW w:w="560" w:type="dxa"/>
            <w:vAlign w:val="bottom"/>
          </w:tcPr>
          <w:p>
            <w:pPr>
              <w:jc w:val="right"/>
              <w:ind w:right="388"/>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600" w:type="dxa"/>
            <w:vAlign w:val="bottom"/>
          </w:tcPr>
          <w:p>
            <w:pPr>
              <w:jc w:val="right"/>
              <w:ind w:right="428"/>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24"/>
                <w:szCs w:val="24"/>
                <w:color w:val="auto"/>
              </w:rPr>
            </w:pPr>
          </w:p>
        </w:tc>
        <w:tc>
          <w:tcPr>
            <w:tcW w:w="820" w:type="dxa"/>
            <w:vAlign w:val="bottom"/>
          </w:tcPr>
          <w:p>
            <w:pPr>
              <w:jc w:val="right"/>
              <w:ind w:right="668"/>
              <w:spacing w:after="0"/>
              <w:rPr>
                <w:sz w:val="20"/>
                <w:szCs w:val="20"/>
                <w:color w:val="auto"/>
              </w:rPr>
            </w:pPr>
            <w:r>
              <w:rPr>
                <w:rFonts w:ascii="Arial" w:cs="Arial" w:eastAsia="Arial" w:hAnsi="Arial"/>
                <w:sz w:val="14"/>
                <w:szCs w:val="14"/>
                <w:color w:val="auto"/>
                <w:w w:val="76"/>
              </w:rPr>
              <w:t>$</w:t>
            </w:r>
          </w:p>
        </w:tc>
        <w:tc>
          <w:tcPr>
            <w:tcW w:w="980" w:type="dxa"/>
            <w:vAlign w:val="bottom"/>
          </w:tcPr>
          <w:p>
            <w:pPr>
              <w:ind w:left="720"/>
              <w:spacing w:after="0"/>
              <w:rPr>
                <w:sz w:val="20"/>
                <w:szCs w:val="20"/>
                <w:color w:val="auto"/>
              </w:rPr>
            </w:pPr>
            <w:r>
              <w:rPr>
                <w:rFonts w:ascii="Arial" w:cs="Arial" w:eastAsia="Arial" w:hAnsi="Arial"/>
                <w:sz w:val="14"/>
                <w:szCs w:val="14"/>
                <w:color w:val="auto"/>
              </w:rPr>
              <w:t>—</w:t>
            </w:r>
          </w:p>
        </w:tc>
      </w:tr>
      <w:tr>
        <w:trPr>
          <w:trHeight w:val="270"/>
        </w:trPr>
        <w:tc>
          <w:tcPr>
            <w:tcW w:w="680" w:type="dxa"/>
            <w:vAlign w:val="bottom"/>
          </w:tcPr>
          <w:p>
            <w:pPr>
              <w:spacing w:after="0"/>
              <w:rPr>
                <w:sz w:val="23"/>
                <w:szCs w:val="23"/>
                <w:color w:val="auto"/>
              </w:rPr>
            </w:pP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980" w:type="dxa"/>
            <w:vAlign w:val="bottom"/>
          </w:tcPr>
          <w:p>
            <w:pPr>
              <w:ind w:left="720"/>
              <w:spacing w:after="0"/>
              <w:rPr>
                <w:sz w:val="20"/>
                <w:szCs w:val="20"/>
                <w:color w:val="auto"/>
              </w:rPr>
            </w:pPr>
            <w:r>
              <w:rPr>
                <w:rFonts w:ascii="Arial" w:cs="Arial" w:eastAsia="Arial" w:hAnsi="Arial"/>
                <w:sz w:val="14"/>
                <w:szCs w:val="14"/>
                <w:color w:val="auto"/>
              </w:rPr>
              <w:t>—</w:t>
            </w:r>
          </w:p>
        </w:tc>
      </w:tr>
      <w:tr>
        <w:trPr>
          <w:trHeight w:val="276"/>
        </w:trPr>
        <w:tc>
          <w:tcPr>
            <w:tcW w:w="68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(19)</w:t>
            </w: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5</w:t>
            </w: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20" w:type="dxa"/>
            <w:vAlign w:val="bottom"/>
          </w:tcPr>
          <w:p>
            <w:pPr>
              <w:spacing w:after="0"/>
              <w:rPr>
                <w:sz w:val="24"/>
                <w:szCs w:val="24"/>
                <w:color w:val="auto"/>
              </w:rPr>
            </w:pPr>
          </w:p>
        </w:tc>
        <w:tc>
          <w:tcPr>
            <w:tcW w:w="980" w:type="dxa"/>
            <w:vAlign w:val="bottom"/>
          </w:tcPr>
          <w:p>
            <w:pPr>
              <w:ind w:left="720"/>
              <w:spacing w:after="0"/>
              <w:rPr>
                <w:sz w:val="20"/>
                <w:szCs w:val="20"/>
                <w:color w:val="auto"/>
              </w:rPr>
            </w:pPr>
            <w:r>
              <w:rPr>
                <w:rFonts w:ascii="Arial" w:cs="Arial" w:eastAsia="Arial" w:hAnsi="Arial"/>
                <w:sz w:val="14"/>
                <w:szCs w:val="14"/>
                <w:color w:val="auto"/>
              </w:rPr>
              <w:t>—</w:t>
            </w:r>
          </w:p>
        </w:tc>
      </w:tr>
      <w:tr>
        <w:trPr>
          <w:trHeight w:val="237"/>
        </w:trPr>
        <w:tc>
          <w:tcPr>
            <w:tcW w:w="680" w:type="dxa"/>
            <w:vAlign w:val="bottom"/>
            <w:tcBorders>
              <w:top w:val="single" w:sz="8" w:color="auto"/>
              <w:bottom w:val="single" w:sz="8" w:color="auto"/>
            </w:tcBorders>
          </w:tcPr>
          <w:p>
            <w:pPr>
              <w:jc w:val="right"/>
              <w:ind w:right="508"/>
              <w:spacing w:after="0"/>
              <w:rPr>
                <w:sz w:val="20"/>
                <w:szCs w:val="20"/>
                <w:color w:val="auto"/>
              </w:rPr>
            </w:pPr>
            <w:r>
              <w:rPr>
                <w:rFonts w:ascii="Arial" w:cs="Arial" w:eastAsia="Arial" w:hAnsi="Arial"/>
                <w:sz w:val="14"/>
                <w:szCs w:val="14"/>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(16)</w:t>
            </w:r>
          </w:p>
        </w:tc>
        <w:tc>
          <w:tcPr>
            <w:tcW w:w="120" w:type="dxa"/>
            <w:vAlign w:val="bottom"/>
          </w:tcPr>
          <w:p>
            <w:pPr>
              <w:spacing w:after="0"/>
              <w:rPr>
                <w:sz w:val="20"/>
                <w:szCs w:val="20"/>
                <w:color w:val="auto"/>
              </w:rPr>
            </w:pPr>
          </w:p>
        </w:tc>
        <w:tc>
          <w:tcPr>
            <w:tcW w:w="560" w:type="dxa"/>
            <w:vAlign w:val="bottom"/>
            <w:tcBorders>
              <w:top w:val="single" w:sz="8" w:color="auto"/>
              <w:bottom w:val="single" w:sz="8" w:color="auto"/>
            </w:tcBorders>
          </w:tcPr>
          <w:p>
            <w:pPr>
              <w:jc w:val="right"/>
              <w:ind w:right="388"/>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6</w:t>
            </w:r>
          </w:p>
        </w:tc>
        <w:tc>
          <w:tcPr>
            <w:tcW w:w="120" w:type="dxa"/>
            <w:vAlign w:val="bottom"/>
          </w:tcPr>
          <w:p>
            <w:pPr>
              <w:spacing w:after="0"/>
              <w:rPr>
                <w:sz w:val="20"/>
                <w:szCs w:val="20"/>
                <w:color w:val="auto"/>
              </w:rPr>
            </w:pPr>
          </w:p>
        </w:tc>
        <w:tc>
          <w:tcPr>
            <w:tcW w:w="600" w:type="dxa"/>
            <w:vAlign w:val="bottom"/>
            <w:tcBorders>
              <w:top w:val="single" w:sz="8" w:color="auto"/>
              <w:bottom w:val="single" w:sz="8" w:color="auto"/>
            </w:tcBorders>
          </w:tcPr>
          <w:p>
            <w:pPr>
              <w:jc w:val="right"/>
              <w:ind w:right="428"/>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20"/>
                <w:szCs w:val="20"/>
                <w:color w:val="auto"/>
              </w:rPr>
            </w:pPr>
          </w:p>
        </w:tc>
        <w:tc>
          <w:tcPr>
            <w:tcW w:w="820" w:type="dxa"/>
            <w:vAlign w:val="bottom"/>
            <w:tcBorders>
              <w:top w:val="single" w:sz="8" w:color="auto"/>
              <w:bottom w:val="single" w:sz="8" w:color="auto"/>
            </w:tcBorders>
          </w:tcPr>
          <w:p>
            <w:pPr>
              <w:jc w:val="right"/>
              <w:ind w:right="668"/>
              <w:spacing w:after="0"/>
              <w:rPr>
                <w:sz w:val="20"/>
                <w:szCs w:val="20"/>
                <w:color w:val="auto"/>
              </w:rPr>
            </w:pPr>
            <w:r>
              <w:rPr>
                <w:rFonts w:ascii="Arial" w:cs="Arial" w:eastAsia="Arial" w:hAnsi="Arial"/>
                <w:sz w:val="14"/>
                <w:szCs w:val="14"/>
                <w:color w:val="auto"/>
                <w:w w:val="76"/>
              </w:rPr>
              <w:t>$</w:t>
            </w:r>
          </w:p>
        </w:tc>
        <w:tc>
          <w:tcPr>
            <w:tcW w:w="980" w:type="dxa"/>
            <w:vAlign w:val="bottom"/>
            <w:tcBorders>
              <w:top w:val="single" w:sz="8" w:color="auto"/>
              <w:bottom w:val="single" w:sz="8" w:color="auto"/>
            </w:tcBorders>
          </w:tcPr>
          <w:p>
            <w:pPr>
              <w:ind w:left="720"/>
              <w:spacing w:after="0"/>
              <w:rPr>
                <w:sz w:val="20"/>
                <w:szCs w:val="20"/>
                <w:color w:val="auto"/>
              </w:rPr>
            </w:pPr>
            <w:r>
              <w:rPr>
                <w:rFonts w:ascii="Arial" w:cs="Arial" w:eastAsia="Arial" w:hAnsi="Arial"/>
                <w:sz w:val="14"/>
                <w:szCs w:val="14"/>
                <w:color w:val="auto"/>
              </w:rPr>
              <w:t>—</w:t>
            </w:r>
          </w:p>
        </w:tc>
      </w:tr>
      <w:tr>
        <w:trPr>
          <w:trHeight w:val="20"/>
        </w:trPr>
        <w:tc>
          <w:tcPr>
            <w:tcW w:w="6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515"/>
        </w:trPr>
        <w:tc>
          <w:tcPr>
            <w:tcW w:w="680" w:type="dxa"/>
            <w:vAlign w:val="bottom"/>
          </w:tcPr>
          <w:p>
            <w:pPr>
              <w:jc w:val="right"/>
              <w:ind w:right="50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24"/>
                <w:szCs w:val="24"/>
                <w:color w:val="auto"/>
              </w:rPr>
            </w:pPr>
          </w:p>
        </w:tc>
        <w:tc>
          <w:tcPr>
            <w:tcW w:w="560" w:type="dxa"/>
            <w:vAlign w:val="bottom"/>
          </w:tcPr>
          <w:p>
            <w:pPr>
              <w:jc w:val="right"/>
              <w:ind w:right="388"/>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600" w:type="dxa"/>
            <w:vAlign w:val="bottom"/>
          </w:tcPr>
          <w:p>
            <w:pPr>
              <w:jc w:val="right"/>
              <w:ind w:right="428"/>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24"/>
                <w:szCs w:val="24"/>
                <w:color w:val="auto"/>
              </w:rPr>
            </w:pPr>
          </w:p>
        </w:tc>
        <w:tc>
          <w:tcPr>
            <w:tcW w:w="820" w:type="dxa"/>
            <w:vAlign w:val="bottom"/>
          </w:tcPr>
          <w:p>
            <w:pPr>
              <w:jc w:val="right"/>
              <w:ind w:right="668"/>
              <w:spacing w:after="0"/>
              <w:rPr>
                <w:sz w:val="20"/>
                <w:szCs w:val="20"/>
                <w:color w:val="auto"/>
              </w:rPr>
            </w:pPr>
            <w:r>
              <w:rPr>
                <w:rFonts w:ascii="Arial" w:cs="Arial" w:eastAsia="Arial" w:hAnsi="Arial"/>
                <w:sz w:val="14"/>
                <w:szCs w:val="14"/>
                <w:color w:val="auto"/>
                <w:w w:val="76"/>
              </w:rPr>
              <w:t>$</w:t>
            </w:r>
          </w:p>
        </w:tc>
        <w:tc>
          <w:tcPr>
            <w:tcW w:w="980" w:type="dxa"/>
            <w:vAlign w:val="bottom"/>
          </w:tcPr>
          <w:p>
            <w:pPr>
              <w:ind w:left="720"/>
              <w:spacing w:after="0"/>
              <w:rPr>
                <w:sz w:val="20"/>
                <w:szCs w:val="20"/>
                <w:color w:val="auto"/>
              </w:rPr>
            </w:pPr>
            <w:r>
              <w:rPr>
                <w:rFonts w:ascii="Arial" w:cs="Arial" w:eastAsia="Arial" w:hAnsi="Arial"/>
                <w:sz w:val="14"/>
                <w:szCs w:val="14"/>
                <w:color w:val="auto"/>
              </w:rPr>
              <w:t>—</w:t>
            </w:r>
          </w:p>
        </w:tc>
      </w:tr>
      <w:tr>
        <w:trPr>
          <w:trHeight w:val="270"/>
        </w:trPr>
        <w:tc>
          <w:tcPr>
            <w:tcW w:w="680" w:type="dxa"/>
            <w:vAlign w:val="bottom"/>
          </w:tcPr>
          <w:p>
            <w:pPr>
              <w:spacing w:after="0"/>
              <w:rPr>
                <w:sz w:val="23"/>
                <w:szCs w:val="23"/>
                <w:color w:val="auto"/>
              </w:rPr>
            </w:pP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980" w:type="dxa"/>
            <w:vAlign w:val="bottom"/>
          </w:tcPr>
          <w:p>
            <w:pPr>
              <w:ind w:left="720"/>
              <w:spacing w:after="0"/>
              <w:rPr>
                <w:sz w:val="20"/>
                <w:szCs w:val="20"/>
                <w:color w:val="auto"/>
              </w:rPr>
            </w:pPr>
            <w:r>
              <w:rPr>
                <w:rFonts w:ascii="Arial" w:cs="Arial" w:eastAsia="Arial" w:hAnsi="Arial"/>
                <w:sz w:val="14"/>
                <w:szCs w:val="14"/>
                <w:color w:val="auto"/>
              </w:rPr>
              <w:t>—</w:t>
            </w:r>
          </w:p>
        </w:tc>
      </w:tr>
      <w:tr>
        <w:trPr>
          <w:trHeight w:val="276"/>
        </w:trPr>
        <w:tc>
          <w:tcPr>
            <w:tcW w:w="68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(107)</w:t>
            </w: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11</w:t>
            </w: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20" w:type="dxa"/>
            <w:vAlign w:val="bottom"/>
          </w:tcPr>
          <w:p>
            <w:pPr>
              <w:spacing w:after="0"/>
              <w:rPr>
                <w:sz w:val="24"/>
                <w:szCs w:val="24"/>
                <w:color w:val="auto"/>
              </w:rPr>
            </w:pPr>
          </w:p>
        </w:tc>
        <w:tc>
          <w:tcPr>
            <w:tcW w:w="980" w:type="dxa"/>
            <w:vAlign w:val="bottom"/>
          </w:tcPr>
          <w:p>
            <w:pPr>
              <w:ind w:left="720"/>
              <w:spacing w:after="0"/>
              <w:rPr>
                <w:sz w:val="20"/>
                <w:szCs w:val="20"/>
                <w:color w:val="auto"/>
              </w:rPr>
            </w:pPr>
            <w:r>
              <w:rPr>
                <w:rFonts w:ascii="Arial" w:cs="Arial" w:eastAsia="Arial" w:hAnsi="Arial"/>
                <w:sz w:val="14"/>
                <w:szCs w:val="14"/>
                <w:color w:val="auto"/>
              </w:rPr>
              <w:t>—</w:t>
            </w:r>
          </w:p>
        </w:tc>
      </w:tr>
      <w:tr>
        <w:trPr>
          <w:trHeight w:val="237"/>
        </w:trPr>
        <w:tc>
          <w:tcPr>
            <w:tcW w:w="680" w:type="dxa"/>
            <w:vAlign w:val="bottom"/>
            <w:tcBorders>
              <w:top w:val="single" w:sz="8" w:color="auto"/>
              <w:bottom w:val="single" w:sz="8" w:color="auto"/>
            </w:tcBorders>
          </w:tcPr>
          <w:p>
            <w:pPr>
              <w:jc w:val="right"/>
              <w:ind w:right="508"/>
              <w:spacing w:after="0"/>
              <w:rPr>
                <w:sz w:val="20"/>
                <w:szCs w:val="20"/>
                <w:color w:val="auto"/>
              </w:rPr>
            </w:pPr>
            <w:r>
              <w:rPr>
                <w:rFonts w:ascii="Arial" w:cs="Arial" w:eastAsia="Arial" w:hAnsi="Arial"/>
                <w:sz w:val="14"/>
                <w:szCs w:val="14"/>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(104)</w:t>
            </w:r>
          </w:p>
        </w:tc>
        <w:tc>
          <w:tcPr>
            <w:tcW w:w="120" w:type="dxa"/>
            <w:vAlign w:val="bottom"/>
          </w:tcPr>
          <w:p>
            <w:pPr>
              <w:spacing w:after="0"/>
              <w:rPr>
                <w:sz w:val="20"/>
                <w:szCs w:val="20"/>
                <w:color w:val="auto"/>
              </w:rPr>
            </w:pPr>
          </w:p>
        </w:tc>
        <w:tc>
          <w:tcPr>
            <w:tcW w:w="560" w:type="dxa"/>
            <w:vAlign w:val="bottom"/>
            <w:tcBorders>
              <w:top w:val="single" w:sz="8" w:color="auto"/>
              <w:bottom w:val="single" w:sz="8" w:color="auto"/>
            </w:tcBorders>
          </w:tcPr>
          <w:p>
            <w:pPr>
              <w:jc w:val="right"/>
              <w:ind w:right="388"/>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13</w:t>
            </w:r>
          </w:p>
        </w:tc>
        <w:tc>
          <w:tcPr>
            <w:tcW w:w="120" w:type="dxa"/>
            <w:vAlign w:val="bottom"/>
          </w:tcPr>
          <w:p>
            <w:pPr>
              <w:spacing w:after="0"/>
              <w:rPr>
                <w:sz w:val="20"/>
                <w:szCs w:val="20"/>
                <w:color w:val="auto"/>
              </w:rPr>
            </w:pPr>
          </w:p>
        </w:tc>
        <w:tc>
          <w:tcPr>
            <w:tcW w:w="600" w:type="dxa"/>
            <w:vAlign w:val="bottom"/>
            <w:tcBorders>
              <w:top w:val="single" w:sz="8" w:color="auto"/>
              <w:bottom w:val="single" w:sz="8" w:color="auto"/>
            </w:tcBorders>
          </w:tcPr>
          <w:p>
            <w:pPr>
              <w:jc w:val="right"/>
              <w:ind w:right="428"/>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4</w:t>
            </w:r>
          </w:p>
        </w:tc>
        <w:tc>
          <w:tcPr>
            <w:tcW w:w="120" w:type="dxa"/>
            <w:vAlign w:val="bottom"/>
          </w:tcPr>
          <w:p>
            <w:pPr>
              <w:spacing w:after="0"/>
              <w:rPr>
                <w:sz w:val="20"/>
                <w:szCs w:val="20"/>
                <w:color w:val="auto"/>
              </w:rPr>
            </w:pPr>
          </w:p>
        </w:tc>
        <w:tc>
          <w:tcPr>
            <w:tcW w:w="820" w:type="dxa"/>
            <w:vAlign w:val="bottom"/>
            <w:tcBorders>
              <w:top w:val="single" w:sz="8" w:color="auto"/>
              <w:bottom w:val="single" w:sz="8" w:color="auto"/>
            </w:tcBorders>
          </w:tcPr>
          <w:p>
            <w:pPr>
              <w:jc w:val="right"/>
              <w:ind w:right="668"/>
              <w:spacing w:after="0"/>
              <w:rPr>
                <w:sz w:val="20"/>
                <w:szCs w:val="20"/>
                <w:color w:val="auto"/>
              </w:rPr>
            </w:pPr>
            <w:r>
              <w:rPr>
                <w:rFonts w:ascii="Arial" w:cs="Arial" w:eastAsia="Arial" w:hAnsi="Arial"/>
                <w:sz w:val="14"/>
                <w:szCs w:val="14"/>
                <w:color w:val="auto"/>
                <w:w w:val="76"/>
              </w:rPr>
              <w:t>$</w:t>
            </w:r>
          </w:p>
        </w:tc>
        <w:tc>
          <w:tcPr>
            <w:tcW w:w="980" w:type="dxa"/>
            <w:vAlign w:val="bottom"/>
            <w:tcBorders>
              <w:top w:val="single" w:sz="8" w:color="auto"/>
              <w:bottom w:val="single" w:sz="8" w:color="auto"/>
            </w:tcBorders>
          </w:tcPr>
          <w:p>
            <w:pPr>
              <w:ind w:left="720"/>
              <w:spacing w:after="0"/>
              <w:rPr>
                <w:sz w:val="20"/>
                <w:szCs w:val="20"/>
                <w:color w:val="auto"/>
              </w:rPr>
            </w:pPr>
            <w:r>
              <w:rPr>
                <w:rFonts w:ascii="Arial" w:cs="Arial" w:eastAsia="Arial" w:hAnsi="Arial"/>
                <w:sz w:val="14"/>
                <w:szCs w:val="14"/>
                <w:color w:val="auto"/>
              </w:rPr>
              <w:t>—</w:t>
            </w:r>
          </w:p>
        </w:tc>
      </w:tr>
      <w:tr>
        <w:trPr>
          <w:trHeight w:val="20"/>
        </w:trPr>
        <w:tc>
          <w:tcPr>
            <w:tcW w:w="6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515"/>
        </w:trPr>
        <w:tc>
          <w:tcPr>
            <w:tcW w:w="680" w:type="dxa"/>
            <w:vAlign w:val="bottom"/>
          </w:tcPr>
          <w:p>
            <w:pPr>
              <w:jc w:val="right"/>
              <w:ind w:right="50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37</w:t>
            </w:r>
          </w:p>
        </w:tc>
        <w:tc>
          <w:tcPr>
            <w:tcW w:w="120" w:type="dxa"/>
            <w:vAlign w:val="bottom"/>
          </w:tcPr>
          <w:p>
            <w:pPr>
              <w:spacing w:after="0"/>
              <w:rPr>
                <w:sz w:val="24"/>
                <w:szCs w:val="24"/>
                <w:color w:val="auto"/>
              </w:rPr>
            </w:pPr>
          </w:p>
        </w:tc>
        <w:tc>
          <w:tcPr>
            <w:tcW w:w="560" w:type="dxa"/>
            <w:vAlign w:val="bottom"/>
          </w:tcPr>
          <w:p>
            <w:pPr>
              <w:jc w:val="right"/>
              <w:ind w:right="388"/>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12</w:t>
            </w:r>
          </w:p>
        </w:tc>
        <w:tc>
          <w:tcPr>
            <w:tcW w:w="120" w:type="dxa"/>
            <w:vAlign w:val="bottom"/>
          </w:tcPr>
          <w:p>
            <w:pPr>
              <w:spacing w:after="0"/>
              <w:rPr>
                <w:sz w:val="24"/>
                <w:szCs w:val="24"/>
                <w:color w:val="auto"/>
              </w:rPr>
            </w:pPr>
          </w:p>
        </w:tc>
        <w:tc>
          <w:tcPr>
            <w:tcW w:w="600" w:type="dxa"/>
            <w:vAlign w:val="bottom"/>
          </w:tcPr>
          <w:p>
            <w:pPr>
              <w:jc w:val="right"/>
              <w:ind w:right="428"/>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24"/>
                <w:szCs w:val="24"/>
                <w:color w:val="auto"/>
              </w:rPr>
            </w:pPr>
          </w:p>
        </w:tc>
        <w:tc>
          <w:tcPr>
            <w:tcW w:w="820" w:type="dxa"/>
            <w:vAlign w:val="bottom"/>
          </w:tcPr>
          <w:p>
            <w:pPr>
              <w:jc w:val="right"/>
              <w:ind w:right="668"/>
              <w:spacing w:after="0"/>
              <w:rPr>
                <w:sz w:val="20"/>
                <w:szCs w:val="20"/>
                <w:color w:val="auto"/>
              </w:rPr>
            </w:pPr>
            <w:r>
              <w:rPr>
                <w:rFonts w:ascii="Arial" w:cs="Arial" w:eastAsia="Arial" w:hAnsi="Arial"/>
                <w:sz w:val="14"/>
                <w:szCs w:val="14"/>
                <w:color w:val="auto"/>
                <w:w w:val="76"/>
              </w:rPr>
              <w:t>$</w:t>
            </w:r>
          </w:p>
        </w:tc>
        <w:tc>
          <w:tcPr>
            <w:tcW w:w="980" w:type="dxa"/>
            <w:vAlign w:val="bottom"/>
          </w:tcPr>
          <w:p>
            <w:pPr>
              <w:ind w:left="720"/>
              <w:spacing w:after="0"/>
              <w:rPr>
                <w:sz w:val="20"/>
                <w:szCs w:val="20"/>
                <w:color w:val="auto"/>
              </w:rPr>
            </w:pPr>
            <w:r>
              <w:rPr>
                <w:rFonts w:ascii="Arial" w:cs="Arial" w:eastAsia="Arial" w:hAnsi="Arial"/>
                <w:sz w:val="14"/>
                <w:szCs w:val="14"/>
                <w:color w:val="auto"/>
              </w:rPr>
              <w:t>—</w:t>
            </w:r>
          </w:p>
        </w:tc>
      </w:tr>
      <w:tr>
        <w:trPr>
          <w:trHeight w:val="270"/>
        </w:trPr>
        <w:tc>
          <w:tcPr>
            <w:tcW w:w="680" w:type="dxa"/>
            <w:vAlign w:val="bottom"/>
          </w:tcPr>
          <w:p>
            <w:pPr>
              <w:spacing w:after="0"/>
              <w:rPr>
                <w:sz w:val="23"/>
                <w:szCs w:val="23"/>
                <w:color w:val="auto"/>
              </w:rPr>
            </w:pP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9</w:t>
            </w:r>
          </w:p>
        </w:tc>
        <w:tc>
          <w:tcPr>
            <w:tcW w:w="1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980" w:type="dxa"/>
            <w:vAlign w:val="bottom"/>
          </w:tcPr>
          <w:p>
            <w:pPr>
              <w:ind w:left="720"/>
              <w:spacing w:after="0"/>
              <w:rPr>
                <w:sz w:val="20"/>
                <w:szCs w:val="20"/>
                <w:color w:val="auto"/>
              </w:rPr>
            </w:pPr>
            <w:r>
              <w:rPr>
                <w:rFonts w:ascii="Arial" w:cs="Arial" w:eastAsia="Arial" w:hAnsi="Arial"/>
                <w:sz w:val="14"/>
                <w:szCs w:val="14"/>
                <w:color w:val="auto"/>
              </w:rPr>
              <w:t>—</w:t>
            </w:r>
          </w:p>
        </w:tc>
      </w:tr>
      <w:tr>
        <w:trPr>
          <w:trHeight w:val="276"/>
        </w:trPr>
        <w:tc>
          <w:tcPr>
            <w:tcW w:w="680" w:type="dxa"/>
            <w:vAlign w:val="bottom"/>
          </w:tcPr>
          <w:p>
            <w:pPr>
              <w:spacing w:after="0"/>
              <w:rPr>
                <w:sz w:val="24"/>
                <w:szCs w:val="24"/>
                <w:color w:val="auto"/>
              </w:rPr>
            </w:pP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29</w:t>
            </w: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6</w:t>
            </w: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20" w:type="dxa"/>
            <w:vAlign w:val="bottom"/>
          </w:tcPr>
          <w:p>
            <w:pPr>
              <w:spacing w:after="0"/>
              <w:rPr>
                <w:sz w:val="24"/>
                <w:szCs w:val="24"/>
                <w:color w:val="auto"/>
              </w:rPr>
            </w:pPr>
          </w:p>
        </w:tc>
        <w:tc>
          <w:tcPr>
            <w:tcW w:w="980" w:type="dxa"/>
            <w:vAlign w:val="bottom"/>
          </w:tcPr>
          <w:p>
            <w:pPr>
              <w:ind w:left="720"/>
              <w:spacing w:after="0"/>
              <w:rPr>
                <w:sz w:val="20"/>
                <w:szCs w:val="20"/>
                <w:color w:val="auto"/>
              </w:rPr>
            </w:pPr>
            <w:r>
              <w:rPr>
                <w:rFonts w:ascii="Arial" w:cs="Arial" w:eastAsia="Arial" w:hAnsi="Arial"/>
                <w:sz w:val="14"/>
                <w:szCs w:val="14"/>
                <w:color w:val="auto"/>
              </w:rPr>
              <w:t>—</w:t>
            </w:r>
          </w:p>
        </w:tc>
      </w:tr>
      <w:tr>
        <w:trPr>
          <w:trHeight w:val="237"/>
        </w:trPr>
        <w:tc>
          <w:tcPr>
            <w:tcW w:w="680" w:type="dxa"/>
            <w:vAlign w:val="bottom"/>
            <w:tcBorders>
              <w:top w:val="single" w:sz="8" w:color="auto"/>
              <w:bottom w:val="single" w:sz="8" w:color="auto"/>
            </w:tcBorders>
          </w:tcPr>
          <w:p>
            <w:pPr>
              <w:jc w:val="right"/>
              <w:ind w:right="508"/>
              <w:spacing w:after="0"/>
              <w:rPr>
                <w:sz w:val="20"/>
                <w:szCs w:val="20"/>
                <w:color w:val="auto"/>
              </w:rPr>
            </w:pPr>
            <w:r>
              <w:rPr>
                <w:rFonts w:ascii="Arial" w:cs="Arial" w:eastAsia="Arial" w:hAnsi="Arial"/>
                <w:sz w:val="14"/>
                <w:szCs w:val="14"/>
                <w:color w:val="auto"/>
              </w:rPr>
              <w:t>$</w:t>
            </w:r>
          </w:p>
        </w:tc>
        <w:tc>
          <w:tcPr>
            <w:tcW w:w="94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75</w:t>
            </w:r>
          </w:p>
        </w:tc>
        <w:tc>
          <w:tcPr>
            <w:tcW w:w="120" w:type="dxa"/>
            <w:vAlign w:val="bottom"/>
          </w:tcPr>
          <w:p>
            <w:pPr>
              <w:spacing w:after="0"/>
              <w:rPr>
                <w:sz w:val="20"/>
                <w:szCs w:val="20"/>
                <w:color w:val="auto"/>
              </w:rPr>
            </w:pPr>
          </w:p>
        </w:tc>
        <w:tc>
          <w:tcPr>
            <w:tcW w:w="560" w:type="dxa"/>
            <w:vAlign w:val="bottom"/>
            <w:tcBorders>
              <w:top w:val="single" w:sz="8" w:color="auto"/>
              <w:bottom w:val="single" w:sz="8" w:color="auto"/>
            </w:tcBorders>
          </w:tcPr>
          <w:p>
            <w:pPr>
              <w:jc w:val="right"/>
              <w:ind w:right="388"/>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20</w:t>
            </w:r>
          </w:p>
        </w:tc>
        <w:tc>
          <w:tcPr>
            <w:tcW w:w="120" w:type="dxa"/>
            <w:vAlign w:val="bottom"/>
          </w:tcPr>
          <w:p>
            <w:pPr>
              <w:spacing w:after="0"/>
              <w:rPr>
                <w:sz w:val="20"/>
                <w:szCs w:val="20"/>
                <w:color w:val="auto"/>
              </w:rPr>
            </w:pPr>
          </w:p>
        </w:tc>
        <w:tc>
          <w:tcPr>
            <w:tcW w:w="600" w:type="dxa"/>
            <w:vAlign w:val="bottom"/>
            <w:tcBorders>
              <w:top w:val="single" w:sz="8" w:color="auto"/>
              <w:bottom w:val="single" w:sz="8" w:color="auto"/>
            </w:tcBorders>
          </w:tcPr>
          <w:p>
            <w:pPr>
              <w:jc w:val="right"/>
              <w:ind w:right="428"/>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4</w:t>
            </w:r>
          </w:p>
        </w:tc>
        <w:tc>
          <w:tcPr>
            <w:tcW w:w="120" w:type="dxa"/>
            <w:vAlign w:val="bottom"/>
          </w:tcPr>
          <w:p>
            <w:pPr>
              <w:spacing w:after="0"/>
              <w:rPr>
                <w:sz w:val="20"/>
                <w:szCs w:val="20"/>
                <w:color w:val="auto"/>
              </w:rPr>
            </w:pPr>
          </w:p>
        </w:tc>
        <w:tc>
          <w:tcPr>
            <w:tcW w:w="820" w:type="dxa"/>
            <w:vAlign w:val="bottom"/>
            <w:tcBorders>
              <w:top w:val="single" w:sz="8" w:color="auto"/>
              <w:bottom w:val="single" w:sz="8" w:color="auto"/>
            </w:tcBorders>
          </w:tcPr>
          <w:p>
            <w:pPr>
              <w:jc w:val="right"/>
              <w:ind w:right="668"/>
              <w:spacing w:after="0"/>
              <w:rPr>
                <w:sz w:val="20"/>
                <w:szCs w:val="20"/>
                <w:color w:val="auto"/>
              </w:rPr>
            </w:pPr>
            <w:r>
              <w:rPr>
                <w:rFonts w:ascii="Arial" w:cs="Arial" w:eastAsia="Arial" w:hAnsi="Arial"/>
                <w:sz w:val="14"/>
                <w:szCs w:val="14"/>
                <w:color w:val="auto"/>
                <w:w w:val="76"/>
              </w:rPr>
              <w:t>$</w:t>
            </w:r>
          </w:p>
        </w:tc>
        <w:tc>
          <w:tcPr>
            <w:tcW w:w="980" w:type="dxa"/>
            <w:vAlign w:val="bottom"/>
            <w:tcBorders>
              <w:top w:val="single" w:sz="8" w:color="auto"/>
              <w:bottom w:val="single" w:sz="8" w:color="auto"/>
            </w:tcBorders>
          </w:tcPr>
          <w:p>
            <w:pPr>
              <w:ind w:left="720"/>
              <w:spacing w:after="0"/>
              <w:rPr>
                <w:sz w:val="20"/>
                <w:szCs w:val="20"/>
                <w:color w:val="auto"/>
              </w:rPr>
            </w:pPr>
            <w:r>
              <w:rPr>
                <w:rFonts w:ascii="Arial" w:cs="Arial" w:eastAsia="Arial" w:hAnsi="Arial"/>
                <w:sz w:val="14"/>
                <w:szCs w:val="14"/>
                <w:color w:val="auto"/>
              </w:rPr>
              <w:t>—</w:t>
            </w:r>
          </w:p>
        </w:tc>
      </w:tr>
      <w:tr>
        <w:trPr>
          <w:trHeight w:val="20"/>
        </w:trPr>
        <w:tc>
          <w:tcPr>
            <w:tcW w:w="6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-3194685</wp:posOffset>
            </wp:positionH>
            <wp:positionV relativeFrom="paragraph">
              <wp:posOffset>-3155315</wp:posOffset>
            </wp:positionV>
            <wp:extent cx="7246620" cy="1714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-3194685</wp:posOffset>
            </wp:positionH>
            <wp:positionV relativeFrom="paragraph">
              <wp:posOffset>-2812415</wp:posOffset>
            </wp:positionV>
            <wp:extent cx="7246620" cy="1714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-3194685</wp:posOffset>
            </wp:positionH>
            <wp:positionV relativeFrom="paragraph">
              <wp:posOffset>-2451735</wp:posOffset>
            </wp:positionV>
            <wp:extent cx="7246620" cy="1714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-3194685</wp:posOffset>
            </wp:positionH>
            <wp:positionV relativeFrom="paragraph">
              <wp:posOffset>-2108835</wp:posOffset>
            </wp:positionV>
            <wp:extent cx="7246620" cy="1714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-3194685</wp:posOffset>
            </wp:positionH>
            <wp:positionV relativeFrom="paragraph">
              <wp:posOffset>-1765935</wp:posOffset>
            </wp:positionV>
            <wp:extent cx="7246620" cy="18859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88595"/>
                    </a:xfrm>
                    <a:prstGeom prst="rect">
                      <a:avLst/>
                    </a:prstGeom>
                    <a:noFill/>
                  </pic:spPr>
                </pic:pic>
              </a:graphicData>
            </a:graphic>
          </wp:anchor>
        </w:drawing>
        <w:drawing>
          <wp:anchor simplePos="0" relativeHeight="251657728" behindDoc="1" locked="0" layoutInCell="0" allowOverlap="1">
            <wp:simplePos x="0" y="0"/>
            <wp:positionH relativeFrom="column">
              <wp:posOffset>-3194685</wp:posOffset>
            </wp:positionH>
            <wp:positionV relativeFrom="paragraph">
              <wp:posOffset>-1405890</wp:posOffset>
            </wp:positionV>
            <wp:extent cx="7246620" cy="1714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-3194685</wp:posOffset>
            </wp:positionH>
            <wp:positionV relativeFrom="paragraph">
              <wp:posOffset>-1062990</wp:posOffset>
            </wp:positionV>
            <wp:extent cx="7246620" cy="1714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-3194685</wp:posOffset>
            </wp:positionH>
            <wp:positionV relativeFrom="paragraph">
              <wp:posOffset>-702310</wp:posOffset>
            </wp:positionV>
            <wp:extent cx="7246620" cy="1714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-3194685</wp:posOffset>
            </wp:positionH>
            <wp:positionV relativeFrom="paragraph">
              <wp:posOffset>-359410</wp:posOffset>
            </wp:positionV>
            <wp:extent cx="7246620" cy="1714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94" w:lineRule="exact"/>
        <w:rPr>
          <w:sz w:val="20"/>
          <w:szCs w:val="20"/>
          <w:color w:val="auto"/>
        </w:rPr>
      </w:pPr>
    </w:p>
    <w:p>
      <w:pPr>
        <w:sectPr>
          <w:pgSz w:w="11900" w:h="16838" w:orient="portrait"/>
          <w:cols w:equalWidth="0" w:num="2">
            <w:col w:w="4320" w:space="720"/>
            <w:col w:w="6380"/>
          </w:cols>
          <w:pgMar w:left="240" w:top="234" w:right="239" w:bottom="1440" w:gutter="0" w:footer="0" w:header="0"/>
          <w:type w:val="continuous"/>
        </w:sectPr>
      </w:pPr>
    </w:p>
    <w:p>
      <w:pPr>
        <w:ind w:left="340"/>
        <w:spacing w:after="0"/>
        <w:rPr>
          <w:sz w:val="20"/>
          <w:szCs w:val="20"/>
          <w:color w:val="auto"/>
        </w:rPr>
      </w:pPr>
      <w:r>
        <w:rPr>
          <w:rFonts w:ascii="Arial" w:cs="Arial" w:eastAsia="Arial" w:hAnsi="Arial"/>
          <w:sz w:val="18"/>
          <w:szCs w:val="18"/>
          <w:color w:val="auto"/>
        </w:rPr>
        <w:t>All components of each derivative’s gain or loss were included in the assessment of hedge effectiveness.</w:t>
      </w:r>
    </w:p>
    <w:p>
      <w:pPr>
        <w:spacing w:after="0" w:line="117"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At September 30, 2017, the Company expects to reclassify $19 million of deferred net gains (losses) on derivatives in AOCI to earnings within the next 12 months.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Derivatives</w:t>
      </w:r>
    </w:p>
    <w:p>
      <w:pPr>
        <w:spacing w:after="0" w:line="117"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In connection with synthetically created credit investment transactions, the Company writes credit default swaps for which it receives a premium to insure credit risk. Such credit derivatives are included within the nonqualifying derivatives and derivatives for purposes other than hedging table. If a credit event occurs, as defined by the contract, the contract may be cash settled or it may be settled gross by the Company paying the counterparty the specified swap notional amount in exchange for the delivery of par quantities of the referenced credit obligation. The Company’s maximum amount at risk, assuming the value of all referenced credit obligations is zero, was $1.9 billion at both September 30, 2017 and December 31, 2016. The Company can terminate these contracts at any time through cash settlement with the counterparty at an amount equal to the then current estimated fair value of the credit default swaps. At September 30, 2017 and December 31, 2016, the Company would have received $37 million and $28 million, respectively, to terminate all of these contracts.</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234" w:right="239" w:bottom="1440" w:gutter="0" w:footer="0" w:header="0"/>
          <w:type w:val="continuous"/>
        </w:sectPr>
      </w:pPr>
    </w:p>
    <w:bookmarkStart w:id="40" w:name="page41"/>
    <w:bookmarkEnd w:id="40"/>
    <w:p>
      <w:pPr>
        <w:ind w:left="340"/>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109" w:lineRule="exact"/>
        <w:rPr>
          <w:sz w:val="20"/>
          <w:szCs w:val="20"/>
          <w:color w:val="auto"/>
        </w:rPr>
      </w:pPr>
    </w:p>
    <w:p>
      <w:pPr>
        <w:ind w:left="4840"/>
        <w:spacing w:after="0"/>
        <w:rPr>
          <w:sz w:val="20"/>
          <w:szCs w:val="20"/>
          <w:color w:val="auto"/>
        </w:rPr>
      </w:pPr>
      <w:r>
        <w:rPr>
          <w:rFonts w:ascii="Arial" w:cs="Arial" w:eastAsia="Arial" w:hAnsi="Arial"/>
          <w:sz w:val="18"/>
          <w:szCs w:val="18"/>
          <w:b w:val="1"/>
          <w:bCs w:val="1"/>
          <w:color w:val="auto"/>
        </w:rPr>
        <w:t>Brighthouse Financial, Inc.</w:t>
      </w:r>
    </w:p>
    <w:p>
      <w:pPr>
        <w:spacing w:after="0" w:line="117" w:lineRule="exact"/>
        <w:rPr>
          <w:sz w:val="20"/>
          <w:szCs w:val="20"/>
          <w:color w:val="auto"/>
        </w:rPr>
      </w:pPr>
    </w:p>
    <w:p>
      <w:pPr>
        <w:ind w:left="1640"/>
        <w:spacing w:after="0"/>
        <w:rPr>
          <w:sz w:val="20"/>
          <w:szCs w:val="20"/>
          <w:color w:val="auto"/>
        </w:rPr>
      </w:pPr>
      <w:r>
        <w:rPr>
          <w:rFonts w:ascii="Arial" w:cs="Arial" w:eastAsia="Arial" w:hAnsi="Arial"/>
          <w:sz w:val="18"/>
          <w:szCs w:val="18"/>
          <w:b w:val="1"/>
          <w:bCs w:val="1"/>
          <w:color w:val="auto"/>
        </w:rPr>
        <w:t>Notes to the Interim Condensed Consolidated and Combined Financial Statements (Unaudited) — (continued)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Derivatives (continued)</w:t>
      </w:r>
    </w:p>
    <w:p>
      <w:pPr>
        <w:spacing w:after="0" w:line="364"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following table presents the estimated fair value, maximum amount of future payments and weighted average years to maturity of written credit default swaps at:</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7"/>
              </w:rPr>
              <w:t>September 30, 2017</w:t>
            </w:r>
          </w:p>
        </w:tc>
        <w:tc>
          <w:tcPr>
            <w:tcW w:w="12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9"/>
              </w:rPr>
              <w:t>December 31, 2016</w:t>
            </w:r>
          </w:p>
        </w:tc>
        <w:tc>
          <w:tcPr>
            <w:tcW w:w="12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2"/>
              </w:rPr>
              <w:t>Estimated</w:t>
            </w:r>
          </w:p>
        </w:tc>
        <w:tc>
          <w:tcPr>
            <w:tcW w:w="180" w:type="dxa"/>
            <w:vAlign w:val="bottom"/>
          </w:tcPr>
          <w:p>
            <w:pPr>
              <w:spacing w:after="0"/>
              <w:rPr>
                <w:sz w:val="13"/>
                <w:szCs w:val="13"/>
                <w:color w:val="auto"/>
              </w:rPr>
            </w:pPr>
          </w:p>
        </w:tc>
        <w:tc>
          <w:tcPr>
            <w:tcW w:w="1320" w:type="dxa"/>
            <w:vAlign w:val="bottom"/>
          </w:tcPr>
          <w:p>
            <w:pPr>
              <w:jc w:val="center"/>
              <w:ind w:right="83"/>
              <w:spacing w:after="0" w:line="153" w:lineRule="exact"/>
              <w:rPr>
                <w:sz w:val="20"/>
                <w:szCs w:val="20"/>
                <w:color w:val="auto"/>
              </w:rPr>
            </w:pPr>
            <w:r>
              <w:rPr>
                <w:rFonts w:ascii="Arial" w:cs="Arial" w:eastAsia="Arial" w:hAnsi="Arial"/>
                <w:sz w:val="14"/>
                <w:szCs w:val="14"/>
                <w:b w:val="1"/>
                <w:bCs w:val="1"/>
                <w:color w:val="auto"/>
                <w:w w:val="99"/>
              </w:rPr>
              <w:t>Maximum</w:t>
            </w:r>
          </w:p>
        </w:tc>
        <w:tc>
          <w:tcPr>
            <w:tcW w:w="1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2"/>
              </w:rPr>
              <w:t>Estimated</w:t>
            </w:r>
          </w:p>
        </w:tc>
        <w:tc>
          <w:tcPr>
            <w:tcW w:w="160" w:type="dxa"/>
            <w:vAlign w:val="bottom"/>
          </w:tcPr>
          <w:p>
            <w:pPr>
              <w:spacing w:after="0"/>
              <w:rPr>
                <w:sz w:val="13"/>
                <w:szCs w:val="13"/>
                <w:color w:val="auto"/>
              </w:rPr>
            </w:pPr>
          </w:p>
        </w:tc>
        <w:tc>
          <w:tcPr>
            <w:tcW w:w="1300" w:type="dxa"/>
            <w:vAlign w:val="bottom"/>
          </w:tcPr>
          <w:p>
            <w:pPr>
              <w:jc w:val="center"/>
              <w:ind w:right="103"/>
              <w:spacing w:after="0" w:line="153" w:lineRule="exact"/>
              <w:rPr>
                <w:sz w:val="20"/>
                <w:szCs w:val="20"/>
                <w:color w:val="auto"/>
              </w:rPr>
            </w:pPr>
            <w:r>
              <w:rPr>
                <w:rFonts w:ascii="Arial" w:cs="Arial" w:eastAsia="Arial" w:hAnsi="Arial"/>
                <w:sz w:val="14"/>
                <w:szCs w:val="14"/>
                <w:b w:val="1"/>
                <w:bCs w:val="1"/>
                <w:color w:val="auto"/>
                <w:w w:val="99"/>
              </w:rPr>
              <w:t>Maximum</w:t>
            </w:r>
          </w:p>
        </w:tc>
        <w:tc>
          <w:tcPr>
            <w:tcW w:w="1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320" w:type="dxa"/>
            <w:vAlign w:val="bottom"/>
          </w:tcPr>
          <w:p>
            <w:pPr>
              <w:jc w:val="center"/>
              <w:ind w:right="103"/>
              <w:spacing w:after="0" w:line="149" w:lineRule="exact"/>
              <w:rPr>
                <w:sz w:val="20"/>
                <w:szCs w:val="20"/>
                <w:color w:val="auto"/>
              </w:rPr>
            </w:pPr>
            <w:r>
              <w:rPr>
                <w:rFonts w:ascii="Arial" w:cs="Arial" w:eastAsia="Arial" w:hAnsi="Arial"/>
                <w:sz w:val="14"/>
                <w:szCs w:val="14"/>
                <w:b w:val="1"/>
                <w:bCs w:val="1"/>
                <w:color w:val="auto"/>
                <w:w w:val="94"/>
              </w:rPr>
              <w:t>Amount of</w:t>
            </w:r>
          </w:p>
        </w:tc>
        <w:tc>
          <w:tcPr>
            <w:tcW w:w="138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1"/>
              </w:rPr>
              <w:t>Weighted</w:t>
            </w:r>
          </w:p>
        </w:tc>
        <w:tc>
          <w:tcPr>
            <w:tcW w:w="12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300" w:type="dxa"/>
            <w:vAlign w:val="bottom"/>
          </w:tcPr>
          <w:p>
            <w:pPr>
              <w:jc w:val="center"/>
              <w:ind w:right="83"/>
              <w:spacing w:after="0" w:line="149" w:lineRule="exact"/>
              <w:rPr>
                <w:sz w:val="20"/>
                <w:szCs w:val="20"/>
                <w:color w:val="auto"/>
              </w:rPr>
            </w:pPr>
            <w:r>
              <w:rPr>
                <w:rFonts w:ascii="Arial" w:cs="Arial" w:eastAsia="Arial" w:hAnsi="Arial"/>
                <w:sz w:val="14"/>
                <w:szCs w:val="14"/>
                <w:b w:val="1"/>
                <w:bCs w:val="1"/>
                <w:color w:val="auto"/>
                <w:w w:val="94"/>
              </w:rPr>
              <w:t>Amount of</w:t>
            </w:r>
          </w:p>
        </w:tc>
        <w:tc>
          <w:tcPr>
            <w:tcW w:w="1240" w:type="dxa"/>
            <w:vAlign w:val="bottom"/>
            <w:vMerge w:val="restart"/>
          </w:tcPr>
          <w:p>
            <w:pPr>
              <w:jc w:val="center"/>
              <w:ind w:left="22"/>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9"/>
        </w:trPr>
        <w:tc>
          <w:tcPr>
            <w:tcW w:w="3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5"/>
              </w:rPr>
              <w:t>Fair Value</w:t>
            </w:r>
          </w:p>
        </w:tc>
        <w:tc>
          <w:tcPr>
            <w:tcW w:w="180" w:type="dxa"/>
            <w:vAlign w:val="bottom"/>
          </w:tcPr>
          <w:p>
            <w:pPr>
              <w:spacing w:after="0"/>
              <w:rPr>
                <w:sz w:val="12"/>
                <w:szCs w:val="12"/>
                <w:color w:val="auto"/>
              </w:rPr>
            </w:pPr>
          </w:p>
        </w:tc>
        <w:tc>
          <w:tcPr>
            <w:tcW w:w="1320" w:type="dxa"/>
            <w:vAlign w:val="bottom"/>
          </w:tcPr>
          <w:p>
            <w:pPr>
              <w:jc w:val="center"/>
              <w:ind w:right="103"/>
              <w:spacing w:after="0" w:line="149" w:lineRule="exact"/>
              <w:rPr>
                <w:sz w:val="20"/>
                <w:szCs w:val="20"/>
                <w:color w:val="auto"/>
              </w:rPr>
            </w:pPr>
            <w:r>
              <w:rPr>
                <w:rFonts w:ascii="Arial" w:cs="Arial" w:eastAsia="Arial" w:hAnsi="Arial"/>
                <w:sz w:val="14"/>
                <w:szCs w:val="14"/>
                <w:b w:val="1"/>
                <w:bCs w:val="1"/>
                <w:color w:val="auto"/>
                <w:w w:val="96"/>
              </w:rPr>
              <w:t>Future</w:t>
            </w:r>
          </w:p>
        </w:tc>
        <w:tc>
          <w:tcPr>
            <w:tcW w:w="13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5"/>
              </w:rPr>
              <w:t>Fair Value</w:t>
            </w:r>
          </w:p>
        </w:tc>
        <w:tc>
          <w:tcPr>
            <w:tcW w:w="160" w:type="dxa"/>
            <w:vAlign w:val="bottom"/>
          </w:tcPr>
          <w:p>
            <w:pPr>
              <w:spacing w:after="0"/>
              <w:rPr>
                <w:sz w:val="12"/>
                <w:szCs w:val="12"/>
                <w:color w:val="auto"/>
              </w:rPr>
            </w:pPr>
          </w:p>
        </w:tc>
        <w:tc>
          <w:tcPr>
            <w:tcW w:w="1300" w:type="dxa"/>
            <w:vAlign w:val="bottom"/>
          </w:tcPr>
          <w:p>
            <w:pPr>
              <w:jc w:val="center"/>
              <w:ind w:right="83"/>
              <w:spacing w:after="0" w:line="149" w:lineRule="exact"/>
              <w:rPr>
                <w:sz w:val="20"/>
                <w:szCs w:val="20"/>
                <w:color w:val="auto"/>
              </w:rPr>
            </w:pPr>
            <w:r>
              <w:rPr>
                <w:rFonts w:ascii="Arial" w:cs="Arial" w:eastAsia="Arial" w:hAnsi="Arial"/>
                <w:sz w:val="14"/>
                <w:szCs w:val="14"/>
                <w:b w:val="1"/>
                <w:bCs w:val="1"/>
                <w:color w:val="auto"/>
                <w:w w:val="96"/>
              </w:rPr>
              <w:t>Future</w:t>
            </w:r>
          </w:p>
        </w:tc>
        <w:tc>
          <w:tcPr>
            <w:tcW w:w="12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7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Rating Agency Designation of Referenced Credit</w:t>
            </w:r>
          </w:p>
        </w:tc>
        <w:tc>
          <w:tcPr>
            <w:tcW w:w="140" w:type="dxa"/>
            <w:vAlign w:val="bottom"/>
          </w:tcPr>
          <w:p>
            <w:pPr>
              <w:spacing w:after="0"/>
              <w:rPr>
                <w:sz w:val="12"/>
                <w:szCs w:val="12"/>
                <w:color w:val="auto"/>
              </w:rPr>
            </w:pPr>
          </w:p>
        </w:tc>
        <w:tc>
          <w:tcPr>
            <w:tcW w:w="9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7"/>
              </w:rPr>
              <w:t>of Credit</w:t>
            </w:r>
          </w:p>
        </w:tc>
        <w:tc>
          <w:tcPr>
            <w:tcW w:w="180" w:type="dxa"/>
            <w:vAlign w:val="bottom"/>
          </w:tcPr>
          <w:p>
            <w:pPr>
              <w:spacing w:after="0"/>
              <w:rPr>
                <w:sz w:val="12"/>
                <w:szCs w:val="12"/>
                <w:color w:val="auto"/>
              </w:rPr>
            </w:pPr>
          </w:p>
        </w:tc>
        <w:tc>
          <w:tcPr>
            <w:tcW w:w="1320" w:type="dxa"/>
            <w:vAlign w:val="bottom"/>
          </w:tcPr>
          <w:p>
            <w:pPr>
              <w:jc w:val="center"/>
              <w:ind w:right="83"/>
              <w:spacing w:after="0" w:line="149" w:lineRule="exact"/>
              <w:rPr>
                <w:sz w:val="20"/>
                <w:szCs w:val="20"/>
                <w:color w:val="auto"/>
              </w:rPr>
            </w:pPr>
            <w:r>
              <w:rPr>
                <w:rFonts w:ascii="Arial" w:cs="Arial" w:eastAsia="Arial" w:hAnsi="Arial"/>
                <w:sz w:val="14"/>
                <w:szCs w:val="14"/>
                <w:b w:val="1"/>
                <w:bCs w:val="1"/>
                <w:color w:val="auto"/>
                <w:w w:val="91"/>
              </w:rPr>
              <w:t>Payments under</w:t>
            </w:r>
          </w:p>
        </w:tc>
        <w:tc>
          <w:tcPr>
            <w:tcW w:w="13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0"/>
              </w:rPr>
              <w:t>Average</w:t>
            </w:r>
          </w:p>
        </w:tc>
        <w:tc>
          <w:tcPr>
            <w:tcW w:w="120" w:type="dxa"/>
            <w:vAlign w:val="bottom"/>
          </w:tcPr>
          <w:p>
            <w:pPr>
              <w:spacing w:after="0"/>
              <w:rPr>
                <w:sz w:val="12"/>
                <w:szCs w:val="12"/>
                <w:color w:val="auto"/>
              </w:rPr>
            </w:pPr>
          </w:p>
        </w:tc>
        <w:tc>
          <w:tcPr>
            <w:tcW w:w="8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7"/>
              </w:rPr>
              <w:t>of Credit</w:t>
            </w:r>
          </w:p>
        </w:tc>
        <w:tc>
          <w:tcPr>
            <w:tcW w:w="160" w:type="dxa"/>
            <w:vAlign w:val="bottom"/>
          </w:tcPr>
          <w:p>
            <w:pPr>
              <w:spacing w:after="0"/>
              <w:rPr>
                <w:sz w:val="12"/>
                <w:szCs w:val="12"/>
                <w:color w:val="auto"/>
              </w:rPr>
            </w:pPr>
          </w:p>
        </w:tc>
        <w:tc>
          <w:tcPr>
            <w:tcW w:w="1300" w:type="dxa"/>
            <w:vAlign w:val="bottom"/>
          </w:tcPr>
          <w:p>
            <w:pPr>
              <w:jc w:val="center"/>
              <w:ind w:right="103"/>
              <w:spacing w:after="0" w:line="149" w:lineRule="exact"/>
              <w:rPr>
                <w:sz w:val="20"/>
                <w:szCs w:val="20"/>
                <w:color w:val="auto"/>
              </w:rPr>
            </w:pPr>
            <w:r>
              <w:rPr>
                <w:rFonts w:ascii="Arial" w:cs="Arial" w:eastAsia="Arial" w:hAnsi="Arial"/>
                <w:sz w:val="14"/>
                <w:szCs w:val="14"/>
                <w:b w:val="1"/>
                <w:bCs w:val="1"/>
                <w:color w:val="auto"/>
                <w:w w:val="91"/>
              </w:rPr>
              <w:t>Payments under</w:t>
            </w:r>
          </w:p>
        </w:tc>
        <w:tc>
          <w:tcPr>
            <w:tcW w:w="1240" w:type="dxa"/>
            <w:vAlign w:val="bottom"/>
          </w:tcPr>
          <w:p>
            <w:pPr>
              <w:jc w:val="center"/>
              <w:ind w:left="22"/>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378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6"/>
              </w:rPr>
              <w:t>Default</w:t>
            </w:r>
          </w:p>
        </w:tc>
        <w:tc>
          <w:tcPr>
            <w:tcW w:w="180" w:type="dxa"/>
            <w:vAlign w:val="bottom"/>
          </w:tcPr>
          <w:p>
            <w:pPr>
              <w:spacing w:after="0"/>
              <w:rPr>
                <w:sz w:val="12"/>
                <w:szCs w:val="12"/>
                <w:color w:val="auto"/>
              </w:rPr>
            </w:pPr>
          </w:p>
        </w:tc>
        <w:tc>
          <w:tcPr>
            <w:tcW w:w="1320" w:type="dxa"/>
            <w:vAlign w:val="bottom"/>
          </w:tcPr>
          <w:p>
            <w:pPr>
              <w:jc w:val="center"/>
              <w:ind w:right="103"/>
              <w:spacing w:after="0" w:line="149" w:lineRule="exact"/>
              <w:rPr>
                <w:sz w:val="20"/>
                <w:szCs w:val="20"/>
                <w:color w:val="auto"/>
              </w:rPr>
            </w:pPr>
            <w:r>
              <w:rPr>
                <w:rFonts w:ascii="Arial" w:cs="Arial" w:eastAsia="Arial" w:hAnsi="Arial"/>
                <w:sz w:val="14"/>
                <w:szCs w:val="14"/>
                <w:b w:val="1"/>
                <w:bCs w:val="1"/>
                <w:color w:val="auto"/>
                <w:w w:val="98"/>
              </w:rPr>
              <w:t>Credit Default</w:t>
            </w:r>
          </w:p>
        </w:tc>
        <w:tc>
          <w:tcPr>
            <w:tcW w:w="13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0"/>
              </w:rPr>
              <w:t>Years to</w:t>
            </w:r>
          </w:p>
        </w:tc>
        <w:tc>
          <w:tcPr>
            <w:tcW w:w="120" w:type="dxa"/>
            <w:vAlign w:val="bottom"/>
          </w:tcPr>
          <w:p>
            <w:pPr>
              <w:spacing w:after="0"/>
              <w:rPr>
                <w:sz w:val="12"/>
                <w:szCs w:val="12"/>
                <w:color w:val="auto"/>
              </w:rPr>
            </w:pPr>
          </w:p>
        </w:tc>
        <w:tc>
          <w:tcPr>
            <w:tcW w:w="8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6"/>
              </w:rPr>
              <w:t>Default</w:t>
            </w:r>
          </w:p>
        </w:tc>
        <w:tc>
          <w:tcPr>
            <w:tcW w:w="160" w:type="dxa"/>
            <w:vAlign w:val="bottom"/>
          </w:tcPr>
          <w:p>
            <w:pPr>
              <w:spacing w:after="0"/>
              <w:rPr>
                <w:sz w:val="12"/>
                <w:szCs w:val="12"/>
                <w:color w:val="auto"/>
              </w:rPr>
            </w:pPr>
          </w:p>
        </w:tc>
        <w:tc>
          <w:tcPr>
            <w:tcW w:w="1300" w:type="dxa"/>
            <w:vAlign w:val="bottom"/>
          </w:tcPr>
          <w:p>
            <w:pPr>
              <w:jc w:val="center"/>
              <w:ind w:right="83"/>
              <w:spacing w:after="0" w:line="149" w:lineRule="exact"/>
              <w:rPr>
                <w:sz w:val="20"/>
                <w:szCs w:val="20"/>
                <w:color w:val="auto"/>
              </w:rPr>
            </w:pPr>
            <w:r>
              <w:rPr>
                <w:rFonts w:ascii="Arial" w:cs="Arial" w:eastAsia="Arial" w:hAnsi="Arial"/>
                <w:sz w:val="14"/>
                <w:szCs w:val="14"/>
                <w:b w:val="1"/>
                <w:bCs w:val="1"/>
                <w:color w:val="auto"/>
                <w:w w:val="98"/>
              </w:rPr>
              <w:t>Credit Default</w:t>
            </w:r>
          </w:p>
        </w:tc>
        <w:tc>
          <w:tcPr>
            <w:tcW w:w="1240" w:type="dxa"/>
            <w:vAlign w:val="bottom"/>
          </w:tcPr>
          <w:p>
            <w:pPr>
              <w:jc w:val="center"/>
              <w:ind w:left="22"/>
              <w:spacing w:after="0" w:line="149" w:lineRule="exact"/>
              <w:rPr>
                <w:sz w:val="20"/>
                <w:szCs w:val="20"/>
                <w:color w:val="auto"/>
              </w:rPr>
            </w:pPr>
            <w:r>
              <w:rPr>
                <w:rFonts w:ascii="Arial" w:cs="Arial" w:eastAsia="Arial" w:hAnsi="Arial"/>
                <w:sz w:val="14"/>
                <w:szCs w:val="14"/>
                <w:b w:val="1"/>
                <w:bCs w:val="1"/>
                <w:color w:val="auto"/>
                <w:w w:val="90"/>
              </w:rPr>
              <w:t>Years to</w:t>
            </w:r>
          </w:p>
        </w:tc>
        <w:tc>
          <w:tcPr>
            <w:tcW w:w="0" w:type="dxa"/>
            <w:vAlign w:val="bottom"/>
          </w:tcPr>
          <w:p>
            <w:pPr>
              <w:spacing w:after="0"/>
              <w:rPr>
                <w:sz w:val="1"/>
                <w:szCs w:val="1"/>
                <w:color w:val="auto"/>
              </w:rPr>
            </w:pPr>
          </w:p>
        </w:tc>
      </w:tr>
      <w:tr>
        <w:trPr>
          <w:trHeight w:val="192"/>
        </w:trPr>
        <w:tc>
          <w:tcPr>
            <w:tcW w:w="3780" w:type="dxa"/>
            <w:vAlign w:val="bottom"/>
            <w:gridSpan w:val="2"/>
          </w:tcPr>
          <w:p>
            <w:pPr>
              <w:ind w:left="40"/>
              <w:spacing w:after="0"/>
              <w:rPr>
                <w:sz w:val="20"/>
                <w:szCs w:val="20"/>
                <w:color w:val="auto"/>
              </w:rPr>
            </w:pPr>
            <w:r>
              <w:rPr>
                <w:rFonts w:ascii="Arial" w:cs="Arial" w:eastAsia="Arial" w:hAnsi="Arial"/>
                <w:sz w:val="14"/>
                <w:szCs w:val="14"/>
                <w:b w:val="1"/>
                <w:bCs w:val="1"/>
                <w:color w:val="auto"/>
              </w:rPr>
              <w:t>Obligations (1)</w:t>
            </w:r>
          </w:p>
        </w:tc>
        <w:tc>
          <w:tcPr>
            <w:tcW w:w="140" w:type="dxa"/>
            <w:vAlign w:val="bottom"/>
          </w:tcPr>
          <w:p>
            <w:pPr>
              <w:spacing w:after="0"/>
              <w:rPr>
                <w:sz w:val="16"/>
                <w:szCs w:val="16"/>
                <w:color w:val="auto"/>
              </w:rPr>
            </w:pPr>
          </w:p>
        </w:tc>
        <w:tc>
          <w:tcPr>
            <w:tcW w:w="9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Swaps</w:t>
            </w:r>
          </w:p>
        </w:tc>
        <w:tc>
          <w:tcPr>
            <w:tcW w:w="180" w:type="dxa"/>
            <w:vAlign w:val="bottom"/>
          </w:tcPr>
          <w:p>
            <w:pPr>
              <w:spacing w:after="0"/>
              <w:rPr>
                <w:sz w:val="16"/>
                <w:szCs w:val="16"/>
                <w:color w:val="auto"/>
              </w:rPr>
            </w:pPr>
          </w:p>
        </w:tc>
        <w:tc>
          <w:tcPr>
            <w:tcW w:w="1320" w:type="dxa"/>
            <w:vAlign w:val="bottom"/>
          </w:tcPr>
          <w:p>
            <w:pPr>
              <w:jc w:val="center"/>
              <w:ind w:right="103"/>
              <w:spacing w:after="0"/>
              <w:rPr>
                <w:sz w:val="20"/>
                <w:szCs w:val="20"/>
                <w:color w:val="auto"/>
              </w:rPr>
            </w:pPr>
            <w:r>
              <w:rPr>
                <w:rFonts w:ascii="Arial" w:cs="Arial" w:eastAsia="Arial" w:hAnsi="Arial"/>
                <w:sz w:val="14"/>
                <w:szCs w:val="14"/>
                <w:b w:val="1"/>
                <w:bCs w:val="1"/>
                <w:color w:val="auto"/>
                <w:w w:val="85"/>
              </w:rPr>
              <w:t>Swaps</w:t>
            </w:r>
          </w:p>
        </w:tc>
        <w:tc>
          <w:tcPr>
            <w:tcW w:w="1380" w:type="dxa"/>
            <w:vAlign w:val="bottom"/>
            <w:gridSpan w:val="2"/>
          </w:tcPr>
          <w:p>
            <w:pPr>
              <w:jc w:val="center"/>
              <w:spacing w:after="0"/>
              <w:rPr>
                <w:sz w:val="20"/>
                <w:szCs w:val="20"/>
                <w:color w:val="auto"/>
              </w:rPr>
            </w:pPr>
            <w:r>
              <w:rPr>
                <w:rFonts w:ascii="Arial" w:cs="Arial" w:eastAsia="Arial" w:hAnsi="Arial"/>
                <w:sz w:val="14"/>
                <w:szCs w:val="14"/>
                <w:b w:val="1"/>
                <w:bCs w:val="1"/>
                <w:color w:val="auto"/>
              </w:rPr>
              <w:t>Maturity (2)</w:t>
            </w:r>
          </w:p>
        </w:tc>
        <w:tc>
          <w:tcPr>
            <w:tcW w:w="120" w:type="dxa"/>
            <w:vAlign w:val="bottom"/>
          </w:tcPr>
          <w:p>
            <w:pPr>
              <w:spacing w:after="0"/>
              <w:rPr>
                <w:sz w:val="16"/>
                <w:szCs w:val="16"/>
                <w:color w:val="auto"/>
              </w:rPr>
            </w:pPr>
          </w:p>
        </w:tc>
        <w:tc>
          <w:tcPr>
            <w:tcW w:w="8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Swaps</w:t>
            </w:r>
          </w:p>
        </w:tc>
        <w:tc>
          <w:tcPr>
            <w:tcW w:w="160" w:type="dxa"/>
            <w:vAlign w:val="bottom"/>
          </w:tcPr>
          <w:p>
            <w:pPr>
              <w:spacing w:after="0"/>
              <w:rPr>
                <w:sz w:val="16"/>
                <w:szCs w:val="16"/>
                <w:color w:val="auto"/>
              </w:rPr>
            </w:pPr>
          </w:p>
        </w:tc>
        <w:tc>
          <w:tcPr>
            <w:tcW w:w="1300" w:type="dxa"/>
            <w:vAlign w:val="bottom"/>
          </w:tcPr>
          <w:p>
            <w:pPr>
              <w:jc w:val="center"/>
              <w:ind w:right="83"/>
              <w:spacing w:after="0"/>
              <w:rPr>
                <w:sz w:val="20"/>
                <w:szCs w:val="20"/>
                <w:color w:val="auto"/>
              </w:rPr>
            </w:pPr>
            <w:r>
              <w:rPr>
                <w:rFonts w:ascii="Arial" w:cs="Arial" w:eastAsia="Arial" w:hAnsi="Arial"/>
                <w:sz w:val="14"/>
                <w:szCs w:val="14"/>
                <w:b w:val="1"/>
                <w:bCs w:val="1"/>
                <w:color w:val="auto"/>
                <w:w w:val="85"/>
              </w:rPr>
              <w:t>Swaps</w:t>
            </w:r>
          </w:p>
        </w:tc>
        <w:tc>
          <w:tcPr>
            <w:tcW w:w="1240" w:type="dxa"/>
            <w:vAlign w:val="bottom"/>
          </w:tcPr>
          <w:p>
            <w:pPr>
              <w:jc w:val="center"/>
              <w:ind w:left="42"/>
              <w:spacing w:after="0"/>
              <w:rPr>
                <w:sz w:val="20"/>
                <w:szCs w:val="20"/>
                <w:color w:val="auto"/>
              </w:rPr>
            </w:pPr>
            <w:r>
              <w:rPr>
                <w:rFonts w:ascii="Arial" w:cs="Arial" w:eastAsia="Arial" w:hAnsi="Arial"/>
                <w:sz w:val="14"/>
                <w:szCs w:val="14"/>
                <w:b w:val="1"/>
                <w:bCs w:val="1"/>
                <w:color w:val="auto"/>
              </w:rPr>
              <w:t>Maturity (2)</w:t>
            </w:r>
          </w:p>
        </w:tc>
        <w:tc>
          <w:tcPr>
            <w:tcW w:w="0" w:type="dxa"/>
            <w:vAlign w:val="bottom"/>
          </w:tcPr>
          <w:p>
            <w:pPr>
              <w:spacing w:after="0"/>
              <w:rPr>
                <w:sz w:val="1"/>
                <w:szCs w:val="1"/>
                <w:color w:val="auto"/>
              </w:rPr>
            </w:pPr>
          </w:p>
        </w:tc>
      </w:tr>
      <w:tr>
        <w:trPr>
          <w:trHeight w:val="264"/>
        </w:trPr>
        <w:tc>
          <w:tcPr>
            <w:tcW w:w="366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800" w:type="dxa"/>
            <w:vAlign w:val="bottom"/>
            <w:tcBorders>
              <w:top w:val="single" w:sz="8" w:color="auto"/>
            </w:tcBorders>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1320" w:type="dxa"/>
            <w:vAlign w:val="bottom"/>
            <w:tcBorders>
              <w:top w:val="single" w:sz="8" w:color="auto"/>
            </w:tcBorders>
          </w:tcPr>
          <w:p>
            <w:pPr>
              <w:spacing w:after="0"/>
              <w:rPr>
                <w:sz w:val="22"/>
                <w:szCs w:val="22"/>
                <w:color w:val="auto"/>
              </w:rPr>
            </w:pPr>
          </w:p>
        </w:tc>
        <w:tc>
          <w:tcPr>
            <w:tcW w:w="2380" w:type="dxa"/>
            <w:vAlign w:val="bottom"/>
            <w:tcBorders>
              <w:top w:val="single" w:sz="8" w:color="auto"/>
            </w:tcBorders>
            <w:gridSpan w:val="5"/>
          </w:tcPr>
          <w:p>
            <w:pPr>
              <w:ind w:left="660"/>
              <w:spacing w:after="0"/>
              <w:rPr>
                <w:sz w:val="20"/>
                <w:szCs w:val="20"/>
                <w:color w:val="auto"/>
              </w:rPr>
            </w:pPr>
            <w:r>
              <w:rPr>
                <w:rFonts w:ascii="Arial" w:cs="Arial" w:eastAsia="Arial" w:hAnsi="Arial"/>
                <w:sz w:val="14"/>
                <w:szCs w:val="14"/>
                <w:b w:val="1"/>
                <w:bCs w:val="1"/>
                <w:color w:val="auto"/>
              </w:rPr>
              <w:t>(Dollars in millions)</w:t>
            </w:r>
          </w:p>
        </w:tc>
        <w:tc>
          <w:tcPr>
            <w:tcW w:w="160" w:type="dxa"/>
            <w:vAlign w:val="bottom"/>
            <w:tcBorders>
              <w:top w:val="single" w:sz="8" w:color="auto"/>
            </w:tcBorders>
          </w:tcPr>
          <w:p>
            <w:pPr>
              <w:spacing w:after="0"/>
              <w:rPr>
                <w:sz w:val="22"/>
                <w:szCs w:val="22"/>
                <w:color w:val="auto"/>
              </w:rPr>
            </w:pPr>
          </w:p>
        </w:tc>
        <w:tc>
          <w:tcPr>
            <w:tcW w:w="1300" w:type="dxa"/>
            <w:vAlign w:val="bottom"/>
            <w:tcBorders>
              <w:top w:val="single" w:sz="8" w:color="auto"/>
            </w:tcBorders>
          </w:tcPr>
          <w:p>
            <w:pPr>
              <w:spacing w:after="0"/>
              <w:rPr>
                <w:sz w:val="22"/>
                <w:szCs w:val="22"/>
                <w:color w:val="auto"/>
              </w:rPr>
            </w:pPr>
          </w:p>
        </w:tc>
        <w:tc>
          <w:tcPr>
            <w:tcW w:w="124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37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Aaa/Aa/A</w:t>
            </w:r>
          </w:p>
        </w:tc>
        <w:tc>
          <w:tcPr>
            <w:tcW w:w="14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3780" w:type="dxa"/>
            <w:vAlign w:val="bottom"/>
            <w:gridSpan w:val="2"/>
          </w:tcPr>
          <w:p>
            <w:pPr>
              <w:ind w:left="40"/>
              <w:spacing w:after="0"/>
              <w:rPr>
                <w:sz w:val="20"/>
                <w:szCs w:val="20"/>
                <w:color w:val="auto"/>
              </w:rPr>
            </w:pPr>
            <w:r>
              <w:rPr>
                <w:rFonts w:ascii="Arial" w:cs="Arial" w:eastAsia="Arial" w:hAnsi="Arial"/>
                <w:sz w:val="16"/>
                <w:szCs w:val="16"/>
                <w:color w:val="auto"/>
              </w:rPr>
              <w:t>Single name credit default swaps (3)</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43"/>
              <w:spacing w:after="0"/>
              <w:rPr>
                <w:sz w:val="20"/>
                <w:szCs w:val="20"/>
                <w:color w:val="auto"/>
              </w:rPr>
            </w:pPr>
            <w:r>
              <w:rPr>
                <w:rFonts w:ascii="Arial" w:cs="Arial" w:eastAsia="Arial" w:hAnsi="Arial"/>
                <w:sz w:val="16"/>
                <w:szCs w:val="16"/>
                <w:color w:val="auto"/>
              </w:rPr>
              <w:t>25</w:t>
            </w:r>
          </w:p>
        </w:tc>
        <w:tc>
          <w:tcPr>
            <w:tcW w:w="1280" w:type="dxa"/>
            <w:vAlign w:val="bottom"/>
          </w:tcPr>
          <w:p>
            <w:pPr>
              <w:jc w:val="right"/>
              <w:ind w:right="42"/>
              <w:spacing w:after="0"/>
              <w:rPr>
                <w:sz w:val="20"/>
                <w:szCs w:val="20"/>
                <w:color w:val="auto"/>
              </w:rPr>
            </w:pPr>
            <w:r>
              <w:rPr>
                <w:rFonts w:ascii="Arial" w:cs="Arial" w:eastAsia="Arial" w:hAnsi="Arial"/>
                <w:sz w:val="16"/>
                <w:szCs w:val="16"/>
                <w:color w:val="auto"/>
              </w:rPr>
              <w:t>2.9</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Pr>
          <w:p>
            <w:pPr>
              <w:jc w:val="right"/>
              <w:ind w:right="43"/>
              <w:spacing w:after="0"/>
              <w:rPr>
                <w:sz w:val="20"/>
                <w:szCs w:val="20"/>
                <w:color w:val="auto"/>
              </w:rPr>
            </w:pPr>
            <w:r>
              <w:rPr>
                <w:rFonts w:ascii="Arial" w:cs="Arial" w:eastAsia="Arial" w:hAnsi="Arial"/>
                <w:sz w:val="16"/>
                <w:szCs w:val="16"/>
                <w:color w:val="auto"/>
              </w:rPr>
              <w:t>45</w:t>
            </w:r>
          </w:p>
        </w:tc>
        <w:tc>
          <w:tcPr>
            <w:tcW w:w="1240" w:type="dxa"/>
            <w:vAlign w:val="bottom"/>
          </w:tcPr>
          <w:p>
            <w:pPr>
              <w:jc w:val="right"/>
              <w:ind w:right="22"/>
              <w:spacing w:after="0"/>
              <w:rPr>
                <w:sz w:val="20"/>
                <w:szCs w:val="20"/>
                <w:color w:val="auto"/>
              </w:rPr>
            </w:pPr>
            <w:r>
              <w:rPr>
                <w:rFonts w:ascii="Arial" w:cs="Arial" w:eastAsia="Arial" w:hAnsi="Arial"/>
                <w:sz w:val="16"/>
                <w:szCs w:val="16"/>
                <w:color w:val="auto"/>
              </w:rPr>
              <w:t>2.2</w:t>
            </w: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7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Credit default swaps referencing indices</w:t>
            </w:r>
          </w:p>
        </w:tc>
        <w:tc>
          <w:tcPr>
            <w:tcW w:w="1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11</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533</w:t>
            </w:r>
          </w:p>
        </w:tc>
        <w:tc>
          <w:tcPr>
            <w:tcW w:w="128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3.0</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8</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433</w:t>
            </w:r>
          </w:p>
        </w:tc>
        <w:tc>
          <w:tcPr>
            <w:tcW w:w="124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3.7</w:t>
            </w:r>
          </w:p>
        </w:tc>
        <w:tc>
          <w:tcPr>
            <w:tcW w:w="0" w:type="dxa"/>
            <w:vAlign w:val="bottom"/>
          </w:tcPr>
          <w:p>
            <w:pPr>
              <w:spacing w:after="0"/>
              <w:rPr>
                <w:sz w:val="1"/>
                <w:szCs w:val="1"/>
                <w:color w:val="auto"/>
              </w:rPr>
            </w:pPr>
          </w:p>
        </w:tc>
      </w:tr>
      <w:tr>
        <w:trPr>
          <w:trHeight w:val="217"/>
        </w:trPr>
        <w:tc>
          <w:tcPr>
            <w:tcW w:w="3780" w:type="dxa"/>
            <w:vAlign w:val="bottom"/>
            <w:gridSpan w:val="2"/>
          </w:tcPr>
          <w:p>
            <w:pPr>
              <w:ind w:left="200"/>
              <w:spacing w:after="0"/>
              <w:rPr>
                <w:sz w:val="20"/>
                <w:szCs w:val="20"/>
                <w:color w:val="auto"/>
              </w:rPr>
            </w:pPr>
            <w:r>
              <w:rPr>
                <w:rFonts w:ascii="Arial" w:cs="Arial" w:eastAsia="Arial" w:hAnsi="Arial"/>
                <w:sz w:val="16"/>
                <w:szCs w:val="16"/>
                <w:color w:val="auto"/>
              </w:rPr>
              <w:t>Subtotal</w:t>
            </w:r>
          </w:p>
        </w:tc>
        <w:tc>
          <w:tcPr>
            <w:tcW w:w="1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ind w:right="42"/>
              <w:spacing w:after="0"/>
              <w:rPr>
                <w:sz w:val="20"/>
                <w:szCs w:val="20"/>
                <w:color w:val="auto"/>
              </w:rPr>
            </w:pPr>
            <w:r>
              <w:rPr>
                <w:rFonts w:ascii="Arial" w:cs="Arial" w:eastAsia="Arial" w:hAnsi="Arial"/>
                <w:sz w:val="16"/>
                <w:szCs w:val="16"/>
                <w:color w:val="auto"/>
              </w:rPr>
              <w:t>11</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jc w:val="right"/>
              <w:ind w:right="43"/>
              <w:spacing w:after="0"/>
              <w:rPr>
                <w:sz w:val="20"/>
                <w:szCs w:val="20"/>
                <w:color w:val="auto"/>
              </w:rPr>
            </w:pPr>
            <w:r>
              <w:rPr>
                <w:rFonts w:ascii="Arial" w:cs="Arial" w:eastAsia="Arial" w:hAnsi="Arial"/>
                <w:sz w:val="16"/>
                <w:szCs w:val="16"/>
                <w:color w:val="auto"/>
              </w:rPr>
              <w:t>558</w:t>
            </w:r>
          </w:p>
        </w:tc>
        <w:tc>
          <w:tcPr>
            <w:tcW w:w="1280" w:type="dxa"/>
            <w:vAlign w:val="bottom"/>
          </w:tcPr>
          <w:p>
            <w:pPr>
              <w:jc w:val="right"/>
              <w:ind w:right="42"/>
              <w:spacing w:after="0"/>
              <w:rPr>
                <w:sz w:val="20"/>
                <w:szCs w:val="20"/>
                <w:color w:val="auto"/>
              </w:rPr>
            </w:pPr>
            <w:r>
              <w:rPr>
                <w:rFonts w:ascii="Arial" w:cs="Arial" w:eastAsia="Arial" w:hAnsi="Arial"/>
                <w:sz w:val="16"/>
                <w:szCs w:val="16"/>
                <w:color w:val="auto"/>
              </w:rPr>
              <w:t>3.0</w:t>
            </w: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ind w:right="42"/>
              <w:spacing w:after="0"/>
              <w:rPr>
                <w:sz w:val="20"/>
                <w:szCs w:val="20"/>
                <w:color w:val="auto"/>
              </w:rPr>
            </w:pPr>
            <w:r>
              <w:rPr>
                <w:rFonts w:ascii="Arial" w:cs="Arial" w:eastAsia="Arial" w:hAnsi="Arial"/>
                <w:sz w:val="16"/>
                <w:szCs w:val="16"/>
                <w:color w:val="auto"/>
              </w:rPr>
              <w:t>8</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ind w:right="43"/>
              <w:spacing w:after="0"/>
              <w:rPr>
                <w:sz w:val="20"/>
                <w:szCs w:val="20"/>
                <w:color w:val="auto"/>
              </w:rPr>
            </w:pPr>
            <w:r>
              <w:rPr>
                <w:rFonts w:ascii="Arial" w:cs="Arial" w:eastAsia="Arial" w:hAnsi="Arial"/>
                <w:sz w:val="16"/>
                <w:szCs w:val="16"/>
                <w:color w:val="auto"/>
              </w:rPr>
              <w:t>478</w:t>
            </w:r>
          </w:p>
        </w:tc>
        <w:tc>
          <w:tcPr>
            <w:tcW w:w="1240" w:type="dxa"/>
            <w:vAlign w:val="bottom"/>
          </w:tcPr>
          <w:p>
            <w:pPr>
              <w:jc w:val="right"/>
              <w:ind w:right="22"/>
              <w:spacing w:after="0"/>
              <w:rPr>
                <w:sz w:val="20"/>
                <w:szCs w:val="20"/>
                <w:color w:val="auto"/>
              </w:rPr>
            </w:pPr>
            <w:r>
              <w:rPr>
                <w:rFonts w:ascii="Arial" w:cs="Arial" w:eastAsia="Arial" w:hAnsi="Arial"/>
                <w:sz w:val="16"/>
                <w:szCs w:val="16"/>
                <w:color w:val="auto"/>
              </w:rPr>
              <w:t>3.6</w:t>
            </w:r>
          </w:p>
        </w:tc>
        <w:tc>
          <w:tcPr>
            <w:tcW w:w="0" w:type="dxa"/>
            <w:vAlign w:val="bottom"/>
          </w:tcPr>
          <w:p>
            <w:pPr>
              <w:spacing w:after="0"/>
              <w:rPr>
                <w:sz w:val="1"/>
                <w:szCs w:val="1"/>
                <w:color w:val="auto"/>
              </w:rPr>
            </w:pPr>
          </w:p>
        </w:tc>
      </w:tr>
      <w:tr>
        <w:trPr>
          <w:trHeight w:val="33"/>
        </w:trPr>
        <w:tc>
          <w:tcPr>
            <w:tcW w:w="36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378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Baa</w:t>
            </w: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60"/>
        </w:trPr>
        <w:tc>
          <w:tcPr>
            <w:tcW w:w="366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80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1320" w:type="dxa"/>
            <w:vAlign w:val="bottom"/>
            <w:shd w:val="clear" w:color="auto" w:fill="CCEEFF"/>
          </w:tcPr>
          <w:p>
            <w:pPr>
              <w:spacing w:after="0"/>
              <w:rPr>
                <w:sz w:val="5"/>
                <w:szCs w:val="5"/>
                <w:color w:val="auto"/>
              </w:rPr>
            </w:pPr>
          </w:p>
        </w:tc>
        <w:tc>
          <w:tcPr>
            <w:tcW w:w="128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78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1300" w:type="dxa"/>
            <w:vAlign w:val="bottom"/>
            <w:shd w:val="clear" w:color="auto" w:fill="CCEEFF"/>
          </w:tcPr>
          <w:p>
            <w:pPr>
              <w:spacing w:after="0"/>
              <w:rPr>
                <w:sz w:val="5"/>
                <w:szCs w:val="5"/>
                <w:color w:val="auto"/>
              </w:rPr>
            </w:pPr>
          </w:p>
        </w:tc>
        <w:tc>
          <w:tcPr>
            <w:tcW w:w="124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37"/>
        </w:trPr>
        <w:tc>
          <w:tcPr>
            <w:tcW w:w="3780" w:type="dxa"/>
            <w:vAlign w:val="bottom"/>
            <w:gridSpan w:val="2"/>
          </w:tcPr>
          <w:p>
            <w:pPr>
              <w:ind w:left="40"/>
              <w:spacing w:after="0"/>
              <w:rPr>
                <w:sz w:val="20"/>
                <w:szCs w:val="20"/>
                <w:color w:val="auto"/>
              </w:rPr>
            </w:pPr>
            <w:r>
              <w:rPr>
                <w:rFonts w:ascii="Arial" w:cs="Arial" w:eastAsia="Arial" w:hAnsi="Arial"/>
                <w:sz w:val="16"/>
                <w:szCs w:val="16"/>
                <w:color w:val="auto"/>
              </w:rPr>
              <w:t>Single name credit default swaps (3)</w:t>
            </w:r>
          </w:p>
        </w:tc>
        <w:tc>
          <w:tcPr>
            <w:tcW w:w="140" w:type="dxa"/>
            <w:vAlign w:val="bottom"/>
          </w:tcPr>
          <w:p>
            <w:pPr>
              <w:spacing w:after="0"/>
              <w:rPr>
                <w:sz w:val="20"/>
                <w:szCs w:val="20"/>
                <w:color w:val="auto"/>
              </w:rPr>
            </w:pPr>
          </w:p>
        </w:tc>
        <w:tc>
          <w:tcPr>
            <w:tcW w:w="800" w:type="dxa"/>
            <w:vAlign w:val="bottom"/>
          </w:tcPr>
          <w:p>
            <w:pPr>
              <w:jc w:val="right"/>
              <w:ind w:right="42"/>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tcPr>
          <w:p>
            <w:pPr>
              <w:jc w:val="right"/>
              <w:ind w:right="43"/>
              <w:spacing w:after="0"/>
              <w:rPr>
                <w:sz w:val="20"/>
                <w:szCs w:val="20"/>
                <w:color w:val="auto"/>
              </w:rPr>
            </w:pPr>
            <w:r>
              <w:rPr>
                <w:rFonts w:ascii="Arial" w:cs="Arial" w:eastAsia="Arial" w:hAnsi="Arial"/>
                <w:sz w:val="16"/>
                <w:szCs w:val="16"/>
                <w:color w:val="auto"/>
              </w:rPr>
              <w:t>130</w:t>
            </w:r>
          </w:p>
        </w:tc>
        <w:tc>
          <w:tcPr>
            <w:tcW w:w="1280" w:type="dxa"/>
            <w:vAlign w:val="bottom"/>
          </w:tcPr>
          <w:p>
            <w:pPr>
              <w:jc w:val="right"/>
              <w:ind w:right="42"/>
              <w:spacing w:after="0"/>
              <w:rPr>
                <w:sz w:val="20"/>
                <w:szCs w:val="20"/>
                <w:color w:val="auto"/>
              </w:rPr>
            </w:pPr>
            <w:r>
              <w:rPr>
                <w:rFonts w:ascii="Arial" w:cs="Arial" w:eastAsia="Arial" w:hAnsi="Arial"/>
                <w:sz w:val="16"/>
                <w:szCs w:val="16"/>
                <w:color w:val="auto"/>
              </w:rPr>
              <w:t>1.3</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jc w:val="right"/>
              <w:ind w:right="42"/>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jc w:val="right"/>
              <w:ind w:right="43"/>
              <w:spacing w:after="0"/>
              <w:rPr>
                <w:sz w:val="20"/>
                <w:szCs w:val="20"/>
                <w:color w:val="auto"/>
              </w:rPr>
            </w:pPr>
            <w:r>
              <w:rPr>
                <w:rFonts w:ascii="Arial" w:cs="Arial" w:eastAsia="Arial" w:hAnsi="Arial"/>
                <w:sz w:val="16"/>
                <w:szCs w:val="16"/>
                <w:color w:val="auto"/>
              </w:rPr>
              <w:t>180</w:t>
            </w:r>
          </w:p>
        </w:tc>
        <w:tc>
          <w:tcPr>
            <w:tcW w:w="1240" w:type="dxa"/>
            <w:vAlign w:val="bottom"/>
          </w:tcPr>
          <w:p>
            <w:pPr>
              <w:jc w:val="right"/>
              <w:ind w:right="22"/>
              <w:spacing w:after="0"/>
              <w:rPr>
                <w:sz w:val="20"/>
                <w:szCs w:val="20"/>
                <w:color w:val="auto"/>
              </w:rPr>
            </w:pPr>
            <w:r>
              <w:rPr>
                <w:rFonts w:ascii="Arial" w:cs="Arial" w:eastAsia="Arial" w:hAnsi="Arial"/>
                <w:sz w:val="16"/>
                <w:szCs w:val="16"/>
                <w:color w:val="auto"/>
              </w:rPr>
              <w:t>1.6</w:t>
            </w: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7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Credit default swaps referencing indices</w:t>
            </w:r>
          </w:p>
        </w:tc>
        <w:tc>
          <w:tcPr>
            <w:tcW w:w="1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25</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1,188</w:t>
            </w:r>
          </w:p>
        </w:tc>
        <w:tc>
          <w:tcPr>
            <w:tcW w:w="128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5.3</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18</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1,235</w:t>
            </w:r>
          </w:p>
        </w:tc>
        <w:tc>
          <w:tcPr>
            <w:tcW w:w="124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4.8</w:t>
            </w:r>
          </w:p>
        </w:tc>
        <w:tc>
          <w:tcPr>
            <w:tcW w:w="0" w:type="dxa"/>
            <w:vAlign w:val="bottom"/>
          </w:tcPr>
          <w:p>
            <w:pPr>
              <w:spacing w:after="0"/>
              <w:rPr>
                <w:sz w:val="1"/>
                <w:szCs w:val="1"/>
                <w:color w:val="auto"/>
              </w:rPr>
            </w:pPr>
          </w:p>
        </w:tc>
      </w:tr>
      <w:tr>
        <w:trPr>
          <w:trHeight w:val="217"/>
        </w:trPr>
        <w:tc>
          <w:tcPr>
            <w:tcW w:w="3780" w:type="dxa"/>
            <w:vAlign w:val="bottom"/>
            <w:gridSpan w:val="2"/>
          </w:tcPr>
          <w:p>
            <w:pPr>
              <w:ind w:left="200"/>
              <w:spacing w:after="0"/>
              <w:rPr>
                <w:sz w:val="20"/>
                <w:szCs w:val="20"/>
                <w:color w:val="auto"/>
              </w:rPr>
            </w:pPr>
            <w:r>
              <w:rPr>
                <w:rFonts w:ascii="Arial" w:cs="Arial" w:eastAsia="Arial" w:hAnsi="Arial"/>
                <w:sz w:val="16"/>
                <w:szCs w:val="16"/>
                <w:color w:val="auto"/>
              </w:rPr>
              <w:t>Subtotal</w:t>
            </w:r>
          </w:p>
        </w:tc>
        <w:tc>
          <w:tcPr>
            <w:tcW w:w="1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ind w:right="42"/>
              <w:spacing w:after="0"/>
              <w:rPr>
                <w:sz w:val="20"/>
                <w:szCs w:val="20"/>
                <w:color w:val="auto"/>
              </w:rPr>
            </w:pPr>
            <w:r>
              <w:rPr>
                <w:rFonts w:ascii="Arial" w:cs="Arial" w:eastAsia="Arial" w:hAnsi="Arial"/>
                <w:sz w:val="16"/>
                <w:szCs w:val="16"/>
                <w:color w:val="auto"/>
              </w:rPr>
              <w:t>26</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jc w:val="right"/>
              <w:ind w:right="43"/>
              <w:spacing w:after="0"/>
              <w:rPr>
                <w:sz w:val="20"/>
                <w:szCs w:val="20"/>
                <w:color w:val="auto"/>
              </w:rPr>
            </w:pPr>
            <w:r>
              <w:rPr>
                <w:rFonts w:ascii="Arial" w:cs="Arial" w:eastAsia="Arial" w:hAnsi="Arial"/>
                <w:sz w:val="16"/>
                <w:szCs w:val="16"/>
                <w:color w:val="auto"/>
              </w:rPr>
              <w:t>1,318</w:t>
            </w:r>
          </w:p>
        </w:tc>
        <w:tc>
          <w:tcPr>
            <w:tcW w:w="1280" w:type="dxa"/>
            <w:vAlign w:val="bottom"/>
          </w:tcPr>
          <w:p>
            <w:pPr>
              <w:jc w:val="right"/>
              <w:ind w:right="42"/>
              <w:spacing w:after="0"/>
              <w:rPr>
                <w:sz w:val="20"/>
                <w:szCs w:val="20"/>
                <w:color w:val="auto"/>
              </w:rPr>
            </w:pPr>
            <w:r>
              <w:rPr>
                <w:rFonts w:ascii="Arial" w:cs="Arial" w:eastAsia="Arial" w:hAnsi="Arial"/>
                <w:sz w:val="16"/>
                <w:szCs w:val="16"/>
                <w:color w:val="auto"/>
              </w:rPr>
              <w:t>4.9</w:t>
            </w: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ind w:right="42"/>
              <w:spacing w:after="0"/>
              <w:rPr>
                <w:sz w:val="20"/>
                <w:szCs w:val="20"/>
                <w:color w:val="auto"/>
              </w:rPr>
            </w:pPr>
            <w:r>
              <w:rPr>
                <w:rFonts w:ascii="Arial" w:cs="Arial" w:eastAsia="Arial" w:hAnsi="Arial"/>
                <w:sz w:val="16"/>
                <w:szCs w:val="16"/>
                <w:color w:val="auto"/>
              </w:rPr>
              <w:t>20</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ind w:right="43"/>
              <w:spacing w:after="0"/>
              <w:rPr>
                <w:sz w:val="20"/>
                <w:szCs w:val="20"/>
                <w:color w:val="auto"/>
              </w:rPr>
            </w:pPr>
            <w:r>
              <w:rPr>
                <w:rFonts w:ascii="Arial" w:cs="Arial" w:eastAsia="Arial" w:hAnsi="Arial"/>
                <w:sz w:val="16"/>
                <w:szCs w:val="16"/>
                <w:color w:val="auto"/>
              </w:rPr>
              <w:t>1,415</w:t>
            </w:r>
          </w:p>
        </w:tc>
        <w:tc>
          <w:tcPr>
            <w:tcW w:w="1240" w:type="dxa"/>
            <w:vAlign w:val="bottom"/>
          </w:tcPr>
          <w:p>
            <w:pPr>
              <w:jc w:val="right"/>
              <w:ind w:right="22"/>
              <w:spacing w:after="0"/>
              <w:rPr>
                <w:sz w:val="20"/>
                <w:szCs w:val="20"/>
                <w:color w:val="auto"/>
              </w:rPr>
            </w:pPr>
            <w:r>
              <w:rPr>
                <w:rFonts w:ascii="Arial" w:cs="Arial" w:eastAsia="Arial" w:hAnsi="Arial"/>
                <w:sz w:val="16"/>
                <w:szCs w:val="16"/>
                <w:color w:val="auto"/>
              </w:rPr>
              <w:t>4.4</w:t>
            </w:r>
          </w:p>
        </w:tc>
        <w:tc>
          <w:tcPr>
            <w:tcW w:w="0" w:type="dxa"/>
            <w:vAlign w:val="bottom"/>
          </w:tcPr>
          <w:p>
            <w:pPr>
              <w:spacing w:after="0"/>
              <w:rPr>
                <w:sz w:val="1"/>
                <w:szCs w:val="1"/>
                <w:color w:val="auto"/>
              </w:rPr>
            </w:pPr>
          </w:p>
        </w:tc>
      </w:tr>
      <w:tr>
        <w:trPr>
          <w:trHeight w:val="33"/>
        </w:trPr>
        <w:tc>
          <w:tcPr>
            <w:tcW w:w="36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378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Ba</w:t>
            </w: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60"/>
        </w:trPr>
        <w:tc>
          <w:tcPr>
            <w:tcW w:w="366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80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1320" w:type="dxa"/>
            <w:vAlign w:val="bottom"/>
            <w:shd w:val="clear" w:color="auto" w:fill="CCEEFF"/>
          </w:tcPr>
          <w:p>
            <w:pPr>
              <w:spacing w:after="0"/>
              <w:rPr>
                <w:sz w:val="5"/>
                <w:szCs w:val="5"/>
                <w:color w:val="auto"/>
              </w:rPr>
            </w:pPr>
          </w:p>
        </w:tc>
        <w:tc>
          <w:tcPr>
            <w:tcW w:w="128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78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1300" w:type="dxa"/>
            <w:vAlign w:val="bottom"/>
            <w:shd w:val="clear" w:color="auto" w:fill="CCEEFF"/>
          </w:tcPr>
          <w:p>
            <w:pPr>
              <w:spacing w:after="0"/>
              <w:rPr>
                <w:sz w:val="5"/>
                <w:szCs w:val="5"/>
                <w:color w:val="auto"/>
              </w:rPr>
            </w:pPr>
          </w:p>
        </w:tc>
        <w:tc>
          <w:tcPr>
            <w:tcW w:w="124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37"/>
        </w:trPr>
        <w:tc>
          <w:tcPr>
            <w:tcW w:w="3780" w:type="dxa"/>
            <w:vAlign w:val="bottom"/>
            <w:gridSpan w:val="2"/>
          </w:tcPr>
          <w:p>
            <w:pPr>
              <w:ind w:left="40"/>
              <w:spacing w:after="0"/>
              <w:rPr>
                <w:sz w:val="20"/>
                <w:szCs w:val="20"/>
                <w:color w:val="auto"/>
              </w:rPr>
            </w:pPr>
            <w:r>
              <w:rPr>
                <w:rFonts w:ascii="Arial" w:cs="Arial" w:eastAsia="Arial" w:hAnsi="Arial"/>
                <w:sz w:val="16"/>
                <w:szCs w:val="16"/>
                <w:color w:val="auto"/>
              </w:rPr>
              <w:t>Single name credit default swaps (3)</w:t>
            </w:r>
          </w:p>
        </w:tc>
        <w:tc>
          <w:tcPr>
            <w:tcW w:w="140" w:type="dxa"/>
            <w:vAlign w:val="bottom"/>
          </w:tcPr>
          <w:p>
            <w:pPr>
              <w:spacing w:after="0"/>
              <w:rPr>
                <w:sz w:val="20"/>
                <w:szCs w:val="20"/>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320" w:type="dxa"/>
            <w:vAlign w:val="bottom"/>
          </w:tcPr>
          <w:p>
            <w:pPr>
              <w:jc w:val="right"/>
              <w:ind w:right="43"/>
              <w:spacing w:after="0"/>
              <w:rPr>
                <w:sz w:val="20"/>
                <w:szCs w:val="20"/>
                <w:color w:val="auto"/>
              </w:rPr>
            </w:pPr>
            <w:r>
              <w:rPr>
                <w:rFonts w:ascii="Arial" w:cs="Arial" w:eastAsia="Arial" w:hAnsi="Arial"/>
                <w:sz w:val="16"/>
                <w:szCs w:val="16"/>
                <w:color w:val="auto"/>
              </w:rPr>
              <w:t>25</w:t>
            </w:r>
          </w:p>
        </w:tc>
        <w:tc>
          <w:tcPr>
            <w:tcW w:w="1280" w:type="dxa"/>
            <w:vAlign w:val="bottom"/>
          </w:tcPr>
          <w:p>
            <w:pPr>
              <w:jc w:val="right"/>
              <w:ind w:right="42"/>
              <w:spacing w:after="0"/>
              <w:rPr>
                <w:sz w:val="20"/>
                <w:szCs w:val="20"/>
                <w:color w:val="auto"/>
              </w:rPr>
            </w:pPr>
            <w:r>
              <w:rPr>
                <w:rFonts w:ascii="Arial" w:cs="Arial" w:eastAsia="Arial" w:hAnsi="Arial"/>
                <w:sz w:val="16"/>
                <w:szCs w:val="16"/>
                <w:color w:val="auto"/>
              </w:rPr>
              <w:t>4.7</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300" w:type="dxa"/>
            <w:vAlign w:val="bottom"/>
          </w:tcPr>
          <w:p>
            <w:pPr>
              <w:jc w:val="right"/>
              <w:ind w:right="43"/>
              <w:spacing w:after="0"/>
              <w:rPr>
                <w:sz w:val="20"/>
                <w:szCs w:val="20"/>
                <w:color w:val="auto"/>
              </w:rPr>
            </w:pPr>
            <w:r>
              <w:rPr>
                <w:rFonts w:ascii="Arial" w:cs="Arial" w:eastAsia="Arial" w:hAnsi="Arial"/>
                <w:sz w:val="16"/>
                <w:szCs w:val="16"/>
                <w:color w:val="auto"/>
              </w:rPr>
              <w:t>20</w:t>
            </w:r>
          </w:p>
        </w:tc>
        <w:tc>
          <w:tcPr>
            <w:tcW w:w="1240" w:type="dxa"/>
            <w:vAlign w:val="bottom"/>
          </w:tcPr>
          <w:p>
            <w:pPr>
              <w:jc w:val="right"/>
              <w:ind w:right="22"/>
              <w:spacing w:after="0"/>
              <w:rPr>
                <w:sz w:val="20"/>
                <w:szCs w:val="20"/>
                <w:color w:val="auto"/>
              </w:rPr>
            </w:pPr>
            <w:r>
              <w:rPr>
                <w:rFonts w:ascii="Arial" w:cs="Arial" w:eastAsia="Arial" w:hAnsi="Arial"/>
                <w:sz w:val="16"/>
                <w:szCs w:val="16"/>
                <w:color w:val="auto"/>
              </w:rPr>
              <w:t>2.7</w:t>
            </w: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7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Credit default swaps referencing indices</w:t>
            </w:r>
          </w:p>
        </w:tc>
        <w:tc>
          <w:tcPr>
            <w:tcW w:w="1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7"/>
        </w:trPr>
        <w:tc>
          <w:tcPr>
            <w:tcW w:w="3780" w:type="dxa"/>
            <w:vAlign w:val="bottom"/>
            <w:gridSpan w:val="2"/>
          </w:tcPr>
          <w:p>
            <w:pPr>
              <w:ind w:left="200"/>
              <w:spacing w:after="0"/>
              <w:rPr>
                <w:sz w:val="20"/>
                <w:szCs w:val="20"/>
                <w:color w:val="auto"/>
              </w:rPr>
            </w:pPr>
            <w:r>
              <w:rPr>
                <w:rFonts w:ascii="Arial" w:cs="Arial" w:eastAsia="Arial" w:hAnsi="Arial"/>
                <w:sz w:val="16"/>
                <w:szCs w:val="16"/>
                <w:color w:val="auto"/>
              </w:rPr>
              <w:t>Subtotal</w:t>
            </w:r>
          </w:p>
        </w:tc>
        <w:tc>
          <w:tcPr>
            <w:tcW w:w="1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ind w:right="42"/>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jc w:val="right"/>
              <w:ind w:right="43"/>
              <w:spacing w:after="0"/>
              <w:rPr>
                <w:sz w:val="20"/>
                <w:szCs w:val="20"/>
                <w:color w:val="auto"/>
              </w:rPr>
            </w:pPr>
            <w:r>
              <w:rPr>
                <w:rFonts w:ascii="Arial" w:cs="Arial" w:eastAsia="Arial" w:hAnsi="Arial"/>
                <w:sz w:val="16"/>
                <w:szCs w:val="16"/>
                <w:color w:val="auto"/>
              </w:rPr>
              <w:t>25</w:t>
            </w:r>
          </w:p>
        </w:tc>
        <w:tc>
          <w:tcPr>
            <w:tcW w:w="1280" w:type="dxa"/>
            <w:vAlign w:val="bottom"/>
          </w:tcPr>
          <w:p>
            <w:pPr>
              <w:jc w:val="right"/>
              <w:ind w:right="42"/>
              <w:spacing w:after="0"/>
              <w:rPr>
                <w:sz w:val="20"/>
                <w:szCs w:val="20"/>
                <w:color w:val="auto"/>
              </w:rPr>
            </w:pPr>
            <w:r>
              <w:rPr>
                <w:rFonts w:ascii="Arial" w:cs="Arial" w:eastAsia="Arial" w:hAnsi="Arial"/>
                <w:sz w:val="16"/>
                <w:szCs w:val="16"/>
                <w:color w:val="auto"/>
              </w:rPr>
              <w:t>4.7</w:t>
            </w: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ind w:right="42"/>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ind w:right="43"/>
              <w:spacing w:after="0"/>
              <w:rPr>
                <w:sz w:val="20"/>
                <w:szCs w:val="20"/>
                <w:color w:val="auto"/>
              </w:rPr>
            </w:pPr>
            <w:r>
              <w:rPr>
                <w:rFonts w:ascii="Arial" w:cs="Arial" w:eastAsia="Arial" w:hAnsi="Arial"/>
                <w:sz w:val="16"/>
                <w:szCs w:val="16"/>
                <w:color w:val="auto"/>
              </w:rPr>
              <w:t>20</w:t>
            </w:r>
          </w:p>
        </w:tc>
        <w:tc>
          <w:tcPr>
            <w:tcW w:w="1240" w:type="dxa"/>
            <w:vAlign w:val="bottom"/>
          </w:tcPr>
          <w:p>
            <w:pPr>
              <w:jc w:val="right"/>
              <w:ind w:right="22"/>
              <w:spacing w:after="0"/>
              <w:rPr>
                <w:sz w:val="20"/>
                <w:szCs w:val="20"/>
                <w:color w:val="auto"/>
              </w:rPr>
            </w:pPr>
            <w:r>
              <w:rPr>
                <w:rFonts w:ascii="Arial" w:cs="Arial" w:eastAsia="Arial" w:hAnsi="Arial"/>
                <w:sz w:val="16"/>
                <w:szCs w:val="16"/>
                <w:color w:val="auto"/>
              </w:rPr>
              <w:t>2.7</w:t>
            </w:r>
          </w:p>
        </w:tc>
        <w:tc>
          <w:tcPr>
            <w:tcW w:w="0" w:type="dxa"/>
            <w:vAlign w:val="bottom"/>
          </w:tcPr>
          <w:p>
            <w:pPr>
              <w:spacing w:after="0"/>
              <w:rPr>
                <w:sz w:val="1"/>
                <w:szCs w:val="1"/>
                <w:color w:val="auto"/>
              </w:rPr>
            </w:pPr>
          </w:p>
        </w:tc>
      </w:tr>
      <w:tr>
        <w:trPr>
          <w:trHeight w:val="33"/>
        </w:trPr>
        <w:tc>
          <w:tcPr>
            <w:tcW w:w="36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78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6"/>
                <w:szCs w:val="16"/>
                <w:color w:val="auto"/>
              </w:rPr>
              <w:t>Total</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6"/>
                <w:szCs w:val="16"/>
                <w:color w:val="auto"/>
              </w:rPr>
              <w:t>37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6"/>
                <w:szCs w:val="16"/>
                <w:color w:val="auto"/>
              </w:rPr>
              <w:t>1,901</w:t>
            </w:r>
          </w:p>
        </w:tc>
        <w:tc>
          <w:tcPr>
            <w:tcW w:w="128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4.3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6"/>
                <w:szCs w:val="16"/>
                <w:color w:val="auto"/>
              </w:rPr>
              <w:t>28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6"/>
                <w:szCs w:val="16"/>
                <w:color w:val="auto"/>
              </w:rPr>
              <w:t>1,913</w:t>
            </w:r>
          </w:p>
        </w:tc>
        <w:tc>
          <w:tcPr>
            <w:tcW w:w="124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4.2</w:t>
            </w:r>
          </w:p>
        </w:tc>
        <w:tc>
          <w:tcPr>
            <w:tcW w:w="0" w:type="dxa"/>
            <w:vAlign w:val="bottom"/>
          </w:tcPr>
          <w:p>
            <w:pPr>
              <w:spacing w:after="0"/>
              <w:rPr>
                <w:sz w:val="1"/>
                <w:szCs w:val="1"/>
                <w:color w:val="auto"/>
              </w:rPr>
            </w:pPr>
          </w:p>
        </w:tc>
      </w:tr>
      <w:tr>
        <w:trPr>
          <w:trHeight w:val="20"/>
        </w:trPr>
        <w:tc>
          <w:tcPr>
            <w:tcW w:w="3660" w:type="dxa"/>
            <w:vAlign w:val="bottom"/>
            <w:vMerge w:val="restart"/>
          </w:tcPr>
          <w:p>
            <w:pPr>
              <w:spacing w:after="0"/>
              <w:rPr>
                <w:sz w:val="20"/>
                <w:szCs w:val="20"/>
                <w:color w:val="auto"/>
              </w:rPr>
            </w:pPr>
            <w:r>
              <w:rPr>
                <w:rFonts w:ascii="Arial" w:cs="Arial" w:eastAsia="Arial" w:hAnsi="Arial"/>
                <w:sz w:val="14"/>
                <w:szCs w:val="14"/>
                <w:color w:val="auto"/>
              </w:rPr>
              <w:t>__________________</w:t>
            </w:r>
          </w:p>
        </w:tc>
        <w:tc>
          <w:tcPr>
            <w:tcW w:w="120" w:type="dxa"/>
            <w:vAlign w:val="bottom"/>
            <w:vMerge w:val="restart"/>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3660" w:type="dxa"/>
            <w:vAlign w:val="bottom"/>
            <w:vMerge w:val="continue"/>
          </w:tcPr>
          <w:p>
            <w:pPr>
              <w:spacing w:after="0"/>
              <w:rPr>
                <w:sz w:val="13"/>
                <w:szCs w:val="13"/>
                <w:color w:val="auto"/>
              </w:rPr>
            </w:pPr>
          </w:p>
        </w:tc>
        <w:tc>
          <w:tcPr>
            <w:tcW w:w="12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2" w:lineRule="exact"/>
        <w:rPr>
          <w:sz w:val="20"/>
          <w:szCs w:val="20"/>
          <w:color w:val="auto"/>
        </w:rPr>
      </w:pPr>
    </w:p>
    <w:p>
      <w:pPr>
        <w:jc w:val="both"/>
        <w:ind w:left="500" w:hanging="492"/>
        <w:spacing w:after="0" w:line="342" w:lineRule="auto"/>
        <w:tabs>
          <w:tab w:leader="none" w:pos="500"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 rating agency designations are based on availability and the midpoint of the applicable ratings among Moody’s Investors Service (“Moody’s”), Standard &amp; Poor’s Global Ratings (“S&amp;P”) and Fitch Ratings. If no rating is available from a rating agency, then an internally developed rating is used.</w:t>
      </w:r>
    </w:p>
    <w:p>
      <w:pPr>
        <w:spacing w:after="0" w:line="15" w:lineRule="exact"/>
        <w:rPr>
          <w:rFonts w:ascii="Arial" w:cs="Arial" w:eastAsia="Arial" w:hAnsi="Arial"/>
          <w:sz w:val="16"/>
          <w:szCs w:val="16"/>
          <w:color w:val="auto"/>
        </w:rPr>
      </w:pPr>
    </w:p>
    <w:p>
      <w:pPr>
        <w:ind w:left="500" w:hanging="492"/>
        <w:spacing w:after="0"/>
        <w:tabs>
          <w:tab w:leader="none" w:pos="5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weighted average years to maturity of the credit default swaps is calculated based on weighted average gross notional amounts.</w:t>
      </w:r>
    </w:p>
    <w:p>
      <w:pPr>
        <w:spacing w:after="0" w:line="117" w:lineRule="exact"/>
        <w:rPr>
          <w:rFonts w:ascii="Arial" w:cs="Arial" w:eastAsia="Arial" w:hAnsi="Arial"/>
          <w:sz w:val="18"/>
          <w:szCs w:val="18"/>
          <w:color w:val="auto"/>
        </w:rPr>
      </w:pPr>
    </w:p>
    <w:p>
      <w:pPr>
        <w:ind w:left="500" w:hanging="492"/>
        <w:spacing w:after="0"/>
        <w:tabs>
          <w:tab w:leader="none" w:pos="500" w:val="left"/>
        </w:tabs>
        <w:numPr>
          <w:ilvl w:val="0"/>
          <w:numId w:val="23"/>
        </w:numPr>
        <w:rPr>
          <w:rFonts w:ascii="Arial" w:cs="Arial" w:eastAsia="Arial" w:hAnsi="Arial"/>
          <w:sz w:val="17"/>
          <w:szCs w:val="17"/>
          <w:color w:val="auto"/>
        </w:rPr>
      </w:pPr>
      <w:r>
        <w:rPr>
          <w:rFonts w:ascii="Arial" w:cs="Arial" w:eastAsia="Arial" w:hAnsi="Arial"/>
          <w:sz w:val="17"/>
          <w:szCs w:val="17"/>
          <w:color w:val="auto"/>
        </w:rPr>
        <w:t>Single name credit default swaps may be referenced to the credit of corporations, foreign governments, or state and political subdivisions.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Risk on Freestanding Derivatives</w:t>
      </w:r>
    </w:p>
    <w:p>
      <w:pPr>
        <w:spacing w:after="0" w:line="117"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Company may be exposed to credit-related losses in the event of nonperformance by its counterparties to derivatives. Generally, the current credit exposure of the Company’s derivatives is limited to the net positive estimated fair value of derivatives at the reporting date after taking into consideration the existence of master netting or similar agreements and any collateral received pursuant to such agreements.</w:t>
      </w:r>
    </w:p>
    <w:p>
      <w:pPr>
        <w:spacing w:after="0" w:line="73"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The Company manages its credit risk related to derivatives by entering into transactions with creditworthy counterparties and establishing and monitoring exposure limits. The Company’s OTC-bilateral derivative transactions are generally governed by ISDA Master Agreements which provide for legally enforceable set-off and close-out netting of exposures to specific counterparties in the event of early termination of a transaction, which includes, but is not limited to, events of default and bankruptcy. In the event of an early termination, the Company is permitted to set off receivables from the counterparty against payables to the same counterparty arising out of all included transactions. Substantially all of the Company’s ISDA Master Agreements also include Credit Support Annex provisions which require both the pledging and accepting of collateral in connection with its OTC-bilateral derivatives.</w:t>
      </w:r>
    </w:p>
    <w:p>
      <w:pPr>
        <w:spacing w:after="0" w:line="57"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Company’s OTC-cleared derivatives are effected through central clearing counterparties and its exchange-traded derivatives are effected through regulated exchanges. Such positions are marked to market and margined on a daily basis (both initial margin and variation margin), and the Company has minimal exposure to credit-related losses in the event of nonperformance by counterparties to such derivatives.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234" w:right="239" w:bottom="1440" w:gutter="0" w:footer="0" w:header="0"/>
        </w:sectPr>
      </w:pPr>
    </w:p>
    <w:bookmarkStart w:id="41" w:name="page42"/>
    <w:bookmarkEnd w:id="41"/>
    <w:p>
      <w:pPr>
        <w:ind w:left="340"/>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109" w:lineRule="exact"/>
        <w:rPr>
          <w:sz w:val="20"/>
          <w:szCs w:val="20"/>
          <w:color w:val="auto"/>
        </w:rPr>
      </w:pPr>
    </w:p>
    <w:p>
      <w:pPr>
        <w:ind w:left="4840"/>
        <w:spacing w:after="0"/>
        <w:rPr>
          <w:sz w:val="20"/>
          <w:szCs w:val="20"/>
          <w:color w:val="auto"/>
        </w:rPr>
      </w:pPr>
      <w:r>
        <w:rPr>
          <w:rFonts w:ascii="Arial" w:cs="Arial" w:eastAsia="Arial" w:hAnsi="Arial"/>
          <w:sz w:val="18"/>
          <w:szCs w:val="18"/>
          <w:b w:val="1"/>
          <w:bCs w:val="1"/>
          <w:color w:val="auto"/>
        </w:rPr>
        <w:t>Brighthouse Financial, Inc.</w:t>
      </w:r>
    </w:p>
    <w:p>
      <w:pPr>
        <w:spacing w:after="0" w:line="117" w:lineRule="exact"/>
        <w:rPr>
          <w:sz w:val="20"/>
          <w:szCs w:val="20"/>
          <w:color w:val="auto"/>
        </w:rPr>
      </w:pPr>
    </w:p>
    <w:p>
      <w:pPr>
        <w:ind w:left="1640"/>
        <w:spacing w:after="0"/>
        <w:rPr>
          <w:sz w:val="20"/>
          <w:szCs w:val="20"/>
          <w:color w:val="auto"/>
        </w:rPr>
      </w:pPr>
      <w:r>
        <w:rPr>
          <w:rFonts w:ascii="Arial" w:cs="Arial" w:eastAsia="Arial" w:hAnsi="Arial"/>
          <w:sz w:val="18"/>
          <w:szCs w:val="18"/>
          <w:b w:val="1"/>
          <w:bCs w:val="1"/>
          <w:color w:val="auto"/>
        </w:rPr>
        <w:t>Notes to the Interim Condensed Consolidated and Combined Financial Statements (Unaudited) — (continued)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Derivatives (continued)</w:t>
      </w:r>
    </w:p>
    <w:p>
      <w:pPr>
        <w:spacing w:after="0" w:line="36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See Note 6 for a description of the impact of credit risk on the valuation of derivatives.</w:t>
      </w:r>
    </w:p>
    <w:p>
      <w:pPr>
        <w:spacing w:after="0" w:line="117"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estimated fair values of the Company’s net derivative assets and net derivative liabilities after the application of master netting agreements and collateral were as follows at:</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960" w:type="dxa"/>
            <w:vAlign w:val="bottom"/>
            <w:tcBorders>
              <w:bottom w:val="single" w:sz="8" w:color="auto"/>
            </w:tcBorders>
            <w:gridSpan w:val="4"/>
          </w:tcPr>
          <w:p>
            <w:pPr>
              <w:jc w:val="right"/>
              <w:ind w:right="400"/>
              <w:spacing w:after="0"/>
              <w:rPr>
                <w:sz w:val="20"/>
                <w:szCs w:val="20"/>
                <w:color w:val="auto"/>
              </w:rPr>
            </w:pPr>
            <w:r>
              <w:rPr>
                <w:rFonts w:ascii="Arial" w:cs="Arial" w:eastAsia="Arial" w:hAnsi="Arial"/>
                <w:sz w:val="14"/>
                <w:szCs w:val="14"/>
                <w:b w:val="1"/>
                <w:bCs w:val="1"/>
                <w:color w:val="auto"/>
              </w:rPr>
              <w:t>September 30, 2017</w:t>
            </w: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4"/>
          </w:tcPr>
          <w:p>
            <w:pPr>
              <w:jc w:val="right"/>
              <w:ind w:right="400"/>
              <w:spacing w:after="0"/>
              <w:rPr>
                <w:sz w:val="20"/>
                <w:szCs w:val="20"/>
                <w:color w:val="auto"/>
              </w:rPr>
            </w:pPr>
            <w:r>
              <w:rPr>
                <w:rFonts w:ascii="Arial" w:cs="Arial" w:eastAsia="Arial" w:hAnsi="Arial"/>
                <w:sz w:val="14"/>
                <w:szCs w:val="14"/>
                <w:b w:val="1"/>
                <w:bCs w:val="1"/>
                <w:color w:val="auto"/>
              </w:rPr>
              <w:t>December 31, 2016</w:t>
            </w:r>
          </w:p>
        </w:tc>
        <w:tc>
          <w:tcPr>
            <w:tcW w:w="0" w:type="dxa"/>
            <w:vAlign w:val="bottom"/>
          </w:tcPr>
          <w:p>
            <w:pPr>
              <w:spacing w:after="0"/>
              <w:rPr>
                <w:sz w:val="1"/>
                <w:szCs w:val="1"/>
                <w:color w:val="auto"/>
              </w:rPr>
            </w:pPr>
          </w:p>
        </w:tc>
      </w:tr>
      <w:tr>
        <w:trPr>
          <w:trHeight w:val="264"/>
        </w:trPr>
        <w:tc>
          <w:tcPr>
            <w:tcW w:w="7000" w:type="dxa"/>
            <w:vAlign w:val="bottom"/>
            <w:gridSpan w:val="2"/>
          </w:tcPr>
          <w:p>
            <w:pPr>
              <w:ind w:left="40"/>
              <w:spacing w:after="0"/>
              <w:rPr>
                <w:sz w:val="20"/>
                <w:szCs w:val="20"/>
                <w:color w:val="auto"/>
              </w:rPr>
            </w:pPr>
            <w:r>
              <w:rPr>
                <w:rFonts w:ascii="Arial" w:cs="Arial" w:eastAsia="Arial" w:hAnsi="Arial"/>
                <w:sz w:val="14"/>
                <w:szCs w:val="14"/>
                <w:b w:val="1"/>
                <w:bCs w:val="1"/>
                <w:color w:val="auto"/>
              </w:rPr>
              <w:t>Derivatives Subject to a Master Netting Arrangement or a Similar Arrangement</w:t>
            </w:r>
          </w:p>
        </w:tc>
        <w:tc>
          <w:tcPr>
            <w:tcW w:w="220" w:type="dxa"/>
            <w:vAlign w:val="bottom"/>
          </w:tcPr>
          <w:p>
            <w:pPr>
              <w:spacing w:after="0"/>
              <w:rPr>
                <w:sz w:val="22"/>
                <w:szCs w:val="22"/>
                <w:color w:val="auto"/>
              </w:rPr>
            </w:pPr>
          </w:p>
        </w:tc>
        <w:tc>
          <w:tcPr>
            <w:tcW w:w="940" w:type="dxa"/>
            <w:vAlign w:val="bottom"/>
            <w:gridSpan w:val="2"/>
          </w:tcPr>
          <w:p>
            <w:pPr>
              <w:ind w:left="100"/>
              <w:spacing w:after="0"/>
              <w:rPr>
                <w:sz w:val="20"/>
                <w:szCs w:val="20"/>
                <w:color w:val="auto"/>
              </w:rPr>
            </w:pPr>
            <w:r>
              <w:rPr>
                <w:rFonts w:ascii="Arial" w:cs="Arial" w:eastAsia="Arial" w:hAnsi="Arial"/>
                <w:sz w:val="14"/>
                <w:szCs w:val="14"/>
                <w:b w:val="1"/>
                <w:bCs w:val="1"/>
                <w:color w:val="auto"/>
              </w:rPr>
              <w:t>Assets</w:t>
            </w:r>
          </w:p>
        </w:tc>
        <w:tc>
          <w:tcPr>
            <w:tcW w:w="160" w:type="dxa"/>
            <w:vAlign w:val="bottom"/>
          </w:tcPr>
          <w:p>
            <w:pPr>
              <w:spacing w:after="0"/>
              <w:rPr>
                <w:sz w:val="22"/>
                <w:szCs w:val="22"/>
                <w:color w:val="auto"/>
              </w:rPr>
            </w:pPr>
          </w:p>
        </w:tc>
        <w:tc>
          <w:tcPr>
            <w:tcW w:w="960" w:type="dxa"/>
            <w:vAlign w:val="bottom"/>
            <w:gridSpan w:val="2"/>
          </w:tcPr>
          <w:p>
            <w:pPr>
              <w:ind w:left="40"/>
              <w:spacing w:after="0"/>
              <w:rPr>
                <w:sz w:val="20"/>
                <w:szCs w:val="20"/>
                <w:color w:val="auto"/>
              </w:rPr>
            </w:pPr>
            <w:r>
              <w:rPr>
                <w:rFonts w:ascii="Arial" w:cs="Arial" w:eastAsia="Arial" w:hAnsi="Arial"/>
                <w:sz w:val="14"/>
                <w:szCs w:val="14"/>
                <w:b w:val="1"/>
                <w:bCs w:val="1"/>
                <w:color w:val="auto"/>
              </w:rPr>
              <w:t>Liabilities</w:t>
            </w:r>
          </w:p>
        </w:tc>
        <w:tc>
          <w:tcPr>
            <w:tcW w:w="320" w:type="dxa"/>
            <w:vAlign w:val="bottom"/>
          </w:tcPr>
          <w:p>
            <w:pPr>
              <w:spacing w:after="0"/>
              <w:rPr>
                <w:sz w:val="22"/>
                <w:szCs w:val="22"/>
                <w:color w:val="auto"/>
              </w:rPr>
            </w:pPr>
          </w:p>
        </w:tc>
        <w:tc>
          <w:tcPr>
            <w:tcW w:w="800" w:type="dxa"/>
            <w:vAlign w:val="bottom"/>
            <w:gridSpan w:val="2"/>
          </w:tcPr>
          <w:p>
            <w:pPr>
              <w:spacing w:after="0"/>
              <w:rPr>
                <w:sz w:val="20"/>
                <w:szCs w:val="20"/>
                <w:color w:val="auto"/>
              </w:rPr>
            </w:pPr>
            <w:r>
              <w:rPr>
                <w:rFonts w:ascii="Arial" w:cs="Arial" w:eastAsia="Arial" w:hAnsi="Arial"/>
                <w:sz w:val="14"/>
                <w:szCs w:val="14"/>
                <w:b w:val="1"/>
                <w:bCs w:val="1"/>
                <w:color w:val="auto"/>
              </w:rPr>
              <w:t>Assets</w:t>
            </w:r>
          </w:p>
        </w:tc>
        <w:tc>
          <w:tcPr>
            <w:tcW w:w="160" w:type="dxa"/>
            <w:vAlign w:val="bottom"/>
          </w:tcPr>
          <w:p>
            <w:pPr>
              <w:spacing w:after="0"/>
              <w:rPr>
                <w:sz w:val="22"/>
                <w:szCs w:val="22"/>
                <w:color w:val="auto"/>
              </w:rPr>
            </w:pPr>
          </w:p>
        </w:tc>
        <w:tc>
          <w:tcPr>
            <w:tcW w:w="860" w:type="dxa"/>
            <w:vAlign w:val="bottom"/>
          </w:tcPr>
          <w:p>
            <w:pPr>
              <w:jc w:val="right"/>
              <w:ind w:right="120"/>
              <w:spacing w:after="0"/>
              <w:rPr>
                <w:sz w:val="20"/>
                <w:szCs w:val="20"/>
                <w:color w:val="auto"/>
              </w:rPr>
            </w:pPr>
            <w:r>
              <w:rPr>
                <w:rFonts w:ascii="Arial" w:cs="Arial" w:eastAsia="Arial" w:hAnsi="Arial"/>
                <w:sz w:val="14"/>
                <w:szCs w:val="14"/>
                <w:b w:val="1"/>
                <w:bCs w:val="1"/>
                <w:color w:val="auto"/>
                <w:w w:val="99"/>
              </w:rPr>
              <w:t>Liabilities</w:t>
            </w:r>
          </w:p>
        </w:tc>
        <w:tc>
          <w:tcPr>
            <w:tcW w:w="0" w:type="dxa"/>
            <w:vAlign w:val="bottom"/>
          </w:tcPr>
          <w:p>
            <w:pPr>
              <w:spacing w:after="0"/>
              <w:rPr>
                <w:sz w:val="1"/>
                <w:szCs w:val="1"/>
                <w:color w:val="auto"/>
              </w:rPr>
            </w:pPr>
          </w:p>
        </w:tc>
      </w:tr>
      <w:tr>
        <w:trPr>
          <w:trHeight w:val="264"/>
        </w:trPr>
        <w:tc>
          <w:tcPr>
            <w:tcW w:w="6860" w:type="dxa"/>
            <w:vAlign w:val="bottom"/>
            <w:tcBorders>
              <w:top w:val="single" w:sz="8" w:color="auto"/>
            </w:tcBorders>
          </w:tcPr>
          <w:p>
            <w:pPr>
              <w:spacing w:after="0"/>
              <w:rPr>
                <w:sz w:val="22"/>
                <w:szCs w:val="22"/>
                <w:color w:val="auto"/>
              </w:rPr>
            </w:pPr>
          </w:p>
        </w:tc>
        <w:tc>
          <w:tcPr>
            <w:tcW w:w="140" w:type="dxa"/>
            <w:vAlign w:val="bottom"/>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820" w:type="dxa"/>
            <w:vAlign w:val="bottom"/>
            <w:tcBorders>
              <w:top w:val="single" w:sz="8" w:color="auto"/>
            </w:tcBorders>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1280" w:type="dxa"/>
            <w:vAlign w:val="bottom"/>
            <w:tcBorders>
              <w:top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(In millions)</w:t>
            </w:r>
          </w:p>
        </w:tc>
        <w:tc>
          <w:tcPr>
            <w:tcW w:w="700" w:type="dxa"/>
            <w:vAlign w:val="bottom"/>
            <w:tcBorders>
              <w:top w:val="single" w:sz="8" w:color="auto"/>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86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70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Gross estimated fair value of derivatives:</w:t>
            </w:r>
          </w:p>
        </w:tc>
        <w:tc>
          <w:tcPr>
            <w:tcW w:w="22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7000" w:type="dxa"/>
            <w:vAlign w:val="bottom"/>
            <w:gridSpan w:val="2"/>
          </w:tcPr>
          <w:p>
            <w:pPr>
              <w:ind w:left="40"/>
              <w:spacing w:after="0"/>
              <w:rPr>
                <w:sz w:val="20"/>
                <w:szCs w:val="20"/>
                <w:color w:val="auto"/>
              </w:rPr>
            </w:pPr>
            <w:r>
              <w:rPr>
                <w:rFonts w:ascii="Arial" w:cs="Arial" w:eastAsia="Arial" w:hAnsi="Arial"/>
                <w:sz w:val="16"/>
                <w:szCs w:val="16"/>
                <w:color w:val="auto"/>
              </w:rPr>
              <w:t>OTC-bilateral (1)</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ind w:right="40"/>
              <w:spacing w:after="0"/>
              <w:rPr>
                <w:sz w:val="20"/>
                <w:szCs w:val="20"/>
                <w:color w:val="auto"/>
              </w:rPr>
            </w:pPr>
            <w:r>
              <w:rPr>
                <w:rFonts w:ascii="Arial" w:cs="Arial" w:eastAsia="Arial" w:hAnsi="Arial"/>
                <w:sz w:val="16"/>
                <w:szCs w:val="16"/>
                <w:color w:val="auto"/>
              </w:rPr>
              <w:t>2,514</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3,096</w:t>
            </w:r>
          </w:p>
        </w:tc>
        <w:tc>
          <w:tcPr>
            <w:tcW w:w="100" w:type="dxa"/>
            <w:vAlign w:val="bottom"/>
          </w:tcPr>
          <w:p>
            <w:pPr>
              <w:spacing w:after="0"/>
              <w:rPr>
                <w:sz w:val="20"/>
                <w:szCs w:val="20"/>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700" w:type="dxa"/>
            <w:vAlign w:val="bottom"/>
          </w:tcPr>
          <w:p>
            <w:pPr>
              <w:jc w:val="right"/>
              <w:ind w:right="20"/>
              <w:spacing w:after="0"/>
              <w:rPr>
                <w:sz w:val="20"/>
                <w:szCs w:val="20"/>
                <w:color w:val="auto"/>
              </w:rPr>
            </w:pPr>
            <w:r>
              <w:rPr>
                <w:rFonts w:ascii="Arial" w:cs="Arial" w:eastAsia="Arial" w:hAnsi="Arial"/>
                <w:sz w:val="16"/>
                <w:szCs w:val="16"/>
                <w:color w:val="auto"/>
              </w:rPr>
              <w:t>3,411</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2,929</w:t>
            </w:r>
          </w:p>
        </w:tc>
        <w:tc>
          <w:tcPr>
            <w:tcW w:w="0" w:type="dxa"/>
            <w:vAlign w:val="bottom"/>
          </w:tcPr>
          <w:p>
            <w:pPr>
              <w:spacing w:after="0"/>
              <w:rPr>
                <w:sz w:val="1"/>
                <w:szCs w:val="1"/>
                <w:color w:val="auto"/>
              </w:rPr>
            </w:pPr>
          </w:p>
        </w:tc>
      </w:tr>
      <w:tr>
        <w:trPr>
          <w:trHeight w:val="33"/>
        </w:trPr>
        <w:tc>
          <w:tcPr>
            <w:tcW w:w="6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OTC-cleared (1), (6)</w:t>
            </w: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268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905</w:t>
            </w:r>
          </w:p>
        </w:tc>
        <w:tc>
          <w:tcPr>
            <w:tcW w:w="0" w:type="dxa"/>
            <w:vAlign w:val="bottom"/>
          </w:tcPr>
          <w:p>
            <w:pPr>
              <w:spacing w:after="0"/>
              <w:rPr>
                <w:sz w:val="1"/>
                <w:szCs w:val="1"/>
                <w:color w:val="auto"/>
              </w:rPr>
            </w:pPr>
          </w:p>
        </w:tc>
      </w:tr>
      <w:tr>
        <w:trPr>
          <w:trHeight w:val="237"/>
        </w:trPr>
        <w:tc>
          <w:tcPr>
            <w:tcW w:w="7000" w:type="dxa"/>
            <w:vAlign w:val="bottom"/>
            <w:gridSpan w:val="2"/>
          </w:tcPr>
          <w:p>
            <w:pPr>
              <w:ind w:left="40"/>
              <w:spacing w:after="0"/>
              <w:rPr>
                <w:sz w:val="20"/>
                <w:szCs w:val="20"/>
                <w:color w:val="auto"/>
              </w:rPr>
            </w:pPr>
            <w:r>
              <w:rPr>
                <w:rFonts w:ascii="Arial" w:cs="Arial" w:eastAsia="Arial" w:hAnsi="Arial"/>
                <w:sz w:val="16"/>
                <w:szCs w:val="16"/>
                <w:color w:val="auto"/>
              </w:rPr>
              <w:t>Exchange-traded</w:t>
            </w:r>
          </w:p>
        </w:tc>
        <w:tc>
          <w:tcPr>
            <w:tcW w:w="220" w:type="dxa"/>
            <w:vAlign w:val="bottom"/>
          </w:tcPr>
          <w:p>
            <w:pPr>
              <w:spacing w:after="0"/>
              <w:rPr>
                <w:sz w:val="20"/>
                <w:szCs w:val="20"/>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11</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00" w:type="dxa"/>
            <w:vAlign w:val="bottom"/>
          </w:tcPr>
          <w:p>
            <w:pPr>
              <w:jc w:val="right"/>
              <w:ind w:right="20"/>
              <w:spacing w:after="0"/>
              <w:rPr>
                <w:sz w:val="20"/>
                <w:szCs w:val="20"/>
                <w:color w:val="auto"/>
              </w:rPr>
            </w:pPr>
            <w:r>
              <w:rPr>
                <w:rFonts w:ascii="Arial" w:cs="Arial" w:eastAsia="Arial" w:hAnsi="Arial"/>
                <w:sz w:val="16"/>
                <w:szCs w:val="16"/>
                <w:color w:val="auto"/>
              </w:rPr>
              <w:t>47</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686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700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6"/>
                <w:szCs w:val="16"/>
                <w:color w:val="auto"/>
              </w:rPr>
              <w:t>Total gross estimated fair value of derivatives (1)</w:t>
            </w:r>
          </w:p>
        </w:tc>
        <w:tc>
          <w:tcPr>
            <w:tcW w:w="22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2,546</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3,129</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3,726</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3,834</w:t>
            </w:r>
          </w:p>
        </w:tc>
        <w:tc>
          <w:tcPr>
            <w:tcW w:w="0" w:type="dxa"/>
            <w:vAlign w:val="bottom"/>
          </w:tcPr>
          <w:p>
            <w:pPr>
              <w:spacing w:after="0"/>
              <w:rPr>
                <w:sz w:val="1"/>
                <w:szCs w:val="1"/>
                <w:color w:val="auto"/>
              </w:rPr>
            </w:pPr>
          </w:p>
        </w:tc>
      </w:tr>
      <w:tr>
        <w:trPr>
          <w:trHeight w:val="237"/>
        </w:trPr>
        <w:tc>
          <w:tcPr>
            <w:tcW w:w="7000" w:type="dxa"/>
            <w:vAlign w:val="bottom"/>
            <w:gridSpan w:val="2"/>
          </w:tcPr>
          <w:p>
            <w:pPr>
              <w:ind w:left="40"/>
              <w:spacing w:after="0"/>
              <w:rPr>
                <w:sz w:val="20"/>
                <w:szCs w:val="20"/>
                <w:color w:val="auto"/>
              </w:rPr>
            </w:pPr>
            <w:r>
              <w:rPr>
                <w:rFonts w:ascii="Arial" w:cs="Arial" w:eastAsia="Arial" w:hAnsi="Arial"/>
                <w:sz w:val="16"/>
                <w:szCs w:val="16"/>
                <w:color w:val="auto"/>
              </w:rPr>
              <w:t>Amounts offset on the consolidated and combined balance sheets</w:t>
            </w:r>
          </w:p>
        </w:tc>
        <w:tc>
          <w:tcPr>
            <w:tcW w:w="220" w:type="dxa"/>
            <w:vAlign w:val="bottom"/>
          </w:tcPr>
          <w:p>
            <w:pPr>
              <w:spacing w:after="0"/>
              <w:rPr>
                <w:sz w:val="20"/>
                <w:szCs w:val="20"/>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0"/>
                <w:szCs w:val="20"/>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686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70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w w:val="95"/>
              </w:rPr>
              <w:t>Estimated fair value of derivatives presented on the consolidated and combined balance sheets (1), (6)</w:t>
            </w:r>
          </w:p>
        </w:tc>
        <w:tc>
          <w:tcPr>
            <w:tcW w:w="22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2,546</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3,129</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3,726</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3,834</w:t>
            </w:r>
          </w:p>
        </w:tc>
        <w:tc>
          <w:tcPr>
            <w:tcW w:w="0" w:type="dxa"/>
            <w:vAlign w:val="bottom"/>
          </w:tcPr>
          <w:p>
            <w:pPr>
              <w:spacing w:after="0"/>
              <w:rPr>
                <w:sz w:val="1"/>
                <w:szCs w:val="1"/>
                <w:color w:val="auto"/>
              </w:rPr>
            </w:pPr>
          </w:p>
        </w:tc>
      </w:tr>
      <w:tr>
        <w:trPr>
          <w:trHeight w:val="224"/>
        </w:trPr>
        <w:tc>
          <w:tcPr>
            <w:tcW w:w="7000" w:type="dxa"/>
            <w:vAlign w:val="bottom"/>
            <w:gridSpan w:val="2"/>
          </w:tcPr>
          <w:p>
            <w:pPr>
              <w:ind w:left="40"/>
              <w:spacing w:after="0"/>
              <w:rPr>
                <w:sz w:val="20"/>
                <w:szCs w:val="20"/>
                <w:color w:val="auto"/>
              </w:rPr>
            </w:pPr>
            <w:r>
              <w:rPr>
                <w:rFonts w:ascii="Arial" w:cs="Arial" w:eastAsia="Arial" w:hAnsi="Arial"/>
                <w:sz w:val="16"/>
                <w:szCs w:val="16"/>
                <w:color w:val="auto"/>
              </w:rPr>
              <w:t>Gross amounts not offset on the consolidated and combined balance sheets:</w:t>
            </w: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6860" w:type="dxa"/>
            <w:vAlign w:val="bottom"/>
          </w:tcPr>
          <w:p>
            <w:pPr>
              <w:spacing w:after="0"/>
              <w:rPr>
                <w:sz w:val="4"/>
                <w:szCs w:val="4"/>
                <w:color w:val="auto"/>
              </w:rPr>
            </w:pPr>
          </w:p>
        </w:tc>
        <w:tc>
          <w:tcPr>
            <w:tcW w:w="140" w:type="dxa"/>
            <w:vAlign w:val="bottom"/>
          </w:tcPr>
          <w:p>
            <w:pPr>
              <w:spacing w:after="0"/>
              <w:rPr>
                <w:sz w:val="4"/>
                <w:szCs w:val="4"/>
                <w:color w:val="auto"/>
              </w:rPr>
            </w:pPr>
          </w:p>
        </w:tc>
        <w:tc>
          <w:tcPr>
            <w:tcW w:w="2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860" w:type="dxa"/>
            <w:vAlign w:val="bottom"/>
          </w:tcPr>
          <w:p>
            <w:pPr>
              <w:spacing w:after="0"/>
              <w:rPr>
                <w:sz w:val="4"/>
                <w:szCs w:val="4"/>
                <w:color w:val="auto"/>
              </w:rPr>
            </w:pPr>
          </w:p>
        </w:tc>
        <w:tc>
          <w:tcPr>
            <w:tcW w:w="100" w:type="dxa"/>
            <w:vAlign w:val="bottom"/>
          </w:tcPr>
          <w:p>
            <w:pPr>
              <w:spacing w:after="0"/>
              <w:rPr>
                <w:sz w:val="4"/>
                <w:szCs w:val="4"/>
                <w:color w:val="auto"/>
              </w:rPr>
            </w:pPr>
          </w:p>
        </w:tc>
        <w:tc>
          <w:tcPr>
            <w:tcW w:w="320" w:type="dxa"/>
            <w:vAlign w:val="bottom"/>
          </w:tcPr>
          <w:p>
            <w:pPr>
              <w:spacing w:after="0"/>
              <w:rPr>
                <w:sz w:val="4"/>
                <w:szCs w:val="4"/>
                <w:color w:val="auto"/>
              </w:rPr>
            </w:pPr>
          </w:p>
        </w:tc>
        <w:tc>
          <w:tcPr>
            <w:tcW w:w="7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8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70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Gross estimated fair value of derivatives: (2)</w:t>
            </w: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7000" w:type="dxa"/>
            <w:vAlign w:val="bottom"/>
            <w:gridSpan w:val="2"/>
          </w:tcPr>
          <w:p>
            <w:pPr>
              <w:ind w:left="40"/>
              <w:spacing w:after="0"/>
              <w:rPr>
                <w:sz w:val="20"/>
                <w:szCs w:val="20"/>
                <w:color w:val="auto"/>
              </w:rPr>
            </w:pPr>
            <w:r>
              <w:rPr>
                <w:rFonts w:ascii="Arial" w:cs="Arial" w:eastAsia="Arial" w:hAnsi="Arial"/>
                <w:sz w:val="16"/>
                <w:szCs w:val="16"/>
                <w:color w:val="auto"/>
              </w:rPr>
              <w:t>OTC-bilateral</w:t>
            </w:r>
          </w:p>
        </w:tc>
        <w:tc>
          <w:tcPr>
            <w:tcW w:w="2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(2,050)</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(2,050)</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(2,231)</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(2,231)</w:t>
            </w:r>
          </w:p>
        </w:tc>
        <w:tc>
          <w:tcPr>
            <w:tcW w:w="0" w:type="dxa"/>
            <w:vAlign w:val="bottom"/>
          </w:tcPr>
          <w:p>
            <w:pPr>
              <w:spacing w:after="0"/>
              <w:rPr>
                <w:sz w:val="1"/>
                <w:szCs w:val="1"/>
                <w:color w:val="auto"/>
              </w:rPr>
            </w:pPr>
          </w:p>
        </w:tc>
      </w:tr>
      <w:tr>
        <w:trPr>
          <w:trHeight w:val="33"/>
        </w:trPr>
        <w:tc>
          <w:tcPr>
            <w:tcW w:w="6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OTC-cleared</w:t>
            </w: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(165)</w:t>
            </w:r>
          </w:p>
        </w:tc>
        <w:tc>
          <w:tcPr>
            <w:tcW w:w="0" w:type="dxa"/>
            <w:vAlign w:val="bottom"/>
          </w:tcPr>
          <w:p>
            <w:pPr>
              <w:spacing w:after="0"/>
              <w:rPr>
                <w:sz w:val="1"/>
                <w:szCs w:val="1"/>
                <w:color w:val="auto"/>
              </w:rPr>
            </w:pPr>
          </w:p>
        </w:tc>
      </w:tr>
      <w:tr>
        <w:trPr>
          <w:trHeight w:val="237"/>
        </w:trPr>
        <w:tc>
          <w:tcPr>
            <w:tcW w:w="7000" w:type="dxa"/>
            <w:vAlign w:val="bottom"/>
            <w:gridSpan w:val="2"/>
          </w:tcPr>
          <w:p>
            <w:pPr>
              <w:ind w:left="40"/>
              <w:spacing w:after="0"/>
              <w:rPr>
                <w:sz w:val="20"/>
                <w:szCs w:val="20"/>
                <w:color w:val="auto"/>
              </w:rPr>
            </w:pPr>
            <w:r>
              <w:rPr>
                <w:rFonts w:ascii="Arial" w:cs="Arial" w:eastAsia="Arial" w:hAnsi="Arial"/>
                <w:sz w:val="16"/>
                <w:szCs w:val="16"/>
                <w:color w:val="auto"/>
              </w:rPr>
              <w:t>Exchange-traded</w:t>
            </w:r>
          </w:p>
        </w:tc>
        <w:tc>
          <w:tcPr>
            <w:tcW w:w="220" w:type="dxa"/>
            <w:vAlign w:val="bottom"/>
          </w:tcPr>
          <w:p>
            <w:pPr>
              <w:spacing w:after="0"/>
              <w:rPr>
                <w:sz w:val="20"/>
                <w:szCs w:val="20"/>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0"/>
                <w:szCs w:val="20"/>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6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Cash collateral: (3), (4)</w:t>
            </w: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7000" w:type="dxa"/>
            <w:vAlign w:val="bottom"/>
            <w:gridSpan w:val="2"/>
          </w:tcPr>
          <w:p>
            <w:pPr>
              <w:ind w:left="40"/>
              <w:spacing w:after="0"/>
              <w:rPr>
                <w:sz w:val="20"/>
                <w:szCs w:val="20"/>
                <w:color w:val="auto"/>
              </w:rPr>
            </w:pPr>
            <w:r>
              <w:rPr>
                <w:rFonts w:ascii="Arial" w:cs="Arial" w:eastAsia="Arial" w:hAnsi="Arial"/>
                <w:sz w:val="16"/>
                <w:szCs w:val="16"/>
                <w:color w:val="auto"/>
              </w:rPr>
              <w:t>OTC-bilateral</w:t>
            </w:r>
          </w:p>
        </w:tc>
        <w:tc>
          <w:tcPr>
            <w:tcW w:w="2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(347)</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(653)</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6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OTC-cleared</w:t>
            </w: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(740)</w:t>
            </w:r>
          </w:p>
        </w:tc>
        <w:tc>
          <w:tcPr>
            <w:tcW w:w="0" w:type="dxa"/>
            <w:vAlign w:val="bottom"/>
          </w:tcPr>
          <w:p>
            <w:pPr>
              <w:spacing w:after="0"/>
              <w:rPr>
                <w:sz w:val="1"/>
                <w:szCs w:val="1"/>
                <w:color w:val="auto"/>
              </w:rPr>
            </w:pPr>
          </w:p>
        </w:tc>
      </w:tr>
      <w:tr>
        <w:trPr>
          <w:trHeight w:val="237"/>
        </w:trPr>
        <w:tc>
          <w:tcPr>
            <w:tcW w:w="7000" w:type="dxa"/>
            <w:vAlign w:val="bottom"/>
            <w:gridSpan w:val="2"/>
          </w:tcPr>
          <w:p>
            <w:pPr>
              <w:ind w:left="40"/>
              <w:spacing w:after="0"/>
              <w:rPr>
                <w:sz w:val="20"/>
                <w:szCs w:val="20"/>
                <w:color w:val="auto"/>
              </w:rPr>
            </w:pPr>
            <w:r>
              <w:rPr>
                <w:rFonts w:ascii="Arial" w:cs="Arial" w:eastAsia="Arial" w:hAnsi="Arial"/>
                <w:sz w:val="16"/>
                <w:szCs w:val="16"/>
                <w:color w:val="auto"/>
              </w:rPr>
              <w:t>Exchange-traded</w:t>
            </w:r>
          </w:p>
        </w:tc>
        <w:tc>
          <w:tcPr>
            <w:tcW w:w="220" w:type="dxa"/>
            <w:vAlign w:val="bottom"/>
          </w:tcPr>
          <w:p>
            <w:pPr>
              <w:spacing w:after="0"/>
              <w:rPr>
                <w:sz w:val="20"/>
                <w:szCs w:val="20"/>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0"/>
                <w:szCs w:val="20"/>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6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Securities collateral: (5)</w:t>
            </w: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7000" w:type="dxa"/>
            <w:vAlign w:val="bottom"/>
            <w:gridSpan w:val="2"/>
          </w:tcPr>
          <w:p>
            <w:pPr>
              <w:ind w:left="40"/>
              <w:spacing w:after="0"/>
              <w:rPr>
                <w:sz w:val="20"/>
                <w:szCs w:val="20"/>
                <w:color w:val="auto"/>
              </w:rPr>
            </w:pPr>
            <w:r>
              <w:rPr>
                <w:rFonts w:ascii="Arial" w:cs="Arial" w:eastAsia="Arial" w:hAnsi="Arial"/>
                <w:sz w:val="16"/>
                <w:szCs w:val="16"/>
                <w:color w:val="auto"/>
              </w:rPr>
              <w:t>OTC-bilateral</w:t>
            </w:r>
          </w:p>
        </w:tc>
        <w:tc>
          <w:tcPr>
            <w:tcW w:w="2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(114)</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(1,037)</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(429)</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(698)</w:t>
            </w:r>
          </w:p>
        </w:tc>
        <w:tc>
          <w:tcPr>
            <w:tcW w:w="0" w:type="dxa"/>
            <w:vAlign w:val="bottom"/>
          </w:tcPr>
          <w:p>
            <w:pPr>
              <w:spacing w:after="0"/>
              <w:rPr>
                <w:sz w:val="1"/>
                <w:szCs w:val="1"/>
                <w:color w:val="auto"/>
              </w:rPr>
            </w:pPr>
          </w:p>
        </w:tc>
      </w:tr>
      <w:tr>
        <w:trPr>
          <w:trHeight w:val="33"/>
        </w:trPr>
        <w:tc>
          <w:tcPr>
            <w:tcW w:w="6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OTC-cleared</w:t>
            </w: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7000" w:type="dxa"/>
            <w:vAlign w:val="bottom"/>
            <w:gridSpan w:val="2"/>
          </w:tcPr>
          <w:p>
            <w:pPr>
              <w:ind w:left="40"/>
              <w:spacing w:after="0"/>
              <w:rPr>
                <w:sz w:val="20"/>
                <w:szCs w:val="20"/>
                <w:color w:val="auto"/>
              </w:rPr>
            </w:pPr>
            <w:r>
              <w:rPr>
                <w:rFonts w:ascii="Arial" w:cs="Arial" w:eastAsia="Arial" w:hAnsi="Arial"/>
                <w:sz w:val="16"/>
                <w:szCs w:val="16"/>
                <w:color w:val="auto"/>
              </w:rPr>
              <w:t>Exchange-traded</w:t>
            </w:r>
          </w:p>
        </w:tc>
        <w:tc>
          <w:tcPr>
            <w:tcW w:w="220" w:type="dxa"/>
            <w:vAlign w:val="bottom"/>
          </w:tcPr>
          <w:p>
            <w:pPr>
              <w:spacing w:after="0"/>
              <w:rPr>
                <w:sz w:val="20"/>
                <w:szCs w:val="20"/>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(11)</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686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700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6"/>
                <w:szCs w:val="16"/>
                <w:color w:val="auto"/>
              </w:rPr>
              <w:t>Net amount after application of master netting agreements and collateral</w:t>
            </w: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156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686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4"/>
                <w:szCs w:val="14"/>
                <w:color w:val="auto"/>
              </w:rPr>
              <w:t>__________________</w:t>
            </w:r>
          </w:p>
        </w:tc>
        <w:tc>
          <w:tcPr>
            <w:tcW w:w="140" w:type="dxa"/>
            <w:vAlign w:val="bottom"/>
            <w:tcBorders>
              <w:top w:val="single" w:sz="8" w:color="CCEEFF"/>
              <w:bottom w:val="single" w:sz="8" w:color="CCEEFF"/>
            </w:tcBorders>
            <w:vMerge w:val="restart"/>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6860" w:type="dxa"/>
            <w:vAlign w:val="bottom"/>
            <w:vMerge w:val="continue"/>
          </w:tcPr>
          <w:p>
            <w:pPr>
              <w:spacing w:after="0"/>
              <w:rPr>
                <w:sz w:val="12"/>
                <w:szCs w:val="12"/>
                <w:color w:val="auto"/>
              </w:rPr>
            </w:pPr>
          </w:p>
        </w:tc>
        <w:tc>
          <w:tcPr>
            <w:tcW w:w="14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92" w:lineRule="exact"/>
        <w:rPr>
          <w:sz w:val="20"/>
          <w:szCs w:val="20"/>
          <w:color w:val="auto"/>
        </w:rPr>
      </w:pPr>
    </w:p>
    <w:p>
      <w:pPr>
        <w:jc w:val="both"/>
        <w:ind w:left="500" w:hanging="492"/>
        <w:spacing w:after="0" w:line="264" w:lineRule="auto"/>
        <w:tabs>
          <w:tab w:leader="none" w:pos="5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At September 30, 2017 and December 31, 2016, derivative assets included income or expense accruals reported in accrued investment income or in other liabilities of $69 million and $104 million, respectively, and derivative liabilities included (income) or expense accruals reported in accrued investment income or in other liabilities of ($7) million and ($49) million, respectively.</w:t>
      </w:r>
    </w:p>
    <w:p>
      <w:pPr>
        <w:spacing w:after="0" w:line="73" w:lineRule="exact"/>
        <w:rPr>
          <w:rFonts w:ascii="Arial" w:cs="Arial" w:eastAsia="Arial" w:hAnsi="Arial"/>
          <w:sz w:val="18"/>
          <w:szCs w:val="18"/>
          <w:color w:val="auto"/>
        </w:rPr>
      </w:pPr>
    </w:p>
    <w:p>
      <w:pPr>
        <w:ind w:left="500" w:hanging="492"/>
        <w:spacing w:after="0"/>
        <w:tabs>
          <w:tab w:leader="none" w:pos="5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Estimated fair value of derivatives is limited to the amount that is subject to set-off and includes income or expense accruals.</w:t>
      </w:r>
    </w:p>
    <w:p>
      <w:pPr>
        <w:spacing w:after="0" w:line="117" w:lineRule="exact"/>
        <w:rPr>
          <w:rFonts w:ascii="Arial" w:cs="Arial" w:eastAsia="Arial" w:hAnsi="Arial"/>
          <w:sz w:val="18"/>
          <w:szCs w:val="18"/>
          <w:color w:val="auto"/>
        </w:rPr>
      </w:pPr>
    </w:p>
    <w:p>
      <w:pPr>
        <w:jc w:val="both"/>
        <w:ind w:left="500" w:hanging="492"/>
        <w:spacing w:after="0" w:line="264" w:lineRule="auto"/>
        <w:tabs>
          <w:tab w:leader="none" w:pos="5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Cash collateral received by the Company for OTC-bilateral and OTC-cleared derivatives is included in cash and cash equivalents, short-term investments or in fixed maturity securities, and the obligation to return it is included in payables for collateral under securities loaned and other transactions on the balance sheet.</w:t>
      </w:r>
    </w:p>
    <w:p>
      <w:pPr>
        <w:spacing w:after="0" w:line="73" w:lineRule="exact"/>
        <w:rPr>
          <w:rFonts w:ascii="Arial" w:cs="Arial" w:eastAsia="Arial" w:hAnsi="Arial"/>
          <w:sz w:val="18"/>
          <w:szCs w:val="18"/>
          <w:color w:val="auto"/>
        </w:rPr>
      </w:pPr>
    </w:p>
    <w:p>
      <w:pPr>
        <w:jc w:val="both"/>
        <w:ind w:left="500" w:hanging="492"/>
        <w:spacing w:after="0" w:line="257" w:lineRule="auto"/>
        <w:tabs>
          <w:tab w:leader="none" w:pos="5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receivable for the return of cash collateral provided by the Company is inclusive of initial margin on exchange-traded and OTC-cleared derivatives and is included in premiums, reinsurance and other receivables on the balance sheet. The amount of cash collateral offset in the table above is limited to the net estimated fair value of derivatives after application of netting agreements. At September 30, 2017 and December 31, 2016, the Company received excess cash collateral of $296 million and $4 million, respectively, and provided excess cash collateral of $2 million and $25 million, respectively, which is not included in the table above due to the foregoing limitation.</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234" w:right="239" w:bottom="1440" w:gutter="0" w:footer="0" w:header="0"/>
        </w:sectPr>
      </w:pPr>
    </w:p>
    <w:bookmarkStart w:id="42" w:name="page43"/>
    <w:bookmarkEnd w:id="42"/>
    <w:p>
      <w:pPr>
        <w:ind w:left="340"/>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109" w:lineRule="exact"/>
        <w:rPr>
          <w:sz w:val="20"/>
          <w:szCs w:val="20"/>
          <w:color w:val="auto"/>
        </w:rPr>
      </w:pPr>
    </w:p>
    <w:p>
      <w:pPr>
        <w:ind w:left="4840"/>
        <w:spacing w:after="0"/>
        <w:rPr>
          <w:sz w:val="20"/>
          <w:szCs w:val="20"/>
          <w:color w:val="auto"/>
        </w:rPr>
      </w:pPr>
      <w:r>
        <w:rPr>
          <w:rFonts w:ascii="Arial" w:cs="Arial" w:eastAsia="Arial" w:hAnsi="Arial"/>
          <w:sz w:val="18"/>
          <w:szCs w:val="18"/>
          <w:b w:val="1"/>
          <w:bCs w:val="1"/>
          <w:color w:val="auto"/>
        </w:rPr>
        <w:t>Brighthouse Financial, Inc.</w:t>
      </w:r>
    </w:p>
    <w:p>
      <w:pPr>
        <w:spacing w:after="0" w:line="117" w:lineRule="exact"/>
        <w:rPr>
          <w:sz w:val="20"/>
          <w:szCs w:val="20"/>
          <w:color w:val="auto"/>
        </w:rPr>
      </w:pPr>
    </w:p>
    <w:p>
      <w:pPr>
        <w:ind w:left="1640"/>
        <w:spacing w:after="0"/>
        <w:rPr>
          <w:sz w:val="20"/>
          <w:szCs w:val="20"/>
          <w:color w:val="auto"/>
        </w:rPr>
      </w:pPr>
      <w:r>
        <w:rPr>
          <w:rFonts w:ascii="Arial" w:cs="Arial" w:eastAsia="Arial" w:hAnsi="Arial"/>
          <w:sz w:val="18"/>
          <w:szCs w:val="18"/>
          <w:b w:val="1"/>
          <w:bCs w:val="1"/>
          <w:color w:val="auto"/>
        </w:rPr>
        <w:t>Notes to the Interim Condensed Consolidated and Combined Financial Statements (Unaudited) — (continued)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Derivatives (continued)</w:t>
      </w:r>
    </w:p>
    <w:p>
      <w:pPr>
        <w:spacing w:after="0" w:line="364" w:lineRule="exact"/>
        <w:rPr>
          <w:sz w:val="20"/>
          <w:szCs w:val="20"/>
          <w:color w:val="auto"/>
        </w:rPr>
      </w:pPr>
    </w:p>
    <w:p>
      <w:pPr>
        <w:jc w:val="both"/>
        <w:ind w:left="500" w:hanging="492"/>
        <w:spacing w:after="0" w:line="270" w:lineRule="auto"/>
        <w:tabs>
          <w:tab w:leader="none" w:pos="500" w:val="left"/>
        </w:tabs>
        <w:numPr>
          <w:ilvl w:val="0"/>
          <w:numId w:val="25"/>
        </w:numPr>
        <w:rPr>
          <w:rFonts w:ascii="Arial" w:cs="Arial" w:eastAsia="Arial" w:hAnsi="Arial"/>
          <w:sz w:val="17"/>
          <w:szCs w:val="17"/>
          <w:color w:val="auto"/>
        </w:rPr>
      </w:pPr>
      <w:r>
        <w:rPr>
          <w:rFonts w:ascii="Arial" w:cs="Arial" w:eastAsia="Arial" w:hAnsi="Arial"/>
          <w:sz w:val="17"/>
          <w:szCs w:val="17"/>
          <w:color w:val="auto"/>
        </w:rPr>
        <w:t>Securities collateral received by the Company is held in separate custodial accounts and is not recorded on the balance sheet. Subject to certain constraints, the Company is permitted by contract to sell or re-pledge this collateral, but at September 30, 2017, none of the collateral had been sold or re-pledged. Securities collateral pledged by the Company is reported in fixed maturity securities on the balance sheet. Subject to certain constraints, the counterparties are permitted by contract to sell or re-pledge this collateral. The amount of securities collateral offset in the table above is limited to the net estimated fair value of derivatives after application of netting agreements and cash collateral. At September 30, 2017 and December 31, 2016, the Company received excess securities collateral with an estimated fair value of $152 million and $135 million, respectively, for its OTC-bilateral derivatives, which are not included in the table above due to the foregoing limitation. At September 30, 2017 and December 31, 2016, the Company provided excess securities collateral with an estimated fair value of $296 million and $108 million, respectively, for its OTC-bilateral derivatives, and $426 million and $630 million, respectively, for its OTC-cleared derivatives, and $103 million and $453 million, respectively, for its exchange-traded derivatives, which are not included in the table above due to the foregoing limitation.</w:t>
      </w:r>
    </w:p>
    <w:p>
      <w:pPr>
        <w:spacing w:after="0" w:line="69" w:lineRule="exact"/>
        <w:rPr>
          <w:rFonts w:ascii="Arial" w:cs="Arial" w:eastAsia="Arial" w:hAnsi="Arial"/>
          <w:sz w:val="17"/>
          <w:szCs w:val="17"/>
          <w:color w:val="auto"/>
        </w:rPr>
      </w:pPr>
    </w:p>
    <w:p>
      <w:pPr>
        <w:ind w:left="500" w:hanging="492"/>
        <w:spacing w:after="0" w:line="277" w:lineRule="auto"/>
        <w:tabs>
          <w:tab w:leader="none" w:pos="5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Effective January 3, 2017, the CME amended its rulebook, resulting in the characterization of variation margin transfers as settlement payments, as opposed to adjustments to collateral. See Note 1 for further information on the CME amendments.</w:t>
      </w:r>
    </w:p>
    <w:p>
      <w:pPr>
        <w:spacing w:after="0" w:line="62"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The Company’s collateral arrangements for its OTC-bilateral derivatives generally require the counterparty in a net liability position, after considering the effect of netting agreements, to pledge collateral when the amount owed by that counterparty reaches a minimum transfer amount. A small number of these arrangements also include credit-contingent provisions that include a threshold above which collateral must be posted. Such agreements provide for a reduction of these thresholds (on a sliding scale that converges toward zero) in the event of downgrades in the credit ratings of the Company and/or the counterparty. In addition, substantially all of the Company’s netting agreements for derivatives contain provisions that require both the Company and the counterparty to maintain a specific investment grade credit rating from each of Moody’s and S&amp;P. If a party’s financial strength or credit ratings were to fall below that specific investment grade credit rating, that party would be in violation of these provisions, and the other party to the derivatives could terminate the transactions and demand immediate settlement and payment based on such party’s reasonable valuation of the derivatives.</w:t>
      </w:r>
    </w:p>
    <w:p>
      <w:pPr>
        <w:spacing w:after="0" w:line="58"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The following table presents the estimated fair value of the Company’s OTC-bilateral derivatives that are in a net liability position after considering the effect of netting agreements, together with the estimated fair value and balance sheet location of the collateral pledged. The Company’s collateral agreements require both parties to be fully collateralized, as such, the Company would not be required to post additional collateral as a result of a downgrade in its financial strength rating. OTC-bilateral derivatives that are not subject to collateral agreements are excluded from this table.</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right"/>
              <w:ind w:right="202"/>
              <w:spacing w:after="0"/>
              <w:rPr>
                <w:sz w:val="20"/>
                <w:szCs w:val="20"/>
                <w:color w:val="auto"/>
              </w:rPr>
            </w:pPr>
            <w:r>
              <w:rPr>
                <w:rFonts w:ascii="Arial" w:cs="Arial" w:eastAsia="Arial" w:hAnsi="Arial"/>
                <w:sz w:val="14"/>
                <w:szCs w:val="14"/>
                <w:b w:val="1"/>
                <w:bCs w:val="1"/>
                <w:color w:val="auto"/>
                <w:w w:val="96"/>
              </w:rPr>
              <w:t>September 30, 2017</w:t>
            </w:r>
          </w:p>
        </w:tc>
        <w:tc>
          <w:tcPr>
            <w:tcW w:w="28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ind w:right="180"/>
              <w:spacing w:after="0"/>
              <w:rPr>
                <w:sz w:val="20"/>
                <w:szCs w:val="20"/>
                <w:color w:val="auto"/>
              </w:rPr>
            </w:pPr>
            <w:r>
              <w:rPr>
                <w:rFonts w:ascii="Arial" w:cs="Arial" w:eastAsia="Arial" w:hAnsi="Arial"/>
                <w:sz w:val="14"/>
                <w:szCs w:val="14"/>
                <w:b w:val="1"/>
                <w:bCs w:val="1"/>
                <w:color w:val="auto"/>
                <w:w w:val="96"/>
              </w:rPr>
              <w:t>December 31, 2016</w:t>
            </w:r>
          </w:p>
        </w:tc>
      </w:tr>
      <w:tr>
        <w:trPr>
          <w:trHeight w:val="250"/>
        </w:trPr>
        <w:tc>
          <w:tcPr>
            <w:tcW w:w="79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340" w:type="dxa"/>
            <w:vAlign w:val="bottom"/>
            <w:gridSpan w:val="3"/>
          </w:tcPr>
          <w:p>
            <w:pPr>
              <w:jc w:val="right"/>
              <w:ind w:right="1300"/>
              <w:spacing w:after="0"/>
              <w:rPr>
                <w:sz w:val="20"/>
                <w:szCs w:val="20"/>
                <w:color w:val="auto"/>
              </w:rPr>
            </w:pPr>
            <w:r>
              <w:rPr>
                <w:rFonts w:ascii="Arial" w:cs="Arial" w:eastAsia="Arial" w:hAnsi="Arial"/>
                <w:sz w:val="14"/>
                <w:szCs w:val="14"/>
                <w:b w:val="1"/>
                <w:bCs w:val="1"/>
                <w:color w:val="auto"/>
              </w:rPr>
              <w:t>(In millions)</w:t>
            </w:r>
          </w:p>
        </w:tc>
      </w:tr>
      <w:tr>
        <w:trPr>
          <w:trHeight w:val="256"/>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Estimated fair value of derivatives in a net liability position (1)</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6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6"/>
                <w:szCs w:val="16"/>
                <w:color w:val="auto"/>
              </w:rPr>
              <w:t>1,046</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698</w:t>
            </w:r>
          </w:p>
        </w:tc>
      </w:tr>
      <w:tr>
        <w:trPr>
          <w:trHeight w:val="237"/>
        </w:trPr>
        <w:tc>
          <w:tcPr>
            <w:tcW w:w="7900" w:type="dxa"/>
            <w:vAlign w:val="bottom"/>
          </w:tcPr>
          <w:p>
            <w:pPr>
              <w:ind w:left="40"/>
              <w:spacing w:after="0"/>
              <w:rPr>
                <w:sz w:val="20"/>
                <w:szCs w:val="20"/>
                <w:color w:val="auto"/>
              </w:rPr>
            </w:pPr>
            <w:r>
              <w:rPr>
                <w:rFonts w:ascii="Arial" w:cs="Arial" w:eastAsia="Arial" w:hAnsi="Arial"/>
                <w:sz w:val="16"/>
                <w:szCs w:val="16"/>
                <w:b w:val="1"/>
                <w:bCs w:val="1"/>
                <w:color w:val="auto"/>
              </w:rPr>
              <w:t>Estimated Fair Value of Collateral Provided:</w:t>
            </w:r>
          </w:p>
        </w:tc>
        <w:tc>
          <w:tcPr>
            <w:tcW w:w="18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500" w:type="dxa"/>
            <w:vAlign w:val="bottom"/>
          </w:tcPr>
          <w:p>
            <w:pPr>
              <w:spacing w:after="0"/>
              <w:rPr>
                <w:sz w:val="20"/>
                <w:szCs w:val="20"/>
                <w:color w:val="auto"/>
              </w:rPr>
            </w:pPr>
          </w:p>
        </w:tc>
      </w:tr>
      <w:tr>
        <w:trPr>
          <w:trHeight w:val="33"/>
        </w:trPr>
        <w:tc>
          <w:tcPr>
            <w:tcW w:w="7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Fixed maturity securities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6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6"/>
                <w:szCs w:val="16"/>
                <w:color w:val="auto"/>
              </w:rPr>
              <w:t>1,193</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777</w:t>
            </w:r>
          </w:p>
        </w:tc>
      </w:tr>
      <w:tr>
        <w:trPr>
          <w:trHeight w:val="237"/>
        </w:trPr>
        <w:tc>
          <w:tcPr>
            <w:tcW w:w="7900" w:type="dxa"/>
            <w:vAlign w:val="bottom"/>
          </w:tcPr>
          <w:p>
            <w:pPr>
              <w:ind w:left="180"/>
              <w:spacing w:after="0"/>
              <w:rPr>
                <w:sz w:val="20"/>
                <w:szCs w:val="20"/>
                <w:color w:val="auto"/>
              </w:rPr>
            </w:pPr>
            <w:r>
              <w:rPr>
                <w:rFonts w:ascii="Arial" w:cs="Arial" w:eastAsia="Arial" w:hAnsi="Arial"/>
                <w:sz w:val="16"/>
                <w:szCs w:val="16"/>
                <w:color w:val="auto"/>
              </w:rPr>
              <w:t>Cash</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560" w:type="dxa"/>
            <w:vAlign w:val="bottom"/>
          </w:tcPr>
          <w:p>
            <w:pPr>
              <w:jc w:val="right"/>
              <w:ind w:right="62"/>
              <w:spacing w:after="0"/>
              <w:rPr>
                <w:sz w:val="20"/>
                <w:szCs w:val="20"/>
                <w:color w:val="auto"/>
              </w:rPr>
            </w:pPr>
            <w:r>
              <w:rPr>
                <w:rFonts w:ascii="Arial" w:cs="Arial" w:eastAsia="Arial" w:hAnsi="Arial"/>
                <w:sz w:val="16"/>
                <w:szCs w:val="16"/>
                <w:color w:val="auto"/>
              </w:rPr>
              <w:t>—</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1500" w:type="dxa"/>
            <w:vAlign w:val="bottom"/>
          </w:tcPr>
          <w:p>
            <w:pPr>
              <w:jc w:val="right"/>
              <w:ind w:right="20"/>
              <w:spacing w:after="0"/>
              <w:rPr>
                <w:sz w:val="20"/>
                <w:szCs w:val="20"/>
                <w:color w:val="auto"/>
              </w:rPr>
            </w:pPr>
            <w:r>
              <w:rPr>
                <w:rFonts w:ascii="Arial" w:cs="Arial" w:eastAsia="Arial" w:hAnsi="Arial"/>
                <w:sz w:val="16"/>
                <w:szCs w:val="16"/>
                <w:color w:val="auto"/>
              </w:rPr>
              <w:t>—</w:t>
            </w:r>
          </w:p>
        </w:tc>
      </w:tr>
      <w:tr>
        <w:trPr>
          <w:trHeight w:val="33"/>
        </w:trPr>
        <w:tc>
          <w:tcPr>
            <w:tcW w:w="7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Fair Value of Incremental Collateral Provided Upon:</w:t>
            </w:r>
          </w:p>
        </w:tc>
        <w:tc>
          <w:tcPr>
            <w:tcW w:w="18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r>
      <w:tr>
        <w:trPr>
          <w:trHeight w:val="237"/>
        </w:trPr>
        <w:tc>
          <w:tcPr>
            <w:tcW w:w="7900" w:type="dxa"/>
            <w:vAlign w:val="bottom"/>
          </w:tcPr>
          <w:p>
            <w:pPr>
              <w:ind w:left="180"/>
              <w:spacing w:after="0"/>
              <w:rPr>
                <w:sz w:val="20"/>
                <w:szCs w:val="20"/>
                <w:color w:val="auto"/>
              </w:rPr>
            </w:pPr>
            <w:r>
              <w:rPr>
                <w:rFonts w:ascii="Arial" w:cs="Arial" w:eastAsia="Arial" w:hAnsi="Arial"/>
                <w:sz w:val="16"/>
                <w:szCs w:val="16"/>
                <w:color w:val="auto"/>
              </w:rPr>
              <w:t>One-notch downgrade in financial strength rating</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560" w:type="dxa"/>
            <w:vAlign w:val="bottom"/>
          </w:tcPr>
          <w:p>
            <w:pPr>
              <w:jc w:val="right"/>
              <w:ind w:right="62"/>
              <w:spacing w:after="0"/>
              <w:rPr>
                <w:sz w:val="20"/>
                <w:szCs w:val="20"/>
                <w:color w:val="auto"/>
              </w:rPr>
            </w:pPr>
            <w:r>
              <w:rPr>
                <w:rFonts w:ascii="Arial" w:cs="Arial" w:eastAsia="Arial" w:hAnsi="Arial"/>
                <w:sz w:val="16"/>
                <w:szCs w:val="16"/>
                <w:color w:val="auto"/>
              </w:rPr>
              <w:t>—</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1500" w:type="dxa"/>
            <w:vAlign w:val="bottom"/>
          </w:tcPr>
          <w:p>
            <w:pPr>
              <w:jc w:val="right"/>
              <w:ind w:right="20"/>
              <w:spacing w:after="0"/>
              <w:rPr>
                <w:sz w:val="20"/>
                <w:szCs w:val="20"/>
                <w:color w:val="auto"/>
              </w:rPr>
            </w:pPr>
            <w:r>
              <w:rPr>
                <w:rFonts w:ascii="Arial" w:cs="Arial" w:eastAsia="Arial" w:hAnsi="Arial"/>
                <w:sz w:val="16"/>
                <w:szCs w:val="16"/>
                <w:color w:val="auto"/>
              </w:rPr>
              <w:t>—</w:t>
            </w:r>
          </w:p>
        </w:tc>
      </w:tr>
      <w:tr>
        <w:trPr>
          <w:trHeight w:val="253"/>
        </w:trPr>
        <w:tc>
          <w:tcPr>
            <w:tcW w:w="7900" w:type="dxa"/>
            <w:vAlign w:val="bottom"/>
          </w:tcPr>
          <w:p>
            <w:pPr>
              <w:ind w:left="180"/>
              <w:spacing w:after="0"/>
              <w:rPr>
                <w:sz w:val="20"/>
                <w:szCs w:val="20"/>
                <w:color w:val="auto"/>
              </w:rPr>
            </w:pPr>
            <w:r>
              <w:rPr>
                <w:rFonts w:ascii="Arial" w:cs="Arial" w:eastAsia="Arial" w:hAnsi="Arial"/>
                <w:sz w:val="16"/>
                <w:szCs w:val="16"/>
                <w:color w:val="auto"/>
                <w:w w:val="98"/>
              </w:rPr>
              <w:t>Downgrade in financial strength rating to a level that triggers full overnight collateralization or termination of the</w:t>
            </w:r>
          </w:p>
        </w:tc>
        <w:tc>
          <w:tcPr>
            <w:tcW w:w="18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500" w:type="dxa"/>
            <w:vAlign w:val="bottom"/>
          </w:tcPr>
          <w:p>
            <w:pPr>
              <w:spacing w:after="0"/>
              <w:rPr>
                <w:sz w:val="21"/>
                <w:szCs w:val="21"/>
                <w:color w:val="auto"/>
              </w:rPr>
            </w:pPr>
          </w:p>
        </w:tc>
      </w:tr>
      <w:tr>
        <w:trPr>
          <w:trHeight w:val="206"/>
        </w:trPr>
        <w:tc>
          <w:tcPr>
            <w:tcW w:w="7900" w:type="dxa"/>
            <w:vAlign w:val="bottom"/>
          </w:tcPr>
          <w:p>
            <w:pPr>
              <w:ind w:left="340"/>
              <w:spacing w:after="0"/>
              <w:rPr>
                <w:sz w:val="20"/>
                <w:szCs w:val="20"/>
                <w:color w:val="auto"/>
              </w:rPr>
            </w:pPr>
            <w:r>
              <w:rPr>
                <w:rFonts w:ascii="Arial" w:cs="Arial" w:eastAsia="Arial" w:hAnsi="Arial"/>
                <w:sz w:val="16"/>
                <w:szCs w:val="16"/>
                <w:color w:val="auto"/>
              </w:rPr>
              <w:t>derivative position</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560" w:type="dxa"/>
            <w:vAlign w:val="bottom"/>
          </w:tcPr>
          <w:p>
            <w:pPr>
              <w:jc w:val="right"/>
              <w:ind w:right="62"/>
              <w:spacing w:after="0"/>
              <w:rPr>
                <w:sz w:val="20"/>
                <w:szCs w:val="20"/>
                <w:color w:val="auto"/>
              </w:rPr>
            </w:pPr>
            <w:r>
              <w:rPr>
                <w:rFonts w:ascii="Arial" w:cs="Arial" w:eastAsia="Arial" w:hAnsi="Arial"/>
                <w:sz w:val="16"/>
                <w:szCs w:val="16"/>
                <w:color w:val="auto"/>
              </w:rPr>
              <w:t>—</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1500" w:type="dxa"/>
            <w:vAlign w:val="bottom"/>
          </w:tcPr>
          <w:p>
            <w:pPr>
              <w:jc w:val="right"/>
              <w:ind w:right="20"/>
              <w:spacing w:after="0"/>
              <w:rPr>
                <w:sz w:val="20"/>
                <w:szCs w:val="20"/>
                <w:color w:val="auto"/>
              </w:rPr>
            </w:pPr>
            <w:r>
              <w:rPr>
                <w:rFonts w:ascii="Arial" w:cs="Arial" w:eastAsia="Arial" w:hAnsi="Arial"/>
                <w:sz w:val="16"/>
                <w:szCs w:val="16"/>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-269875</wp:posOffset>
            </wp:positionV>
            <wp:extent cx="7246620" cy="29146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291465"/>
                    </a:xfrm>
                    <a:prstGeom prst="rect">
                      <a:avLst/>
                    </a:prstGeom>
                    <a:noFill/>
                  </pic:spPr>
                </pic:pic>
              </a:graphicData>
            </a:graphic>
          </wp:anchor>
        </w:drawing>
      </w:r>
    </w:p>
    <w:p>
      <w:pPr>
        <w:spacing w:after="0"/>
        <w:rPr>
          <w:sz w:val="20"/>
          <w:szCs w:val="20"/>
          <w:color w:val="auto"/>
        </w:rPr>
      </w:pPr>
      <w:r>
        <w:rPr>
          <w:rFonts w:ascii="Arial" w:cs="Arial" w:eastAsia="Arial" w:hAnsi="Arial"/>
          <w:sz w:val="14"/>
          <w:szCs w:val="14"/>
          <w:color w:val="auto"/>
        </w:rPr>
        <w:t>__________________</w:t>
      </w:r>
    </w:p>
    <w:p>
      <w:pPr>
        <w:spacing w:after="0" w:line="113" w:lineRule="exact"/>
        <w:rPr>
          <w:sz w:val="20"/>
          <w:szCs w:val="20"/>
          <w:color w:val="auto"/>
        </w:rPr>
      </w:pPr>
    </w:p>
    <w:p>
      <w:pPr>
        <w:ind w:left="500" w:hanging="492"/>
        <w:spacing w:after="0"/>
        <w:tabs>
          <w:tab w:leader="none" w:pos="5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After taking into consideration the existence of netting agreements.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Embedded Derivatives</w:t>
      </w:r>
    </w:p>
    <w:p>
      <w:pPr>
        <w:spacing w:after="0" w:line="117"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The Company issues certain products or purchases certain investments that contain embedded derivatives that are required to be separated from their host contracts and accounted for as freestanding derivatives. These host contracts principally include: variable annuities with guaranteed minimum benefits, including GMWBs, GMABs and certain GMIBs; related party ceded reinsurance of guaranteed minimum benefits related to GMWBs, GMABs and certain GMIBs; related party assumed reinsurance of guaranteed minimum benefits related to GMWBs and certain GMIBs; funds withheld on assumed and ceded reinsurance; fixed annuities with equity-indexed returns; and certain debt and equity securities.</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234" w:right="239" w:bottom="1440" w:gutter="0" w:footer="0" w:header="0"/>
        </w:sectPr>
      </w:pPr>
    </w:p>
    <w:bookmarkStart w:id="43" w:name="page44"/>
    <w:bookmarkEnd w:id="43"/>
    <w:p>
      <w:pPr>
        <w:ind w:left="340"/>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109" w:lineRule="exact"/>
        <w:rPr>
          <w:sz w:val="20"/>
          <w:szCs w:val="20"/>
          <w:color w:val="auto"/>
        </w:rPr>
      </w:pPr>
    </w:p>
    <w:p>
      <w:pPr>
        <w:ind w:left="4840"/>
        <w:spacing w:after="0"/>
        <w:rPr>
          <w:sz w:val="20"/>
          <w:szCs w:val="20"/>
          <w:color w:val="auto"/>
        </w:rPr>
      </w:pPr>
      <w:r>
        <w:rPr>
          <w:rFonts w:ascii="Arial" w:cs="Arial" w:eastAsia="Arial" w:hAnsi="Arial"/>
          <w:sz w:val="18"/>
          <w:szCs w:val="18"/>
          <w:b w:val="1"/>
          <w:bCs w:val="1"/>
          <w:color w:val="auto"/>
        </w:rPr>
        <w:t>Brighthouse Financial, Inc.</w:t>
      </w:r>
    </w:p>
    <w:p>
      <w:pPr>
        <w:spacing w:after="0" w:line="117" w:lineRule="exact"/>
        <w:rPr>
          <w:sz w:val="20"/>
          <w:szCs w:val="20"/>
          <w:color w:val="auto"/>
        </w:rPr>
      </w:pPr>
    </w:p>
    <w:p>
      <w:pPr>
        <w:ind w:left="1640"/>
        <w:spacing w:after="0"/>
        <w:rPr>
          <w:sz w:val="20"/>
          <w:szCs w:val="20"/>
          <w:color w:val="auto"/>
        </w:rPr>
      </w:pPr>
      <w:r>
        <w:rPr>
          <w:rFonts w:ascii="Arial" w:cs="Arial" w:eastAsia="Arial" w:hAnsi="Arial"/>
          <w:sz w:val="18"/>
          <w:szCs w:val="18"/>
          <w:b w:val="1"/>
          <w:bCs w:val="1"/>
          <w:color w:val="auto"/>
        </w:rPr>
        <w:t>Notes to the Interim Condensed Consolidated and Combined Financial Statements (Unaudited) — (continued)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Derivatives (continued)</w:t>
      </w:r>
    </w:p>
    <w:p>
      <w:pPr>
        <w:spacing w:after="0" w:line="364"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following table presents the estimated fair value and balance sheet location of the Company’s embedded derivatives that have been separated from their host contracts at:</w:t>
      </w:r>
    </w:p>
    <w:p>
      <w:pPr>
        <w:spacing w:after="0" w:line="284"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4680" w:type="dxa"/>
            <w:vAlign w:val="bottom"/>
          </w:tcPr>
          <w:p>
            <w:pPr>
              <w:spacing w:after="0"/>
              <w:rPr>
                <w:sz w:val="16"/>
                <w:szCs w:val="16"/>
                <w:color w:val="auto"/>
              </w:rPr>
            </w:pPr>
          </w:p>
        </w:tc>
        <w:tc>
          <w:tcPr>
            <w:tcW w:w="3320" w:type="dxa"/>
            <w:vAlign w:val="bottom"/>
            <w:gridSpan w:val="2"/>
          </w:tcPr>
          <w:p>
            <w:pPr>
              <w:ind w:left="880"/>
              <w:spacing w:after="0"/>
              <w:rPr>
                <w:sz w:val="20"/>
                <w:szCs w:val="20"/>
                <w:color w:val="auto"/>
              </w:rPr>
            </w:pPr>
            <w:r>
              <w:rPr>
                <w:rFonts w:ascii="Arial" w:cs="Arial" w:eastAsia="Arial" w:hAnsi="Arial"/>
                <w:sz w:val="14"/>
                <w:szCs w:val="14"/>
                <w:b w:val="1"/>
                <w:bCs w:val="1"/>
                <w:color w:val="auto"/>
              </w:rPr>
              <w:t>Balance Sheet Location</w:t>
            </w:r>
          </w:p>
        </w:tc>
        <w:tc>
          <w:tcPr>
            <w:tcW w:w="180" w:type="dxa"/>
            <w:vAlign w:val="bottom"/>
          </w:tcPr>
          <w:p>
            <w:pPr>
              <w:spacing w:after="0"/>
              <w:rPr>
                <w:sz w:val="16"/>
                <w:szCs w:val="16"/>
                <w:color w:val="auto"/>
              </w:rPr>
            </w:pPr>
          </w:p>
        </w:tc>
        <w:tc>
          <w:tcPr>
            <w:tcW w:w="1620" w:type="dxa"/>
            <w:vAlign w:val="bottom"/>
            <w:gridSpan w:val="2"/>
          </w:tcPr>
          <w:p>
            <w:pPr>
              <w:ind w:left="60"/>
              <w:spacing w:after="0"/>
              <w:rPr>
                <w:sz w:val="20"/>
                <w:szCs w:val="20"/>
                <w:color w:val="auto"/>
              </w:rPr>
            </w:pPr>
            <w:r>
              <w:rPr>
                <w:rFonts w:ascii="Arial" w:cs="Arial" w:eastAsia="Arial" w:hAnsi="Arial"/>
                <w:sz w:val="14"/>
                <w:szCs w:val="14"/>
                <w:b w:val="1"/>
                <w:bCs w:val="1"/>
                <w:color w:val="auto"/>
              </w:rPr>
              <w:t>September 30, 2017</w:t>
            </w:r>
          </w:p>
        </w:tc>
        <w:tc>
          <w:tcPr>
            <w:tcW w:w="160" w:type="dxa"/>
            <w:vAlign w:val="bottom"/>
          </w:tcPr>
          <w:p>
            <w:pPr>
              <w:spacing w:after="0"/>
              <w:rPr>
                <w:sz w:val="16"/>
                <w:szCs w:val="16"/>
                <w:color w:val="auto"/>
              </w:rPr>
            </w:pPr>
          </w:p>
        </w:tc>
        <w:tc>
          <w:tcPr>
            <w:tcW w:w="1420" w:type="dxa"/>
            <w:vAlign w:val="bottom"/>
          </w:tcPr>
          <w:p>
            <w:pPr>
              <w:jc w:val="right"/>
              <w:ind w:right="120"/>
              <w:spacing w:after="0"/>
              <w:rPr>
                <w:sz w:val="20"/>
                <w:szCs w:val="20"/>
                <w:color w:val="auto"/>
              </w:rPr>
            </w:pPr>
            <w:r>
              <w:rPr>
                <w:rFonts w:ascii="Arial" w:cs="Arial" w:eastAsia="Arial" w:hAnsi="Arial"/>
                <w:sz w:val="14"/>
                <w:szCs w:val="14"/>
                <w:b w:val="1"/>
                <w:bCs w:val="1"/>
                <w:color w:val="auto"/>
                <w:w w:val="95"/>
              </w:rPr>
              <w:t>December 31, 2016</w:t>
            </w:r>
          </w:p>
        </w:tc>
      </w:tr>
      <w:tr>
        <w:trPr>
          <w:trHeight w:val="264"/>
        </w:trPr>
        <w:tc>
          <w:tcPr>
            <w:tcW w:w="4680" w:type="dxa"/>
            <w:vAlign w:val="bottom"/>
          </w:tcPr>
          <w:p>
            <w:pPr>
              <w:spacing w:after="0"/>
              <w:rPr>
                <w:sz w:val="22"/>
                <w:szCs w:val="22"/>
                <w:color w:val="auto"/>
              </w:rPr>
            </w:pPr>
          </w:p>
        </w:tc>
        <w:tc>
          <w:tcPr>
            <w:tcW w:w="320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3200" w:type="dxa"/>
            <w:vAlign w:val="bottom"/>
            <w:tcBorders>
              <w:top w:val="single" w:sz="8" w:color="auto"/>
            </w:tcBorders>
            <w:gridSpan w:val="4"/>
          </w:tcPr>
          <w:p>
            <w:pPr>
              <w:jc w:val="right"/>
              <w:ind w:right="1220"/>
              <w:spacing w:after="0"/>
              <w:rPr>
                <w:sz w:val="20"/>
                <w:szCs w:val="20"/>
                <w:color w:val="auto"/>
              </w:rPr>
            </w:pPr>
            <w:r>
              <w:rPr>
                <w:rFonts w:ascii="Arial" w:cs="Arial" w:eastAsia="Arial" w:hAnsi="Arial"/>
                <w:sz w:val="14"/>
                <w:szCs w:val="14"/>
                <w:b w:val="1"/>
                <w:bCs w:val="1"/>
                <w:color w:val="auto"/>
              </w:rPr>
              <w:t>(In millions)</w:t>
            </w:r>
          </w:p>
        </w:tc>
      </w:tr>
      <w:tr>
        <w:trPr>
          <w:trHeight w:val="256"/>
        </w:trPr>
        <w:tc>
          <w:tcPr>
            <w:tcW w:w="4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Embedded derivatives within asset host contracts:</w:t>
            </w:r>
          </w:p>
        </w:tc>
        <w:tc>
          <w:tcPr>
            <w:tcW w:w="32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5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spacing w:after="0"/>
              <w:rPr>
                <w:sz w:val="22"/>
                <w:szCs w:val="22"/>
                <w:color w:val="auto"/>
              </w:rPr>
            </w:pPr>
          </w:p>
        </w:tc>
      </w:tr>
      <w:tr>
        <w:trPr>
          <w:trHeight w:val="237"/>
        </w:trPr>
        <w:tc>
          <w:tcPr>
            <w:tcW w:w="4680" w:type="dxa"/>
            <w:vAlign w:val="bottom"/>
          </w:tcPr>
          <w:p>
            <w:pPr>
              <w:ind w:left="20"/>
              <w:spacing w:after="0"/>
              <w:rPr>
                <w:sz w:val="20"/>
                <w:szCs w:val="20"/>
                <w:color w:val="auto"/>
              </w:rPr>
            </w:pPr>
            <w:r>
              <w:rPr>
                <w:rFonts w:ascii="Arial" w:cs="Arial" w:eastAsia="Arial" w:hAnsi="Arial"/>
                <w:sz w:val="16"/>
                <w:szCs w:val="16"/>
                <w:color w:val="auto"/>
              </w:rPr>
              <w:t>Ceded guaranteed minimum benefits</w:t>
            </w:r>
          </w:p>
        </w:tc>
        <w:tc>
          <w:tcPr>
            <w:tcW w:w="3320" w:type="dxa"/>
            <w:vAlign w:val="bottom"/>
            <w:gridSpan w:val="2"/>
          </w:tcPr>
          <w:p>
            <w:pPr>
              <w:ind w:left="20"/>
              <w:spacing w:after="0"/>
              <w:rPr>
                <w:sz w:val="20"/>
                <w:szCs w:val="20"/>
                <w:color w:val="auto"/>
              </w:rPr>
            </w:pPr>
            <w:r>
              <w:rPr>
                <w:rFonts w:ascii="Arial" w:cs="Arial" w:eastAsia="Arial" w:hAnsi="Arial"/>
                <w:sz w:val="16"/>
                <w:szCs w:val="16"/>
                <w:color w:val="auto"/>
              </w:rPr>
              <w:t>Premiums, reinsurance and other receivables</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520" w:type="dxa"/>
            <w:vAlign w:val="bottom"/>
          </w:tcPr>
          <w:p>
            <w:pPr>
              <w:jc w:val="right"/>
              <w:ind w:right="21"/>
              <w:spacing w:after="0"/>
              <w:rPr>
                <w:sz w:val="20"/>
                <w:szCs w:val="20"/>
                <w:color w:val="auto"/>
              </w:rPr>
            </w:pPr>
            <w:r>
              <w:rPr>
                <w:rFonts w:ascii="Arial" w:cs="Arial" w:eastAsia="Arial" w:hAnsi="Arial"/>
                <w:sz w:val="16"/>
                <w:szCs w:val="16"/>
                <w:color w:val="auto"/>
              </w:rPr>
              <w:t>220</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420" w:type="dxa"/>
            <w:vAlign w:val="bottom"/>
          </w:tcPr>
          <w:p>
            <w:pPr>
              <w:jc w:val="right"/>
              <w:ind w:right="20"/>
              <w:spacing w:after="0"/>
              <w:rPr>
                <w:sz w:val="20"/>
                <w:szCs w:val="20"/>
                <w:color w:val="auto"/>
              </w:rPr>
            </w:pPr>
            <w:r>
              <w:rPr>
                <w:rFonts w:ascii="Arial" w:cs="Arial" w:eastAsia="Arial" w:hAnsi="Arial"/>
                <w:sz w:val="16"/>
                <w:szCs w:val="16"/>
                <w:color w:val="auto"/>
              </w:rPr>
              <w:t>628</w:t>
            </w:r>
          </w:p>
        </w:tc>
      </w:tr>
      <w:tr>
        <w:trPr>
          <w:trHeight w:val="33"/>
        </w:trPr>
        <w:tc>
          <w:tcPr>
            <w:tcW w:w="4680" w:type="dxa"/>
            <w:vAlign w:val="bottom"/>
          </w:tcPr>
          <w:p>
            <w:pPr>
              <w:spacing w:after="0"/>
              <w:rPr>
                <w:sz w:val="2"/>
                <w:szCs w:val="2"/>
                <w:color w:val="auto"/>
              </w:rPr>
            </w:pPr>
          </w:p>
        </w:tc>
        <w:tc>
          <w:tcPr>
            <w:tcW w:w="3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70"/>
        </w:trPr>
        <w:tc>
          <w:tcPr>
            <w:tcW w:w="4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Options embedded in debt or equity securities</w:t>
            </w:r>
          </w:p>
        </w:tc>
        <w:tc>
          <w:tcPr>
            <w:tcW w:w="33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Investments</w:t>
            </w:r>
          </w:p>
        </w:tc>
        <w:tc>
          <w:tcPr>
            <w:tcW w:w="18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(56)</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(49)</w:t>
            </w:r>
          </w:p>
        </w:tc>
      </w:tr>
      <w:tr>
        <w:trPr>
          <w:trHeight w:val="244"/>
        </w:trPr>
        <w:tc>
          <w:tcPr>
            <w:tcW w:w="4680" w:type="dxa"/>
            <w:vAlign w:val="bottom"/>
          </w:tcPr>
          <w:p>
            <w:pPr>
              <w:ind w:left="200"/>
              <w:spacing w:after="0"/>
              <w:rPr>
                <w:sz w:val="20"/>
                <w:szCs w:val="20"/>
                <w:color w:val="auto"/>
              </w:rPr>
            </w:pPr>
            <w:r>
              <w:rPr>
                <w:rFonts w:ascii="Arial" w:cs="Arial" w:eastAsia="Arial" w:hAnsi="Arial"/>
                <w:sz w:val="16"/>
                <w:szCs w:val="16"/>
                <w:color w:val="auto"/>
              </w:rPr>
              <w:t>Embedded derivatives within asset host contracts</w:t>
            </w:r>
          </w:p>
        </w:tc>
        <w:tc>
          <w:tcPr>
            <w:tcW w:w="3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520" w:type="dxa"/>
            <w:vAlign w:val="bottom"/>
            <w:tcBorders>
              <w:top w:val="single" w:sz="8" w:color="auto"/>
              <w:bottom w:val="single" w:sz="8" w:color="auto"/>
            </w:tcBorders>
          </w:tcPr>
          <w:p>
            <w:pPr>
              <w:jc w:val="right"/>
              <w:ind w:right="21"/>
              <w:spacing w:after="0"/>
              <w:rPr>
                <w:sz w:val="20"/>
                <w:szCs w:val="20"/>
                <w:color w:val="auto"/>
              </w:rPr>
            </w:pPr>
            <w:r>
              <w:rPr>
                <w:rFonts w:ascii="Arial" w:cs="Arial" w:eastAsia="Arial" w:hAnsi="Arial"/>
                <w:sz w:val="16"/>
                <w:szCs w:val="16"/>
                <w:color w:val="auto"/>
              </w:rPr>
              <w:t>164</w:t>
            </w:r>
          </w:p>
        </w:tc>
        <w:tc>
          <w:tcPr>
            <w:tcW w:w="10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2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579</w:t>
            </w:r>
          </w:p>
        </w:tc>
      </w:tr>
      <w:tr>
        <w:trPr>
          <w:trHeight w:val="20"/>
        </w:trPr>
        <w:tc>
          <w:tcPr>
            <w:tcW w:w="468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r>
        <w:trPr>
          <w:trHeight w:val="284"/>
        </w:trPr>
        <w:tc>
          <w:tcPr>
            <w:tcW w:w="468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250"/>
        </w:trPr>
        <w:tc>
          <w:tcPr>
            <w:tcW w:w="4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Embedded derivatives within liability host contracts:</w:t>
            </w:r>
          </w:p>
        </w:tc>
        <w:tc>
          <w:tcPr>
            <w:tcW w:w="3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r>
      <w:tr>
        <w:trPr>
          <w:trHeight w:val="237"/>
        </w:trPr>
        <w:tc>
          <w:tcPr>
            <w:tcW w:w="4680" w:type="dxa"/>
            <w:vAlign w:val="bottom"/>
          </w:tcPr>
          <w:p>
            <w:pPr>
              <w:ind w:left="20"/>
              <w:spacing w:after="0"/>
              <w:rPr>
                <w:sz w:val="20"/>
                <w:szCs w:val="20"/>
                <w:color w:val="auto"/>
              </w:rPr>
            </w:pPr>
            <w:r>
              <w:rPr>
                <w:rFonts w:ascii="Arial" w:cs="Arial" w:eastAsia="Arial" w:hAnsi="Arial"/>
                <w:sz w:val="16"/>
                <w:szCs w:val="16"/>
                <w:color w:val="auto"/>
              </w:rPr>
              <w:t>Direct guaranteed minimum benefits</w:t>
            </w:r>
          </w:p>
        </w:tc>
        <w:tc>
          <w:tcPr>
            <w:tcW w:w="3320" w:type="dxa"/>
            <w:vAlign w:val="bottom"/>
            <w:gridSpan w:val="2"/>
          </w:tcPr>
          <w:p>
            <w:pPr>
              <w:ind w:left="20"/>
              <w:spacing w:after="0"/>
              <w:rPr>
                <w:sz w:val="20"/>
                <w:szCs w:val="20"/>
                <w:color w:val="auto"/>
              </w:rPr>
            </w:pPr>
            <w:r>
              <w:rPr>
                <w:rFonts w:ascii="Arial" w:cs="Arial" w:eastAsia="Arial" w:hAnsi="Arial"/>
                <w:sz w:val="16"/>
                <w:szCs w:val="16"/>
                <w:color w:val="auto"/>
              </w:rPr>
              <w:t>Policyholder account balances</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520" w:type="dxa"/>
            <w:vAlign w:val="bottom"/>
          </w:tcPr>
          <w:p>
            <w:pPr>
              <w:jc w:val="right"/>
              <w:ind w:right="21"/>
              <w:spacing w:after="0"/>
              <w:rPr>
                <w:sz w:val="20"/>
                <w:szCs w:val="20"/>
                <w:color w:val="auto"/>
              </w:rPr>
            </w:pPr>
            <w:r>
              <w:rPr>
                <w:rFonts w:ascii="Arial" w:cs="Arial" w:eastAsia="Arial" w:hAnsi="Arial"/>
                <w:sz w:val="16"/>
                <w:szCs w:val="16"/>
                <w:color w:val="auto"/>
              </w:rPr>
              <w:t>1,419</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420" w:type="dxa"/>
            <w:vAlign w:val="bottom"/>
          </w:tcPr>
          <w:p>
            <w:pPr>
              <w:jc w:val="right"/>
              <w:ind w:right="20"/>
              <w:spacing w:after="0"/>
              <w:rPr>
                <w:sz w:val="20"/>
                <w:szCs w:val="20"/>
                <w:color w:val="auto"/>
              </w:rPr>
            </w:pPr>
            <w:r>
              <w:rPr>
                <w:rFonts w:ascii="Arial" w:cs="Arial" w:eastAsia="Arial" w:hAnsi="Arial"/>
                <w:sz w:val="16"/>
                <w:szCs w:val="16"/>
                <w:color w:val="auto"/>
              </w:rPr>
              <w:t>2,359</w:t>
            </w:r>
          </w:p>
        </w:tc>
      </w:tr>
      <w:tr>
        <w:trPr>
          <w:trHeight w:val="33"/>
        </w:trPr>
        <w:tc>
          <w:tcPr>
            <w:tcW w:w="4680" w:type="dxa"/>
            <w:vAlign w:val="bottom"/>
          </w:tcPr>
          <w:p>
            <w:pPr>
              <w:spacing w:after="0"/>
              <w:rPr>
                <w:sz w:val="2"/>
                <w:szCs w:val="2"/>
                <w:color w:val="auto"/>
              </w:rPr>
            </w:pPr>
          </w:p>
        </w:tc>
        <w:tc>
          <w:tcPr>
            <w:tcW w:w="3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4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Assumed guaranteed minimum benefits</w:t>
            </w:r>
          </w:p>
        </w:tc>
        <w:tc>
          <w:tcPr>
            <w:tcW w:w="33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Policyholder account balances</w:t>
            </w:r>
          </w:p>
        </w:tc>
        <w:tc>
          <w:tcPr>
            <w:tcW w:w="1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460</w:t>
            </w:r>
          </w:p>
        </w:tc>
      </w:tr>
      <w:tr>
        <w:trPr>
          <w:trHeight w:val="237"/>
        </w:trPr>
        <w:tc>
          <w:tcPr>
            <w:tcW w:w="4680" w:type="dxa"/>
            <w:vAlign w:val="bottom"/>
          </w:tcPr>
          <w:p>
            <w:pPr>
              <w:ind w:left="20"/>
              <w:spacing w:after="0"/>
              <w:rPr>
                <w:sz w:val="20"/>
                <w:szCs w:val="20"/>
                <w:color w:val="auto"/>
              </w:rPr>
            </w:pPr>
            <w:r>
              <w:rPr>
                <w:rFonts w:ascii="Arial" w:cs="Arial" w:eastAsia="Arial" w:hAnsi="Arial"/>
                <w:sz w:val="16"/>
                <w:szCs w:val="16"/>
                <w:color w:val="auto"/>
              </w:rPr>
              <w:t>Fixed annuities with equity indexed returns</w:t>
            </w:r>
          </w:p>
        </w:tc>
        <w:tc>
          <w:tcPr>
            <w:tcW w:w="3320" w:type="dxa"/>
            <w:vAlign w:val="bottom"/>
            <w:gridSpan w:val="2"/>
          </w:tcPr>
          <w:p>
            <w:pPr>
              <w:ind w:left="20"/>
              <w:spacing w:after="0"/>
              <w:rPr>
                <w:sz w:val="20"/>
                <w:szCs w:val="20"/>
                <w:color w:val="auto"/>
              </w:rPr>
            </w:pPr>
            <w:r>
              <w:rPr>
                <w:rFonts w:ascii="Arial" w:cs="Arial" w:eastAsia="Arial" w:hAnsi="Arial"/>
                <w:sz w:val="16"/>
                <w:szCs w:val="16"/>
                <w:color w:val="auto"/>
              </w:rPr>
              <w:t>Policyholder account balances</w:t>
            </w:r>
          </w:p>
        </w:tc>
        <w:tc>
          <w:tcPr>
            <w:tcW w:w="180" w:type="dxa"/>
            <w:vAlign w:val="bottom"/>
          </w:tcPr>
          <w:p>
            <w:pPr>
              <w:spacing w:after="0"/>
              <w:rPr>
                <w:sz w:val="20"/>
                <w:szCs w:val="20"/>
                <w:color w:val="auto"/>
              </w:rPr>
            </w:pPr>
          </w:p>
        </w:tc>
        <w:tc>
          <w:tcPr>
            <w:tcW w:w="1520" w:type="dxa"/>
            <w:vAlign w:val="bottom"/>
          </w:tcPr>
          <w:p>
            <w:pPr>
              <w:jc w:val="right"/>
              <w:ind w:right="21"/>
              <w:spacing w:after="0"/>
              <w:rPr>
                <w:sz w:val="20"/>
                <w:szCs w:val="20"/>
                <w:color w:val="auto"/>
              </w:rPr>
            </w:pPr>
            <w:r>
              <w:rPr>
                <w:rFonts w:ascii="Arial" w:cs="Arial" w:eastAsia="Arial" w:hAnsi="Arial"/>
                <w:sz w:val="16"/>
                <w:szCs w:val="16"/>
                <w:color w:val="auto"/>
              </w:rPr>
              <w:t>511</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tcPr>
          <w:p>
            <w:pPr>
              <w:jc w:val="right"/>
              <w:ind w:right="20"/>
              <w:spacing w:after="0"/>
              <w:rPr>
                <w:sz w:val="20"/>
                <w:szCs w:val="20"/>
                <w:color w:val="auto"/>
              </w:rPr>
            </w:pPr>
            <w:r>
              <w:rPr>
                <w:rFonts w:ascii="Arial" w:cs="Arial" w:eastAsia="Arial" w:hAnsi="Arial"/>
                <w:sz w:val="16"/>
                <w:szCs w:val="16"/>
                <w:color w:val="auto"/>
              </w:rPr>
              <w:t>192</w:t>
            </w:r>
          </w:p>
        </w:tc>
      </w:tr>
      <w:tr>
        <w:trPr>
          <w:trHeight w:val="33"/>
        </w:trPr>
        <w:tc>
          <w:tcPr>
            <w:tcW w:w="4680" w:type="dxa"/>
            <w:vAlign w:val="bottom"/>
            <w:tcBorders>
              <w:bottom w:val="single" w:sz="8" w:color="CCEEFF"/>
            </w:tcBorders>
          </w:tcPr>
          <w:p>
            <w:pPr>
              <w:spacing w:after="0"/>
              <w:rPr>
                <w:sz w:val="2"/>
                <w:szCs w:val="2"/>
                <w:color w:val="auto"/>
              </w:rPr>
            </w:pPr>
          </w:p>
        </w:tc>
        <w:tc>
          <w:tcPr>
            <w:tcW w:w="32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44"/>
        </w:trPr>
        <w:tc>
          <w:tcPr>
            <w:tcW w:w="46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Embedded derivatives within liability host contracts</w:t>
            </w:r>
          </w:p>
        </w:tc>
        <w:tc>
          <w:tcPr>
            <w:tcW w:w="3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2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1,930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2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3,011</w:t>
            </w:r>
          </w:p>
        </w:tc>
      </w:tr>
      <w:tr>
        <w:trPr>
          <w:trHeight w:val="20"/>
        </w:trPr>
        <w:tc>
          <w:tcPr>
            <w:tcW w:w="468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changes in estimated fair value related to embedded derivatives:</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4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40" w:type="dxa"/>
            <w:vAlign w:val="bottom"/>
            <w:gridSpan w:val="2"/>
          </w:tcPr>
          <w:p>
            <w:pPr>
              <w:jc w:val="center"/>
              <w:spacing w:after="0"/>
              <w:rPr>
                <w:sz w:val="20"/>
                <w:szCs w:val="20"/>
                <w:color w:val="auto"/>
              </w:rPr>
            </w:pPr>
            <w:r>
              <w:rPr>
                <w:rFonts w:ascii="Arial" w:cs="Arial" w:eastAsia="Arial" w:hAnsi="Arial"/>
                <w:sz w:val="14"/>
                <w:szCs w:val="14"/>
                <w:b w:val="1"/>
                <w:bCs w:val="1"/>
                <w:color w:val="auto"/>
                <w:w w:val="95"/>
              </w:rPr>
              <w:t>Three Months</w:t>
            </w: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80" w:type="dxa"/>
            <w:vAlign w:val="bottom"/>
            <w:gridSpan w:val="2"/>
          </w:tcPr>
          <w:p>
            <w:pPr>
              <w:jc w:val="center"/>
              <w:ind w:left="325"/>
              <w:spacing w:after="0"/>
              <w:rPr>
                <w:sz w:val="20"/>
                <w:szCs w:val="20"/>
                <w:color w:val="auto"/>
              </w:rPr>
            </w:pPr>
            <w:r>
              <w:rPr>
                <w:rFonts w:ascii="Arial" w:cs="Arial" w:eastAsia="Arial" w:hAnsi="Arial"/>
                <w:sz w:val="14"/>
                <w:szCs w:val="14"/>
                <w:b w:val="1"/>
                <w:bCs w:val="1"/>
                <w:color w:val="auto"/>
                <w:w w:val="95"/>
              </w:rPr>
              <w:t>Nine Months</w:t>
            </w:r>
          </w:p>
        </w:tc>
        <w:tc>
          <w:tcPr>
            <w:tcW w:w="720" w:type="dxa"/>
            <w:vAlign w:val="bottom"/>
          </w:tcPr>
          <w:p>
            <w:pPr>
              <w:spacing w:after="0"/>
              <w:rPr>
                <w:sz w:val="14"/>
                <w:szCs w:val="14"/>
                <w:color w:val="auto"/>
              </w:rPr>
            </w:pPr>
          </w:p>
        </w:tc>
      </w:tr>
      <w:tr>
        <w:trPr>
          <w:trHeight w:val="149"/>
        </w:trPr>
        <w:tc>
          <w:tcPr>
            <w:tcW w:w="64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9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3"/>
              </w:rPr>
              <w:t>Ended</w:t>
            </w: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80" w:type="dxa"/>
            <w:vAlign w:val="bottom"/>
            <w:gridSpan w:val="2"/>
          </w:tcPr>
          <w:p>
            <w:pPr>
              <w:jc w:val="center"/>
              <w:ind w:left="285"/>
              <w:spacing w:after="0" w:line="149" w:lineRule="exact"/>
              <w:rPr>
                <w:sz w:val="20"/>
                <w:szCs w:val="20"/>
                <w:color w:val="auto"/>
              </w:rPr>
            </w:pPr>
            <w:r>
              <w:rPr>
                <w:rFonts w:ascii="Arial" w:cs="Arial" w:eastAsia="Arial" w:hAnsi="Arial"/>
                <w:sz w:val="14"/>
                <w:szCs w:val="14"/>
                <w:b w:val="1"/>
                <w:bCs w:val="1"/>
                <w:color w:val="auto"/>
                <w:w w:val="93"/>
              </w:rPr>
              <w:t>Ended</w:t>
            </w:r>
          </w:p>
        </w:tc>
        <w:tc>
          <w:tcPr>
            <w:tcW w:w="720" w:type="dxa"/>
            <w:vAlign w:val="bottom"/>
          </w:tcPr>
          <w:p>
            <w:pPr>
              <w:spacing w:after="0"/>
              <w:rPr>
                <w:sz w:val="12"/>
                <w:szCs w:val="12"/>
                <w:color w:val="auto"/>
              </w:rPr>
            </w:pPr>
          </w:p>
        </w:tc>
      </w:tr>
      <w:tr>
        <w:trPr>
          <w:trHeight w:val="192"/>
        </w:trPr>
        <w:tc>
          <w:tcPr>
            <w:tcW w:w="6400" w:type="dxa"/>
            <w:vAlign w:val="bottom"/>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1"/>
              </w:rPr>
              <w:t>September 30,</w:t>
            </w:r>
          </w:p>
        </w:tc>
        <w:tc>
          <w:tcPr>
            <w:tcW w:w="7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2"/>
          </w:tcPr>
          <w:p>
            <w:pPr>
              <w:jc w:val="center"/>
              <w:ind w:left="325"/>
              <w:spacing w:after="0"/>
              <w:rPr>
                <w:sz w:val="20"/>
                <w:szCs w:val="20"/>
                <w:color w:val="auto"/>
              </w:rPr>
            </w:pPr>
            <w:r>
              <w:rPr>
                <w:rFonts w:ascii="Arial" w:cs="Arial" w:eastAsia="Arial" w:hAnsi="Arial"/>
                <w:sz w:val="14"/>
                <w:szCs w:val="14"/>
                <w:b w:val="1"/>
                <w:bCs w:val="1"/>
                <w:color w:val="auto"/>
                <w:w w:val="91"/>
              </w:rPr>
              <w:t>September 30,</w:t>
            </w:r>
          </w:p>
        </w:tc>
        <w:tc>
          <w:tcPr>
            <w:tcW w:w="720" w:type="dxa"/>
            <w:vAlign w:val="bottom"/>
            <w:tcBorders>
              <w:bottom w:val="single" w:sz="8" w:color="auto"/>
            </w:tcBorders>
          </w:tcPr>
          <w:p>
            <w:pPr>
              <w:spacing w:after="0"/>
              <w:rPr>
                <w:sz w:val="16"/>
                <w:szCs w:val="16"/>
                <w:color w:val="auto"/>
              </w:rPr>
            </w:pPr>
          </w:p>
        </w:tc>
      </w:tr>
      <w:tr>
        <w:trPr>
          <w:trHeight w:val="264"/>
        </w:trPr>
        <w:tc>
          <w:tcPr>
            <w:tcW w:w="6400" w:type="dxa"/>
            <w:vAlign w:val="bottom"/>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460" w:type="dxa"/>
            <w:vAlign w:val="bottom"/>
            <w:tcBorders>
              <w:bottom w:val="single" w:sz="8" w:color="auto"/>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343"/>
              <w:spacing w:after="0"/>
              <w:rPr>
                <w:sz w:val="20"/>
                <w:szCs w:val="20"/>
                <w:color w:val="auto"/>
              </w:rPr>
            </w:pPr>
            <w:r>
              <w:rPr>
                <w:rFonts w:ascii="Arial" w:cs="Arial" w:eastAsia="Arial" w:hAnsi="Arial"/>
                <w:sz w:val="14"/>
                <w:szCs w:val="14"/>
                <w:b w:val="1"/>
                <w:bCs w:val="1"/>
                <w:color w:val="auto"/>
                <w:w w:val="96"/>
              </w:rPr>
              <w:t>2016</w:t>
            </w:r>
          </w:p>
        </w:tc>
        <w:tc>
          <w:tcPr>
            <w:tcW w:w="12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385"/>
              <w:spacing w:after="0"/>
              <w:rPr>
                <w:sz w:val="20"/>
                <w:szCs w:val="20"/>
                <w:color w:val="auto"/>
              </w:rPr>
            </w:pPr>
            <w:r>
              <w:rPr>
                <w:rFonts w:ascii="Arial" w:cs="Arial" w:eastAsia="Arial" w:hAnsi="Arial"/>
                <w:sz w:val="14"/>
                <w:szCs w:val="14"/>
                <w:b w:val="1"/>
                <w:bCs w:val="1"/>
                <w:color w:val="auto"/>
              </w:rPr>
              <w:t>2017</w:t>
            </w:r>
          </w:p>
        </w:tc>
        <w:tc>
          <w:tcPr>
            <w:tcW w:w="46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342"/>
              <w:spacing w:after="0"/>
              <w:rPr>
                <w:sz w:val="20"/>
                <w:szCs w:val="20"/>
                <w:color w:val="auto"/>
              </w:rPr>
            </w:pPr>
            <w:r>
              <w:rPr>
                <w:rFonts w:ascii="Arial" w:cs="Arial" w:eastAsia="Arial" w:hAnsi="Arial"/>
                <w:sz w:val="14"/>
                <w:szCs w:val="14"/>
                <w:b w:val="1"/>
                <w:bCs w:val="1"/>
                <w:color w:val="auto"/>
                <w:w w:val="89"/>
              </w:rPr>
              <w:t>2016</w:t>
            </w:r>
          </w:p>
        </w:tc>
      </w:tr>
      <w:tr>
        <w:trPr>
          <w:trHeight w:val="264"/>
        </w:trPr>
        <w:tc>
          <w:tcPr>
            <w:tcW w:w="640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20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millions)</w:t>
            </w:r>
          </w:p>
        </w:tc>
        <w:tc>
          <w:tcPr>
            <w:tcW w:w="8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720" w:type="dxa"/>
            <w:vAlign w:val="bottom"/>
          </w:tcPr>
          <w:p>
            <w:pPr>
              <w:spacing w:after="0"/>
              <w:rPr>
                <w:sz w:val="22"/>
                <w:szCs w:val="22"/>
                <w:color w:val="auto"/>
              </w:rPr>
            </w:pPr>
          </w:p>
        </w:tc>
      </w:tr>
      <w:tr>
        <w:trPr>
          <w:trHeight w:val="256"/>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derivative gains (losses) (1), (2)</w:t>
            </w:r>
          </w:p>
        </w:tc>
        <w:tc>
          <w:tcPr>
            <w:tcW w:w="880" w:type="dxa"/>
            <w:vAlign w:val="bottom"/>
            <w:tcBorders>
              <w:bottom w:val="single" w:sz="8" w:color="CCEEFF"/>
            </w:tcBorders>
            <w:shd w:val="clear" w:color="auto" w:fill="CCEEFF"/>
          </w:tcPr>
          <w:p>
            <w:pPr>
              <w:jc w:val="right"/>
              <w:ind w:right="562"/>
              <w:spacing w:after="0"/>
              <w:rPr>
                <w:sz w:val="20"/>
                <w:szCs w:val="20"/>
                <w:color w:val="auto"/>
              </w:rPr>
            </w:pPr>
            <w:r>
              <w:rPr>
                <w:rFonts w:ascii="Arial" w:cs="Arial" w:eastAsia="Arial" w:hAnsi="Arial"/>
                <w:sz w:val="16"/>
                <w:szCs w:val="16"/>
                <w:color w:val="auto"/>
              </w:rPr>
              <w:t>$</w:t>
            </w:r>
          </w:p>
        </w:tc>
        <w:tc>
          <w:tcPr>
            <w:tcW w:w="460" w:type="dxa"/>
            <w:vAlign w:val="bottom"/>
            <w:tcBorders>
              <w:bottom w:val="single" w:sz="8" w:color="CCEEFF"/>
            </w:tcBorders>
            <w:shd w:val="clear" w:color="auto" w:fill="CCEEFF"/>
          </w:tcPr>
          <w:p>
            <w:pPr>
              <w:jc w:val="right"/>
              <w:ind w:right="84"/>
              <w:spacing w:after="0"/>
              <w:rPr>
                <w:sz w:val="20"/>
                <w:szCs w:val="20"/>
                <w:color w:val="auto"/>
              </w:rPr>
            </w:pPr>
            <w:r>
              <w:rPr>
                <w:rFonts w:ascii="Arial" w:cs="Arial" w:eastAsia="Arial" w:hAnsi="Arial"/>
                <w:sz w:val="16"/>
                <w:szCs w:val="16"/>
                <w:color w:val="auto"/>
              </w:rPr>
              <w:t>582</w:t>
            </w:r>
          </w:p>
        </w:tc>
        <w:tc>
          <w:tcPr>
            <w:tcW w:w="48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531</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CCEEFF"/>
            </w:tcBorders>
            <w:shd w:val="clear" w:color="auto" w:fill="CCEEFF"/>
          </w:tcPr>
          <w:p>
            <w:pPr>
              <w:jc w:val="right"/>
              <w:ind w:right="85"/>
              <w:spacing w:after="0"/>
              <w:rPr>
                <w:sz w:val="20"/>
                <w:szCs w:val="20"/>
                <w:color w:val="auto"/>
              </w:rPr>
            </w:pPr>
            <w:r>
              <w:rPr>
                <w:rFonts w:ascii="Arial" w:cs="Arial" w:eastAsia="Arial" w:hAnsi="Arial"/>
                <w:sz w:val="16"/>
                <w:szCs w:val="16"/>
                <w:color w:val="auto"/>
              </w:rPr>
              <w:t>890</w:t>
            </w:r>
          </w:p>
        </w:tc>
        <w:tc>
          <w:tcPr>
            <w:tcW w:w="46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(3,439)</w:t>
            </w:r>
          </w:p>
        </w:tc>
      </w:tr>
      <w:tr>
        <w:trPr>
          <w:trHeight w:val="237"/>
        </w:trPr>
        <w:tc>
          <w:tcPr>
            <w:tcW w:w="6400" w:type="dxa"/>
            <w:vAlign w:val="bottom"/>
          </w:tcPr>
          <w:p>
            <w:pPr>
              <w:ind w:left="40"/>
              <w:spacing w:after="0"/>
              <w:rPr>
                <w:sz w:val="20"/>
                <w:szCs w:val="20"/>
                <w:color w:val="auto"/>
              </w:rPr>
            </w:pPr>
            <w:r>
              <w:rPr>
                <w:rFonts w:ascii="Arial" w:cs="Arial" w:eastAsia="Arial" w:hAnsi="Arial"/>
                <w:sz w:val="16"/>
                <w:szCs w:val="16"/>
                <w:color w:val="auto"/>
              </w:rPr>
              <w:t>Policyholder benefits and claims</w:t>
            </w:r>
          </w:p>
        </w:tc>
        <w:tc>
          <w:tcPr>
            <w:tcW w:w="880" w:type="dxa"/>
            <w:vAlign w:val="bottom"/>
          </w:tcPr>
          <w:p>
            <w:pPr>
              <w:jc w:val="right"/>
              <w:ind w:right="562"/>
              <w:spacing w:after="0"/>
              <w:rPr>
                <w:sz w:val="20"/>
                <w:szCs w:val="20"/>
                <w:color w:val="auto"/>
              </w:rPr>
            </w:pPr>
            <w:r>
              <w:rPr>
                <w:rFonts w:ascii="Arial" w:cs="Arial" w:eastAsia="Arial" w:hAnsi="Arial"/>
                <w:sz w:val="16"/>
                <w:szCs w:val="16"/>
                <w:color w:val="auto"/>
              </w:rPr>
              <w:t>$</w:t>
            </w:r>
          </w:p>
        </w:tc>
        <w:tc>
          <w:tcPr>
            <w:tcW w:w="460" w:type="dxa"/>
            <w:vAlign w:val="bottom"/>
          </w:tcPr>
          <w:p>
            <w:pPr>
              <w:jc w:val="right"/>
              <w:ind w:right="44"/>
              <w:spacing w:after="0"/>
              <w:rPr>
                <w:sz w:val="20"/>
                <w:szCs w:val="20"/>
                <w:color w:val="auto"/>
              </w:rPr>
            </w:pPr>
            <w:r>
              <w:rPr>
                <w:rFonts w:ascii="Arial" w:cs="Arial" w:eastAsia="Arial" w:hAnsi="Arial"/>
                <w:sz w:val="16"/>
                <w:szCs w:val="16"/>
                <w:color w:val="auto"/>
              </w:rPr>
              <w:t>(21)</w:t>
            </w:r>
          </w:p>
        </w:tc>
        <w:tc>
          <w:tcPr>
            <w:tcW w:w="48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(14)</w:t>
            </w:r>
          </w:p>
        </w:tc>
        <w:tc>
          <w:tcPr>
            <w:tcW w:w="120" w:type="dxa"/>
            <w:vAlign w:val="bottom"/>
          </w:tcPr>
          <w:p>
            <w:pPr>
              <w:spacing w:after="0"/>
              <w:rPr>
                <w:sz w:val="20"/>
                <w:szCs w:val="20"/>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ind w:right="25"/>
              <w:spacing w:after="0"/>
              <w:rPr>
                <w:sz w:val="20"/>
                <w:szCs w:val="20"/>
                <w:color w:val="auto"/>
              </w:rPr>
            </w:pPr>
            <w:r>
              <w:rPr>
                <w:rFonts w:ascii="Arial" w:cs="Arial" w:eastAsia="Arial" w:hAnsi="Arial"/>
                <w:sz w:val="16"/>
                <w:szCs w:val="16"/>
                <w:color w:val="auto"/>
              </w:rPr>
              <w:t>(22)</w:t>
            </w:r>
          </w:p>
        </w:tc>
        <w:tc>
          <w:tcPr>
            <w:tcW w:w="46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720" w:type="dxa"/>
            <w:vAlign w:val="bottom"/>
          </w:tcPr>
          <w:p>
            <w:pPr>
              <w:jc w:val="right"/>
              <w:ind w:right="22"/>
              <w:spacing w:after="0"/>
              <w:rPr>
                <w:sz w:val="20"/>
                <w:szCs w:val="20"/>
                <w:color w:val="auto"/>
              </w:rPr>
            </w:pPr>
            <w:r>
              <w:rPr>
                <w:rFonts w:ascii="Arial" w:cs="Arial" w:eastAsia="Arial" w:hAnsi="Arial"/>
                <w:sz w:val="16"/>
                <w:szCs w:val="16"/>
                <w:color w:val="auto"/>
              </w:rPr>
              <w:t>91</w:t>
            </w:r>
          </w:p>
        </w:tc>
      </w:tr>
      <w:tr>
        <w:trPr>
          <w:trHeight w:val="197"/>
        </w:trPr>
        <w:tc>
          <w:tcPr>
            <w:tcW w:w="6400" w:type="dxa"/>
            <w:vAlign w:val="bottom"/>
          </w:tcPr>
          <w:p>
            <w:pPr>
              <w:jc w:val="right"/>
              <w:ind w:right="5022"/>
              <w:spacing w:after="0"/>
              <w:rPr>
                <w:sz w:val="20"/>
                <w:szCs w:val="20"/>
                <w:color w:val="auto"/>
              </w:rPr>
            </w:pPr>
            <w:r>
              <w:rPr>
                <w:rFonts w:ascii="Arial" w:cs="Arial" w:eastAsia="Arial" w:hAnsi="Arial"/>
                <w:sz w:val="14"/>
                <w:szCs w:val="14"/>
                <w:color w:val="auto"/>
                <w:w w:val="91"/>
              </w:rPr>
              <w:t>__________________</w:t>
            </w:r>
          </w:p>
        </w:tc>
        <w:tc>
          <w:tcPr>
            <w:tcW w:w="8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20" w:type="dxa"/>
            <w:vAlign w:val="bottom"/>
          </w:tcPr>
          <w:p>
            <w:pPr>
              <w:spacing w:after="0"/>
              <w:rPr>
                <w:sz w:val="17"/>
                <w:szCs w:val="17"/>
                <w:color w:val="auto"/>
              </w:rPr>
            </w:pPr>
          </w:p>
        </w:tc>
      </w:tr>
    </w:tbl>
    <w:p>
      <w:pPr>
        <w:spacing w:after="0" w:line="92" w:lineRule="exact"/>
        <w:rPr>
          <w:sz w:val="20"/>
          <w:szCs w:val="20"/>
          <w:color w:val="auto"/>
        </w:rPr>
      </w:pPr>
    </w:p>
    <w:p>
      <w:pPr>
        <w:jc w:val="both"/>
        <w:ind w:left="500" w:hanging="492"/>
        <w:spacing w:after="0" w:line="273" w:lineRule="auto"/>
        <w:tabs>
          <w:tab w:leader="none" w:pos="500" w:val="left"/>
        </w:tabs>
        <w:numPr>
          <w:ilvl w:val="0"/>
          <w:numId w:val="27"/>
        </w:numPr>
        <w:rPr>
          <w:rFonts w:ascii="Arial" w:cs="Arial" w:eastAsia="Arial" w:hAnsi="Arial"/>
          <w:sz w:val="17"/>
          <w:szCs w:val="17"/>
          <w:color w:val="auto"/>
        </w:rPr>
      </w:pPr>
      <w:r>
        <w:rPr>
          <w:rFonts w:ascii="Arial" w:cs="Arial" w:eastAsia="Arial" w:hAnsi="Arial"/>
          <w:sz w:val="17"/>
          <w:szCs w:val="17"/>
          <w:color w:val="auto"/>
        </w:rPr>
        <w:t>The valuation of direct and assumed guaranteed minimum benefits includes a nonperformance risk adjustment. The amounts included in net derivative gains (losses) in connection with this adjustment were $457 million and $385 million for the three months and nine months ended September 30, 2017, respectively, and ($78) million and $563 million for the three months and nine months ended September 30, 2016, respectively. In addition, the valuation of ceded guaranteed minimum benefits includes a nonperformance risk adjustment. The amounts included in net derivative gains (losses) in connection with this adjustment, were less than ($1) million for both the three months and nine months ended September 30, 2017, and $8 million and ($64) million for the three months and nine months ended September 30, 2016, respectively.</w:t>
      </w:r>
    </w:p>
    <w:p>
      <w:pPr>
        <w:spacing w:after="0" w:line="70" w:lineRule="exact"/>
        <w:rPr>
          <w:rFonts w:ascii="Arial" w:cs="Arial" w:eastAsia="Arial" w:hAnsi="Arial"/>
          <w:sz w:val="17"/>
          <w:szCs w:val="17"/>
          <w:color w:val="auto"/>
        </w:rPr>
      </w:pPr>
    </w:p>
    <w:p>
      <w:pPr>
        <w:ind w:left="500" w:hanging="492"/>
        <w:spacing w:after="0"/>
        <w:tabs>
          <w:tab w:leader="none" w:pos="5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See Note 12 for discussion of related party net derivative gains (losses).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234" w:right="239" w:bottom="1440" w:gutter="0" w:footer="0" w:header="0"/>
        </w:sectPr>
      </w:pPr>
    </w:p>
    <w:bookmarkStart w:id="44" w:name="page45"/>
    <w:bookmarkEnd w:id="44"/>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Brighthouse Financial,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Interim Condensed Consolidated and Combined Financial Statements (Unaudited) — (continued)</w:t>
      </w: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Fair Value</w:t>
      </w:r>
    </w:p>
    <w:p>
      <w:pPr>
        <w:spacing w:after="0" w:line="175"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Considerable judgment is often required in interpreting market data to develop estimates of fair value, and the use of different assumptions or valuation methodologies may have a material effect on the estimated fair value amounts.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Recurring Fair Value Measurements</w:t>
      </w:r>
    </w:p>
    <w:p>
      <w:pPr>
        <w:spacing w:after="0" w:line="117"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assets and liabilities measured at estimated fair value on a recurring basis and their corresponding placement in the fair value hierarchy, including those items for which the Company has elected the FVO, are presented below at:</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516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980" w:type="dxa"/>
            <w:vAlign w:val="bottom"/>
            <w:tcBorders>
              <w:bottom w:val="single" w:sz="8" w:color="auto"/>
            </w:tcBorders>
            <w:gridSpan w:val="3"/>
          </w:tcPr>
          <w:p>
            <w:pPr>
              <w:jc w:val="right"/>
              <w:spacing w:after="0"/>
              <w:rPr>
                <w:sz w:val="20"/>
                <w:szCs w:val="20"/>
                <w:color w:val="auto"/>
              </w:rPr>
            </w:pPr>
            <w:r>
              <w:rPr>
                <w:rFonts w:ascii="Arial" w:cs="Arial" w:eastAsia="Arial" w:hAnsi="Arial"/>
                <w:sz w:val="13"/>
                <w:szCs w:val="13"/>
                <w:b w:val="1"/>
                <w:bCs w:val="1"/>
                <w:color w:val="auto"/>
              </w:rPr>
              <w:t>September 30, 2017</w:t>
            </w:r>
          </w:p>
        </w:tc>
        <w:tc>
          <w:tcPr>
            <w:tcW w:w="9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5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0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2"/>
              </w:rPr>
              <w:t>Fair Value Hierarchy</w:t>
            </w:r>
          </w:p>
        </w:tc>
        <w:tc>
          <w:tcPr>
            <w:tcW w:w="4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80" w:type="dxa"/>
            <w:vAlign w:val="bottom"/>
          </w:tcPr>
          <w:p>
            <w:pPr>
              <w:jc w:val="center"/>
              <w:ind w:right="209"/>
              <w:spacing w:after="0"/>
              <w:rPr>
                <w:sz w:val="20"/>
                <w:szCs w:val="20"/>
                <w:color w:val="auto"/>
              </w:rPr>
            </w:pPr>
            <w:r>
              <w:rPr>
                <w:rFonts w:ascii="Arial" w:cs="Arial" w:eastAsia="Arial" w:hAnsi="Arial"/>
                <w:sz w:val="13"/>
                <w:szCs w:val="13"/>
                <w:b w:val="1"/>
                <w:bCs w:val="1"/>
                <w:color w:val="auto"/>
                <w:w w:val="83"/>
              </w:rPr>
              <w:t>Total</w:t>
            </w:r>
          </w:p>
        </w:tc>
        <w:tc>
          <w:tcPr>
            <w:tcW w:w="0" w:type="dxa"/>
            <w:vAlign w:val="bottom"/>
          </w:tcPr>
          <w:p>
            <w:pPr>
              <w:spacing w:after="0"/>
              <w:rPr>
                <w:sz w:val="1"/>
                <w:szCs w:val="1"/>
                <w:color w:val="auto"/>
              </w:rPr>
            </w:pPr>
          </w:p>
        </w:tc>
      </w:tr>
      <w:tr>
        <w:trPr>
          <w:trHeight w:val="32"/>
        </w:trPr>
        <w:tc>
          <w:tcPr>
            <w:tcW w:w="51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vMerge w:val="restart"/>
          </w:tcPr>
          <w:p>
            <w:pPr>
              <w:jc w:val="center"/>
              <w:ind w:right="209"/>
              <w:spacing w:after="0" w:line="135" w:lineRule="exact"/>
              <w:rPr>
                <w:sz w:val="20"/>
                <w:szCs w:val="20"/>
                <w:color w:val="auto"/>
              </w:rPr>
            </w:pPr>
            <w:r>
              <w:rPr>
                <w:rFonts w:ascii="Arial" w:cs="Arial" w:eastAsia="Arial" w:hAnsi="Arial"/>
                <w:sz w:val="13"/>
                <w:szCs w:val="13"/>
                <w:b w:val="1"/>
                <w:bCs w:val="1"/>
                <w:color w:val="auto"/>
                <w:w w:val="86"/>
              </w:rPr>
              <w:t>Estimated</w:t>
            </w:r>
          </w:p>
        </w:tc>
        <w:tc>
          <w:tcPr>
            <w:tcW w:w="0" w:type="dxa"/>
            <w:vAlign w:val="bottom"/>
          </w:tcPr>
          <w:p>
            <w:pPr>
              <w:spacing w:after="0"/>
              <w:rPr>
                <w:sz w:val="1"/>
                <w:szCs w:val="1"/>
                <w:color w:val="auto"/>
              </w:rPr>
            </w:pPr>
          </w:p>
        </w:tc>
      </w:tr>
      <w:tr>
        <w:trPr>
          <w:trHeight w:val="83"/>
        </w:trPr>
        <w:tc>
          <w:tcPr>
            <w:tcW w:w="5160" w:type="dxa"/>
            <w:vAlign w:val="bottom"/>
          </w:tcPr>
          <w:p>
            <w:pPr>
              <w:spacing w:after="0"/>
              <w:rPr>
                <w:sz w:val="7"/>
                <w:szCs w:val="7"/>
                <w:color w:val="auto"/>
              </w:rPr>
            </w:pPr>
          </w:p>
        </w:tc>
        <w:tc>
          <w:tcPr>
            <w:tcW w:w="320" w:type="dxa"/>
            <w:vAlign w:val="bottom"/>
          </w:tcPr>
          <w:p>
            <w:pPr>
              <w:spacing w:after="0"/>
              <w:rPr>
                <w:sz w:val="7"/>
                <w:szCs w:val="7"/>
                <w:color w:val="auto"/>
              </w:rPr>
            </w:pPr>
          </w:p>
        </w:tc>
        <w:tc>
          <w:tcPr>
            <w:tcW w:w="11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380" w:type="dxa"/>
            <w:vAlign w:val="bottom"/>
          </w:tcPr>
          <w:p>
            <w:pPr>
              <w:spacing w:after="0"/>
              <w:rPr>
                <w:sz w:val="7"/>
                <w:szCs w:val="7"/>
                <w:color w:val="auto"/>
              </w:rPr>
            </w:pPr>
          </w:p>
        </w:tc>
        <w:tc>
          <w:tcPr>
            <w:tcW w:w="120" w:type="dxa"/>
            <w:vAlign w:val="bottom"/>
          </w:tcPr>
          <w:p>
            <w:pPr>
              <w:spacing w:after="0"/>
              <w:rPr>
                <w:sz w:val="7"/>
                <w:szCs w:val="7"/>
                <w:color w:val="auto"/>
              </w:rPr>
            </w:pPr>
          </w:p>
        </w:tc>
        <w:tc>
          <w:tcPr>
            <w:tcW w:w="480" w:type="dxa"/>
            <w:vAlign w:val="bottom"/>
          </w:tcPr>
          <w:p>
            <w:pPr>
              <w:spacing w:after="0"/>
              <w:rPr>
                <w:sz w:val="7"/>
                <w:szCs w:val="7"/>
                <w:color w:val="auto"/>
              </w:rPr>
            </w:pPr>
          </w:p>
        </w:tc>
        <w:tc>
          <w:tcPr>
            <w:tcW w:w="980" w:type="dxa"/>
            <w:vAlign w:val="bottom"/>
          </w:tcPr>
          <w:p>
            <w:pPr>
              <w:spacing w:after="0"/>
              <w:rPr>
                <w:sz w:val="7"/>
                <w:szCs w:val="7"/>
                <w:color w:val="auto"/>
              </w:rPr>
            </w:pPr>
          </w:p>
        </w:tc>
        <w:tc>
          <w:tcPr>
            <w:tcW w:w="100" w:type="dxa"/>
            <w:vAlign w:val="bottom"/>
          </w:tcPr>
          <w:p>
            <w:pPr>
              <w:spacing w:after="0"/>
              <w:rPr>
                <w:sz w:val="7"/>
                <w:szCs w:val="7"/>
                <w:color w:val="auto"/>
              </w:rPr>
            </w:pPr>
          </w:p>
        </w:tc>
        <w:tc>
          <w:tcPr>
            <w:tcW w:w="280" w:type="dxa"/>
            <w:vAlign w:val="bottom"/>
          </w:tcPr>
          <w:p>
            <w:pPr>
              <w:spacing w:after="0"/>
              <w:rPr>
                <w:sz w:val="7"/>
                <w:szCs w:val="7"/>
                <w:color w:val="auto"/>
              </w:rPr>
            </w:pPr>
          </w:p>
        </w:tc>
        <w:tc>
          <w:tcPr>
            <w:tcW w:w="11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4"/>
        </w:trPr>
        <w:tc>
          <w:tcPr>
            <w:tcW w:w="516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gridSpan w:val="2"/>
          </w:tcPr>
          <w:p>
            <w:pPr>
              <w:ind w:left="220"/>
              <w:spacing w:after="0"/>
              <w:rPr>
                <w:sz w:val="20"/>
                <w:szCs w:val="20"/>
                <w:color w:val="auto"/>
              </w:rPr>
            </w:pPr>
            <w:r>
              <w:rPr>
                <w:rFonts w:ascii="Arial" w:cs="Arial" w:eastAsia="Arial" w:hAnsi="Arial"/>
                <w:sz w:val="13"/>
                <w:szCs w:val="13"/>
                <w:b w:val="1"/>
                <w:bCs w:val="1"/>
                <w:color w:val="auto"/>
              </w:rPr>
              <w:t>Level 1</w:t>
            </w:r>
          </w:p>
        </w:tc>
        <w:tc>
          <w:tcPr>
            <w:tcW w:w="12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3"/>
                <w:szCs w:val="13"/>
                <w:b w:val="1"/>
                <w:bCs w:val="1"/>
                <w:color w:val="auto"/>
                <w:w w:val="90"/>
              </w:rPr>
              <w:t>Level 2</w:t>
            </w:r>
          </w:p>
        </w:tc>
        <w:tc>
          <w:tcPr>
            <w:tcW w:w="48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gridSpan w:val="2"/>
          </w:tcPr>
          <w:p>
            <w:pPr>
              <w:ind w:left="60"/>
              <w:spacing w:after="0"/>
              <w:rPr>
                <w:sz w:val="20"/>
                <w:szCs w:val="20"/>
                <w:color w:val="auto"/>
              </w:rPr>
            </w:pPr>
            <w:r>
              <w:rPr>
                <w:rFonts w:ascii="Arial" w:cs="Arial" w:eastAsia="Arial" w:hAnsi="Arial"/>
                <w:sz w:val="13"/>
                <w:szCs w:val="13"/>
                <w:b w:val="1"/>
                <w:bCs w:val="1"/>
                <w:color w:val="auto"/>
              </w:rPr>
              <w:t>Level 3</w:t>
            </w:r>
          </w:p>
        </w:tc>
        <w:tc>
          <w:tcPr>
            <w:tcW w:w="28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center"/>
              <w:ind w:right="189"/>
              <w:spacing w:after="0"/>
              <w:rPr>
                <w:sz w:val="20"/>
                <w:szCs w:val="20"/>
                <w:color w:val="auto"/>
              </w:rPr>
            </w:pPr>
            <w:r>
              <w:rPr>
                <w:rFonts w:ascii="Arial" w:cs="Arial" w:eastAsia="Arial" w:hAnsi="Arial"/>
                <w:sz w:val="13"/>
                <w:szCs w:val="13"/>
                <w:b w:val="1"/>
                <w:bCs w:val="1"/>
                <w:color w:val="auto"/>
                <w:w w:val="90"/>
              </w:rPr>
              <w:t>Fair Value</w:t>
            </w:r>
          </w:p>
        </w:tc>
        <w:tc>
          <w:tcPr>
            <w:tcW w:w="0" w:type="dxa"/>
            <w:vAlign w:val="bottom"/>
          </w:tcPr>
          <w:p>
            <w:pPr>
              <w:spacing w:after="0"/>
              <w:rPr>
                <w:sz w:val="1"/>
                <w:szCs w:val="1"/>
                <w:color w:val="auto"/>
              </w:rPr>
            </w:pPr>
          </w:p>
        </w:tc>
      </w:tr>
      <w:tr>
        <w:trPr>
          <w:trHeight w:val="249"/>
        </w:trPr>
        <w:tc>
          <w:tcPr>
            <w:tcW w:w="51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980" w:type="dxa"/>
            <w:vAlign w:val="bottom"/>
            <w:gridSpan w:val="3"/>
          </w:tcPr>
          <w:p>
            <w:pPr>
              <w:jc w:val="right"/>
              <w:ind w:right="168"/>
              <w:spacing w:after="0"/>
              <w:rPr>
                <w:sz w:val="20"/>
                <w:szCs w:val="20"/>
                <w:color w:val="auto"/>
              </w:rPr>
            </w:pPr>
            <w:r>
              <w:rPr>
                <w:rFonts w:ascii="Arial" w:cs="Arial" w:eastAsia="Arial" w:hAnsi="Arial"/>
                <w:sz w:val="13"/>
                <w:szCs w:val="13"/>
                <w:b w:val="1"/>
                <w:bCs w:val="1"/>
                <w:color w:val="auto"/>
              </w:rPr>
              <w:t>(In millions)</w:t>
            </w: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9"/>
        </w:trPr>
        <w:tc>
          <w:tcPr>
            <w:tcW w:w="516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Assets</w:t>
            </w:r>
          </w:p>
        </w:tc>
        <w:tc>
          <w:tcPr>
            <w:tcW w:w="32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80"/>
        </w:trPr>
        <w:tc>
          <w:tcPr>
            <w:tcW w:w="5160" w:type="dxa"/>
            <w:vAlign w:val="bottom"/>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118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38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480" w:type="dxa"/>
            <w:vAlign w:val="bottom"/>
            <w:shd w:val="clear" w:color="auto" w:fill="CCEEFF"/>
          </w:tcPr>
          <w:p>
            <w:pPr>
              <w:spacing w:after="0"/>
              <w:rPr>
                <w:sz w:val="6"/>
                <w:szCs w:val="6"/>
                <w:color w:val="auto"/>
              </w:rPr>
            </w:pPr>
          </w:p>
        </w:tc>
        <w:tc>
          <w:tcPr>
            <w:tcW w:w="9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118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5160" w:type="dxa"/>
            <w:vAlign w:val="bottom"/>
          </w:tcPr>
          <w:p>
            <w:pPr>
              <w:ind w:left="40"/>
              <w:spacing w:after="0"/>
              <w:rPr>
                <w:sz w:val="20"/>
                <w:szCs w:val="20"/>
                <w:color w:val="auto"/>
              </w:rPr>
            </w:pPr>
            <w:r>
              <w:rPr>
                <w:rFonts w:ascii="Arial" w:cs="Arial" w:eastAsia="Arial" w:hAnsi="Arial"/>
                <w:sz w:val="14"/>
                <w:szCs w:val="14"/>
                <w:color w:val="auto"/>
              </w:rPr>
              <w:t>Fixed maturity securities:</w:t>
            </w:r>
          </w:p>
        </w:tc>
        <w:tc>
          <w:tcPr>
            <w:tcW w:w="3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5160" w:type="dxa"/>
            <w:vAlign w:val="bottom"/>
          </w:tcPr>
          <w:p>
            <w:pPr>
              <w:spacing w:after="0"/>
              <w:rPr>
                <w:sz w:val="6"/>
                <w:szCs w:val="6"/>
                <w:color w:val="auto"/>
              </w:rPr>
            </w:pPr>
          </w:p>
        </w:tc>
        <w:tc>
          <w:tcPr>
            <w:tcW w:w="320" w:type="dxa"/>
            <w:vAlign w:val="bottom"/>
          </w:tcPr>
          <w:p>
            <w:pPr>
              <w:spacing w:after="0"/>
              <w:rPr>
                <w:sz w:val="6"/>
                <w:szCs w:val="6"/>
                <w:color w:val="auto"/>
              </w:rPr>
            </w:pPr>
          </w:p>
        </w:tc>
        <w:tc>
          <w:tcPr>
            <w:tcW w:w="11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380" w:type="dxa"/>
            <w:vAlign w:val="bottom"/>
          </w:tcPr>
          <w:p>
            <w:pPr>
              <w:spacing w:after="0"/>
              <w:rPr>
                <w:sz w:val="6"/>
                <w:szCs w:val="6"/>
                <w:color w:val="auto"/>
              </w:rPr>
            </w:pPr>
          </w:p>
        </w:tc>
        <w:tc>
          <w:tcPr>
            <w:tcW w:w="120" w:type="dxa"/>
            <w:vAlign w:val="bottom"/>
          </w:tcPr>
          <w:p>
            <w:pPr>
              <w:spacing w:after="0"/>
              <w:rPr>
                <w:sz w:val="6"/>
                <w:szCs w:val="6"/>
                <w:color w:val="auto"/>
              </w:rPr>
            </w:pPr>
          </w:p>
        </w:tc>
        <w:tc>
          <w:tcPr>
            <w:tcW w:w="480" w:type="dxa"/>
            <w:vAlign w:val="bottom"/>
          </w:tcPr>
          <w:p>
            <w:pPr>
              <w:spacing w:after="0"/>
              <w:rPr>
                <w:sz w:val="6"/>
                <w:szCs w:val="6"/>
                <w:color w:val="auto"/>
              </w:rPr>
            </w:pPr>
          </w:p>
        </w:tc>
        <w:tc>
          <w:tcPr>
            <w:tcW w:w="980" w:type="dxa"/>
            <w:vAlign w:val="bottom"/>
          </w:tcPr>
          <w:p>
            <w:pPr>
              <w:spacing w:after="0"/>
              <w:rPr>
                <w:sz w:val="6"/>
                <w:szCs w:val="6"/>
                <w:color w:val="auto"/>
              </w:rPr>
            </w:pPr>
          </w:p>
        </w:tc>
        <w:tc>
          <w:tcPr>
            <w:tcW w:w="100" w:type="dxa"/>
            <w:vAlign w:val="bottom"/>
          </w:tcPr>
          <w:p>
            <w:pPr>
              <w:spacing w:after="0"/>
              <w:rPr>
                <w:sz w:val="6"/>
                <w:szCs w:val="6"/>
                <w:color w:val="auto"/>
              </w:rPr>
            </w:pPr>
          </w:p>
        </w:tc>
        <w:tc>
          <w:tcPr>
            <w:tcW w:w="280" w:type="dxa"/>
            <w:vAlign w:val="bottom"/>
          </w:tcPr>
          <w:p>
            <w:pPr>
              <w:spacing w:after="0"/>
              <w:rPr>
                <w:sz w:val="6"/>
                <w:szCs w:val="6"/>
                <w:color w:val="auto"/>
              </w:rPr>
            </w:pPr>
          </w:p>
        </w:tc>
        <w:tc>
          <w:tcPr>
            <w:tcW w:w="11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5160" w:type="dxa"/>
            <w:vAlign w:val="bottom"/>
            <w:shd w:val="clear" w:color="auto" w:fill="CCEEFF"/>
          </w:tcPr>
          <w:p>
            <w:pPr>
              <w:ind w:left="40"/>
              <w:spacing w:after="0"/>
              <w:rPr>
                <w:sz w:val="20"/>
                <w:szCs w:val="20"/>
                <w:color w:val="auto"/>
              </w:rPr>
            </w:pPr>
            <w:r>
              <w:rPr>
                <w:rFonts w:ascii="Arial" w:cs="Arial" w:eastAsia="Arial" w:hAnsi="Arial"/>
                <w:sz w:val="14"/>
                <w:szCs w:val="14"/>
                <w:color w:val="auto"/>
              </w:rPr>
              <w:t>U.S. corporate</w:t>
            </w:r>
          </w:p>
        </w:tc>
        <w:tc>
          <w:tcPr>
            <w:tcW w:w="320" w:type="dxa"/>
            <w:vAlign w:val="bottom"/>
            <w:vMerge w:val="restart"/>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30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80" w:type="dxa"/>
            <w:vAlign w:val="bottom"/>
            <w:vMerge w:val="restart"/>
            <w:shd w:val="clear" w:color="auto" w:fill="CCEEFF"/>
          </w:tcPr>
          <w:p>
            <w:pPr>
              <w:jc w:val="right"/>
              <w:ind w:right="49"/>
              <w:spacing w:after="0"/>
              <w:rPr>
                <w:sz w:val="20"/>
                <w:szCs w:val="20"/>
                <w:color w:val="auto"/>
              </w:rPr>
            </w:pPr>
            <w:r>
              <w:rPr>
                <w:rFonts w:ascii="Arial" w:cs="Arial" w:eastAsia="Arial" w:hAnsi="Arial"/>
                <w:sz w:val="14"/>
                <w:szCs w:val="14"/>
                <w:color w:val="auto"/>
              </w:rPr>
              <w:t>20,845</w:t>
            </w:r>
          </w:p>
        </w:tc>
        <w:tc>
          <w:tcPr>
            <w:tcW w:w="120" w:type="dxa"/>
            <w:vAlign w:val="bottom"/>
            <w:shd w:val="clear" w:color="auto" w:fill="CCEEFF"/>
          </w:tcPr>
          <w:p>
            <w:pPr>
              <w:spacing w:after="0"/>
              <w:rPr>
                <w:sz w:val="16"/>
                <w:szCs w:val="16"/>
                <w:color w:val="auto"/>
              </w:rPr>
            </w:pPr>
          </w:p>
        </w:tc>
        <w:tc>
          <w:tcPr>
            <w:tcW w:w="480" w:type="dxa"/>
            <w:vAlign w:val="bottom"/>
            <w:vMerge w:val="restart"/>
            <w:shd w:val="clear" w:color="auto" w:fill="CCEEFF"/>
          </w:tcPr>
          <w:p>
            <w:pPr>
              <w:jc w:val="right"/>
              <w:ind w:right="308"/>
              <w:spacing w:after="0"/>
              <w:rPr>
                <w:sz w:val="20"/>
                <w:szCs w:val="20"/>
                <w:color w:val="auto"/>
              </w:rPr>
            </w:pPr>
            <w:r>
              <w:rPr>
                <w:rFonts w:ascii="Arial" w:cs="Arial" w:eastAsia="Arial" w:hAnsi="Arial"/>
                <w:sz w:val="14"/>
                <w:szCs w:val="14"/>
                <w:color w:val="auto"/>
              </w:rPr>
              <w:t>$</w:t>
            </w:r>
          </w:p>
        </w:tc>
        <w:tc>
          <w:tcPr>
            <w:tcW w:w="98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1,601</w:t>
            </w:r>
          </w:p>
        </w:tc>
        <w:tc>
          <w:tcPr>
            <w:tcW w:w="100" w:type="dxa"/>
            <w:vAlign w:val="bottom"/>
            <w:shd w:val="clear" w:color="auto" w:fill="CCEEFF"/>
          </w:tcPr>
          <w:p>
            <w:pPr>
              <w:spacing w:after="0"/>
              <w:rPr>
                <w:sz w:val="16"/>
                <w:szCs w:val="16"/>
                <w:color w:val="auto"/>
              </w:rPr>
            </w:pPr>
          </w:p>
        </w:tc>
        <w:tc>
          <w:tcPr>
            <w:tcW w:w="280" w:type="dxa"/>
            <w:vAlign w:val="bottom"/>
            <w:vMerge w:val="restart"/>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18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22,446</w:t>
            </w:r>
          </w:p>
        </w:tc>
        <w:tc>
          <w:tcPr>
            <w:tcW w:w="0" w:type="dxa"/>
            <w:vAlign w:val="bottom"/>
          </w:tcPr>
          <w:p>
            <w:pPr>
              <w:spacing w:after="0"/>
              <w:rPr>
                <w:sz w:val="1"/>
                <w:szCs w:val="1"/>
                <w:color w:val="auto"/>
              </w:rPr>
            </w:pPr>
          </w:p>
        </w:tc>
      </w:tr>
      <w:tr>
        <w:trPr>
          <w:trHeight w:val="80"/>
        </w:trPr>
        <w:tc>
          <w:tcPr>
            <w:tcW w:w="5160" w:type="dxa"/>
            <w:vAlign w:val="bottom"/>
            <w:shd w:val="clear" w:color="auto" w:fill="CCEEFF"/>
          </w:tcPr>
          <w:p>
            <w:pPr>
              <w:spacing w:after="0"/>
              <w:rPr>
                <w:sz w:val="6"/>
                <w:szCs w:val="6"/>
                <w:color w:val="auto"/>
              </w:rPr>
            </w:pPr>
          </w:p>
        </w:tc>
        <w:tc>
          <w:tcPr>
            <w:tcW w:w="320" w:type="dxa"/>
            <w:vAlign w:val="bottom"/>
            <w:vMerge w:val="continue"/>
            <w:shd w:val="clear" w:color="auto" w:fill="CCEEFF"/>
          </w:tcPr>
          <w:p>
            <w:pPr>
              <w:spacing w:after="0"/>
              <w:rPr>
                <w:sz w:val="6"/>
                <w:szCs w:val="6"/>
                <w:color w:val="auto"/>
              </w:rPr>
            </w:pPr>
          </w:p>
        </w:tc>
        <w:tc>
          <w:tcPr>
            <w:tcW w:w="1300" w:type="dxa"/>
            <w:vAlign w:val="bottom"/>
            <w:gridSpan w:val="2"/>
            <w:vMerge w:val="continue"/>
            <w:shd w:val="clear" w:color="auto" w:fill="CCEEFF"/>
          </w:tcPr>
          <w:p>
            <w:pPr>
              <w:spacing w:after="0"/>
              <w:rPr>
                <w:sz w:val="6"/>
                <w:szCs w:val="6"/>
                <w:color w:val="auto"/>
              </w:rPr>
            </w:pPr>
          </w:p>
        </w:tc>
        <w:tc>
          <w:tcPr>
            <w:tcW w:w="120" w:type="dxa"/>
            <w:vAlign w:val="bottom"/>
            <w:vMerge w:val="continue"/>
            <w:shd w:val="clear" w:color="auto" w:fill="CCEEFF"/>
          </w:tcPr>
          <w:p>
            <w:pPr>
              <w:spacing w:after="0"/>
              <w:rPr>
                <w:sz w:val="6"/>
                <w:szCs w:val="6"/>
                <w:color w:val="auto"/>
              </w:rPr>
            </w:pPr>
          </w:p>
        </w:tc>
        <w:tc>
          <w:tcPr>
            <w:tcW w:w="138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480" w:type="dxa"/>
            <w:vAlign w:val="bottom"/>
            <w:vMerge w:val="continue"/>
            <w:shd w:val="clear" w:color="auto" w:fill="CCEEFF"/>
          </w:tcPr>
          <w:p>
            <w:pPr>
              <w:spacing w:after="0"/>
              <w:rPr>
                <w:sz w:val="6"/>
                <w:szCs w:val="6"/>
                <w:color w:val="auto"/>
              </w:rPr>
            </w:pPr>
          </w:p>
        </w:tc>
        <w:tc>
          <w:tcPr>
            <w:tcW w:w="98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80" w:type="dxa"/>
            <w:vAlign w:val="bottom"/>
            <w:vMerge w:val="continue"/>
            <w:shd w:val="clear" w:color="auto" w:fill="CCEEFF"/>
          </w:tcPr>
          <w:p>
            <w:pPr>
              <w:spacing w:after="0"/>
              <w:rPr>
                <w:sz w:val="6"/>
                <w:szCs w:val="6"/>
                <w:color w:val="auto"/>
              </w:rPr>
            </w:pPr>
          </w:p>
        </w:tc>
        <w:tc>
          <w:tcPr>
            <w:tcW w:w="118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5160" w:type="dxa"/>
            <w:vAlign w:val="bottom"/>
          </w:tcPr>
          <w:p>
            <w:pPr>
              <w:ind w:left="40"/>
              <w:spacing w:after="0"/>
              <w:rPr>
                <w:sz w:val="20"/>
                <w:szCs w:val="20"/>
                <w:color w:val="auto"/>
              </w:rPr>
            </w:pPr>
            <w:r>
              <w:rPr>
                <w:rFonts w:ascii="Arial" w:cs="Arial" w:eastAsia="Arial" w:hAnsi="Arial"/>
                <w:sz w:val="14"/>
                <w:szCs w:val="14"/>
                <w:color w:val="auto"/>
              </w:rPr>
              <w:t>U.S. government and agency</w:t>
            </w:r>
          </w:p>
        </w:tc>
        <w:tc>
          <w:tcPr>
            <w:tcW w:w="320" w:type="dxa"/>
            <w:vAlign w:val="bottom"/>
          </w:tcPr>
          <w:p>
            <w:pPr>
              <w:spacing w:after="0"/>
              <w:rPr>
                <w:sz w:val="16"/>
                <w:szCs w:val="16"/>
                <w:color w:val="auto"/>
              </w:rPr>
            </w:pPr>
          </w:p>
        </w:tc>
        <w:tc>
          <w:tcPr>
            <w:tcW w:w="1180" w:type="dxa"/>
            <w:vAlign w:val="bottom"/>
            <w:vMerge w:val="restart"/>
          </w:tcPr>
          <w:p>
            <w:pPr>
              <w:jc w:val="right"/>
              <w:ind w:right="48"/>
              <w:spacing w:after="0"/>
              <w:rPr>
                <w:sz w:val="20"/>
                <w:szCs w:val="20"/>
                <w:color w:val="auto"/>
              </w:rPr>
            </w:pPr>
            <w:r>
              <w:rPr>
                <w:rFonts w:ascii="Arial" w:cs="Arial" w:eastAsia="Arial" w:hAnsi="Arial"/>
                <w:sz w:val="14"/>
                <w:szCs w:val="14"/>
                <w:color w:val="auto"/>
              </w:rPr>
              <w:t>8,373</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vMerge w:val="restart"/>
          </w:tcPr>
          <w:p>
            <w:pPr>
              <w:jc w:val="right"/>
              <w:ind w:right="49"/>
              <w:spacing w:after="0"/>
              <w:rPr>
                <w:sz w:val="20"/>
                <w:szCs w:val="20"/>
                <w:color w:val="auto"/>
              </w:rPr>
            </w:pPr>
            <w:r>
              <w:rPr>
                <w:rFonts w:ascii="Arial" w:cs="Arial" w:eastAsia="Arial" w:hAnsi="Arial"/>
                <w:sz w:val="14"/>
                <w:szCs w:val="14"/>
                <w:color w:val="auto"/>
              </w:rPr>
              <w:t>7,470</w:t>
            </w: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8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6"/>
                <w:szCs w:val="16"/>
                <w:color w:val="auto"/>
              </w:rPr>
            </w:pPr>
          </w:p>
        </w:tc>
        <w:tc>
          <w:tcPr>
            <w:tcW w:w="1180" w:type="dxa"/>
            <w:vAlign w:val="bottom"/>
            <w:vMerge w:val="restart"/>
          </w:tcPr>
          <w:p>
            <w:pPr>
              <w:jc w:val="right"/>
              <w:ind w:right="29"/>
              <w:spacing w:after="0"/>
              <w:rPr>
                <w:sz w:val="20"/>
                <w:szCs w:val="20"/>
                <w:color w:val="auto"/>
              </w:rPr>
            </w:pPr>
            <w:r>
              <w:rPr>
                <w:rFonts w:ascii="Arial" w:cs="Arial" w:eastAsia="Arial" w:hAnsi="Arial"/>
                <w:sz w:val="14"/>
                <w:szCs w:val="14"/>
                <w:color w:val="auto"/>
              </w:rPr>
              <w:t>15,843</w:t>
            </w:r>
          </w:p>
        </w:tc>
        <w:tc>
          <w:tcPr>
            <w:tcW w:w="0" w:type="dxa"/>
            <w:vAlign w:val="bottom"/>
          </w:tcPr>
          <w:p>
            <w:pPr>
              <w:spacing w:after="0"/>
              <w:rPr>
                <w:sz w:val="1"/>
                <w:szCs w:val="1"/>
                <w:color w:val="auto"/>
              </w:rPr>
            </w:pPr>
          </w:p>
        </w:tc>
      </w:tr>
      <w:tr>
        <w:trPr>
          <w:trHeight w:val="74"/>
        </w:trPr>
        <w:tc>
          <w:tcPr>
            <w:tcW w:w="5160" w:type="dxa"/>
            <w:vAlign w:val="bottom"/>
          </w:tcPr>
          <w:p>
            <w:pPr>
              <w:spacing w:after="0"/>
              <w:rPr>
                <w:sz w:val="6"/>
                <w:szCs w:val="6"/>
                <w:color w:val="auto"/>
              </w:rPr>
            </w:pPr>
          </w:p>
        </w:tc>
        <w:tc>
          <w:tcPr>
            <w:tcW w:w="320" w:type="dxa"/>
            <w:vAlign w:val="bottom"/>
          </w:tcPr>
          <w:p>
            <w:pPr>
              <w:spacing w:after="0"/>
              <w:rPr>
                <w:sz w:val="6"/>
                <w:szCs w:val="6"/>
                <w:color w:val="auto"/>
              </w:rPr>
            </w:pPr>
          </w:p>
        </w:tc>
        <w:tc>
          <w:tcPr>
            <w:tcW w:w="11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3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480" w:type="dxa"/>
            <w:vAlign w:val="bottom"/>
          </w:tcPr>
          <w:p>
            <w:pPr>
              <w:spacing w:after="0"/>
              <w:rPr>
                <w:sz w:val="6"/>
                <w:szCs w:val="6"/>
                <w:color w:val="auto"/>
              </w:rPr>
            </w:pPr>
          </w:p>
        </w:tc>
        <w:tc>
          <w:tcPr>
            <w:tcW w:w="1080" w:type="dxa"/>
            <w:vAlign w:val="bottom"/>
            <w:gridSpan w:val="2"/>
            <w:vMerge w:val="continue"/>
          </w:tcPr>
          <w:p>
            <w:pPr>
              <w:spacing w:after="0"/>
              <w:rPr>
                <w:sz w:val="6"/>
                <w:szCs w:val="6"/>
                <w:color w:val="auto"/>
              </w:rPr>
            </w:pPr>
          </w:p>
        </w:tc>
        <w:tc>
          <w:tcPr>
            <w:tcW w:w="280" w:type="dxa"/>
            <w:vAlign w:val="bottom"/>
          </w:tcPr>
          <w:p>
            <w:pPr>
              <w:spacing w:after="0"/>
              <w:rPr>
                <w:sz w:val="6"/>
                <w:szCs w:val="6"/>
                <w:color w:val="auto"/>
              </w:rPr>
            </w:pPr>
          </w:p>
        </w:tc>
        <w:tc>
          <w:tcPr>
            <w:tcW w:w="11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5160" w:type="dxa"/>
            <w:vAlign w:val="bottom"/>
            <w:shd w:val="clear" w:color="auto" w:fill="CCEEFF"/>
          </w:tcPr>
          <w:p>
            <w:pPr>
              <w:ind w:left="40"/>
              <w:spacing w:after="0"/>
              <w:rPr>
                <w:sz w:val="20"/>
                <w:szCs w:val="20"/>
                <w:color w:val="auto"/>
              </w:rPr>
            </w:pPr>
            <w:r>
              <w:rPr>
                <w:rFonts w:ascii="Arial" w:cs="Arial" w:eastAsia="Arial" w:hAnsi="Arial"/>
                <w:sz w:val="14"/>
                <w:szCs w:val="14"/>
                <w:color w:val="auto"/>
              </w:rPr>
              <w:t>RMBS</w:t>
            </w:r>
          </w:p>
        </w:tc>
        <w:tc>
          <w:tcPr>
            <w:tcW w:w="320" w:type="dxa"/>
            <w:vAlign w:val="bottom"/>
            <w:shd w:val="clear" w:color="auto" w:fill="CCEEFF"/>
          </w:tcPr>
          <w:p>
            <w:pPr>
              <w:spacing w:after="0"/>
              <w:rPr>
                <w:sz w:val="17"/>
                <w:szCs w:val="17"/>
                <w:color w:val="auto"/>
              </w:rPr>
            </w:pPr>
          </w:p>
        </w:tc>
        <w:tc>
          <w:tcPr>
            <w:tcW w:w="118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25</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80" w:type="dxa"/>
            <w:vAlign w:val="bottom"/>
            <w:vMerge w:val="restart"/>
            <w:shd w:val="clear" w:color="auto" w:fill="CCEEFF"/>
          </w:tcPr>
          <w:p>
            <w:pPr>
              <w:jc w:val="right"/>
              <w:ind w:right="49"/>
              <w:spacing w:after="0"/>
              <w:rPr>
                <w:sz w:val="20"/>
                <w:szCs w:val="20"/>
                <w:color w:val="auto"/>
              </w:rPr>
            </w:pPr>
            <w:r>
              <w:rPr>
                <w:rFonts w:ascii="Arial" w:cs="Arial" w:eastAsia="Arial" w:hAnsi="Arial"/>
                <w:sz w:val="14"/>
                <w:szCs w:val="14"/>
                <w:color w:val="auto"/>
              </w:rPr>
              <w:t>6,830</w:t>
            </w: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98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1,157</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8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8,012</w:t>
            </w:r>
          </w:p>
        </w:tc>
        <w:tc>
          <w:tcPr>
            <w:tcW w:w="0" w:type="dxa"/>
            <w:vAlign w:val="bottom"/>
          </w:tcPr>
          <w:p>
            <w:pPr>
              <w:spacing w:after="0"/>
              <w:rPr>
                <w:sz w:val="1"/>
                <w:szCs w:val="1"/>
                <w:color w:val="auto"/>
              </w:rPr>
            </w:pPr>
          </w:p>
        </w:tc>
      </w:tr>
      <w:tr>
        <w:trPr>
          <w:trHeight w:val="80"/>
        </w:trPr>
        <w:tc>
          <w:tcPr>
            <w:tcW w:w="5160" w:type="dxa"/>
            <w:vAlign w:val="bottom"/>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118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38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480" w:type="dxa"/>
            <w:vAlign w:val="bottom"/>
            <w:shd w:val="clear" w:color="auto" w:fill="CCEEFF"/>
          </w:tcPr>
          <w:p>
            <w:pPr>
              <w:spacing w:after="0"/>
              <w:rPr>
                <w:sz w:val="6"/>
                <w:szCs w:val="6"/>
                <w:color w:val="auto"/>
              </w:rPr>
            </w:pPr>
          </w:p>
        </w:tc>
        <w:tc>
          <w:tcPr>
            <w:tcW w:w="98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118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5160" w:type="dxa"/>
            <w:vAlign w:val="bottom"/>
          </w:tcPr>
          <w:p>
            <w:pPr>
              <w:ind w:left="40"/>
              <w:spacing w:after="0"/>
              <w:rPr>
                <w:sz w:val="20"/>
                <w:szCs w:val="20"/>
                <w:color w:val="auto"/>
              </w:rPr>
            </w:pPr>
            <w:r>
              <w:rPr>
                <w:rFonts w:ascii="Arial" w:cs="Arial" w:eastAsia="Arial" w:hAnsi="Arial"/>
                <w:sz w:val="14"/>
                <w:szCs w:val="14"/>
                <w:color w:val="auto"/>
              </w:rPr>
              <w:t>Foreign corporate</w:t>
            </w:r>
          </w:p>
        </w:tc>
        <w:tc>
          <w:tcPr>
            <w:tcW w:w="320" w:type="dxa"/>
            <w:vAlign w:val="bottom"/>
          </w:tcPr>
          <w:p>
            <w:pPr>
              <w:spacing w:after="0"/>
              <w:rPr>
                <w:sz w:val="16"/>
                <w:szCs w:val="16"/>
                <w:color w:val="auto"/>
              </w:rPr>
            </w:pPr>
          </w:p>
        </w:tc>
        <w:tc>
          <w:tcPr>
            <w:tcW w:w="130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380" w:type="dxa"/>
            <w:vAlign w:val="bottom"/>
            <w:vMerge w:val="restart"/>
          </w:tcPr>
          <w:p>
            <w:pPr>
              <w:jc w:val="right"/>
              <w:ind w:right="49"/>
              <w:spacing w:after="0"/>
              <w:rPr>
                <w:sz w:val="20"/>
                <w:szCs w:val="20"/>
                <w:color w:val="auto"/>
              </w:rPr>
            </w:pPr>
            <w:r>
              <w:rPr>
                <w:rFonts w:ascii="Arial" w:cs="Arial" w:eastAsia="Arial" w:hAnsi="Arial"/>
                <w:sz w:val="14"/>
                <w:szCs w:val="14"/>
                <w:color w:val="auto"/>
              </w:rPr>
              <w:t>5,766</w:t>
            </w: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80" w:type="dxa"/>
            <w:vAlign w:val="bottom"/>
            <w:vMerge w:val="restart"/>
          </w:tcPr>
          <w:p>
            <w:pPr>
              <w:jc w:val="right"/>
              <w:ind w:right="48"/>
              <w:spacing w:after="0"/>
              <w:rPr>
                <w:sz w:val="20"/>
                <w:szCs w:val="20"/>
                <w:color w:val="auto"/>
              </w:rPr>
            </w:pPr>
            <w:r>
              <w:rPr>
                <w:rFonts w:ascii="Arial" w:cs="Arial" w:eastAsia="Arial" w:hAnsi="Arial"/>
                <w:sz w:val="14"/>
                <w:szCs w:val="14"/>
                <w:color w:val="auto"/>
              </w:rPr>
              <w:t>998</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80" w:type="dxa"/>
            <w:vAlign w:val="bottom"/>
            <w:vMerge w:val="restart"/>
          </w:tcPr>
          <w:p>
            <w:pPr>
              <w:jc w:val="right"/>
              <w:ind w:right="29"/>
              <w:spacing w:after="0"/>
              <w:rPr>
                <w:sz w:val="20"/>
                <w:szCs w:val="20"/>
                <w:color w:val="auto"/>
              </w:rPr>
            </w:pPr>
            <w:r>
              <w:rPr>
                <w:rFonts w:ascii="Arial" w:cs="Arial" w:eastAsia="Arial" w:hAnsi="Arial"/>
                <w:sz w:val="14"/>
                <w:szCs w:val="14"/>
                <w:color w:val="auto"/>
              </w:rPr>
              <w:t>6,764</w:t>
            </w:r>
          </w:p>
        </w:tc>
        <w:tc>
          <w:tcPr>
            <w:tcW w:w="0" w:type="dxa"/>
            <w:vAlign w:val="bottom"/>
          </w:tcPr>
          <w:p>
            <w:pPr>
              <w:spacing w:after="0"/>
              <w:rPr>
                <w:sz w:val="1"/>
                <w:szCs w:val="1"/>
                <w:color w:val="auto"/>
              </w:rPr>
            </w:pPr>
          </w:p>
        </w:tc>
      </w:tr>
      <w:tr>
        <w:trPr>
          <w:trHeight w:val="74"/>
        </w:trPr>
        <w:tc>
          <w:tcPr>
            <w:tcW w:w="5160" w:type="dxa"/>
            <w:vAlign w:val="bottom"/>
          </w:tcPr>
          <w:p>
            <w:pPr>
              <w:spacing w:after="0"/>
              <w:rPr>
                <w:sz w:val="6"/>
                <w:szCs w:val="6"/>
                <w:color w:val="auto"/>
              </w:rPr>
            </w:pPr>
          </w:p>
        </w:tc>
        <w:tc>
          <w:tcPr>
            <w:tcW w:w="320" w:type="dxa"/>
            <w:vAlign w:val="bottom"/>
          </w:tcPr>
          <w:p>
            <w:pPr>
              <w:spacing w:after="0"/>
              <w:rPr>
                <w:sz w:val="6"/>
                <w:szCs w:val="6"/>
                <w:color w:val="auto"/>
              </w:rPr>
            </w:pPr>
          </w:p>
        </w:tc>
        <w:tc>
          <w:tcPr>
            <w:tcW w:w="130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13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480" w:type="dxa"/>
            <w:vAlign w:val="bottom"/>
          </w:tcPr>
          <w:p>
            <w:pPr>
              <w:spacing w:after="0"/>
              <w:rPr>
                <w:sz w:val="6"/>
                <w:szCs w:val="6"/>
                <w:color w:val="auto"/>
              </w:rPr>
            </w:pPr>
          </w:p>
        </w:tc>
        <w:tc>
          <w:tcPr>
            <w:tcW w:w="98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280" w:type="dxa"/>
            <w:vAlign w:val="bottom"/>
          </w:tcPr>
          <w:p>
            <w:pPr>
              <w:spacing w:after="0"/>
              <w:rPr>
                <w:sz w:val="6"/>
                <w:szCs w:val="6"/>
                <w:color w:val="auto"/>
              </w:rPr>
            </w:pPr>
          </w:p>
        </w:tc>
        <w:tc>
          <w:tcPr>
            <w:tcW w:w="11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5160" w:type="dxa"/>
            <w:vAlign w:val="bottom"/>
            <w:shd w:val="clear" w:color="auto" w:fill="CCEEFF"/>
          </w:tcPr>
          <w:p>
            <w:pPr>
              <w:ind w:left="40"/>
              <w:spacing w:after="0"/>
              <w:rPr>
                <w:sz w:val="20"/>
                <w:szCs w:val="20"/>
                <w:color w:val="auto"/>
              </w:rPr>
            </w:pPr>
            <w:r>
              <w:rPr>
                <w:rFonts w:ascii="Arial" w:cs="Arial" w:eastAsia="Arial" w:hAnsi="Arial"/>
                <w:sz w:val="14"/>
                <w:szCs w:val="14"/>
                <w:color w:val="auto"/>
              </w:rPr>
              <w:t>State and political subdivision</w:t>
            </w:r>
          </w:p>
        </w:tc>
        <w:tc>
          <w:tcPr>
            <w:tcW w:w="320" w:type="dxa"/>
            <w:vAlign w:val="bottom"/>
            <w:shd w:val="clear" w:color="auto" w:fill="CCEEFF"/>
          </w:tcPr>
          <w:p>
            <w:pPr>
              <w:spacing w:after="0"/>
              <w:rPr>
                <w:sz w:val="17"/>
                <w:szCs w:val="17"/>
                <w:color w:val="auto"/>
              </w:rPr>
            </w:pPr>
          </w:p>
        </w:tc>
        <w:tc>
          <w:tcPr>
            <w:tcW w:w="130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1380" w:type="dxa"/>
            <w:vAlign w:val="bottom"/>
            <w:vMerge w:val="restart"/>
            <w:shd w:val="clear" w:color="auto" w:fill="CCEEFF"/>
          </w:tcPr>
          <w:p>
            <w:pPr>
              <w:jc w:val="right"/>
              <w:ind w:right="49"/>
              <w:spacing w:after="0"/>
              <w:rPr>
                <w:sz w:val="20"/>
                <w:szCs w:val="20"/>
                <w:color w:val="auto"/>
              </w:rPr>
            </w:pPr>
            <w:r>
              <w:rPr>
                <w:rFonts w:ascii="Arial" w:cs="Arial" w:eastAsia="Arial" w:hAnsi="Arial"/>
                <w:sz w:val="14"/>
                <w:szCs w:val="14"/>
                <w:color w:val="auto"/>
              </w:rPr>
              <w:t>4,109</w:t>
            </w: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98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9</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8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4,118</w:t>
            </w:r>
          </w:p>
        </w:tc>
        <w:tc>
          <w:tcPr>
            <w:tcW w:w="0" w:type="dxa"/>
            <w:vAlign w:val="bottom"/>
          </w:tcPr>
          <w:p>
            <w:pPr>
              <w:spacing w:after="0"/>
              <w:rPr>
                <w:sz w:val="1"/>
                <w:szCs w:val="1"/>
                <w:color w:val="auto"/>
              </w:rPr>
            </w:pPr>
          </w:p>
        </w:tc>
      </w:tr>
      <w:tr>
        <w:trPr>
          <w:trHeight w:val="80"/>
        </w:trPr>
        <w:tc>
          <w:tcPr>
            <w:tcW w:w="5160" w:type="dxa"/>
            <w:vAlign w:val="bottom"/>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1300" w:type="dxa"/>
            <w:vAlign w:val="bottom"/>
            <w:gridSpan w:val="2"/>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38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480" w:type="dxa"/>
            <w:vAlign w:val="bottom"/>
            <w:shd w:val="clear" w:color="auto" w:fill="CCEEFF"/>
          </w:tcPr>
          <w:p>
            <w:pPr>
              <w:spacing w:after="0"/>
              <w:rPr>
                <w:sz w:val="6"/>
                <w:szCs w:val="6"/>
                <w:color w:val="auto"/>
              </w:rPr>
            </w:pPr>
          </w:p>
        </w:tc>
        <w:tc>
          <w:tcPr>
            <w:tcW w:w="98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118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5160" w:type="dxa"/>
            <w:vAlign w:val="bottom"/>
          </w:tcPr>
          <w:p>
            <w:pPr>
              <w:ind w:left="40"/>
              <w:spacing w:after="0"/>
              <w:rPr>
                <w:sz w:val="20"/>
                <w:szCs w:val="20"/>
                <w:color w:val="auto"/>
              </w:rPr>
            </w:pPr>
            <w:r>
              <w:rPr>
                <w:rFonts w:ascii="Arial" w:cs="Arial" w:eastAsia="Arial" w:hAnsi="Arial"/>
                <w:sz w:val="14"/>
                <w:szCs w:val="14"/>
                <w:color w:val="auto"/>
              </w:rPr>
              <w:t>CMBS</w:t>
            </w:r>
          </w:p>
        </w:tc>
        <w:tc>
          <w:tcPr>
            <w:tcW w:w="320" w:type="dxa"/>
            <w:vAlign w:val="bottom"/>
          </w:tcPr>
          <w:p>
            <w:pPr>
              <w:spacing w:after="0"/>
              <w:rPr>
                <w:sz w:val="16"/>
                <w:szCs w:val="16"/>
                <w:color w:val="auto"/>
              </w:rPr>
            </w:pPr>
          </w:p>
        </w:tc>
        <w:tc>
          <w:tcPr>
            <w:tcW w:w="130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380" w:type="dxa"/>
            <w:vAlign w:val="bottom"/>
            <w:vMerge w:val="restart"/>
          </w:tcPr>
          <w:p>
            <w:pPr>
              <w:jc w:val="right"/>
              <w:ind w:right="49"/>
              <w:spacing w:after="0"/>
              <w:rPr>
                <w:sz w:val="20"/>
                <w:szCs w:val="20"/>
                <w:color w:val="auto"/>
              </w:rPr>
            </w:pPr>
            <w:r>
              <w:rPr>
                <w:rFonts w:ascii="Arial" w:cs="Arial" w:eastAsia="Arial" w:hAnsi="Arial"/>
                <w:sz w:val="14"/>
                <w:szCs w:val="14"/>
                <w:color w:val="auto"/>
              </w:rPr>
              <w:t>3,236</w:t>
            </w: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80" w:type="dxa"/>
            <w:vAlign w:val="bottom"/>
            <w:vMerge w:val="restart"/>
          </w:tcPr>
          <w:p>
            <w:pPr>
              <w:jc w:val="right"/>
              <w:ind w:right="48"/>
              <w:spacing w:after="0"/>
              <w:rPr>
                <w:sz w:val="20"/>
                <w:szCs w:val="20"/>
                <w:color w:val="auto"/>
              </w:rPr>
            </w:pPr>
            <w:r>
              <w:rPr>
                <w:rFonts w:ascii="Arial" w:cs="Arial" w:eastAsia="Arial" w:hAnsi="Arial"/>
                <w:sz w:val="14"/>
                <w:szCs w:val="14"/>
                <w:color w:val="auto"/>
              </w:rPr>
              <w:t>141</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80" w:type="dxa"/>
            <w:vAlign w:val="bottom"/>
            <w:vMerge w:val="restart"/>
          </w:tcPr>
          <w:p>
            <w:pPr>
              <w:jc w:val="right"/>
              <w:ind w:right="29"/>
              <w:spacing w:after="0"/>
              <w:rPr>
                <w:sz w:val="20"/>
                <w:szCs w:val="20"/>
                <w:color w:val="auto"/>
              </w:rPr>
            </w:pPr>
            <w:r>
              <w:rPr>
                <w:rFonts w:ascii="Arial" w:cs="Arial" w:eastAsia="Arial" w:hAnsi="Arial"/>
                <w:sz w:val="14"/>
                <w:szCs w:val="14"/>
                <w:color w:val="auto"/>
              </w:rPr>
              <w:t>3,377</w:t>
            </w:r>
          </w:p>
        </w:tc>
        <w:tc>
          <w:tcPr>
            <w:tcW w:w="0" w:type="dxa"/>
            <w:vAlign w:val="bottom"/>
          </w:tcPr>
          <w:p>
            <w:pPr>
              <w:spacing w:after="0"/>
              <w:rPr>
                <w:sz w:val="1"/>
                <w:szCs w:val="1"/>
                <w:color w:val="auto"/>
              </w:rPr>
            </w:pPr>
          </w:p>
        </w:tc>
      </w:tr>
      <w:tr>
        <w:trPr>
          <w:trHeight w:val="74"/>
        </w:trPr>
        <w:tc>
          <w:tcPr>
            <w:tcW w:w="5160" w:type="dxa"/>
            <w:vAlign w:val="bottom"/>
          </w:tcPr>
          <w:p>
            <w:pPr>
              <w:spacing w:after="0"/>
              <w:rPr>
                <w:sz w:val="6"/>
                <w:szCs w:val="6"/>
                <w:color w:val="auto"/>
              </w:rPr>
            </w:pPr>
          </w:p>
        </w:tc>
        <w:tc>
          <w:tcPr>
            <w:tcW w:w="320" w:type="dxa"/>
            <w:vAlign w:val="bottom"/>
          </w:tcPr>
          <w:p>
            <w:pPr>
              <w:spacing w:after="0"/>
              <w:rPr>
                <w:sz w:val="6"/>
                <w:szCs w:val="6"/>
                <w:color w:val="auto"/>
              </w:rPr>
            </w:pPr>
          </w:p>
        </w:tc>
        <w:tc>
          <w:tcPr>
            <w:tcW w:w="130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13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480" w:type="dxa"/>
            <w:vAlign w:val="bottom"/>
          </w:tcPr>
          <w:p>
            <w:pPr>
              <w:spacing w:after="0"/>
              <w:rPr>
                <w:sz w:val="6"/>
                <w:szCs w:val="6"/>
                <w:color w:val="auto"/>
              </w:rPr>
            </w:pPr>
          </w:p>
        </w:tc>
        <w:tc>
          <w:tcPr>
            <w:tcW w:w="98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280" w:type="dxa"/>
            <w:vAlign w:val="bottom"/>
          </w:tcPr>
          <w:p>
            <w:pPr>
              <w:spacing w:after="0"/>
              <w:rPr>
                <w:sz w:val="6"/>
                <w:szCs w:val="6"/>
                <w:color w:val="auto"/>
              </w:rPr>
            </w:pPr>
          </w:p>
        </w:tc>
        <w:tc>
          <w:tcPr>
            <w:tcW w:w="11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5160" w:type="dxa"/>
            <w:vAlign w:val="bottom"/>
            <w:shd w:val="clear" w:color="auto" w:fill="CCEEFF"/>
          </w:tcPr>
          <w:p>
            <w:pPr>
              <w:ind w:left="40"/>
              <w:spacing w:after="0"/>
              <w:rPr>
                <w:sz w:val="20"/>
                <w:szCs w:val="20"/>
                <w:color w:val="auto"/>
              </w:rPr>
            </w:pPr>
            <w:r>
              <w:rPr>
                <w:rFonts w:ascii="Arial" w:cs="Arial" w:eastAsia="Arial" w:hAnsi="Arial"/>
                <w:sz w:val="14"/>
                <w:szCs w:val="14"/>
                <w:color w:val="auto"/>
              </w:rPr>
              <w:t>ABS</w:t>
            </w:r>
          </w:p>
        </w:tc>
        <w:tc>
          <w:tcPr>
            <w:tcW w:w="320" w:type="dxa"/>
            <w:vAlign w:val="bottom"/>
            <w:shd w:val="clear" w:color="auto" w:fill="CCEEFF"/>
          </w:tcPr>
          <w:p>
            <w:pPr>
              <w:spacing w:after="0"/>
              <w:rPr>
                <w:sz w:val="17"/>
                <w:szCs w:val="17"/>
                <w:color w:val="auto"/>
              </w:rPr>
            </w:pPr>
          </w:p>
        </w:tc>
        <w:tc>
          <w:tcPr>
            <w:tcW w:w="130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1380" w:type="dxa"/>
            <w:vAlign w:val="bottom"/>
            <w:vMerge w:val="restart"/>
            <w:shd w:val="clear" w:color="auto" w:fill="CCEEFF"/>
          </w:tcPr>
          <w:p>
            <w:pPr>
              <w:jc w:val="right"/>
              <w:ind w:right="49"/>
              <w:spacing w:after="0"/>
              <w:rPr>
                <w:sz w:val="20"/>
                <w:szCs w:val="20"/>
                <w:color w:val="auto"/>
              </w:rPr>
            </w:pPr>
            <w:r>
              <w:rPr>
                <w:rFonts w:ascii="Arial" w:cs="Arial" w:eastAsia="Arial" w:hAnsi="Arial"/>
                <w:sz w:val="14"/>
                <w:szCs w:val="14"/>
                <w:color w:val="auto"/>
              </w:rPr>
              <w:t>1,636</w:t>
            </w: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98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114</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8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1,750</w:t>
            </w:r>
          </w:p>
        </w:tc>
        <w:tc>
          <w:tcPr>
            <w:tcW w:w="0" w:type="dxa"/>
            <w:vAlign w:val="bottom"/>
          </w:tcPr>
          <w:p>
            <w:pPr>
              <w:spacing w:after="0"/>
              <w:rPr>
                <w:sz w:val="1"/>
                <w:szCs w:val="1"/>
                <w:color w:val="auto"/>
              </w:rPr>
            </w:pPr>
          </w:p>
        </w:tc>
      </w:tr>
      <w:tr>
        <w:trPr>
          <w:trHeight w:val="80"/>
        </w:trPr>
        <w:tc>
          <w:tcPr>
            <w:tcW w:w="5160" w:type="dxa"/>
            <w:vAlign w:val="bottom"/>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1300" w:type="dxa"/>
            <w:vAlign w:val="bottom"/>
            <w:gridSpan w:val="2"/>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38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480" w:type="dxa"/>
            <w:vAlign w:val="bottom"/>
            <w:shd w:val="clear" w:color="auto" w:fill="CCEEFF"/>
          </w:tcPr>
          <w:p>
            <w:pPr>
              <w:spacing w:after="0"/>
              <w:rPr>
                <w:sz w:val="6"/>
                <w:szCs w:val="6"/>
                <w:color w:val="auto"/>
              </w:rPr>
            </w:pPr>
          </w:p>
        </w:tc>
        <w:tc>
          <w:tcPr>
            <w:tcW w:w="98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118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5160" w:type="dxa"/>
            <w:vAlign w:val="bottom"/>
          </w:tcPr>
          <w:p>
            <w:pPr>
              <w:ind w:left="40"/>
              <w:spacing w:after="0"/>
              <w:rPr>
                <w:sz w:val="20"/>
                <w:szCs w:val="20"/>
                <w:color w:val="auto"/>
              </w:rPr>
            </w:pPr>
            <w:r>
              <w:rPr>
                <w:rFonts w:ascii="Arial" w:cs="Arial" w:eastAsia="Arial" w:hAnsi="Arial"/>
                <w:sz w:val="14"/>
                <w:szCs w:val="14"/>
                <w:color w:val="auto"/>
              </w:rPr>
              <w:t>Foreign government</w:t>
            </w:r>
          </w:p>
        </w:tc>
        <w:tc>
          <w:tcPr>
            <w:tcW w:w="320" w:type="dxa"/>
            <w:vAlign w:val="bottom"/>
          </w:tcPr>
          <w:p>
            <w:pPr>
              <w:spacing w:after="0"/>
              <w:rPr>
                <w:sz w:val="16"/>
                <w:szCs w:val="16"/>
                <w:color w:val="auto"/>
              </w:rPr>
            </w:pPr>
          </w:p>
        </w:tc>
        <w:tc>
          <w:tcPr>
            <w:tcW w:w="130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380" w:type="dxa"/>
            <w:vAlign w:val="bottom"/>
            <w:vMerge w:val="restart"/>
          </w:tcPr>
          <w:p>
            <w:pPr>
              <w:jc w:val="right"/>
              <w:ind w:right="49"/>
              <w:spacing w:after="0"/>
              <w:rPr>
                <w:sz w:val="20"/>
                <w:szCs w:val="20"/>
                <w:color w:val="auto"/>
              </w:rPr>
            </w:pPr>
            <w:r>
              <w:rPr>
                <w:rFonts w:ascii="Arial" w:cs="Arial" w:eastAsia="Arial" w:hAnsi="Arial"/>
                <w:sz w:val="14"/>
                <w:szCs w:val="14"/>
                <w:color w:val="auto"/>
              </w:rPr>
              <w:t>1,255</w:t>
            </w: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8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6"/>
                <w:szCs w:val="16"/>
                <w:color w:val="auto"/>
              </w:rPr>
            </w:pPr>
          </w:p>
        </w:tc>
        <w:tc>
          <w:tcPr>
            <w:tcW w:w="1180" w:type="dxa"/>
            <w:vAlign w:val="bottom"/>
            <w:vMerge w:val="restart"/>
          </w:tcPr>
          <w:p>
            <w:pPr>
              <w:jc w:val="right"/>
              <w:ind w:right="29"/>
              <w:spacing w:after="0"/>
              <w:rPr>
                <w:sz w:val="20"/>
                <w:szCs w:val="20"/>
                <w:color w:val="auto"/>
              </w:rPr>
            </w:pPr>
            <w:r>
              <w:rPr>
                <w:rFonts w:ascii="Arial" w:cs="Arial" w:eastAsia="Arial" w:hAnsi="Arial"/>
                <w:sz w:val="14"/>
                <w:szCs w:val="14"/>
                <w:color w:val="auto"/>
              </w:rPr>
              <w:t>1,255</w:t>
            </w:r>
          </w:p>
        </w:tc>
        <w:tc>
          <w:tcPr>
            <w:tcW w:w="0" w:type="dxa"/>
            <w:vAlign w:val="bottom"/>
          </w:tcPr>
          <w:p>
            <w:pPr>
              <w:spacing w:after="0"/>
              <w:rPr>
                <w:sz w:val="1"/>
                <w:szCs w:val="1"/>
                <w:color w:val="auto"/>
              </w:rPr>
            </w:pPr>
          </w:p>
        </w:tc>
      </w:tr>
      <w:tr>
        <w:trPr>
          <w:trHeight w:val="74"/>
        </w:trPr>
        <w:tc>
          <w:tcPr>
            <w:tcW w:w="5160" w:type="dxa"/>
            <w:vAlign w:val="bottom"/>
          </w:tcPr>
          <w:p>
            <w:pPr>
              <w:spacing w:after="0"/>
              <w:rPr>
                <w:sz w:val="6"/>
                <w:szCs w:val="6"/>
                <w:color w:val="auto"/>
              </w:rPr>
            </w:pPr>
          </w:p>
        </w:tc>
        <w:tc>
          <w:tcPr>
            <w:tcW w:w="320" w:type="dxa"/>
            <w:vAlign w:val="bottom"/>
          </w:tcPr>
          <w:p>
            <w:pPr>
              <w:spacing w:after="0"/>
              <w:rPr>
                <w:sz w:val="6"/>
                <w:szCs w:val="6"/>
                <w:color w:val="auto"/>
              </w:rPr>
            </w:pPr>
          </w:p>
        </w:tc>
        <w:tc>
          <w:tcPr>
            <w:tcW w:w="130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13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480" w:type="dxa"/>
            <w:vAlign w:val="bottom"/>
          </w:tcPr>
          <w:p>
            <w:pPr>
              <w:spacing w:after="0"/>
              <w:rPr>
                <w:sz w:val="6"/>
                <w:szCs w:val="6"/>
                <w:color w:val="auto"/>
              </w:rPr>
            </w:pPr>
          </w:p>
        </w:tc>
        <w:tc>
          <w:tcPr>
            <w:tcW w:w="1080" w:type="dxa"/>
            <w:vAlign w:val="bottom"/>
            <w:gridSpan w:val="2"/>
            <w:vMerge w:val="continue"/>
          </w:tcPr>
          <w:p>
            <w:pPr>
              <w:spacing w:after="0"/>
              <w:rPr>
                <w:sz w:val="6"/>
                <w:szCs w:val="6"/>
                <w:color w:val="auto"/>
              </w:rPr>
            </w:pPr>
          </w:p>
        </w:tc>
        <w:tc>
          <w:tcPr>
            <w:tcW w:w="280" w:type="dxa"/>
            <w:vAlign w:val="bottom"/>
          </w:tcPr>
          <w:p>
            <w:pPr>
              <w:spacing w:after="0"/>
              <w:rPr>
                <w:sz w:val="6"/>
                <w:szCs w:val="6"/>
                <w:color w:val="auto"/>
              </w:rPr>
            </w:pPr>
          </w:p>
        </w:tc>
        <w:tc>
          <w:tcPr>
            <w:tcW w:w="11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5160" w:type="dxa"/>
            <w:vAlign w:val="bottom"/>
            <w:tcBorders>
              <w:top w:val="single" w:sz="8" w:color="CCEEFF"/>
            </w:tcBorders>
            <w:shd w:val="clear" w:color="auto" w:fill="CCEEFF"/>
          </w:tcPr>
          <w:p>
            <w:pPr>
              <w:ind w:left="200"/>
              <w:spacing w:after="0"/>
              <w:rPr>
                <w:sz w:val="20"/>
                <w:szCs w:val="20"/>
                <w:color w:val="auto"/>
              </w:rPr>
            </w:pPr>
            <w:r>
              <w:rPr>
                <w:rFonts w:ascii="Arial" w:cs="Arial" w:eastAsia="Arial" w:hAnsi="Arial"/>
                <w:sz w:val="14"/>
                <w:szCs w:val="14"/>
                <w:color w:val="auto"/>
              </w:rPr>
              <w:t>Total fixed maturity securities</w:t>
            </w:r>
          </w:p>
        </w:tc>
        <w:tc>
          <w:tcPr>
            <w:tcW w:w="320" w:type="dxa"/>
            <w:vAlign w:val="bottom"/>
            <w:tcBorders>
              <w:top w:val="single" w:sz="8" w:color="auto"/>
            </w:tcBorders>
            <w:shd w:val="clear" w:color="auto" w:fill="CCEEFF"/>
          </w:tcPr>
          <w:p>
            <w:pPr>
              <w:spacing w:after="0"/>
              <w:rPr>
                <w:sz w:val="15"/>
                <w:szCs w:val="15"/>
                <w:color w:val="auto"/>
              </w:rPr>
            </w:pPr>
          </w:p>
        </w:tc>
        <w:tc>
          <w:tcPr>
            <w:tcW w:w="1180" w:type="dxa"/>
            <w:vAlign w:val="bottom"/>
            <w:tcBorders>
              <w:top w:val="single" w:sz="8" w:color="auto"/>
            </w:tcBorders>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8,398</w:t>
            </w:r>
          </w:p>
        </w:tc>
        <w:tc>
          <w:tcPr>
            <w:tcW w:w="1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1380" w:type="dxa"/>
            <w:vAlign w:val="bottom"/>
            <w:tcBorders>
              <w:top w:val="single" w:sz="8" w:color="auto"/>
            </w:tcBorders>
            <w:vMerge w:val="restart"/>
            <w:shd w:val="clear" w:color="auto" w:fill="CCEEFF"/>
          </w:tcPr>
          <w:p>
            <w:pPr>
              <w:jc w:val="right"/>
              <w:ind w:right="49"/>
              <w:spacing w:after="0"/>
              <w:rPr>
                <w:sz w:val="20"/>
                <w:szCs w:val="20"/>
                <w:color w:val="auto"/>
              </w:rPr>
            </w:pPr>
            <w:r>
              <w:rPr>
                <w:rFonts w:ascii="Arial" w:cs="Arial" w:eastAsia="Arial" w:hAnsi="Arial"/>
                <w:sz w:val="14"/>
                <w:szCs w:val="14"/>
                <w:color w:val="auto"/>
              </w:rPr>
              <w:t>51,147</w:t>
            </w:r>
          </w:p>
        </w:tc>
        <w:tc>
          <w:tcPr>
            <w:tcW w:w="120" w:type="dxa"/>
            <w:vAlign w:val="bottom"/>
            <w:tcBorders>
              <w:top w:val="single" w:sz="8" w:color="CCEEFF"/>
            </w:tcBorders>
            <w:shd w:val="clear" w:color="auto" w:fill="CCEEFF"/>
          </w:tcPr>
          <w:p>
            <w:pPr>
              <w:spacing w:after="0"/>
              <w:rPr>
                <w:sz w:val="15"/>
                <w:szCs w:val="15"/>
                <w:color w:val="auto"/>
              </w:rPr>
            </w:pPr>
          </w:p>
        </w:tc>
        <w:tc>
          <w:tcPr>
            <w:tcW w:w="480" w:type="dxa"/>
            <w:vAlign w:val="bottom"/>
            <w:tcBorders>
              <w:top w:val="single" w:sz="8" w:color="auto"/>
            </w:tcBorders>
            <w:shd w:val="clear" w:color="auto" w:fill="CCEEFF"/>
          </w:tcPr>
          <w:p>
            <w:pPr>
              <w:spacing w:after="0"/>
              <w:rPr>
                <w:sz w:val="15"/>
                <w:szCs w:val="15"/>
                <w:color w:val="auto"/>
              </w:rPr>
            </w:pPr>
          </w:p>
        </w:tc>
        <w:tc>
          <w:tcPr>
            <w:tcW w:w="980" w:type="dxa"/>
            <w:vAlign w:val="bottom"/>
            <w:tcBorders>
              <w:top w:val="single" w:sz="8" w:color="auto"/>
            </w:tcBorders>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4,020</w:t>
            </w:r>
          </w:p>
        </w:tc>
        <w:tc>
          <w:tcPr>
            <w:tcW w:w="10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auto"/>
            </w:tcBorders>
            <w:shd w:val="clear" w:color="auto" w:fill="CCEEFF"/>
          </w:tcPr>
          <w:p>
            <w:pPr>
              <w:spacing w:after="0"/>
              <w:rPr>
                <w:sz w:val="15"/>
                <w:szCs w:val="15"/>
                <w:color w:val="auto"/>
              </w:rPr>
            </w:pPr>
          </w:p>
        </w:tc>
        <w:tc>
          <w:tcPr>
            <w:tcW w:w="1180" w:type="dxa"/>
            <w:vAlign w:val="bottom"/>
            <w:tcBorders>
              <w:top w:val="single" w:sz="8" w:color="auto"/>
            </w:tcBorders>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63,565</w:t>
            </w:r>
          </w:p>
        </w:tc>
        <w:tc>
          <w:tcPr>
            <w:tcW w:w="0" w:type="dxa"/>
            <w:vAlign w:val="bottom"/>
          </w:tcPr>
          <w:p>
            <w:pPr>
              <w:spacing w:after="0"/>
              <w:rPr>
                <w:sz w:val="1"/>
                <w:szCs w:val="1"/>
                <w:color w:val="auto"/>
              </w:rPr>
            </w:pPr>
          </w:p>
        </w:tc>
      </w:tr>
      <w:tr>
        <w:trPr>
          <w:trHeight w:val="80"/>
        </w:trPr>
        <w:tc>
          <w:tcPr>
            <w:tcW w:w="5160" w:type="dxa"/>
            <w:vAlign w:val="bottom"/>
            <w:shd w:val="clear" w:color="auto" w:fill="CCEEFF"/>
          </w:tcPr>
          <w:p>
            <w:pPr>
              <w:spacing w:after="0"/>
              <w:rPr>
                <w:sz w:val="6"/>
                <w:szCs w:val="6"/>
                <w:color w:val="auto"/>
              </w:rPr>
            </w:pPr>
          </w:p>
        </w:tc>
        <w:tc>
          <w:tcPr>
            <w:tcW w:w="320" w:type="dxa"/>
            <w:vAlign w:val="bottom"/>
            <w:tcBorders>
              <w:bottom w:val="single" w:sz="8" w:color="auto"/>
            </w:tcBorders>
            <w:shd w:val="clear" w:color="auto" w:fill="CCEEFF"/>
          </w:tcPr>
          <w:p>
            <w:pPr>
              <w:spacing w:after="0"/>
              <w:rPr>
                <w:sz w:val="6"/>
                <w:szCs w:val="6"/>
                <w:color w:val="auto"/>
              </w:rPr>
            </w:pPr>
          </w:p>
        </w:tc>
        <w:tc>
          <w:tcPr>
            <w:tcW w:w="118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0" w:type="dxa"/>
            <w:vAlign w:val="bottom"/>
            <w:tcBorders>
              <w:bottom w:val="single" w:sz="8" w:color="auto"/>
            </w:tcBorders>
            <w:shd w:val="clear" w:color="auto" w:fill="CCEEFF"/>
          </w:tcPr>
          <w:p>
            <w:pPr>
              <w:spacing w:after="0"/>
              <w:rPr>
                <w:sz w:val="6"/>
                <w:szCs w:val="6"/>
                <w:color w:val="auto"/>
              </w:rPr>
            </w:pPr>
          </w:p>
        </w:tc>
        <w:tc>
          <w:tcPr>
            <w:tcW w:w="138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480" w:type="dxa"/>
            <w:vAlign w:val="bottom"/>
            <w:tcBorders>
              <w:bottom w:val="single" w:sz="8" w:color="auto"/>
            </w:tcBorders>
            <w:shd w:val="clear" w:color="auto" w:fill="CCEEFF"/>
          </w:tcPr>
          <w:p>
            <w:pPr>
              <w:spacing w:after="0"/>
              <w:rPr>
                <w:sz w:val="6"/>
                <w:szCs w:val="6"/>
                <w:color w:val="auto"/>
              </w:rPr>
            </w:pPr>
          </w:p>
        </w:tc>
        <w:tc>
          <w:tcPr>
            <w:tcW w:w="98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80" w:type="dxa"/>
            <w:vAlign w:val="bottom"/>
            <w:tcBorders>
              <w:bottom w:val="single" w:sz="8" w:color="auto"/>
            </w:tcBorders>
            <w:shd w:val="clear" w:color="auto" w:fill="CCEEFF"/>
          </w:tcPr>
          <w:p>
            <w:pPr>
              <w:spacing w:after="0"/>
              <w:rPr>
                <w:sz w:val="6"/>
                <w:szCs w:val="6"/>
                <w:color w:val="auto"/>
              </w:rPr>
            </w:pPr>
          </w:p>
        </w:tc>
        <w:tc>
          <w:tcPr>
            <w:tcW w:w="1180" w:type="dxa"/>
            <w:vAlign w:val="bottom"/>
            <w:tcBorders>
              <w:bottom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1"/>
        </w:trPr>
        <w:tc>
          <w:tcPr>
            <w:tcW w:w="5160" w:type="dxa"/>
            <w:vAlign w:val="bottom"/>
          </w:tcPr>
          <w:p>
            <w:pPr>
              <w:ind w:left="40"/>
              <w:spacing w:after="0"/>
              <w:rPr>
                <w:sz w:val="20"/>
                <w:szCs w:val="20"/>
                <w:color w:val="auto"/>
              </w:rPr>
            </w:pPr>
            <w:r>
              <w:rPr>
                <w:rFonts w:ascii="Arial" w:cs="Arial" w:eastAsia="Arial" w:hAnsi="Arial"/>
                <w:sz w:val="14"/>
                <w:szCs w:val="14"/>
                <w:color w:val="auto"/>
              </w:rPr>
              <w:t>Equity securities</w:t>
            </w:r>
          </w:p>
        </w:tc>
        <w:tc>
          <w:tcPr>
            <w:tcW w:w="320" w:type="dxa"/>
            <w:vAlign w:val="bottom"/>
          </w:tcPr>
          <w:p>
            <w:pPr>
              <w:spacing w:after="0"/>
              <w:rPr>
                <w:sz w:val="14"/>
                <w:szCs w:val="14"/>
                <w:color w:val="auto"/>
              </w:rPr>
            </w:pPr>
          </w:p>
        </w:tc>
        <w:tc>
          <w:tcPr>
            <w:tcW w:w="1180" w:type="dxa"/>
            <w:vAlign w:val="bottom"/>
            <w:vMerge w:val="restart"/>
          </w:tcPr>
          <w:p>
            <w:pPr>
              <w:jc w:val="right"/>
              <w:ind w:right="48"/>
              <w:spacing w:after="0"/>
              <w:rPr>
                <w:sz w:val="20"/>
                <w:szCs w:val="20"/>
                <w:color w:val="auto"/>
              </w:rPr>
            </w:pPr>
            <w:r>
              <w:rPr>
                <w:rFonts w:ascii="Arial" w:cs="Arial" w:eastAsia="Arial" w:hAnsi="Arial"/>
                <w:sz w:val="14"/>
                <w:szCs w:val="14"/>
                <w:color w:val="auto"/>
              </w:rPr>
              <w:t>39</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vMerge w:val="restart"/>
          </w:tcPr>
          <w:p>
            <w:pPr>
              <w:jc w:val="right"/>
              <w:ind w:right="49"/>
              <w:spacing w:after="0"/>
              <w:rPr>
                <w:sz w:val="20"/>
                <w:szCs w:val="20"/>
                <w:color w:val="auto"/>
              </w:rPr>
            </w:pPr>
            <w:r>
              <w:rPr>
                <w:rFonts w:ascii="Arial" w:cs="Arial" w:eastAsia="Arial" w:hAnsi="Arial"/>
                <w:sz w:val="14"/>
                <w:szCs w:val="14"/>
                <w:color w:val="auto"/>
              </w:rPr>
              <w:t>96</w:t>
            </w: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80" w:type="dxa"/>
            <w:vAlign w:val="bottom"/>
            <w:vMerge w:val="restart"/>
          </w:tcPr>
          <w:p>
            <w:pPr>
              <w:jc w:val="right"/>
              <w:ind w:right="48"/>
              <w:spacing w:after="0"/>
              <w:rPr>
                <w:sz w:val="20"/>
                <w:szCs w:val="20"/>
                <w:color w:val="auto"/>
              </w:rPr>
            </w:pPr>
            <w:r>
              <w:rPr>
                <w:rFonts w:ascii="Arial" w:cs="Arial" w:eastAsia="Arial" w:hAnsi="Arial"/>
                <w:sz w:val="14"/>
                <w:szCs w:val="14"/>
                <w:color w:val="auto"/>
              </w:rPr>
              <w:t>130</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80" w:type="dxa"/>
            <w:vAlign w:val="bottom"/>
            <w:vMerge w:val="restart"/>
          </w:tcPr>
          <w:p>
            <w:pPr>
              <w:jc w:val="right"/>
              <w:ind w:right="29"/>
              <w:spacing w:after="0"/>
              <w:rPr>
                <w:sz w:val="20"/>
                <w:szCs w:val="20"/>
                <w:color w:val="auto"/>
              </w:rPr>
            </w:pPr>
            <w:r>
              <w:rPr>
                <w:rFonts w:ascii="Arial" w:cs="Arial" w:eastAsia="Arial" w:hAnsi="Arial"/>
                <w:sz w:val="14"/>
                <w:szCs w:val="14"/>
                <w:color w:val="auto"/>
              </w:rPr>
              <w:t>265</w:t>
            </w:r>
          </w:p>
        </w:tc>
        <w:tc>
          <w:tcPr>
            <w:tcW w:w="0" w:type="dxa"/>
            <w:vAlign w:val="bottom"/>
          </w:tcPr>
          <w:p>
            <w:pPr>
              <w:spacing w:after="0"/>
              <w:rPr>
                <w:sz w:val="1"/>
                <w:szCs w:val="1"/>
                <w:color w:val="auto"/>
              </w:rPr>
            </w:pPr>
          </w:p>
        </w:tc>
      </w:tr>
      <w:tr>
        <w:trPr>
          <w:trHeight w:val="74"/>
        </w:trPr>
        <w:tc>
          <w:tcPr>
            <w:tcW w:w="5160" w:type="dxa"/>
            <w:vAlign w:val="bottom"/>
          </w:tcPr>
          <w:p>
            <w:pPr>
              <w:spacing w:after="0"/>
              <w:rPr>
                <w:sz w:val="6"/>
                <w:szCs w:val="6"/>
                <w:color w:val="auto"/>
              </w:rPr>
            </w:pPr>
          </w:p>
        </w:tc>
        <w:tc>
          <w:tcPr>
            <w:tcW w:w="320" w:type="dxa"/>
            <w:vAlign w:val="bottom"/>
          </w:tcPr>
          <w:p>
            <w:pPr>
              <w:spacing w:after="0"/>
              <w:rPr>
                <w:sz w:val="6"/>
                <w:szCs w:val="6"/>
                <w:color w:val="auto"/>
              </w:rPr>
            </w:pPr>
          </w:p>
        </w:tc>
        <w:tc>
          <w:tcPr>
            <w:tcW w:w="11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3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480" w:type="dxa"/>
            <w:vAlign w:val="bottom"/>
          </w:tcPr>
          <w:p>
            <w:pPr>
              <w:spacing w:after="0"/>
              <w:rPr>
                <w:sz w:val="6"/>
                <w:szCs w:val="6"/>
                <w:color w:val="auto"/>
              </w:rPr>
            </w:pPr>
          </w:p>
        </w:tc>
        <w:tc>
          <w:tcPr>
            <w:tcW w:w="98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280" w:type="dxa"/>
            <w:vAlign w:val="bottom"/>
          </w:tcPr>
          <w:p>
            <w:pPr>
              <w:spacing w:after="0"/>
              <w:rPr>
                <w:sz w:val="6"/>
                <w:szCs w:val="6"/>
                <w:color w:val="auto"/>
              </w:rPr>
            </w:pPr>
          </w:p>
        </w:tc>
        <w:tc>
          <w:tcPr>
            <w:tcW w:w="11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5160" w:type="dxa"/>
            <w:vAlign w:val="bottom"/>
            <w:shd w:val="clear" w:color="auto" w:fill="CCEEFF"/>
          </w:tcPr>
          <w:p>
            <w:pPr>
              <w:ind w:left="40"/>
              <w:spacing w:after="0"/>
              <w:rPr>
                <w:sz w:val="20"/>
                <w:szCs w:val="20"/>
                <w:color w:val="auto"/>
              </w:rPr>
            </w:pPr>
            <w:r>
              <w:rPr>
                <w:rFonts w:ascii="Arial" w:cs="Arial" w:eastAsia="Arial" w:hAnsi="Arial"/>
                <w:sz w:val="14"/>
                <w:szCs w:val="14"/>
                <w:color w:val="auto"/>
              </w:rPr>
              <w:t>Short-term investments</w:t>
            </w:r>
          </w:p>
        </w:tc>
        <w:tc>
          <w:tcPr>
            <w:tcW w:w="320" w:type="dxa"/>
            <w:vAlign w:val="bottom"/>
            <w:shd w:val="clear" w:color="auto" w:fill="CCEEFF"/>
          </w:tcPr>
          <w:p>
            <w:pPr>
              <w:spacing w:after="0"/>
              <w:rPr>
                <w:sz w:val="17"/>
                <w:szCs w:val="17"/>
                <w:color w:val="auto"/>
              </w:rPr>
            </w:pPr>
          </w:p>
        </w:tc>
        <w:tc>
          <w:tcPr>
            <w:tcW w:w="118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513</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80" w:type="dxa"/>
            <w:vAlign w:val="bottom"/>
            <w:vMerge w:val="restart"/>
            <w:shd w:val="clear" w:color="auto" w:fill="CCEEFF"/>
          </w:tcPr>
          <w:p>
            <w:pPr>
              <w:jc w:val="right"/>
              <w:ind w:right="49"/>
              <w:spacing w:after="0"/>
              <w:rPr>
                <w:sz w:val="20"/>
                <w:szCs w:val="20"/>
                <w:color w:val="auto"/>
              </w:rPr>
            </w:pPr>
            <w:r>
              <w:rPr>
                <w:rFonts w:ascii="Arial" w:cs="Arial" w:eastAsia="Arial" w:hAnsi="Arial"/>
                <w:sz w:val="14"/>
                <w:szCs w:val="14"/>
                <w:color w:val="auto"/>
              </w:rPr>
              <w:t>635</w:t>
            </w: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98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8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1,149</w:t>
            </w:r>
          </w:p>
        </w:tc>
        <w:tc>
          <w:tcPr>
            <w:tcW w:w="0" w:type="dxa"/>
            <w:vAlign w:val="bottom"/>
          </w:tcPr>
          <w:p>
            <w:pPr>
              <w:spacing w:after="0"/>
              <w:rPr>
                <w:sz w:val="1"/>
                <w:szCs w:val="1"/>
                <w:color w:val="auto"/>
              </w:rPr>
            </w:pPr>
          </w:p>
        </w:tc>
      </w:tr>
      <w:tr>
        <w:trPr>
          <w:trHeight w:val="80"/>
        </w:trPr>
        <w:tc>
          <w:tcPr>
            <w:tcW w:w="5160" w:type="dxa"/>
            <w:vAlign w:val="bottom"/>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118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38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480" w:type="dxa"/>
            <w:vAlign w:val="bottom"/>
            <w:shd w:val="clear" w:color="auto" w:fill="CCEEFF"/>
          </w:tcPr>
          <w:p>
            <w:pPr>
              <w:spacing w:after="0"/>
              <w:rPr>
                <w:sz w:val="6"/>
                <w:szCs w:val="6"/>
                <w:color w:val="auto"/>
              </w:rPr>
            </w:pPr>
          </w:p>
        </w:tc>
        <w:tc>
          <w:tcPr>
            <w:tcW w:w="98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118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5160" w:type="dxa"/>
            <w:vAlign w:val="bottom"/>
          </w:tcPr>
          <w:p>
            <w:pPr>
              <w:ind w:left="40"/>
              <w:spacing w:after="0"/>
              <w:rPr>
                <w:sz w:val="20"/>
                <w:szCs w:val="20"/>
                <w:color w:val="auto"/>
              </w:rPr>
            </w:pPr>
            <w:r>
              <w:rPr>
                <w:rFonts w:ascii="Arial" w:cs="Arial" w:eastAsia="Arial" w:hAnsi="Arial"/>
                <w:sz w:val="14"/>
                <w:szCs w:val="14"/>
                <w:color w:val="auto"/>
              </w:rPr>
              <w:t>Commercial mortgage loans held by CSEs — FVO</w:t>
            </w:r>
          </w:p>
        </w:tc>
        <w:tc>
          <w:tcPr>
            <w:tcW w:w="320" w:type="dxa"/>
            <w:vAlign w:val="bottom"/>
          </w:tcPr>
          <w:p>
            <w:pPr>
              <w:spacing w:after="0"/>
              <w:rPr>
                <w:sz w:val="16"/>
                <w:szCs w:val="16"/>
                <w:color w:val="auto"/>
              </w:rPr>
            </w:pPr>
          </w:p>
        </w:tc>
        <w:tc>
          <w:tcPr>
            <w:tcW w:w="130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380" w:type="dxa"/>
            <w:vAlign w:val="bottom"/>
            <w:vMerge w:val="restart"/>
          </w:tcPr>
          <w:p>
            <w:pPr>
              <w:jc w:val="right"/>
              <w:ind w:right="49"/>
              <w:spacing w:after="0"/>
              <w:rPr>
                <w:sz w:val="20"/>
                <w:szCs w:val="20"/>
                <w:color w:val="auto"/>
              </w:rPr>
            </w:pPr>
            <w:r>
              <w:rPr>
                <w:rFonts w:ascii="Arial" w:cs="Arial" w:eastAsia="Arial" w:hAnsi="Arial"/>
                <w:sz w:val="14"/>
                <w:szCs w:val="14"/>
                <w:color w:val="auto"/>
              </w:rPr>
              <w:t>119</w:t>
            </w: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8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6"/>
                <w:szCs w:val="16"/>
                <w:color w:val="auto"/>
              </w:rPr>
            </w:pPr>
          </w:p>
        </w:tc>
        <w:tc>
          <w:tcPr>
            <w:tcW w:w="1180" w:type="dxa"/>
            <w:vAlign w:val="bottom"/>
            <w:vMerge w:val="restart"/>
          </w:tcPr>
          <w:p>
            <w:pPr>
              <w:jc w:val="right"/>
              <w:ind w:right="29"/>
              <w:spacing w:after="0"/>
              <w:rPr>
                <w:sz w:val="20"/>
                <w:szCs w:val="20"/>
                <w:color w:val="auto"/>
              </w:rPr>
            </w:pPr>
            <w:r>
              <w:rPr>
                <w:rFonts w:ascii="Arial" w:cs="Arial" w:eastAsia="Arial" w:hAnsi="Arial"/>
                <w:sz w:val="14"/>
                <w:szCs w:val="14"/>
                <w:color w:val="auto"/>
              </w:rPr>
              <w:t>119</w:t>
            </w:r>
          </w:p>
        </w:tc>
        <w:tc>
          <w:tcPr>
            <w:tcW w:w="0" w:type="dxa"/>
            <w:vAlign w:val="bottom"/>
          </w:tcPr>
          <w:p>
            <w:pPr>
              <w:spacing w:after="0"/>
              <w:rPr>
                <w:sz w:val="1"/>
                <w:szCs w:val="1"/>
                <w:color w:val="auto"/>
              </w:rPr>
            </w:pPr>
          </w:p>
        </w:tc>
      </w:tr>
      <w:tr>
        <w:trPr>
          <w:trHeight w:val="74"/>
        </w:trPr>
        <w:tc>
          <w:tcPr>
            <w:tcW w:w="5160" w:type="dxa"/>
            <w:vAlign w:val="bottom"/>
          </w:tcPr>
          <w:p>
            <w:pPr>
              <w:spacing w:after="0"/>
              <w:rPr>
                <w:sz w:val="6"/>
                <w:szCs w:val="6"/>
                <w:color w:val="auto"/>
              </w:rPr>
            </w:pPr>
          </w:p>
        </w:tc>
        <w:tc>
          <w:tcPr>
            <w:tcW w:w="320" w:type="dxa"/>
            <w:vAlign w:val="bottom"/>
          </w:tcPr>
          <w:p>
            <w:pPr>
              <w:spacing w:after="0"/>
              <w:rPr>
                <w:sz w:val="6"/>
                <w:szCs w:val="6"/>
                <w:color w:val="auto"/>
              </w:rPr>
            </w:pPr>
          </w:p>
        </w:tc>
        <w:tc>
          <w:tcPr>
            <w:tcW w:w="130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13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480" w:type="dxa"/>
            <w:vAlign w:val="bottom"/>
          </w:tcPr>
          <w:p>
            <w:pPr>
              <w:spacing w:after="0"/>
              <w:rPr>
                <w:sz w:val="6"/>
                <w:szCs w:val="6"/>
                <w:color w:val="auto"/>
              </w:rPr>
            </w:pPr>
          </w:p>
        </w:tc>
        <w:tc>
          <w:tcPr>
            <w:tcW w:w="1080" w:type="dxa"/>
            <w:vAlign w:val="bottom"/>
            <w:gridSpan w:val="2"/>
            <w:vMerge w:val="continue"/>
          </w:tcPr>
          <w:p>
            <w:pPr>
              <w:spacing w:after="0"/>
              <w:rPr>
                <w:sz w:val="6"/>
                <w:szCs w:val="6"/>
                <w:color w:val="auto"/>
              </w:rPr>
            </w:pPr>
          </w:p>
        </w:tc>
        <w:tc>
          <w:tcPr>
            <w:tcW w:w="280" w:type="dxa"/>
            <w:vAlign w:val="bottom"/>
          </w:tcPr>
          <w:p>
            <w:pPr>
              <w:spacing w:after="0"/>
              <w:rPr>
                <w:sz w:val="6"/>
                <w:szCs w:val="6"/>
                <w:color w:val="auto"/>
              </w:rPr>
            </w:pPr>
          </w:p>
        </w:tc>
        <w:tc>
          <w:tcPr>
            <w:tcW w:w="11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5160" w:type="dxa"/>
            <w:vAlign w:val="bottom"/>
            <w:shd w:val="clear" w:color="auto" w:fill="CCEEFF"/>
          </w:tcPr>
          <w:p>
            <w:pPr>
              <w:ind w:left="40"/>
              <w:spacing w:after="0"/>
              <w:rPr>
                <w:sz w:val="20"/>
                <w:szCs w:val="20"/>
                <w:color w:val="auto"/>
              </w:rPr>
            </w:pPr>
            <w:r>
              <w:rPr>
                <w:rFonts w:ascii="Arial" w:cs="Arial" w:eastAsia="Arial" w:hAnsi="Arial"/>
                <w:sz w:val="14"/>
                <w:szCs w:val="14"/>
                <w:color w:val="auto"/>
              </w:rPr>
              <w:t>Loans to MetLife, Inc.</w:t>
            </w:r>
          </w:p>
        </w:tc>
        <w:tc>
          <w:tcPr>
            <w:tcW w:w="320" w:type="dxa"/>
            <w:vAlign w:val="bottom"/>
            <w:shd w:val="clear" w:color="auto" w:fill="CCEEFF"/>
          </w:tcPr>
          <w:p>
            <w:pPr>
              <w:spacing w:after="0"/>
              <w:rPr>
                <w:sz w:val="17"/>
                <w:szCs w:val="17"/>
                <w:color w:val="auto"/>
              </w:rPr>
            </w:pPr>
          </w:p>
        </w:tc>
        <w:tc>
          <w:tcPr>
            <w:tcW w:w="130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150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spacing w:after="0"/>
              <w:rPr>
                <w:sz w:val="17"/>
                <w:szCs w:val="17"/>
                <w:color w:val="auto"/>
              </w:rPr>
            </w:pPr>
          </w:p>
        </w:tc>
        <w:tc>
          <w:tcPr>
            <w:tcW w:w="108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7"/>
                <w:szCs w:val="17"/>
                <w:color w:val="auto"/>
              </w:rPr>
            </w:pPr>
          </w:p>
        </w:tc>
        <w:tc>
          <w:tcPr>
            <w:tcW w:w="118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80"/>
        </w:trPr>
        <w:tc>
          <w:tcPr>
            <w:tcW w:w="5160" w:type="dxa"/>
            <w:vAlign w:val="bottom"/>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1300" w:type="dxa"/>
            <w:vAlign w:val="bottom"/>
            <w:gridSpan w:val="2"/>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500" w:type="dxa"/>
            <w:vAlign w:val="bottom"/>
            <w:gridSpan w:val="2"/>
            <w:vMerge w:val="continue"/>
            <w:shd w:val="clear" w:color="auto" w:fill="CCEEFF"/>
          </w:tcPr>
          <w:p>
            <w:pPr>
              <w:spacing w:after="0"/>
              <w:rPr>
                <w:sz w:val="6"/>
                <w:szCs w:val="6"/>
                <w:color w:val="auto"/>
              </w:rPr>
            </w:pPr>
          </w:p>
        </w:tc>
        <w:tc>
          <w:tcPr>
            <w:tcW w:w="480" w:type="dxa"/>
            <w:vAlign w:val="bottom"/>
            <w:shd w:val="clear" w:color="auto" w:fill="CCEEFF"/>
          </w:tcPr>
          <w:p>
            <w:pPr>
              <w:spacing w:after="0"/>
              <w:rPr>
                <w:sz w:val="6"/>
                <w:szCs w:val="6"/>
                <w:color w:val="auto"/>
              </w:rPr>
            </w:pPr>
          </w:p>
        </w:tc>
        <w:tc>
          <w:tcPr>
            <w:tcW w:w="1080" w:type="dxa"/>
            <w:vAlign w:val="bottom"/>
            <w:gridSpan w:val="2"/>
            <w:vMerge w:val="continue"/>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118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5160" w:type="dxa"/>
            <w:vAlign w:val="bottom"/>
          </w:tcPr>
          <w:p>
            <w:pPr>
              <w:ind w:left="40"/>
              <w:spacing w:after="0"/>
              <w:rPr>
                <w:sz w:val="20"/>
                <w:szCs w:val="20"/>
                <w:color w:val="auto"/>
              </w:rPr>
            </w:pPr>
            <w:r>
              <w:rPr>
                <w:rFonts w:ascii="Arial" w:cs="Arial" w:eastAsia="Arial" w:hAnsi="Arial"/>
                <w:sz w:val="14"/>
                <w:szCs w:val="14"/>
                <w:color w:val="auto"/>
              </w:rPr>
              <w:t>Derivative assets: (1)</w:t>
            </w:r>
          </w:p>
        </w:tc>
        <w:tc>
          <w:tcPr>
            <w:tcW w:w="3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5160" w:type="dxa"/>
            <w:vAlign w:val="bottom"/>
          </w:tcPr>
          <w:p>
            <w:pPr>
              <w:spacing w:after="0"/>
              <w:rPr>
                <w:sz w:val="6"/>
                <w:szCs w:val="6"/>
                <w:color w:val="auto"/>
              </w:rPr>
            </w:pPr>
          </w:p>
        </w:tc>
        <w:tc>
          <w:tcPr>
            <w:tcW w:w="320" w:type="dxa"/>
            <w:vAlign w:val="bottom"/>
          </w:tcPr>
          <w:p>
            <w:pPr>
              <w:spacing w:after="0"/>
              <w:rPr>
                <w:sz w:val="6"/>
                <w:szCs w:val="6"/>
                <w:color w:val="auto"/>
              </w:rPr>
            </w:pPr>
          </w:p>
        </w:tc>
        <w:tc>
          <w:tcPr>
            <w:tcW w:w="11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380" w:type="dxa"/>
            <w:vAlign w:val="bottom"/>
          </w:tcPr>
          <w:p>
            <w:pPr>
              <w:spacing w:after="0"/>
              <w:rPr>
                <w:sz w:val="6"/>
                <w:szCs w:val="6"/>
                <w:color w:val="auto"/>
              </w:rPr>
            </w:pPr>
          </w:p>
        </w:tc>
        <w:tc>
          <w:tcPr>
            <w:tcW w:w="120" w:type="dxa"/>
            <w:vAlign w:val="bottom"/>
          </w:tcPr>
          <w:p>
            <w:pPr>
              <w:spacing w:after="0"/>
              <w:rPr>
                <w:sz w:val="6"/>
                <w:szCs w:val="6"/>
                <w:color w:val="auto"/>
              </w:rPr>
            </w:pPr>
          </w:p>
        </w:tc>
        <w:tc>
          <w:tcPr>
            <w:tcW w:w="480" w:type="dxa"/>
            <w:vAlign w:val="bottom"/>
          </w:tcPr>
          <w:p>
            <w:pPr>
              <w:spacing w:after="0"/>
              <w:rPr>
                <w:sz w:val="6"/>
                <w:szCs w:val="6"/>
                <w:color w:val="auto"/>
              </w:rPr>
            </w:pPr>
          </w:p>
        </w:tc>
        <w:tc>
          <w:tcPr>
            <w:tcW w:w="980" w:type="dxa"/>
            <w:vAlign w:val="bottom"/>
          </w:tcPr>
          <w:p>
            <w:pPr>
              <w:spacing w:after="0"/>
              <w:rPr>
                <w:sz w:val="6"/>
                <w:szCs w:val="6"/>
                <w:color w:val="auto"/>
              </w:rPr>
            </w:pPr>
          </w:p>
        </w:tc>
        <w:tc>
          <w:tcPr>
            <w:tcW w:w="100" w:type="dxa"/>
            <w:vAlign w:val="bottom"/>
          </w:tcPr>
          <w:p>
            <w:pPr>
              <w:spacing w:after="0"/>
              <w:rPr>
                <w:sz w:val="6"/>
                <w:szCs w:val="6"/>
                <w:color w:val="auto"/>
              </w:rPr>
            </w:pPr>
          </w:p>
        </w:tc>
        <w:tc>
          <w:tcPr>
            <w:tcW w:w="280" w:type="dxa"/>
            <w:vAlign w:val="bottom"/>
          </w:tcPr>
          <w:p>
            <w:pPr>
              <w:spacing w:after="0"/>
              <w:rPr>
                <w:sz w:val="6"/>
                <w:szCs w:val="6"/>
                <w:color w:val="auto"/>
              </w:rPr>
            </w:pPr>
          </w:p>
        </w:tc>
        <w:tc>
          <w:tcPr>
            <w:tcW w:w="11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516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Interest rate</w:t>
            </w:r>
          </w:p>
        </w:tc>
        <w:tc>
          <w:tcPr>
            <w:tcW w:w="320" w:type="dxa"/>
            <w:vAlign w:val="bottom"/>
            <w:shd w:val="clear" w:color="auto" w:fill="CCEEFF"/>
          </w:tcPr>
          <w:p>
            <w:pPr>
              <w:spacing w:after="0"/>
              <w:rPr>
                <w:sz w:val="16"/>
                <w:szCs w:val="16"/>
                <w:color w:val="auto"/>
              </w:rPr>
            </w:pPr>
          </w:p>
        </w:tc>
        <w:tc>
          <w:tcPr>
            <w:tcW w:w="130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380" w:type="dxa"/>
            <w:vAlign w:val="bottom"/>
            <w:vMerge w:val="restart"/>
            <w:shd w:val="clear" w:color="auto" w:fill="CCEEFF"/>
          </w:tcPr>
          <w:p>
            <w:pPr>
              <w:jc w:val="right"/>
              <w:ind w:right="49"/>
              <w:spacing w:after="0"/>
              <w:rPr>
                <w:sz w:val="20"/>
                <w:szCs w:val="20"/>
                <w:color w:val="auto"/>
              </w:rPr>
            </w:pPr>
            <w:r>
              <w:rPr>
                <w:rFonts w:ascii="Arial" w:cs="Arial" w:eastAsia="Arial" w:hAnsi="Arial"/>
                <w:sz w:val="14"/>
                <w:szCs w:val="14"/>
                <w:color w:val="auto"/>
              </w:rPr>
              <w:t>1,236</w:t>
            </w:r>
          </w:p>
        </w:tc>
        <w:tc>
          <w:tcPr>
            <w:tcW w:w="12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08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6"/>
                <w:szCs w:val="16"/>
                <w:color w:val="auto"/>
              </w:rPr>
            </w:pPr>
          </w:p>
        </w:tc>
        <w:tc>
          <w:tcPr>
            <w:tcW w:w="118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1,236</w:t>
            </w:r>
          </w:p>
        </w:tc>
        <w:tc>
          <w:tcPr>
            <w:tcW w:w="0" w:type="dxa"/>
            <w:vAlign w:val="bottom"/>
          </w:tcPr>
          <w:p>
            <w:pPr>
              <w:spacing w:after="0"/>
              <w:rPr>
                <w:sz w:val="1"/>
                <w:szCs w:val="1"/>
                <w:color w:val="auto"/>
              </w:rPr>
            </w:pPr>
          </w:p>
        </w:tc>
      </w:tr>
      <w:tr>
        <w:trPr>
          <w:trHeight w:val="80"/>
        </w:trPr>
        <w:tc>
          <w:tcPr>
            <w:tcW w:w="5160" w:type="dxa"/>
            <w:vAlign w:val="bottom"/>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1300" w:type="dxa"/>
            <w:vAlign w:val="bottom"/>
            <w:gridSpan w:val="2"/>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38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480" w:type="dxa"/>
            <w:vAlign w:val="bottom"/>
            <w:shd w:val="clear" w:color="auto" w:fill="CCEEFF"/>
          </w:tcPr>
          <w:p>
            <w:pPr>
              <w:spacing w:after="0"/>
              <w:rPr>
                <w:sz w:val="6"/>
                <w:szCs w:val="6"/>
                <w:color w:val="auto"/>
              </w:rPr>
            </w:pPr>
          </w:p>
        </w:tc>
        <w:tc>
          <w:tcPr>
            <w:tcW w:w="1080" w:type="dxa"/>
            <w:vAlign w:val="bottom"/>
            <w:gridSpan w:val="2"/>
            <w:vMerge w:val="continue"/>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118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5160" w:type="dxa"/>
            <w:vAlign w:val="bottom"/>
          </w:tcPr>
          <w:p>
            <w:pPr>
              <w:ind w:left="40"/>
              <w:spacing w:after="0"/>
              <w:rPr>
                <w:sz w:val="20"/>
                <w:szCs w:val="20"/>
                <w:color w:val="auto"/>
              </w:rPr>
            </w:pPr>
            <w:r>
              <w:rPr>
                <w:rFonts w:ascii="Arial" w:cs="Arial" w:eastAsia="Arial" w:hAnsi="Arial"/>
                <w:sz w:val="14"/>
                <w:szCs w:val="14"/>
                <w:color w:val="auto"/>
              </w:rPr>
              <w:t>Foreign currency exchange rate</w:t>
            </w:r>
          </w:p>
        </w:tc>
        <w:tc>
          <w:tcPr>
            <w:tcW w:w="320" w:type="dxa"/>
            <w:vAlign w:val="bottom"/>
          </w:tcPr>
          <w:p>
            <w:pPr>
              <w:spacing w:after="0"/>
              <w:rPr>
                <w:sz w:val="16"/>
                <w:szCs w:val="16"/>
                <w:color w:val="auto"/>
              </w:rPr>
            </w:pPr>
          </w:p>
        </w:tc>
        <w:tc>
          <w:tcPr>
            <w:tcW w:w="130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380" w:type="dxa"/>
            <w:vAlign w:val="bottom"/>
            <w:vMerge w:val="restart"/>
          </w:tcPr>
          <w:p>
            <w:pPr>
              <w:jc w:val="right"/>
              <w:ind w:right="49"/>
              <w:spacing w:after="0"/>
              <w:rPr>
                <w:sz w:val="20"/>
                <w:szCs w:val="20"/>
                <w:color w:val="auto"/>
              </w:rPr>
            </w:pPr>
            <w:r>
              <w:rPr>
                <w:rFonts w:ascii="Arial" w:cs="Arial" w:eastAsia="Arial" w:hAnsi="Arial"/>
                <w:sz w:val="14"/>
                <w:szCs w:val="14"/>
                <w:color w:val="auto"/>
              </w:rPr>
              <w:t>201</w:t>
            </w: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8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6"/>
                <w:szCs w:val="16"/>
                <w:color w:val="auto"/>
              </w:rPr>
            </w:pPr>
          </w:p>
        </w:tc>
        <w:tc>
          <w:tcPr>
            <w:tcW w:w="1180" w:type="dxa"/>
            <w:vAlign w:val="bottom"/>
            <w:vMerge w:val="restart"/>
          </w:tcPr>
          <w:p>
            <w:pPr>
              <w:jc w:val="right"/>
              <w:ind w:right="29"/>
              <w:spacing w:after="0"/>
              <w:rPr>
                <w:sz w:val="20"/>
                <w:szCs w:val="20"/>
                <w:color w:val="auto"/>
              </w:rPr>
            </w:pPr>
            <w:r>
              <w:rPr>
                <w:rFonts w:ascii="Arial" w:cs="Arial" w:eastAsia="Arial" w:hAnsi="Arial"/>
                <w:sz w:val="14"/>
                <w:szCs w:val="14"/>
                <w:color w:val="auto"/>
              </w:rPr>
              <w:t>201</w:t>
            </w:r>
          </w:p>
        </w:tc>
        <w:tc>
          <w:tcPr>
            <w:tcW w:w="0" w:type="dxa"/>
            <w:vAlign w:val="bottom"/>
          </w:tcPr>
          <w:p>
            <w:pPr>
              <w:spacing w:after="0"/>
              <w:rPr>
                <w:sz w:val="1"/>
                <w:szCs w:val="1"/>
                <w:color w:val="auto"/>
              </w:rPr>
            </w:pPr>
          </w:p>
        </w:tc>
      </w:tr>
      <w:tr>
        <w:trPr>
          <w:trHeight w:val="74"/>
        </w:trPr>
        <w:tc>
          <w:tcPr>
            <w:tcW w:w="5160" w:type="dxa"/>
            <w:vAlign w:val="bottom"/>
          </w:tcPr>
          <w:p>
            <w:pPr>
              <w:spacing w:after="0"/>
              <w:rPr>
                <w:sz w:val="6"/>
                <w:szCs w:val="6"/>
                <w:color w:val="auto"/>
              </w:rPr>
            </w:pPr>
          </w:p>
        </w:tc>
        <w:tc>
          <w:tcPr>
            <w:tcW w:w="320" w:type="dxa"/>
            <w:vAlign w:val="bottom"/>
          </w:tcPr>
          <w:p>
            <w:pPr>
              <w:spacing w:after="0"/>
              <w:rPr>
                <w:sz w:val="6"/>
                <w:szCs w:val="6"/>
                <w:color w:val="auto"/>
              </w:rPr>
            </w:pPr>
          </w:p>
        </w:tc>
        <w:tc>
          <w:tcPr>
            <w:tcW w:w="130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13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480" w:type="dxa"/>
            <w:vAlign w:val="bottom"/>
          </w:tcPr>
          <w:p>
            <w:pPr>
              <w:spacing w:after="0"/>
              <w:rPr>
                <w:sz w:val="6"/>
                <w:szCs w:val="6"/>
                <w:color w:val="auto"/>
              </w:rPr>
            </w:pPr>
          </w:p>
        </w:tc>
        <w:tc>
          <w:tcPr>
            <w:tcW w:w="1080" w:type="dxa"/>
            <w:vAlign w:val="bottom"/>
            <w:gridSpan w:val="2"/>
            <w:vMerge w:val="continue"/>
          </w:tcPr>
          <w:p>
            <w:pPr>
              <w:spacing w:after="0"/>
              <w:rPr>
                <w:sz w:val="6"/>
                <w:szCs w:val="6"/>
                <w:color w:val="auto"/>
              </w:rPr>
            </w:pPr>
          </w:p>
        </w:tc>
        <w:tc>
          <w:tcPr>
            <w:tcW w:w="280" w:type="dxa"/>
            <w:vAlign w:val="bottom"/>
          </w:tcPr>
          <w:p>
            <w:pPr>
              <w:spacing w:after="0"/>
              <w:rPr>
                <w:sz w:val="6"/>
                <w:szCs w:val="6"/>
                <w:color w:val="auto"/>
              </w:rPr>
            </w:pPr>
          </w:p>
        </w:tc>
        <w:tc>
          <w:tcPr>
            <w:tcW w:w="11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5160" w:type="dxa"/>
            <w:vAlign w:val="bottom"/>
            <w:shd w:val="clear" w:color="auto" w:fill="CCEEFF"/>
          </w:tcPr>
          <w:p>
            <w:pPr>
              <w:ind w:left="40"/>
              <w:spacing w:after="0"/>
              <w:rPr>
                <w:sz w:val="20"/>
                <w:szCs w:val="20"/>
                <w:color w:val="auto"/>
              </w:rPr>
            </w:pPr>
            <w:r>
              <w:rPr>
                <w:rFonts w:ascii="Arial" w:cs="Arial" w:eastAsia="Arial" w:hAnsi="Arial"/>
                <w:sz w:val="14"/>
                <w:szCs w:val="14"/>
                <w:color w:val="auto"/>
              </w:rPr>
              <w:t>Credit</w:t>
            </w:r>
          </w:p>
        </w:tc>
        <w:tc>
          <w:tcPr>
            <w:tcW w:w="320" w:type="dxa"/>
            <w:vAlign w:val="bottom"/>
            <w:shd w:val="clear" w:color="auto" w:fill="CCEEFF"/>
          </w:tcPr>
          <w:p>
            <w:pPr>
              <w:spacing w:after="0"/>
              <w:rPr>
                <w:sz w:val="17"/>
                <w:szCs w:val="17"/>
                <w:color w:val="auto"/>
              </w:rPr>
            </w:pPr>
          </w:p>
        </w:tc>
        <w:tc>
          <w:tcPr>
            <w:tcW w:w="130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1380" w:type="dxa"/>
            <w:vAlign w:val="bottom"/>
            <w:vMerge w:val="restart"/>
            <w:shd w:val="clear" w:color="auto" w:fill="CCEEFF"/>
          </w:tcPr>
          <w:p>
            <w:pPr>
              <w:jc w:val="right"/>
              <w:ind w:right="49"/>
              <w:spacing w:after="0"/>
              <w:rPr>
                <w:sz w:val="20"/>
                <w:szCs w:val="20"/>
                <w:color w:val="auto"/>
              </w:rPr>
            </w:pPr>
            <w:r>
              <w:rPr>
                <w:rFonts w:ascii="Arial" w:cs="Arial" w:eastAsia="Arial" w:hAnsi="Arial"/>
                <w:sz w:val="14"/>
                <w:szCs w:val="14"/>
                <w:color w:val="auto"/>
              </w:rPr>
              <w:t>27</w:t>
            </w: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98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10</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8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37</w:t>
            </w:r>
          </w:p>
        </w:tc>
        <w:tc>
          <w:tcPr>
            <w:tcW w:w="0" w:type="dxa"/>
            <w:vAlign w:val="bottom"/>
          </w:tcPr>
          <w:p>
            <w:pPr>
              <w:spacing w:after="0"/>
              <w:rPr>
                <w:sz w:val="1"/>
                <w:szCs w:val="1"/>
                <w:color w:val="auto"/>
              </w:rPr>
            </w:pPr>
          </w:p>
        </w:tc>
      </w:tr>
      <w:tr>
        <w:trPr>
          <w:trHeight w:val="80"/>
        </w:trPr>
        <w:tc>
          <w:tcPr>
            <w:tcW w:w="5160" w:type="dxa"/>
            <w:vAlign w:val="bottom"/>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1300" w:type="dxa"/>
            <w:vAlign w:val="bottom"/>
            <w:gridSpan w:val="2"/>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38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480" w:type="dxa"/>
            <w:vAlign w:val="bottom"/>
            <w:shd w:val="clear" w:color="auto" w:fill="CCEEFF"/>
          </w:tcPr>
          <w:p>
            <w:pPr>
              <w:spacing w:after="0"/>
              <w:rPr>
                <w:sz w:val="6"/>
                <w:szCs w:val="6"/>
                <w:color w:val="auto"/>
              </w:rPr>
            </w:pPr>
          </w:p>
        </w:tc>
        <w:tc>
          <w:tcPr>
            <w:tcW w:w="98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118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5160" w:type="dxa"/>
            <w:vAlign w:val="bottom"/>
          </w:tcPr>
          <w:p>
            <w:pPr>
              <w:ind w:left="40"/>
              <w:spacing w:after="0"/>
              <w:rPr>
                <w:sz w:val="20"/>
                <w:szCs w:val="20"/>
                <w:color w:val="auto"/>
              </w:rPr>
            </w:pPr>
            <w:r>
              <w:rPr>
                <w:rFonts w:ascii="Arial" w:cs="Arial" w:eastAsia="Arial" w:hAnsi="Arial"/>
                <w:sz w:val="14"/>
                <w:szCs w:val="14"/>
                <w:color w:val="auto"/>
              </w:rPr>
              <w:t>Equity market</w:t>
            </w:r>
          </w:p>
        </w:tc>
        <w:tc>
          <w:tcPr>
            <w:tcW w:w="320" w:type="dxa"/>
            <w:vAlign w:val="bottom"/>
          </w:tcPr>
          <w:p>
            <w:pPr>
              <w:spacing w:after="0"/>
              <w:rPr>
                <w:sz w:val="16"/>
                <w:szCs w:val="16"/>
                <w:color w:val="auto"/>
              </w:rPr>
            </w:pPr>
          </w:p>
        </w:tc>
        <w:tc>
          <w:tcPr>
            <w:tcW w:w="1180" w:type="dxa"/>
            <w:vAlign w:val="bottom"/>
            <w:vMerge w:val="restart"/>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vMerge w:val="restart"/>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vMerge w:val="restart"/>
          </w:tcPr>
          <w:p>
            <w:pPr>
              <w:jc w:val="right"/>
              <w:ind w:right="49"/>
              <w:spacing w:after="0"/>
              <w:rPr>
                <w:sz w:val="20"/>
                <w:szCs w:val="20"/>
                <w:color w:val="auto"/>
              </w:rPr>
            </w:pPr>
            <w:r>
              <w:rPr>
                <w:rFonts w:ascii="Arial" w:cs="Arial" w:eastAsia="Arial" w:hAnsi="Arial"/>
                <w:sz w:val="14"/>
                <w:szCs w:val="14"/>
                <w:color w:val="auto"/>
              </w:rPr>
              <w:t>803</w:t>
            </w: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80" w:type="dxa"/>
            <w:vAlign w:val="bottom"/>
            <w:vMerge w:val="restart"/>
          </w:tcPr>
          <w:p>
            <w:pPr>
              <w:jc w:val="right"/>
              <w:ind w:right="48"/>
              <w:spacing w:after="0"/>
              <w:rPr>
                <w:sz w:val="20"/>
                <w:szCs w:val="20"/>
                <w:color w:val="auto"/>
              </w:rPr>
            </w:pPr>
            <w:r>
              <w:rPr>
                <w:rFonts w:ascii="Arial" w:cs="Arial" w:eastAsia="Arial" w:hAnsi="Arial"/>
                <w:sz w:val="14"/>
                <w:szCs w:val="14"/>
                <w:color w:val="auto"/>
              </w:rPr>
              <w:t>200</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80" w:type="dxa"/>
            <w:vAlign w:val="bottom"/>
            <w:vMerge w:val="restart"/>
          </w:tcPr>
          <w:p>
            <w:pPr>
              <w:jc w:val="right"/>
              <w:ind w:right="29"/>
              <w:spacing w:after="0"/>
              <w:rPr>
                <w:sz w:val="20"/>
                <w:szCs w:val="20"/>
                <w:color w:val="auto"/>
              </w:rPr>
            </w:pPr>
            <w:r>
              <w:rPr>
                <w:rFonts w:ascii="Arial" w:cs="Arial" w:eastAsia="Arial" w:hAnsi="Arial"/>
                <w:sz w:val="14"/>
                <w:szCs w:val="14"/>
                <w:color w:val="auto"/>
              </w:rPr>
              <w:t>1,003</w:t>
            </w:r>
          </w:p>
        </w:tc>
        <w:tc>
          <w:tcPr>
            <w:tcW w:w="0" w:type="dxa"/>
            <w:vAlign w:val="bottom"/>
          </w:tcPr>
          <w:p>
            <w:pPr>
              <w:spacing w:after="0"/>
              <w:rPr>
                <w:sz w:val="1"/>
                <w:szCs w:val="1"/>
                <w:color w:val="auto"/>
              </w:rPr>
            </w:pPr>
          </w:p>
        </w:tc>
      </w:tr>
      <w:tr>
        <w:trPr>
          <w:trHeight w:val="74"/>
        </w:trPr>
        <w:tc>
          <w:tcPr>
            <w:tcW w:w="5160" w:type="dxa"/>
            <w:vAlign w:val="bottom"/>
            <w:tcBorders>
              <w:bottom w:val="single" w:sz="8" w:color="CCEEFF"/>
            </w:tcBorders>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118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vMerge w:val="continue"/>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138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480" w:type="dxa"/>
            <w:vAlign w:val="bottom"/>
            <w:tcBorders>
              <w:bottom w:val="single" w:sz="8" w:color="auto"/>
            </w:tcBorders>
          </w:tcPr>
          <w:p>
            <w:pPr>
              <w:spacing w:after="0"/>
              <w:rPr>
                <w:sz w:val="6"/>
                <w:szCs w:val="6"/>
                <w:color w:val="auto"/>
              </w:rPr>
            </w:pPr>
          </w:p>
        </w:tc>
        <w:tc>
          <w:tcPr>
            <w:tcW w:w="98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118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5160" w:type="dxa"/>
            <w:vAlign w:val="bottom"/>
            <w:shd w:val="clear" w:color="auto" w:fill="CCEEFF"/>
          </w:tcPr>
          <w:p>
            <w:pPr>
              <w:ind w:left="200"/>
              <w:spacing w:after="0"/>
              <w:rPr>
                <w:sz w:val="20"/>
                <w:szCs w:val="20"/>
                <w:color w:val="auto"/>
              </w:rPr>
            </w:pPr>
            <w:r>
              <w:rPr>
                <w:rFonts w:ascii="Arial" w:cs="Arial" w:eastAsia="Arial" w:hAnsi="Arial"/>
                <w:sz w:val="14"/>
                <w:szCs w:val="14"/>
                <w:color w:val="auto"/>
              </w:rPr>
              <w:t>Total derivative assets</w:t>
            </w:r>
          </w:p>
        </w:tc>
        <w:tc>
          <w:tcPr>
            <w:tcW w:w="320" w:type="dxa"/>
            <w:vAlign w:val="bottom"/>
            <w:shd w:val="clear" w:color="auto" w:fill="CCEEFF"/>
          </w:tcPr>
          <w:p>
            <w:pPr>
              <w:spacing w:after="0"/>
              <w:rPr>
                <w:sz w:val="15"/>
                <w:szCs w:val="15"/>
                <w:color w:val="auto"/>
              </w:rPr>
            </w:pPr>
          </w:p>
        </w:tc>
        <w:tc>
          <w:tcPr>
            <w:tcW w:w="118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vMerge w:val="restart"/>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380" w:type="dxa"/>
            <w:vAlign w:val="bottom"/>
            <w:vMerge w:val="restart"/>
            <w:shd w:val="clear" w:color="auto" w:fill="CCEEFF"/>
          </w:tcPr>
          <w:p>
            <w:pPr>
              <w:jc w:val="right"/>
              <w:ind w:right="49"/>
              <w:spacing w:after="0"/>
              <w:rPr>
                <w:sz w:val="20"/>
                <w:szCs w:val="20"/>
                <w:color w:val="auto"/>
              </w:rPr>
            </w:pPr>
            <w:r>
              <w:rPr>
                <w:rFonts w:ascii="Arial" w:cs="Arial" w:eastAsia="Arial" w:hAnsi="Arial"/>
                <w:sz w:val="14"/>
                <w:szCs w:val="14"/>
                <w:color w:val="auto"/>
              </w:rPr>
              <w:t>2,267</w:t>
            </w:r>
          </w:p>
        </w:tc>
        <w:tc>
          <w:tcPr>
            <w:tcW w:w="12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98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210</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18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2,477</w:t>
            </w:r>
          </w:p>
        </w:tc>
        <w:tc>
          <w:tcPr>
            <w:tcW w:w="0" w:type="dxa"/>
            <w:vAlign w:val="bottom"/>
          </w:tcPr>
          <w:p>
            <w:pPr>
              <w:spacing w:after="0"/>
              <w:rPr>
                <w:sz w:val="1"/>
                <w:szCs w:val="1"/>
                <w:color w:val="auto"/>
              </w:rPr>
            </w:pPr>
          </w:p>
        </w:tc>
      </w:tr>
      <w:tr>
        <w:trPr>
          <w:trHeight w:val="80"/>
        </w:trPr>
        <w:tc>
          <w:tcPr>
            <w:tcW w:w="5160" w:type="dxa"/>
            <w:vAlign w:val="bottom"/>
            <w:shd w:val="clear" w:color="auto" w:fill="CCEEFF"/>
          </w:tcPr>
          <w:p>
            <w:pPr>
              <w:spacing w:after="0"/>
              <w:rPr>
                <w:sz w:val="6"/>
                <w:szCs w:val="6"/>
                <w:color w:val="auto"/>
              </w:rPr>
            </w:pPr>
          </w:p>
        </w:tc>
        <w:tc>
          <w:tcPr>
            <w:tcW w:w="320" w:type="dxa"/>
            <w:vAlign w:val="bottom"/>
            <w:tcBorders>
              <w:bottom w:val="single" w:sz="8" w:color="auto"/>
            </w:tcBorders>
            <w:shd w:val="clear" w:color="auto" w:fill="CCEEFF"/>
          </w:tcPr>
          <w:p>
            <w:pPr>
              <w:spacing w:after="0"/>
              <w:rPr>
                <w:sz w:val="6"/>
                <w:szCs w:val="6"/>
                <w:color w:val="auto"/>
              </w:rPr>
            </w:pPr>
          </w:p>
        </w:tc>
        <w:tc>
          <w:tcPr>
            <w:tcW w:w="118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vMerge w:val="continue"/>
            <w:shd w:val="clear" w:color="auto" w:fill="CCEEFF"/>
          </w:tcPr>
          <w:p>
            <w:pPr>
              <w:spacing w:after="0"/>
              <w:rPr>
                <w:sz w:val="6"/>
                <w:szCs w:val="6"/>
                <w:color w:val="auto"/>
              </w:rPr>
            </w:pPr>
          </w:p>
        </w:tc>
        <w:tc>
          <w:tcPr>
            <w:tcW w:w="120" w:type="dxa"/>
            <w:vAlign w:val="bottom"/>
            <w:tcBorders>
              <w:bottom w:val="single" w:sz="8" w:color="auto"/>
            </w:tcBorders>
            <w:shd w:val="clear" w:color="auto" w:fill="CCEEFF"/>
          </w:tcPr>
          <w:p>
            <w:pPr>
              <w:spacing w:after="0"/>
              <w:rPr>
                <w:sz w:val="6"/>
                <w:szCs w:val="6"/>
                <w:color w:val="auto"/>
              </w:rPr>
            </w:pPr>
          </w:p>
        </w:tc>
        <w:tc>
          <w:tcPr>
            <w:tcW w:w="138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480" w:type="dxa"/>
            <w:vAlign w:val="bottom"/>
            <w:tcBorders>
              <w:bottom w:val="single" w:sz="8" w:color="auto"/>
            </w:tcBorders>
            <w:shd w:val="clear" w:color="auto" w:fill="CCEEFF"/>
          </w:tcPr>
          <w:p>
            <w:pPr>
              <w:spacing w:after="0"/>
              <w:rPr>
                <w:sz w:val="6"/>
                <w:szCs w:val="6"/>
                <w:color w:val="auto"/>
              </w:rPr>
            </w:pPr>
          </w:p>
        </w:tc>
        <w:tc>
          <w:tcPr>
            <w:tcW w:w="98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80" w:type="dxa"/>
            <w:vAlign w:val="bottom"/>
            <w:tcBorders>
              <w:bottom w:val="single" w:sz="8" w:color="auto"/>
            </w:tcBorders>
            <w:shd w:val="clear" w:color="auto" w:fill="CCEEFF"/>
          </w:tcPr>
          <w:p>
            <w:pPr>
              <w:spacing w:after="0"/>
              <w:rPr>
                <w:sz w:val="6"/>
                <w:szCs w:val="6"/>
                <w:color w:val="auto"/>
              </w:rPr>
            </w:pPr>
          </w:p>
        </w:tc>
        <w:tc>
          <w:tcPr>
            <w:tcW w:w="1180" w:type="dxa"/>
            <w:vAlign w:val="bottom"/>
            <w:tcBorders>
              <w:bottom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1"/>
        </w:trPr>
        <w:tc>
          <w:tcPr>
            <w:tcW w:w="5160" w:type="dxa"/>
            <w:vAlign w:val="bottom"/>
          </w:tcPr>
          <w:p>
            <w:pPr>
              <w:ind w:left="40"/>
              <w:spacing w:after="0"/>
              <w:rPr>
                <w:sz w:val="20"/>
                <w:szCs w:val="20"/>
                <w:color w:val="auto"/>
              </w:rPr>
            </w:pPr>
            <w:r>
              <w:rPr>
                <w:rFonts w:ascii="Arial" w:cs="Arial" w:eastAsia="Arial" w:hAnsi="Arial"/>
                <w:sz w:val="14"/>
                <w:szCs w:val="14"/>
                <w:color w:val="auto"/>
              </w:rPr>
              <w:t>Embedded derivatives within asset host contracts (2)</w:t>
            </w:r>
          </w:p>
        </w:tc>
        <w:tc>
          <w:tcPr>
            <w:tcW w:w="320" w:type="dxa"/>
            <w:vAlign w:val="bottom"/>
          </w:tcPr>
          <w:p>
            <w:pPr>
              <w:spacing w:after="0"/>
              <w:rPr>
                <w:sz w:val="14"/>
                <w:szCs w:val="14"/>
                <w:color w:val="auto"/>
              </w:rPr>
            </w:pPr>
          </w:p>
        </w:tc>
        <w:tc>
          <w:tcPr>
            <w:tcW w:w="130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50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480" w:type="dxa"/>
            <w:vAlign w:val="bottom"/>
          </w:tcPr>
          <w:p>
            <w:pPr>
              <w:spacing w:after="0"/>
              <w:rPr>
                <w:sz w:val="14"/>
                <w:szCs w:val="14"/>
                <w:color w:val="auto"/>
              </w:rPr>
            </w:pPr>
          </w:p>
        </w:tc>
        <w:tc>
          <w:tcPr>
            <w:tcW w:w="980" w:type="dxa"/>
            <w:vAlign w:val="bottom"/>
            <w:vMerge w:val="restart"/>
          </w:tcPr>
          <w:p>
            <w:pPr>
              <w:jc w:val="right"/>
              <w:ind w:right="48"/>
              <w:spacing w:after="0"/>
              <w:rPr>
                <w:sz w:val="20"/>
                <w:szCs w:val="20"/>
                <w:color w:val="auto"/>
              </w:rPr>
            </w:pPr>
            <w:r>
              <w:rPr>
                <w:rFonts w:ascii="Arial" w:cs="Arial" w:eastAsia="Arial" w:hAnsi="Arial"/>
                <w:sz w:val="14"/>
                <w:szCs w:val="14"/>
                <w:color w:val="auto"/>
              </w:rPr>
              <w:t>220</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80" w:type="dxa"/>
            <w:vAlign w:val="bottom"/>
            <w:vMerge w:val="restart"/>
          </w:tcPr>
          <w:p>
            <w:pPr>
              <w:jc w:val="right"/>
              <w:ind w:right="29"/>
              <w:spacing w:after="0"/>
              <w:rPr>
                <w:sz w:val="20"/>
                <w:szCs w:val="20"/>
                <w:color w:val="auto"/>
              </w:rPr>
            </w:pPr>
            <w:r>
              <w:rPr>
                <w:rFonts w:ascii="Arial" w:cs="Arial" w:eastAsia="Arial" w:hAnsi="Arial"/>
                <w:sz w:val="14"/>
                <w:szCs w:val="14"/>
                <w:color w:val="auto"/>
              </w:rPr>
              <w:t>220</w:t>
            </w:r>
          </w:p>
        </w:tc>
        <w:tc>
          <w:tcPr>
            <w:tcW w:w="0" w:type="dxa"/>
            <w:vAlign w:val="bottom"/>
          </w:tcPr>
          <w:p>
            <w:pPr>
              <w:spacing w:after="0"/>
              <w:rPr>
                <w:sz w:val="1"/>
                <w:szCs w:val="1"/>
                <w:color w:val="auto"/>
              </w:rPr>
            </w:pPr>
          </w:p>
        </w:tc>
      </w:tr>
      <w:tr>
        <w:trPr>
          <w:trHeight w:val="74"/>
        </w:trPr>
        <w:tc>
          <w:tcPr>
            <w:tcW w:w="5160" w:type="dxa"/>
            <w:vAlign w:val="bottom"/>
          </w:tcPr>
          <w:p>
            <w:pPr>
              <w:spacing w:after="0"/>
              <w:rPr>
                <w:sz w:val="6"/>
                <w:szCs w:val="6"/>
                <w:color w:val="auto"/>
              </w:rPr>
            </w:pPr>
          </w:p>
        </w:tc>
        <w:tc>
          <w:tcPr>
            <w:tcW w:w="320" w:type="dxa"/>
            <w:vAlign w:val="bottom"/>
          </w:tcPr>
          <w:p>
            <w:pPr>
              <w:spacing w:after="0"/>
              <w:rPr>
                <w:sz w:val="6"/>
                <w:szCs w:val="6"/>
                <w:color w:val="auto"/>
              </w:rPr>
            </w:pPr>
          </w:p>
        </w:tc>
        <w:tc>
          <w:tcPr>
            <w:tcW w:w="130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1500" w:type="dxa"/>
            <w:vAlign w:val="bottom"/>
            <w:gridSpan w:val="2"/>
            <w:vMerge w:val="continue"/>
          </w:tcPr>
          <w:p>
            <w:pPr>
              <w:spacing w:after="0"/>
              <w:rPr>
                <w:sz w:val="6"/>
                <w:szCs w:val="6"/>
                <w:color w:val="auto"/>
              </w:rPr>
            </w:pPr>
          </w:p>
        </w:tc>
        <w:tc>
          <w:tcPr>
            <w:tcW w:w="480" w:type="dxa"/>
            <w:vAlign w:val="bottom"/>
          </w:tcPr>
          <w:p>
            <w:pPr>
              <w:spacing w:after="0"/>
              <w:rPr>
                <w:sz w:val="6"/>
                <w:szCs w:val="6"/>
                <w:color w:val="auto"/>
              </w:rPr>
            </w:pPr>
          </w:p>
        </w:tc>
        <w:tc>
          <w:tcPr>
            <w:tcW w:w="98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280" w:type="dxa"/>
            <w:vAlign w:val="bottom"/>
          </w:tcPr>
          <w:p>
            <w:pPr>
              <w:spacing w:after="0"/>
              <w:rPr>
                <w:sz w:val="6"/>
                <w:szCs w:val="6"/>
                <w:color w:val="auto"/>
              </w:rPr>
            </w:pPr>
          </w:p>
        </w:tc>
        <w:tc>
          <w:tcPr>
            <w:tcW w:w="11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5160" w:type="dxa"/>
            <w:vAlign w:val="bottom"/>
            <w:shd w:val="clear" w:color="auto" w:fill="CCEEFF"/>
          </w:tcPr>
          <w:p>
            <w:pPr>
              <w:ind w:left="40"/>
              <w:spacing w:after="0"/>
              <w:rPr>
                <w:sz w:val="20"/>
                <w:szCs w:val="20"/>
                <w:color w:val="auto"/>
              </w:rPr>
            </w:pPr>
            <w:r>
              <w:rPr>
                <w:rFonts w:ascii="Arial" w:cs="Arial" w:eastAsia="Arial" w:hAnsi="Arial"/>
                <w:sz w:val="14"/>
                <w:szCs w:val="14"/>
                <w:color w:val="auto"/>
              </w:rPr>
              <w:t>Separate account assets (3)</w:t>
            </w:r>
          </w:p>
        </w:tc>
        <w:tc>
          <w:tcPr>
            <w:tcW w:w="320" w:type="dxa"/>
            <w:vAlign w:val="bottom"/>
            <w:shd w:val="clear" w:color="auto" w:fill="CCEEFF"/>
          </w:tcPr>
          <w:p>
            <w:pPr>
              <w:spacing w:after="0"/>
              <w:rPr>
                <w:sz w:val="17"/>
                <w:szCs w:val="17"/>
                <w:color w:val="auto"/>
              </w:rPr>
            </w:pPr>
          </w:p>
        </w:tc>
        <w:tc>
          <w:tcPr>
            <w:tcW w:w="118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415</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80" w:type="dxa"/>
            <w:vAlign w:val="bottom"/>
            <w:vMerge w:val="restart"/>
            <w:shd w:val="clear" w:color="auto" w:fill="CCEEFF"/>
          </w:tcPr>
          <w:p>
            <w:pPr>
              <w:jc w:val="right"/>
              <w:ind w:right="49"/>
              <w:spacing w:after="0"/>
              <w:rPr>
                <w:sz w:val="20"/>
                <w:szCs w:val="20"/>
                <w:color w:val="auto"/>
              </w:rPr>
            </w:pPr>
            <w:r>
              <w:rPr>
                <w:rFonts w:ascii="Arial" w:cs="Arial" w:eastAsia="Arial" w:hAnsi="Arial"/>
                <w:sz w:val="14"/>
                <w:szCs w:val="14"/>
                <w:color w:val="auto"/>
              </w:rPr>
              <w:t>116,436</w:t>
            </w: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98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6</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8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116,857</w:t>
            </w:r>
          </w:p>
        </w:tc>
        <w:tc>
          <w:tcPr>
            <w:tcW w:w="0" w:type="dxa"/>
            <w:vAlign w:val="bottom"/>
          </w:tcPr>
          <w:p>
            <w:pPr>
              <w:spacing w:after="0"/>
              <w:rPr>
                <w:sz w:val="1"/>
                <w:szCs w:val="1"/>
                <w:color w:val="auto"/>
              </w:rPr>
            </w:pPr>
          </w:p>
        </w:tc>
      </w:tr>
      <w:tr>
        <w:trPr>
          <w:trHeight w:val="80"/>
        </w:trPr>
        <w:tc>
          <w:tcPr>
            <w:tcW w:w="5160" w:type="dxa"/>
            <w:vAlign w:val="bottom"/>
            <w:shd w:val="clear" w:color="auto" w:fill="CCEEFF"/>
          </w:tcPr>
          <w:p>
            <w:pPr>
              <w:spacing w:after="0"/>
              <w:rPr>
                <w:sz w:val="6"/>
                <w:szCs w:val="6"/>
                <w:color w:val="auto"/>
              </w:rPr>
            </w:pPr>
          </w:p>
        </w:tc>
        <w:tc>
          <w:tcPr>
            <w:tcW w:w="320" w:type="dxa"/>
            <w:vAlign w:val="bottom"/>
            <w:tcBorders>
              <w:bottom w:val="single" w:sz="8" w:color="auto"/>
            </w:tcBorders>
            <w:shd w:val="clear" w:color="auto" w:fill="CCEEFF"/>
          </w:tcPr>
          <w:p>
            <w:pPr>
              <w:spacing w:after="0"/>
              <w:rPr>
                <w:sz w:val="6"/>
                <w:szCs w:val="6"/>
                <w:color w:val="auto"/>
              </w:rPr>
            </w:pPr>
          </w:p>
        </w:tc>
        <w:tc>
          <w:tcPr>
            <w:tcW w:w="118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0" w:type="dxa"/>
            <w:vAlign w:val="bottom"/>
            <w:tcBorders>
              <w:bottom w:val="single" w:sz="8" w:color="auto"/>
            </w:tcBorders>
            <w:shd w:val="clear" w:color="auto" w:fill="CCEEFF"/>
          </w:tcPr>
          <w:p>
            <w:pPr>
              <w:spacing w:after="0"/>
              <w:rPr>
                <w:sz w:val="6"/>
                <w:szCs w:val="6"/>
                <w:color w:val="auto"/>
              </w:rPr>
            </w:pPr>
          </w:p>
        </w:tc>
        <w:tc>
          <w:tcPr>
            <w:tcW w:w="138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480" w:type="dxa"/>
            <w:vAlign w:val="bottom"/>
            <w:tcBorders>
              <w:bottom w:val="single" w:sz="8" w:color="auto"/>
            </w:tcBorders>
            <w:shd w:val="clear" w:color="auto" w:fill="CCEEFF"/>
          </w:tcPr>
          <w:p>
            <w:pPr>
              <w:spacing w:after="0"/>
              <w:rPr>
                <w:sz w:val="6"/>
                <w:szCs w:val="6"/>
                <w:color w:val="auto"/>
              </w:rPr>
            </w:pPr>
          </w:p>
        </w:tc>
        <w:tc>
          <w:tcPr>
            <w:tcW w:w="98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80" w:type="dxa"/>
            <w:vAlign w:val="bottom"/>
            <w:tcBorders>
              <w:bottom w:val="single" w:sz="8" w:color="auto"/>
            </w:tcBorders>
            <w:shd w:val="clear" w:color="auto" w:fill="CCEEFF"/>
          </w:tcPr>
          <w:p>
            <w:pPr>
              <w:spacing w:after="0"/>
              <w:rPr>
                <w:sz w:val="6"/>
                <w:szCs w:val="6"/>
                <w:color w:val="auto"/>
              </w:rPr>
            </w:pPr>
          </w:p>
        </w:tc>
        <w:tc>
          <w:tcPr>
            <w:tcW w:w="1180" w:type="dxa"/>
            <w:vAlign w:val="bottom"/>
            <w:tcBorders>
              <w:bottom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1"/>
        </w:trPr>
        <w:tc>
          <w:tcPr>
            <w:tcW w:w="5160" w:type="dxa"/>
            <w:vAlign w:val="bottom"/>
          </w:tcPr>
          <w:p>
            <w:pPr>
              <w:ind w:left="200"/>
              <w:spacing w:after="0"/>
              <w:rPr>
                <w:sz w:val="20"/>
                <w:szCs w:val="20"/>
                <w:color w:val="auto"/>
              </w:rPr>
            </w:pPr>
            <w:r>
              <w:rPr>
                <w:rFonts w:ascii="Arial" w:cs="Arial" w:eastAsia="Arial" w:hAnsi="Arial"/>
                <w:sz w:val="14"/>
                <w:szCs w:val="14"/>
                <w:color w:val="auto"/>
              </w:rPr>
              <w:t>Total assets</w:t>
            </w:r>
          </w:p>
        </w:tc>
        <w:tc>
          <w:tcPr>
            <w:tcW w:w="320" w:type="dxa"/>
            <w:vAlign w:val="bottom"/>
            <w:vMerge w:val="restart"/>
          </w:tcPr>
          <w:p>
            <w:pPr>
              <w:jc w:val="right"/>
              <w:ind w:right="148"/>
              <w:spacing w:after="0"/>
              <w:rPr>
                <w:sz w:val="20"/>
                <w:szCs w:val="20"/>
                <w:color w:val="auto"/>
              </w:rPr>
            </w:pPr>
            <w:r>
              <w:rPr>
                <w:rFonts w:ascii="Arial" w:cs="Arial" w:eastAsia="Arial" w:hAnsi="Arial"/>
                <w:sz w:val="14"/>
                <w:szCs w:val="14"/>
                <w:color w:val="auto"/>
              </w:rPr>
              <w:t>$</w:t>
            </w:r>
          </w:p>
        </w:tc>
        <w:tc>
          <w:tcPr>
            <w:tcW w:w="1180" w:type="dxa"/>
            <w:vAlign w:val="bottom"/>
            <w:vMerge w:val="restart"/>
          </w:tcPr>
          <w:p>
            <w:pPr>
              <w:jc w:val="right"/>
              <w:ind w:right="48"/>
              <w:spacing w:after="0"/>
              <w:rPr>
                <w:sz w:val="20"/>
                <w:szCs w:val="20"/>
                <w:color w:val="auto"/>
              </w:rPr>
            </w:pPr>
            <w:r>
              <w:rPr>
                <w:rFonts w:ascii="Arial" w:cs="Arial" w:eastAsia="Arial" w:hAnsi="Arial"/>
                <w:sz w:val="14"/>
                <w:szCs w:val="14"/>
                <w:color w:val="auto"/>
              </w:rPr>
              <w:t>9,365</w:t>
            </w:r>
          </w:p>
        </w:tc>
        <w:tc>
          <w:tcPr>
            <w:tcW w:w="120" w:type="dxa"/>
            <w:vAlign w:val="bottom"/>
          </w:tcPr>
          <w:p>
            <w:pPr>
              <w:spacing w:after="0"/>
              <w:rPr>
                <w:sz w:val="14"/>
                <w:szCs w:val="14"/>
                <w:color w:val="auto"/>
              </w:rPr>
            </w:pPr>
          </w:p>
        </w:tc>
        <w:tc>
          <w:tcPr>
            <w:tcW w:w="1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380" w:type="dxa"/>
            <w:vAlign w:val="bottom"/>
            <w:vMerge w:val="restart"/>
          </w:tcPr>
          <w:p>
            <w:pPr>
              <w:jc w:val="right"/>
              <w:ind w:right="49"/>
              <w:spacing w:after="0"/>
              <w:rPr>
                <w:sz w:val="20"/>
                <w:szCs w:val="20"/>
                <w:color w:val="auto"/>
              </w:rPr>
            </w:pPr>
            <w:r>
              <w:rPr>
                <w:rFonts w:ascii="Arial" w:cs="Arial" w:eastAsia="Arial" w:hAnsi="Arial"/>
                <w:sz w:val="14"/>
                <w:szCs w:val="14"/>
                <w:color w:val="auto"/>
              </w:rPr>
              <w:t>170,700</w:t>
            </w:r>
          </w:p>
        </w:tc>
        <w:tc>
          <w:tcPr>
            <w:tcW w:w="120" w:type="dxa"/>
            <w:vAlign w:val="bottom"/>
          </w:tcPr>
          <w:p>
            <w:pPr>
              <w:spacing w:after="0"/>
              <w:rPr>
                <w:sz w:val="14"/>
                <w:szCs w:val="14"/>
                <w:color w:val="auto"/>
              </w:rPr>
            </w:pPr>
          </w:p>
        </w:tc>
        <w:tc>
          <w:tcPr>
            <w:tcW w:w="480" w:type="dxa"/>
            <w:vAlign w:val="bottom"/>
            <w:vMerge w:val="restart"/>
          </w:tcPr>
          <w:p>
            <w:pPr>
              <w:jc w:val="right"/>
              <w:ind w:right="308"/>
              <w:spacing w:after="0"/>
              <w:rPr>
                <w:sz w:val="20"/>
                <w:szCs w:val="20"/>
                <w:color w:val="auto"/>
              </w:rPr>
            </w:pPr>
            <w:r>
              <w:rPr>
                <w:rFonts w:ascii="Arial" w:cs="Arial" w:eastAsia="Arial" w:hAnsi="Arial"/>
                <w:sz w:val="14"/>
                <w:szCs w:val="14"/>
                <w:color w:val="auto"/>
              </w:rPr>
              <w:t>$</w:t>
            </w:r>
          </w:p>
        </w:tc>
        <w:tc>
          <w:tcPr>
            <w:tcW w:w="980" w:type="dxa"/>
            <w:vAlign w:val="bottom"/>
            <w:vMerge w:val="restart"/>
          </w:tcPr>
          <w:p>
            <w:pPr>
              <w:jc w:val="right"/>
              <w:ind w:right="48"/>
              <w:spacing w:after="0"/>
              <w:rPr>
                <w:sz w:val="20"/>
                <w:szCs w:val="20"/>
                <w:color w:val="auto"/>
              </w:rPr>
            </w:pPr>
            <w:r>
              <w:rPr>
                <w:rFonts w:ascii="Arial" w:cs="Arial" w:eastAsia="Arial" w:hAnsi="Arial"/>
                <w:sz w:val="14"/>
                <w:szCs w:val="14"/>
                <w:color w:val="auto"/>
              </w:rPr>
              <w:t>4,587</w:t>
            </w:r>
          </w:p>
        </w:tc>
        <w:tc>
          <w:tcPr>
            <w:tcW w:w="100" w:type="dxa"/>
            <w:vAlign w:val="bottom"/>
          </w:tcPr>
          <w:p>
            <w:pPr>
              <w:spacing w:after="0"/>
              <w:rPr>
                <w:sz w:val="14"/>
                <w:szCs w:val="14"/>
                <w:color w:val="auto"/>
              </w:rPr>
            </w:pPr>
          </w:p>
        </w:tc>
        <w:tc>
          <w:tcPr>
            <w:tcW w:w="280" w:type="dxa"/>
            <w:vAlign w:val="bottom"/>
            <w:vMerge w:val="restart"/>
          </w:tcPr>
          <w:p>
            <w:pPr>
              <w:jc w:val="right"/>
              <w:ind w:right="108"/>
              <w:spacing w:after="0"/>
              <w:rPr>
                <w:sz w:val="20"/>
                <w:szCs w:val="20"/>
                <w:color w:val="auto"/>
              </w:rPr>
            </w:pPr>
            <w:r>
              <w:rPr>
                <w:rFonts w:ascii="Arial" w:cs="Arial" w:eastAsia="Arial" w:hAnsi="Arial"/>
                <w:sz w:val="14"/>
                <w:szCs w:val="14"/>
                <w:color w:val="auto"/>
              </w:rPr>
              <w:t>$</w:t>
            </w:r>
          </w:p>
        </w:tc>
        <w:tc>
          <w:tcPr>
            <w:tcW w:w="1180" w:type="dxa"/>
            <w:vAlign w:val="bottom"/>
            <w:vMerge w:val="restart"/>
          </w:tcPr>
          <w:p>
            <w:pPr>
              <w:jc w:val="right"/>
              <w:ind w:right="29"/>
              <w:spacing w:after="0"/>
              <w:rPr>
                <w:sz w:val="20"/>
                <w:szCs w:val="20"/>
                <w:color w:val="auto"/>
              </w:rPr>
            </w:pPr>
            <w:r>
              <w:rPr>
                <w:rFonts w:ascii="Arial" w:cs="Arial" w:eastAsia="Arial" w:hAnsi="Arial"/>
                <w:sz w:val="14"/>
                <w:szCs w:val="14"/>
                <w:color w:val="auto"/>
              </w:rPr>
              <w:t>184,652</w:t>
            </w:r>
          </w:p>
        </w:tc>
        <w:tc>
          <w:tcPr>
            <w:tcW w:w="0" w:type="dxa"/>
            <w:vAlign w:val="bottom"/>
          </w:tcPr>
          <w:p>
            <w:pPr>
              <w:spacing w:after="0"/>
              <w:rPr>
                <w:sz w:val="1"/>
                <w:szCs w:val="1"/>
                <w:color w:val="auto"/>
              </w:rPr>
            </w:pPr>
          </w:p>
        </w:tc>
      </w:tr>
      <w:tr>
        <w:trPr>
          <w:trHeight w:val="100"/>
        </w:trPr>
        <w:tc>
          <w:tcPr>
            <w:tcW w:w="5160" w:type="dxa"/>
            <w:vAlign w:val="bottom"/>
            <w:tcBorders>
              <w:bottom w:val="single" w:sz="8" w:color="CCEEFF"/>
            </w:tcBorders>
          </w:tcPr>
          <w:p>
            <w:pPr>
              <w:spacing w:after="0"/>
              <w:rPr>
                <w:sz w:val="8"/>
                <w:szCs w:val="8"/>
                <w:color w:val="auto"/>
              </w:rPr>
            </w:pPr>
          </w:p>
        </w:tc>
        <w:tc>
          <w:tcPr>
            <w:tcW w:w="320" w:type="dxa"/>
            <w:vAlign w:val="bottom"/>
            <w:tcBorders>
              <w:bottom w:val="single" w:sz="8" w:color="auto"/>
            </w:tcBorders>
            <w:vMerge w:val="continue"/>
          </w:tcPr>
          <w:p>
            <w:pPr>
              <w:spacing w:after="0"/>
              <w:rPr>
                <w:sz w:val="8"/>
                <w:szCs w:val="8"/>
                <w:color w:val="auto"/>
              </w:rPr>
            </w:pPr>
          </w:p>
        </w:tc>
        <w:tc>
          <w:tcPr>
            <w:tcW w:w="1180" w:type="dxa"/>
            <w:vAlign w:val="bottom"/>
            <w:tcBorders>
              <w:bottom w:val="single" w:sz="8" w:color="auto"/>
            </w:tcBorders>
            <w:vMerge w:val="continue"/>
          </w:tcPr>
          <w:p>
            <w:pPr>
              <w:spacing w:after="0"/>
              <w:rPr>
                <w:sz w:val="8"/>
                <w:szCs w:val="8"/>
                <w:color w:val="auto"/>
              </w:rPr>
            </w:pPr>
          </w:p>
        </w:tc>
        <w:tc>
          <w:tcPr>
            <w:tcW w:w="120" w:type="dxa"/>
            <w:vAlign w:val="bottom"/>
            <w:tcBorders>
              <w:bottom w:val="single" w:sz="8" w:color="CCEEFF"/>
            </w:tcBorders>
          </w:tcPr>
          <w:p>
            <w:pPr>
              <w:spacing w:after="0"/>
              <w:rPr>
                <w:sz w:val="8"/>
                <w:szCs w:val="8"/>
                <w:color w:val="auto"/>
              </w:rPr>
            </w:pPr>
          </w:p>
        </w:tc>
        <w:tc>
          <w:tcPr>
            <w:tcW w:w="120" w:type="dxa"/>
            <w:vAlign w:val="bottom"/>
            <w:tcBorders>
              <w:bottom w:val="single" w:sz="8" w:color="auto"/>
            </w:tcBorders>
            <w:vMerge w:val="continue"/>
          </w:tcPr>
          <w:p>
            <w:pPr>
              <w:spacing w:after="0"/>
              <w:rPr>
                <w:sz w:val="8"/>
                <w:szCs w:val="8"/>
                <w:color w:val="auto"/>
              </w:rPr>
            </w:pPr>
          </w:p>
        </w:tc>
        <w:tc>
          <w:tcPr>
            <w:tcW w:w="1380" w:type="dxa"/>
            <w:vAlign w:val="bottom"/>
            <w:tcBorders>
              <w:bottom w:val="single" w:sz="8" w:color="auto"/>
            </w:tcBorders>
            <w:vMerge w:val="continue"/>
          </w:tcPr>
          <w:p>
            <w:pPr>
              <w:spacing w:after="0"/>
              <w:rPr>
                <w:sz w:val="8"/>
                <w:szCs w:val="8"/>
                <w:color w:val="auto"/>
              </w:rPr>
            </w:pPr>
          </w:p>
        </w:tc>
        <w:tc>
          <w:tcPr>
            <w:tcW w:w="120" w:type="dxa"/>
            <w:vAlign w:val="bottom"/>
            <w:tcBorders>
              <w:bottom w:val="single" w:sz="8" w:color="CCEEFF"/>
            </w:tcBorders>
          </w:tcPr>
          <w:p>
            <w:pPr>
              <w:spacing w:after="0"/>
              <w:rPr>
                <w:sz w:val="8"/>
                <w:szCs w:val="8"/>
                <w:color w:val="auto"/>
              </w:rPr>
            </w:pPr>
          </w:p>
        </w:tc>
        <w:tc>
          <w:tcPr>
            <w:tcW w:w="480" w:type="dxa"/>
            <w:vAlign w:val="bottom"/>
            <w:tcBorders>
              <w:bottom w:val="single" w:sz="8" w:color="auto"/>
            </w:tcBorders>
            <w:vMerge w:val="continue"/>
          </w:tcPr>
          <w:p>
            <w:pPr>
              <w:spacing w:after="0"/>
              <w:rPr>
                <w:sz w:val="8"/>
                <w:szCs w:val="8"/>
                <w:color w:val="auto"/>
              </w:rPr>
            </w:pPr>
          </w:p>
        </w:tc>
        <w:tc>
          <w:tcPr>
            <w:tcW w:w="980" w:type="dxa"/>
            <w:vAlign w:val="bottom"/>
            <w:tcBorders>
              <w:bottom w:val="single" w:sz="8" w:color="auto"/>
            </w:tcBorders>
            <w:vMerge w:val="continue"/>
          </w:tcPr>
          <w:p>
            <w:pPr>
              <w:spacing w:after="0"/>
              <w:rPr>
                <w:sz w:val="8"/>
                <w:szCs w:val="8"/>
                <w:color w:val="auto"/>
              </w:rPr>
            </w:pPr>
          </w:p>
        </w:tc>
        <w:tc>
          <w:tcPr>
            <w:tcW w:w="100" w:type="dxa"/>
            <w:vAlign w:val="bottom"/>
            <w:tcBorders>
              <w:bottom w:val="single" w:sz="8" w:color="CCEEFF"/>
            </w:tcBorders>
          </w:tcPr>
          <w:p>
            <w:pPr>
              <w:spacing w:after="0"/>
              <w:rPr>
                <w:sz w:val="8"/>
                <w:szCs w:val="8"/>
                <w:color w:val="auto"/>
              </w:rPr>
            </w:pPr>
          </w:p>
        </w:tc>
        <w:tc>
          <w:tcPr>
            <w:tcW w:w="280" w:type="dxa"/>
            <w:vAlign w:val="bottom"/>
            <w:tcBorders>
              <w:bottom w:val="single" w:sz="8" w:color="auto"/>
            </w:tcBorders>
            <w:vMerge w:val="continue"/>
          </w:tcPr>
          <w:p>
            <w:pPr>
              <w:spacing w:after="0"/>
              <w:rPr>
                <w:sz w:val="8"/>
                <w:szCs w:val="8"/>
                <w:color w:val="auto"/>
              </w:rPr>
            </w:pPr>
          </w:p>
        </w:tc>
        <w:tc>
          <w:tcPr>
            <w:tcW w:w="118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50"/>
        </w:trPr>
        <w:tc>
          <w:tcPr>
            <w:tcW w:w="5160" w:type="dxa"/>
            <w:vAlign w:val="bottom"/>
            <w:shd w:val="clear" w:color="auto" w:fill="CCEEFF"/>
          </w:tcPr>
          <w:p>
            <w:pPr>
              <w:ind w:left="40"/>
              <w:spacing w:after="0" w:line="150" w:lineRule="exact"/>
              <w:rPr>
                <w:sz w:val="20"/>
                <w:szCs w:val="20"/>
                <w:color w:val="auto"/>
              </w:rPr>
            </w:pPr>
            <w:r>
              <w:rPr>
                <w:rFonts w:ascii="Arial" w:cs="Arial" w:eastAsia="Arial" w:hAnsi="Arial"/>
                <w:sz w:val="14"/>
                <w:szCs w:val="14"/>
                <w:b w:val="1"/>
                <w:bCs w:val="1"/>
                <w:color w:val="auto"/>
              </w:rPr>
              <w:t>Liabilities</w:t>
            </w:r>
          </w:p>
        </w:tc>
        <w:tc>
          <w:tcPr>
            <w:tcW w:w="32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3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516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11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3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9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11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91"/>
        </w:trPr>
        <w:tc>
          <w:tcPr>
            <w:tcW w:w="5160" w:type="dxa"/>
            <w:vAlign w:val="bottom"/>
          </w:tcPr>
          <w:p>
            <w:pPr>
              <w:ind w:left="40"/>
              <w:spacing w:after="0"/>
              <w:rPr>
                <w:sz w:val="20"/>
                <w:szCs w:val="20"/>
                <w:color w:val="auto"/>
              </w:rPr>
            </w:pPr>
            <w:r>
              <w:rPr>
                <w:rFonts w:ascii="Arial" w:cs="Arial" w:eastAsia="Arial" w:hAnsi="Arial"/>
                <w:sz w:val="14"/>
                <w:szCs w:val="14"/>
                <w:color w:val="auto"/>
              </w:rPr>
              <w:t>Derivative liabilities: (1)</w:t>
            </w:r>
          </w:p>
        </w:tc>
        <w:tc>
          <w:tcPr>
            <w:tcW w:w="3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5160" w:type="dxa"/>
            <w:vAlign w:val="bottom"/>
          </w:tcPr>
          <w:p>
            <w:pPr>
              <w:spacing w:after="0"/>
              <w:rPr>
                <w:sz w:val="6"/>
                <w:szCs w:val="6"/>
                <w:color w:val="auto"/>
              </w:rPr>
            </w:pPr>
          </w:p>
        </w:tc>
        <w:tc>
          <w:tcPr>
            <w:tcW w:w="320" w:type="dxa"/>
            <w:vAlign w:val="bottom"/>
          </w:tcPr>
          <w:p>
            <w:pPr>
              <w:spacing w:after="0"/>
              <w:rPr>
                <w:sz w:val="6"/>
                <w:szCs w:val="6"/>
                <w:color w:val="auto"/>
              </w:rPr>
            </w:pPr>
          </w:p>
        </w:tc>
        <w:tc>
          <w:tcPr>
            <w:tcW w:w="11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380" w:type="dxa"/>
            <w:vAlign w:val="bottom"/>
          </w:tcPr>
          <w:p>
            <w:pPr>
              <w:spacing w:after="0"/>
              <w:rPr>
                <w:sz w:val="6"/>
                <w:szCs w:val="6"/>
                <w:color w:val="auto"/>
              </w:rPr>
            </w:pPr>
          </w:p>
        </w:tc>
        <w:tc>
          <w:tcPr>
            <w:tcW w:w="120" w:type="dxa"/>
            <w:vAlign w:val="bottom"/>
          </w:tcPr>
          <w:p>
            <w:pPr>
              <w:spacing w:after="0"/>
              <w:rPr>
                <w:sz w:val="6"/>
                <w:szCs w:val="6"/>
                <w:color w:val="auto"/>
              </w:rPr>
            </w:pPr>
          </w:p>
        </w:tc>
        <w:tc>
          <w:tcPr>
            <w:tcW w:w="480" w:type="dxa"/>
            <w:vAlign w:val="bottom"/>
          </w:tcPr>
          <w:p>
            <w:pPr>
              <w:spacing w:after="0"/>
              <w:rPr>
                <w:sz w:val="6"/>
                <w:szCs w:val="6"/>
                <w:color w:val="auto"/>
              </w:rPr>
            </w:pPr>
          </w:p>
        </w:tc>
        <w:tc>
          <w:tcPr>
            <w:tcW w:w="980" w:type="dxa"/>
            <w:vAlign w:val="bottom"/>
          </w:tcPr>
          <w:p>
            <w:pPr>
              <w:spacing w:after="0"/>
              <w:rPr>
                <w:sz w:val="6"/>
                <w:szCs w:val="6"/>
                <w:color w:val="auto"/>
              </w:rPr>
            </w:pPr>
          </w:p>
        </w:tc>
        <w:tc>
          <w:tcPr>
            <w:tcW w:w="100" w:type="dxa"/>
            <w:vAlign w:val="bottom"/>
          </w:tcPr>
          <w:p>
            <w:pPr>
              <w:spacing w:after="0"/>
              <w:rPr>
                <w:sz w:val="6"/>
                <w:szCs w:val="6"/>
                <w:color w:val="auto"/>
              </w:rPr>
            </w:pPr>
          </w:p>
        </w:tc>
        <w:tc>
          <w:tcPr>
            <w:tcW w:w="280" w:type="dxa"/>
            <w:vAlign w:val="bottom"/>
          </w:tcPr>
          <w:p>
            <w:pPr>
              <w:spacing w:after="0"/>
              <w:rPr>
                <w:sz w:val="6"/>
                <w:szCs w:val="6"/>
                <w:color w:val="auto"/>
              </w:rPr>
            </w:pPr>
          </w:p>
        </w:tc>
        <w:tc>
          <w:tcPr>
            <w:tcW w:w="11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516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Interest rate</w:t>
            </w:r>
          </w:p>
        </w:tc>
        <w:tc>
          <w:tcPr>
            <w:tcW w:w="320" w:type="dxa"/>
            <w:vAlign w:val="bottom"/>
            <w:vMerge w:val="restart"/>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30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80" w:type="dxa"/>
            <w:vAlign w:val="bottom"/>
            <w:vMerge w:val="restart"/>
            <w:shd w:val="clear" w:color="auto" w:fill="CCEEFF"/>
          </w:tcPr>
          <w:p>
            <w:pPr>
              <w:jc w:val="right"/>
              <w:ind w:right="49"/>
              <w:spacing w:after="0"/>
              <w:rPr>
                <w:sz w:val="20"/>
                <w:szCs w:val="20"/>
                <w:color w:val="auto"/>
              </w:rPr>
            </w:pPr>
            <w:r>
              <w:rPr>
                <w:rFonts w:ascii="Arial" w:cs="Arial" w:eastAsia="Arial" w:hAnsi="Arial"/>
                <w:sz w:val="14"/>
                <w:szCs w:val="14"/>
                <w:color w:val="auto"/>
              </w:rPr>
              <w:t>814</w:t>
            </w:r>
          </w:p>
        </w:tc>
        <w:tc>
          <w:tcPr>
            <w:tcW w:w="120" w:type="dxa"/>
            <w:vAlign w:val="bottom"/>
            <w:shd w:val="clear" w:color="auto" w:fill="CCEEFF"/>
          </w:tcPr>
          <w:p>
            <w:pPr>
              <w:spacing w:after="0"/>
              <w:rPr>
                <w:sz w:val="16"/>
                <w:szCs w:val="16"/>
                <w:color w:val="auto"/>
              </w:rPr>
            </w:pPr>
          </w:p>
        </w:tc>
        <w:tc>
          <w:tcPr>
            <w:tcW w:w="480" w:type="dxa"/>
            <w:vAlign w:val="bottom"/>
            <w:vMerge w:val="restart"/>
            <w:shd w:val="clear" w:color="auto" w:fill="CCEEFF"/>
          </w:tcPr>
          <w:p>
            <w:pPr>
              <w:jc w:val="right"/>
              <w:ind w:right="308"/>
              <w:spacing w:after="0"/>
              <w:rPr>
                <w:sz w:val="20"/>
                <w:szCs w:val="20"/>
                <w:color w:val="auto"/>
              </w:rPr>
            </w:pPr>
            <w:r>
              <w:rPr>
                <w:rFonts w:ascii="Arial" w:cs="Arial" w:eastAsia="Arial" w:hAnsi="Arial"/>
                <w:sz w:val="14"/>
                <w:szCs w:val="14"/>
                <w:color w:val="auto"/>
              </w:rPr>
              <w:t>$</w:t>
            </w:r>
          </w:p>
        </w:tc>
        <w:tc>
          <w:tcPr>
            <w:tcW w:w="108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vMerge w:val="restart"/>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18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814</w:t>
            </w:r>
          </w:p>
        </w:tc>
        <w:tc>
          <w:tcPr>
            <w:tcW w:w="0" w:type="dxa"/>
            <w:vAlign w:val="bottom"/>
          </w:tcPr>
          <w:p>
            <w:pPr>
              <w:spacing w:after="0"/>
              <w:rPr>
                <w:sz w:val="1"/>
                <w:szCs w:val="1"/>
                <w:color w:val="auto"/>
              </w:rPr>
            </w:pPr>
          </w:p>
        </w:tc>
      </w:tr>
      <w:tr>
        <w:trPr>
          <w:trHeight w:val="80"/>
        </w:trPr>
        <w:tc>
          <w:tcPr>
            <w:tcW w:w="5160" w:type="dxa"/>
            <w:vAlign w:val="bottom"/>
            <w:shd w:val="clear" w:color="auto" w:fill="CCEEFF"/>
          </w:tcPr>
          <w:p>
            <w:pPr>
              <w:spacing w:after="0"/>
              <w:rPr>
                <w:sz w:val="6"/>
                <w:szCs w:val="6"/>
                <w:color w:val="auto"/>
              </w:rPr>
            </w:pPr>
          </w:p>
        </w:tc>
        <w:tc>
          <w:tcPr>
            <w:tcW w:w="320" w:type="dxa"/>
            <w:vAlign w:val="bottom"/>
            <w:vMerge w:val="continue"/>
            <w:shd w:val="clear" w:color="auto" w:fill="CCEEFF"/>
          </w:tcPr>
          <w:p>
            <w:pPr>
              <w:spacing w:after="0"/>
              <w:rPr>
                <w:sz w:val="6"/>
                <w:szCs w:val="6"/>
                <w:color w:val="auto"/>
              </w:rPr>
            </w:pPr>
          </w:p>
        </w:tc>
        <w:tc>
          <w:tcPr>
            <w:tcW w:w="1300" w:type="dxa"/>
            <w:vAlign w:val="bottom"/>
            <w:gridSpan w:val="2"/>
            <w:vMerge w:val="continue"/>
            <w:shd w:val="clear" w:color="auto" w:fill="CCEEFF"/>
          </w:tcPr>
          <w:p>
            <w:pPr>
              <w:spacing w:after="0"/>
              <w:rPr>
                <w:sz w:val="6"/>
                <w:szCs w:val="6"/>
                <w:color w:val="auto"/>
              </w:rPr>
            </w:pPr>
          </w:p>
        </w:tc>
        <w:tc>
          <w:tcPr>
            <w:tcW w:w="120" w:type="dxa"/>
            <w:vAlign w:val="bottom"/>
            <w:vMerge w:val="continue"/>
            <w:shd w:val="clear" w:color="auto" w:fill="CCEEFF"/>
          </w:tcPr>
          <w:p>
            <w:pPr>
              <w:spacing w:after="0"/>
              <w:rPr>
                <w:sz w:val="6"/>
                <w:szCs w:val="6"/>
                <w:color w:val="auto"/>
              </w:rPr>
            </w:pPr>
          </w:p>
        </w:tc>
        <w:tc>
          <w:tcPr>
            <w:tcW w:w="138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480" w:type="dxa"/>
            <w:vAlign w:val="bottom"/>
            <w:vMerge w:val="continue"/>
            <w:shd w:val="clear" w:color="auto" w:fill="CCEEFF"/>
          </w:tcPr>
          <w:p>
            <w:pPr>
              <w:spacing w:after="0"/>
              <w:rPr>
                <w:sz w:val="6"/>
                <w:szCs w:val="6"/>
                <w:color w:val="auto"/>
              </w:rPr>
            </w:pPr>
          </w:p>
        </w:tc>
        <w:tc>
          <w:tcPr>
            <w:tcW w:w="1080" w:type="dxa"/>
            <w:vAlign w:val="bottom"/>
            <w:gridSpan w:val="2"/>
            <w:vMerge w:val="continue"/>
            <w:shd w:val="clear" w:color="auto" w:fill="CCEEFF"/>
          </w:tcPr>
          <w:p>
            <w:pPr>
              <w:spacing w:after="0"/>
              <w:rPr>
                <w:sz w:val="6"/>
                <w:szCs w:val="6"/>
                <w:color w:val="auto"/>
              </w:rPr>
            </w:pPr>
          </w:p>
        </w:tc>
        <w:tc>
          <w:tcPr>
            <w:tcW w:w="280" w:type="dxa"/>
            <w:vAlign w:val="bottom"/>
            <w:vMerge w:val="continue"/>
            <w:shd w:val="clear" w:color="auto" w:fill="CCEEFF"/>
          </w:tcPr>
          <w:p>
            <w:pPr>
              <w:spacing w:after="0"/>
              <w:rPr>
                <w:sz w:val="6"/>
                <w:szCs w:val="6"/>
                <w:color w:val="auto"/>
              </w:rPr>
            </w:pPr>
          </w:p>
        </w:tc>
        <w:tc>
          <w:tcPr>
            <w:tcW w:w="118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5160" w:type="dxa"/>
            <w:vAlign w:val="bottom"/>
          </w:tcPr>
          <w:p>
            <w:pPr>
              <w:ind w:left="40"/>
              <w:spacing w:after="0"/>
              <w:rPr>
                <w:sz w:val="20"/>
                <w:szCs w:val="20"/>
                <w:color w:val="auto"/>
              </w:rPr>
            </w:pPr>
            <w:r>
              <w:rPr>
                <w:rFonts w:ascii="Arial" w:cs="Arial" w:eastAsia="Arial" w:hAnsi="Arial"/>
                <w:sz w:val="14"/>
                <w:szCs w:val="14"/>
                <w:color w:val="auto"/>
              </w:rPr>
              <w:t>Foreign currency exchange rate</w:t>
            </w:r>
          </w:p>
        </w:tc>
        <w:tc>
          <w:tcPr>
            <w:tcW w:w="320" w:type="dxa"/>
            <w:vAlign w:val="bottom"/>
          </w:tcPr>
          <w:p>
            <w:pPr>
              <w:spacing w:after="0"/>
              <w:rPr>
                <w:sz w:val="16"/>
                <w:szCs w:val="16"/>
                <w:color w:val="auto"/>
              </w:rPr>
            </w:pPr>
          </w:p>
        </w:tc>
        <w:tc>
          <w:tcPr>
            <w:tcW w:w="130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380" w:type="dxa"/>
            <w:vAlign w:val="bottom"/>
            <w:vMerge w:val="restart"/>
          </w:tcPr>
          <w:p>
            <w:pPr>
              <w:jc w:val="right"/>
              <w:ind w:right="49"/>
              <w:spacing w:after="0"/>
              <w:rPr>
                <w:sz w:val="20"/>
                <w:szCs w:val="20"/>
                <w:color w:val="auto"/>
              </w:rPr>
            </w:pPr>
            <w:r>
              <w:rPr>
                <w:rFonts w:ascii="Arial" w:cs="Arial" w:eastAsia="Arial" w:hAnsi="Arial"/>
                <w:sz w:val="14"/>
                <w:szCs w:val="14"/>
                <w:color w:val="auto"/>
              </w:rPr>
              <w:t>72</w:t>
            </w: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80" w:type="dxa"/>
            <w:vAlign w:val="bottom"/>
            <w:vMerge w:val="restart"/>
          </w:tcPr>
          <w:p>
            <w:pPr>
              <w:jc w:val="right"/>
              <w:ind w:right="48"/>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80" w:type="dxa"/>
            <w:vAlign w:val="bottom"/>
            <w:vMerge w:val="restart"/>
          </w:tcPr>
          <w:p>
            <w:pPr>
              <w:jc w:val="right"/>
              <w:ind w:right="29"/>
              <w:spacing w:after="0"/>
              <w:rPr>
                <w:sz w:val="20"/>
                <w:szCs w:val="20"/>
                <w:color w:val="auto"/>
              </w:rPr>
            </w:pPr>
            <w:r>
              <w:rPr>
                <w:rFonts w:ascii="Arial" w:cs="Arial" w:eastAsia="Arial" w:hAnsi="Arial"/>
                <w:sz w:val="14"/>
                <w:szCs w:val="14"/>
                <w:color w:val="auto"/>
              </w:rPr>
              <w:t>73</w:t>
            </w:r>
          </w:p>
        </w:tc>
        <w:tc>
          <w:tcPr>
            <w:tcW w:w="0" w:type="dxa"/>
            <w:vAlign w:val="bottom"/>
          </w:tcPr>
          <w:p>
            <w:pPr>
              <w:spacing w:after="0"/>
              <w:rPr>
                <w:sz w:val="1"/>
                <w:szCs w:val="1"/>
                <w:color w:val="auto"/>
              </w:rPr>
            </w:pPr>
          </w:p>
        </w:tc>
      </w:tr>
      <w:tr>
        <w:trPr>
          <w:trHeight w:val="74"/>
        </w:trPr>
        <w:tc>
          <w:tcPr>
            <w:tcW w:w="5160" w:type="dxa"/>
            <w:vAlign w:val="bottom"/>
          </w:tcPr>
          <w:p>
            <w:pPr>
              <w:spacing w:after="0"/>
              <w:rPr>
                <w:sz w:val="6"/>
                <w:szCs w:val="6"/>
                <w:color w:val="auto"/>
              </w:rPr>
            </w:pPr>
          </w:p>
        </w:tc>
        <w:tc>
          <w:tcPr>
            <w:tcW w:w="320" w:type="dxa"/>
            <w:vAlign w:val="bottom"/>
          </w:tcPr>
          <w:p>
            <w:pPr>
              <w:spacing w:after="0"/>
              <w:rPr>
                <w:sz w:val="6"/>
                <w:szCs w:val="6"/>
                <w:color w:val="auto"/>
              </w:rPr>
            </w:pPr>
          </w:p>
        </w:tc>
        <w:tc>
          <w:tcPr>
            <w:tcW w:w="130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13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480" w:type="dxa"/>
            <w:vAlign w:val="bottom"/>
          </w:tcPr>
          <w:p>
            <w:pPr>
              <w:spacing w:after="0"/>
              <w:rPr>
                <w:sz w:val="6"/>
                <w:szCs w:val="6"/>
                <w:color w:val="auto"/>
              </w:rPr>
            </w:pPr>
          </w:p>
        </w:tc>
        <w:tc>
          <w:tcPr>
            <w:tcW w:w="98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280" w:type="dxa"/>
            <w:vAlign w:val="bottom"/>
          </w:tcPr>
          <w:p>
            <w:pPr>
              <w:spacing w:after="0"/>
              <w:rPr>
                <w:sz w:val="6"/>
                <w:szCs w:val="6"/>
                <w:color w:val="auto"/>
              </w:rPr>
            </w:pPr>
          </w:p>
        </w:tc>
        <w:tc>
          <w:tcPr>
            <w:tcW w:w="11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5160" w:type="dxa"/>
            <w:vAlign w:val="bottom"/>
            <w:shd w:val="clear" w:color="auto" w:fill="CCEEFF"/>
          </w:tcPr>
          <w:p>
            <w:pPr>
              <w:ind w:left="40"/>
              <w:spacing w:after="0"/>
              <w:rPr>
                <w:sz w:val="20"/>
                <w:szCs w:val="20"/>
                <w:color w:val="auto"/>
              </w:rPr>
            </w:pPr>
            <w:r>
              <w:rPr>
                <w:rFonts w:ascii="Arial" w:cs="Arial" w:eastAsia="Arial" w:hAnsi="Arial"/>
                <w:sz w:val="14"/>
                <w:szCs w:val="14"/>
                <w:color w:val="auto"/>
              </w:rPr>
              <w:t>Credit</w:t>
            </w:r>
          </w:p>
        </w:tc>
        <w:tc>
          <w:tcPr>
            <w:tcW w:w="320" w:type="dxa"/>
            <w:vAlign w:val="bottom"/>
            <w:shd w:val="clear" w:color="auto" w:fill="CCEEFF"/>
          </w:tcPr>
          <w:p>
            <w:pPr>
              <w:spacing w:after="0"/>
              <w:rPr>
                <w:sz w:val="17"/>
                <w:szCs w:val="17"/>
                <w:color w:val="auto"/>
              </w:rPr>
            </w:pPr>
          </w:p>
        </w:tc>
        <w:tc>
          <w:tcPr>
            <w:tcW w:w="130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150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spacing w:after="0"/>
              <w:rPr>
                <w:sz w:val="17"/>
                <w:szCs w:val="17"/>
                <w:color w:val="auto"/>
              </w:rPr>
            </w:pPr>
          </w:p>
        </w:tc>
        <w:tc>
          <w:tcPr>
            <w:tcW w:w="108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7"/>
                <w:szCs w:val="17"/>
                <w:color w:val="auto"/>
              </w:rPr>
            </w:pPr>
          </w:p>
        </w:tc>
        <w:tc>
          <w:tcPr>
            <w:tcW w:w="118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80"/>
        </w:trPr>
        <w:tc>
          <w:tcPr>
            <w:tcW w:w="5160" w:type="dxa"/>
            <w:vAlign w:val="bottom"/>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1300" w:type="dxa"/>
            <w:vAlign w:val="bottom"/>
            <w:gridSpan w:val="2"/>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500" w:type="dxa"/>
            <w:vAlign w:val="bottom"/>
            <w:gridSpan w:val="2"/>
            <w:vMerge w:val="continue"/>
            <w:shd w:val="clear" w:color="auto" w:fill="CCEEFF"/>
          </w:tcPr>
          <w:p>
            <w:pPr>
              <w:spacing w:after="0"/>
              <w:rPr>
                <w:sz w:val="6"/>
                <w:szCs w:val="6"/>
                <w:color w:val="auto"/>
              </w:rPr>
            </w:pPr>
          </w:p>
        </w:tc>
        <w:tc>
          <w:tcPr>
            <w:tcW w:w="480" w:type="dxa"/>
            <w:vAlign w:val="bottom"/>
            <w:shd w:val="clear" w:color="auto" w:fill="CCEEFF"/>
          </w:tcPr>
          <w:p>
            <w:pPr>
              <w:spacing w:after="0"/>
              <w:rPr>
                <w:sz w:val="6"/>
                <w:szCs w:val="6"/>
                <w:color w:val="auto"/>
              </w:rPr>
            </w:pPr>
          </w:p>
        </w:tc>
        <w:tc>
          <w:tcPr>
            <w:tcW w:w="1080" w:type="dxa"/>
            <w:vAlign w:val="bottom"/>
            <w:gridSpan w:val="2"/>
            <w:vMerge w:val="continue"/>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118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5160" w:type="dxa"/>
            <w:vAlign w:val="bottom"/>
          </w:tcPr>
          <w:p>
            <w:pPr>
              <w:ind w:left="40"/>
              <w:spacing w:after="0"/>
              <w:rPr>
                <w:sz w:val="20"/>
                <w:szCs w:val="20"/>
                <w:color w:val="auto"/>
              </w:rPr>
            </w:pPr>
            <w:r>
              <w:rPr>
                <w:rFonts w:ascii="Arial" w:cs="Arial" w:eastAsia="Arial" w:hAnsi="Arial"/>
                <w:sz w:val="14"/>
                <w:szCs w:val="14"/>
                <w:color w:val="auto"/>
              </w:rPr>
              <w:t>Equity market</w:t>
            </w:r>
          </w:p>
        </w:tc>
        <w:tc>
          <w:tcPr>
            <w:tcW w:w="320" w:type="dxa"/>
            <w:vAlign w:val="bottom"/>
          </w:tcPr>
          <w:p>
            <w:pPr>
              <w:spacing w:after="0"/>
              <w:rPr>
                <w:sz w:val="16"/>
                <w:szCs w:val="16"/>
                <w:color w:val="auto"/>
              </w:rPr>
            </w:pPr>
          </w:p>
        </w:tc>
        <w:tc>
          <w:tcPr>
            <w:tcW w:w="1180" w:type="dxa"/>
            <w:vAlign w:val="bottom"/>
            <w:vMerge w:val="restart"/>
          </w:tcPr>
          <w:p>
            <w:pPr>
              <w:jc w:val="right"/>
              <w:ind w:right="48"/>
              <w:spacing w:after="0"/>
              <w:rPr>
                <w:sz w:val="20"/>
                <w:szCs w:val="20"/>
                <w:color w:val="auto"/>
              </w:rPr>
            </w:pPr>
            <w:r>
              <w:rPr>
                <w:rFonts w:ascii="Arial" w:cs="Arial" w:eastAsia="Arial" w:hAnsi="Arial"/>
                <w:sz w:val="14"/>
                <w:szCs w:val="14"/>
                <w:color w:val="auto"/>
              </w:rPr>
              <w:t>11</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vMerge w:val="restart"/>
          </w:tcPr>
          <w:p>
            <w:pPr>
              <w:jc w:val="right"/>
              <w:ind w:right="49"/>
              <w:spacing w:after="0"/>
              <w:rPr>
                <w:sz w:val="20"/>
                <w:szCs w:val="20"/>
                <w:color w:val="auto"/>
              </w:rPr>
            </w:pPr>
            <w:r>
              <w:rPr>
                <w:rFonts w:ascii="Arial" w:cs="Arial" w:eastAsia="Arial" w:hAnsi="Arial"/>
                <w:sz w:val="14"/>
                <w:szCs w:val="14"/>
                <w:color w:val="auto"/>
              </w:rPr>
              <w:t>1,623</w:t>
            </w: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80" w:type="dxa"/>
            <w:vAlign w:val="bottom"/>
            <w:vMerge w:val="restart"/>
          </w:tcPr>
          <w:p>
            <w:pPr>
              <w:jc w:val="right"/>
              <w:ind w:right="48"/>
              <w:spacing w:after="0"/>
              <w:rPr>
                <w:sz w:val="20"/>
                <w:szCs w:val="20"/>
                <w:color w:val="auto"/>
              </w:rPr>
            </w:pPr>
            <w:r>
              <w:rPr>
                <w:rFonts w:ascii="Arial" w:cs="Arial" w:eastAsia="Arial" w:hAnsi="Arial"/>
                <w:sz w:val="14"/>
                <w:szCs w:val="14"/>
                <w:color w:val="auto"/>
              </w:rPr>
              <w:t>615</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80" w:type="dxa"/>
            <w:vAlign w:val="bottom"/>
            <w:vMerge w:val="restart"/>
          </w:tcPr>
          <w:p>
            <w:pPr>
              <w:jc w:val="right"/>
              <w:ind w:right="29"/>
              <w:spacing w:after="0"/>
              <w:rPr>
                <w:sz w:val="20"/>
                <w:szCs w:val="20"/>
                <w:color w:val="auto"/>
              </w:rPr>
            </w:pPr>
            <w:r>
              <w:rPr>
                <w:rFonts w:ascii="Arial" w:cs="Arial" w:eastAsia="Arial" w:hAnsi="Arial"/>
                <w:sz w:val="14"/>
                <w:szCs w:val="14"/>
                <w:color w:val="auto"/>
              </w:rPr>
              <w:t>2,249</w:t>
            </w:r>
          </w:p>
        </w:tc>
        <w:tc>
          <w:tcPr>
            <w:tcW w:w="0" w:type="dxa"/>
            <w:vAlign w:val="bottom"/>
          </w:tcPr>
          <w:p>
            <w:pPr>
              <w:spacing w:after="0"/>
              <w:rPr>
                <w:sz w:val="1"/>
                <w:szCs w:val="1"/>
                <w:color w:val="auto"/>
              </w:rPr>
            </w:pPr>
          </w:p>
        </w:tc>
      </w:tr>
      <w:tr>
        <w:trPr>
          <w:trHeight w:val="74"/>
        </w:trPr>
        <w:tc>
          <w:tcPr>
            <w:tcW w:w="5160" w:type="dxa"/>
            <w:vAlign w:val="bottom"/>
            <w:tcBorders>
              <w:bottom w:val="single" w:sz="8" w:color="CCEEFF"/>
            </w:tcBorders>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118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138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480" w:type="dxa"/>
            <w:vAlign w:val="bottom"/>
            <w:tcBorders>
              <w:bottom w:val="single" w:sz="8" w:color="auto"/>
            </w:tcBorders>
          </w:tcPr>
          <w:p>
            <w:pPr>
              <w:spacing w:after="0"/>
              <w:rPr>
                <w:sz w:val="6"/>
                <w:szCs w:val="6"/>
                <w:color w:val="auto"/>
              </w:rPr>
            </w:pPr>
          </w:p>
        </w:tc>
        <w:tc>
          <w:tcPr>
            <w:tcW w:w="98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118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5160" w:type="dxa"/>
            <w:vAlign w:val="bottom"/>
            <w:shd w:val="clear" w:color="auto" w:fill="CCEEFF"/>
          </w:tcPr>
          <w:p>
            <w:pPr>
              <w:ind w:left="200"/>
              <w:spacing w:after="0"/>
              <w:rPr>
                <w:sz w:val="20"/>
                <w:szCs w:val="20"/>
                <w:color w:val="auto"/>
              </w:rPr>
            </w:pPr>
            <w:r>
              <w:rPr>
                <w:rFonts w:ascii="Arial" w:cs="Arial" w:eastAsia="Arial" w:hAnsi="Arial"/>
                <w:sz w:val="14"/>
                <w:szCs w:val="14"/>
                <w:color w:val="auto"/>
              </w:rPr>
              <w:t>Total derivative liabilities</w:t>
            </w:r>
          </w:p>
        </w:tc>
        <w:tc>
          <w:tcPr>
            <w:tcW w:w="320" w:type="dxa"/>
            <w:vAlign w:val="bottom"/>
            <w:shd w:val="clear" w:color="auto" w:fill="CCEEFF"/>
          </w:tcPr>
          <w:p>
            <w:pPr>
              <w:spacing w:after="0"/>
              <w:rPr>
                <w:sz w:val="15"/>
                <w:szCs w:val="15"/>
                <w:color w:val="auto"/>
              </w:rPr>
            </w:pPr>
          </w:p>
        </w:tc>
        <w:tc>
          <w:tcPr>
            <w:tcW w:w="118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11</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380" w:type="dxa"/>
            <w:vAlign w:val="bottom"/>
            <w:vMerge w:val="restart"/>
            <w:shd w:val="clear" w:color="auto" w:fill="CCEEFF"/>
          </w:tcPr>
          <w:p>
            <w:pPr>
              <w:jc w:val="right"/>
              <w:ind w:right="49"/>
              <w:spacing w:after="0"/>
              <w:rPr>
                <w:sz w:val="20"/>
                <w:szCs w:val="20"/>
                <w:color w:val="auto"/>
              </w:rPr>
            </w:pPr>
            <w:r>
              <w:rPr>
                <w:rFonts w:ascii="Arial" w:cs="Arial" w:eastAsia="Arial" w:hAnsi="Arial"/>
                <w:sz w:val="14"/>
                <w:szCs w:val="14"/>
                <w:color w:val="auto"/>
              </w:rPr>
              <w:t>2,509</w:t>
            </w:r>
          </w:p>
        </w:tc>
        <w:tc>
          <w:tcPr>
            <w:tcW w:w="12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98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616</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18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3,136</w:t>
            </w:r>
          </w:p>
        </w:tc>
        <w:tc>
          <w:tcPr>
            <w:tcW w:w="0" w:type="dxa"/>
            <w:vAlign w:val="bottom"/>
          </w:tcPr>
          <w:p>
            <w:pPr>
              <w:spacing w:after="0"/>
              <w:rPr>
                <w:sz w:val="1"/>
                <w:szCs w:val="1"/>
                <w:color w:val="auto"/>
              </w:rPr>
            </w:pPr>
          </w:p>
        </w:tc>
      </w:tr>
      <w:tr>
        <w:trPr>
          <w:trHeight w:val="80"/>
        </w:trPr>
        <w:tc>
          <w:tcPr>
            <w:tcW w:w="5160" w:type="dxa"/>
            <w:vAlign w:val="bottom"/>
            <w:shd w:val="clear" w:color="auto" w:fill="CCEEFF"/>
          </w:tcPr>
          <w:p>
            <w:pPr>
              <w:spacing w:after="0"/>
              <w:rPr>
                <w:sz w:val="6"/>
                <w:szCs w:val="6"/>
                <w:color w:val="auto"/>
              </w:rPr>
            </w:pPr>
          </w:p>
        </w:tc>
        <w:tc>
          <w:tcPr>
            <w:tcW w:w="320" w:type="dxa"/>
            <w:vAlign w:val="bottom"/>
            <w:tcBorders>
              <w:bottom w:val="single" w:sz="8" w:color="auto"/>
            </w:tcBorders>
            <w:shd w:val="clear" w:color="auto" w:fill="CCEEFF"/>
          </w:tcPr>
          <w:p>
            <w:pPr>
              <w:spacing w:after="0"/>
              <w:rPr>
                <w:sz w:val="6"/>
                <w:szCs w:val="6"/>
                <w:color w:val="auto"/>
              </w:rPr>
            </w:pPr>
          </w:p>
        </w:tc>
        <w:tc>
          <w:tcPr>
            <w:tcW w:w="118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0" w:type="dxa"/>
            <w:vAlign w:val="bottom"/>
            <w:tcBorders>
              <w:bottom w:val="single" w:sz="8" w:color="auto"/>
            </w:tcBorders>
            <w:shd w:val="clear" w:color="auto" w:fill="CCEEFF"/>
          </w:tcPr>
          <w:p>
            <w:pPr>
              <w:spacing w:after="0"/>
              <w:rPr>
                <w:sz w:val="6"/>
                <w:szCs w:val="6"/>
                <w:color w:val="auto"/>
              </w:rPr>
            </w:pPr>
          </w:p>
        </w:tc>
        <w:tc>
          <w:tcPr>
            <w:tcW w:w="138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480" w:type="dxa"/>
            <w:vAlign w:val="bottom"/>
            <w:tcBorders>
              <w:bottom w:val="single" w:sz="8" w:color="auto"/>
            </w:tcBorders>
            <w:shd w:val="clear" w:color="auto" w:fill="CCEEFF"/>
          </w:tcPr>
          <w:p>
            <w:pPr>
              <w:spacing w:after="0"/>
              <w:rPr>
                <w:sz w:val="6"/>
                <w:szCs w:val="6"/>
                <w:color w:val="auto"/>
              </w:rPr>
            </w:pPr>
          </w:p>
        </w:tc>
        <w:tc>
          <w:tcPr>
            <w:tcW w:w="98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80" w:type="dxa"/>
            <w:vAlign w:val="bottom"/>
            <w:tcBorders>
              <w:bottom w:val="single" w:sz="8" w:color="auto"/>
            </w:tcBorders>
            <w:shd w:val="clear" w:color="auto" w:fill="CCEEFF"/>
          </w:tcPr>
          <w:p>
            <w:pPr>
              <w:spacing w:after="0"/>
              <w:rPr>
                <w:sz w:val="6"/>
                <w:szCs w:val="6"/>
                <w:color w:val="auto"/>
              </w:rPr>
            </w:pPr>
          </w:p>
        </w:tc>
        <w:tc>
          <w:tcPr>
            <w:tcW w:w="1180" w:type="dxa"/>
            <w:vAlign w:val="bottom"/>
            <w:tcBorders>
              <w:bottom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1"/>
        </w:trPr>
        <w:tc>
          <w:tcPr>
            <w:tcW w:w="5160" w:type="dxa"/>
            <w:vAlign w:val="bottom"/>
          </w:tcPr>
          <w:p>
            <w:pPr>
              <w:ind w:left="40"/>
              <w:spacing w:after="0"/>
              <w:rPr>
                <w:sz w:val="20"/>
                <w:szCs w:val="20"/>
                <w:color w:val="auto"/>
              </w:rPr>
            </w:pPr>
            <w:r>
              <w:rPr>
                <w:rFonts w:ascii="Arial" w:cs="Arial" w:eastAsia="Arial" w:hAnsi="Arial"/>
                <w:sz w:val="14"/>
                <w:szCs w:val="14"/>
                <w:color w:val="auto"/>
              </w:rPr>
              <w:t>Embedded derivatives within liability host contracts (2)</w:t>
            </w:r>
          </w:p>
        </w:tc>
        <w:tc>
          <w:tcPr>
            <w:tcW w:w="320" w:type="dxa"/>
            <w:vAlign w:val="bottom"/>
          </w:tcPr>
          <w:p>
            <w:pPr>
              <w:spacing w:after="0"/>
              <w:rPr>
                <w:sz w:val="14"/>
                <w:szCs w:val="14"/>
                <w:color w:val="auto"/>
              </w:rPr>
            </w:pPr>
          </w:p>
        </w:tc>
        <w:tc>
          <w:tcPr>
            <w:tcW w:w="130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50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480" w:type="dxa"/>
            <w:vAlign w:val="bottom"/>
          </w:tcPr>
          <w:p>
            <w:pPr>
              <w:spacing w:after="0"/>
              <w:rPr>
                <w:sz w:val="14"/>
                <w:szCs w:val="14"/>
                <w:color w:val="auto"/>
              </w:rPr>
            </w:pPr>
          </w:p>
        </w:tc>
        <w:tc>
          <w:tcPr>
            <w:tcW w:w="980" w:type="dxa"/>
            <w:vAlign w:val="bottom"/>
            <w:vMerge w:val="restart"/>
          </w:tcPr>
          <w:p>
            <w:pPr>
              <w:jc w:val="right"/>
              <w:ind w:right="48"/>
              <w:spacing w:after="0"/>
              <w:rPr>
                <w:sz w:val="20"/>
                <w:szCs w:val="20"/>
                <w:color w:val="auto"/>
              </w:rPr>
            </w:pPr>
            <w:r>
              <w:rPr>
                <w:rFonts w:ascii="Arial" w:cs="Arial" w:eastAsia="Arial" w:hAnsi="Arial"/>
                <w:sz w:val="14"/>
                <w:szCs w:val="14"/>
                <w:color w:val="auto"/>
              </w:rPr>
              <w:t>1,930</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80" w:type="dxa"/>
            <w:vAlign w:val="bottom"/>
            <w:vMerge w:val="restart"/>
          </w:tcPr>
          <w:p>
            <w:pPr>
              <w:jc w:val="right"/>
              <w:ind w:right="29"/>
              <w:spacing w:after="0"/>
              <w:rPr>
                <w:sz w:val="20"/>
                <w:szCs w:val="20"/>
                <w:color w:val="auto"/>
              </w:rPr>
            </w:pPr>
            <w:r>
              <w:rPr>
                <w:rFonts w:ascii="Arial" w:cs="Arial" w:eastAsia="Arial" w:hAnsi="Arial"/>
                <w:sz w:val="14"/>
                <w:szCs w:val="14"/>
                <w:color w:val="auto"/>
              </w:rPr>
              <w:t>1,930</w:t>
            </w:r>
          </w:p>
        </w:tc>
        <w:tc>
          <w:tcPr>
            <w:tcW w:w="0" w:type="dxa"/>
            <w:vAlign w:val="bottom"/>
          </w:tcPr>
          <w:p>
            <w:pPr>
              <w:spacing w:after="0"/>
              <w:rPr>
                <w:sz w:val="1"/>
                <w:szCs w:val="1"/>
                <w:color w:val="auto"/>
              </w:rPr>
            </w:pPr>
          </w:p>
        </w:tc>
      </w:tr>
      <w:tr>
        <w:trPr>
          <w:trHeight w:val="74"/>
        </w:trPr>
        <w:tc>
          <w:tcPr>
            <w:tcW w:w="5160" w:type="dxa"/>
            <w:vAlign w:val="bottom"/>
          </w:tcPr>
          <w:p>
            <w:pPr>
              <w:spacing w:after="0"/>
              <w:rPr>
                <w:sz w:val="6"/>
                <w:szCs w:val="6"/>
                <w:color w:val="auto"/>
              </w:rPr>
            </w:pPr>
          </w:p>
        </w:tc>
        <w:tc>
          <w:tcPr>
            <w:tcW w:w="320" w:type="dxa"/>
            <w:vAlign w:val="bottom"/>
          </w:tcPr>
          <w:p>
            <w:pPr>
              <w:spacing w:after="0"/>
              <w:rPr>
                <w:sz w:val="6"/>
                <w:szCs w:val="6"/>
                <w:color w:val="auto"/>
              </w:rPr>
            </w:pPr>
          </w:p>
        </w:tc>
        <w:tc>
          <w:tcPr>
            <w:tcW w:w="130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1500" w:type="dxa"/>
            <w:vAlign w:val="bottom"/>
            <w:gridSpan w:val="2"/>
            <w:vMerge w:val="continue"/>
          </w:tcPr>
          <w:p>
            <w:pPr>
              <w:spacing w:after="0"/>
              <w:rPr>
                <w:sz w:val="6"/>
                <w:szCs w:val="6"/>
                <w:color w:val="auto"/>
              </w:rPr>
            </w:pPr>
          </w:p>
        </w:tc>
        <w:tc>
          <w:tcPr>
            <w:tcW w:w="480" w:type="dxa"/>
            <w:vAlign w:val="bottom"/>
          </w:tcPr>
          <w:p>
            <w:pPr>
              <w:spacing w:after="0"/>
              <w:rPr>
                <w:sz w:val="6"/>
                <w:szCs w:val="6"/>
                <w:color w:val="auto"/>
              </w:rPr>
            </w:pPr>
          </w:p>
        </w:tc>
        <w:tc>
          <w:tcPr>
            <w:tcW w:w="98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280" w:type="dxa"/>
            <w:vAlign w:val="bottom"/>
          </w:tcPr>
          <w:p>
            <w:pPr>
              <w:spacing w:after="0"/>
              <w:rPr>
                <w:sz w:val="6"/>
                <w:szCs w:val="6"/>
                <w:color w:val="auto"/>
              </w:rPr>
            </w:pPr>
          </w:p>
        </w:tc>
        <w:tc>
          <w:tcPr>
            <w:tcW w:w="11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5160" w:type="dxa"/>
            <w:vAlign w:val="bottom"/>
            <w:shd w:val="clear" w:color="auto" w:fill="CCEEFF"/>
          </w:tcPr>
          <w:p>
            <w:pPr>
              <w:ind w:left="40"/>
              <w:spacing w:after="0"/>
              <w:rPr>
                <w:sz w:val="20"/>
                <w:szCs w:val="20"/>
                <w:color w:val="auto"/>
              </w:rPr>
            </w:pPr>
            <w:r>
              <w:rPr>
                <w:rFonts w:ascii="Arial" w:cs="Arial" w:eastAsia="Arial" w:hAnsi="Arial"/>
                <w:sz w:val="14"/>
                <w:szCs w:val="14"/>
                <w:color w:val="auto"/>
              </w:rPr>
              <w:t>Long-term debt of CSEs — FVO</w:t>
            </w:r>
          </w:p>
        </w:tc>
        <w:tc>
          <w:tcPr>
            <w:tcW w:w="320" w:type="dxa"/>
            <w:vAlign w:val="bottom"/>
            <w:shd w:val="clear" w:color="auto" w:fill="CCEEFF"/>
          </w:tcPr>
          <w:p>
            <w:pPr>
              <w:spacing w:after="0"/>
              <w:rPr>
                <w:sz w:val="17"/>
                <w:szCs w:val="17"/>
                <w:color w:val="auto"/>
              </w:rPr>
            </w:pPr>
          </w:p>
        </w:tc>
        <w:tc>
          <w:tcPr>
            <w:tcW w:w="130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1380" w:type="dxa"/>
            <w:vAlign w:val="bottom"/>
            <w:vMerge w:val="restart"/>
            <w:shd w:val="clear" w:color="auto" w:fill="CCEEFF"/>
          </w:tcPr>
          <w:p>
            <w:pPr>
              <w:jc w:val="right"/>
              <w:ind w:right="49"/>
              <w:spacing w:after="0"/>
              <w:rPr>
                <w:sz w:val="20"/>
                <w:szCs w:val="20"/>
                <w:color w:val="auto"/>
              </w:rPr>
            </w:pPr>
            <w:r>
              <w:rPr>
                <w:rFonts w:ascii="Arial" w:cs="Arial" w:eastAsia="Arial" w:hAnsi="Arial"/>
                <w:sz w:val="14"/>
                <w:szCs w:val="14"/>
                <w:color w:val="auto"/>
              </w:rPr>
              <w:t>14</w:t>
            </w: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8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7"/>
                <w:szCs w:val="17"/>
                <w:color w:val="auto"/>
              </w:rPr>
            </w:pPr>
          </w:p>
        </w:tc>
        <w:tc>
          <w:tcPr>
            <w:tcW w:w="118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14</w:t>
            </w:r>
          </w:p>
        </w:tc>
        <w:tc>
          <w:tcPr>
            <w:tcW w:w="0" w:type="dxa"/>
            <w:vAlign w:val="bottom"/>
          </w:tcPr>
          <w:p>
            <w:pPr>
              <w:spacing w:after="0"/>
              <w:rPr>
                <w:sz w:val="1"/>
                <w:szCs w:val="1"/>
                <w:color w:val="auto"/>
              </w:rPr>
            </w:pPr>
          </w:p>
        </w:tc>
      </w:tr>
      <w:tr>
        <w:trPr>
          <w:trHeight w:val="80"/>
        </w:trPr>
        <w:tc>
          <w:tcPr>
            <w:tcW w:w="5160" w:type="dxa"/>
            <w:vAlign w:val="bottom"/>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1300" w:type="dxa"/>
            <w:vAlign w:val="bottom"/>
            <w:gridSpan w:val="2"/>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38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480" w:type="dxa"/>
            <w:vAlign w:val="bottom"/>
            <w:shd w:val="clear" w:color="auto" w:fill="CCEEFF"/>
          </w:tcPr>
          <w:p>
            <w:pPr>
              <w:spacing w:after="0"/>
              <w:rPr>
                <w:sz w:val="6"/>
                <w:szCs w:val="6"/>
                <w:color w:val="auto"/>
              </w:rPr>
            </w:pPr>
          </w:p>
        </w:tc>
        <w:tc>
          <w:tcPr>
            <w:tcW w:w="1080" w:type="dxa"/>
            <w:vAlign w:val="bottom"/>
            <w:gridSpan w:val="2"/>
            <w:vMerge w:val="continue"/>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118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1"/>
        </w:trPr>
        <w:tc>
          <w:tcPr>
            <w:tcW w:w="5160" w:type="dxa"/>
            <w:vAlign w:val="bottom"/>
          </w:tcPr>
          <w:p>
            <w:pPr>
              <w:ind w:left="200"/>
              <w:spacing w:after="0"/>
              <w:rPr>
                <w:sz w:val="20"/>
                <w:szCs w:val="20"/>
                <w:color w:val="auto"/>
              </w:rPr>
            </w:pPr>
            <w:r>
              <w:rPr>
                <w:rFonts w:ascii="Arial" w:cs="Arial" w:eastAsia="Arial" w:hAnsi="Arial"/>
                <w:sz w:val="14"/>
                <w:szCs w:val="14"/>
                <w:color w:val="auto"/>
              </w:rPr>
              <w:t>Total liabilities</w:t>
            </w:r>
          </w:p>
        </w:tc>
        <w:tc>
          <w:tcPr>
            <w:tcW w:w="320" w:type="dxa"/>
            <w:vAlign w:val="bottom"/>
            <w:tcBorders>
              <w:top w:val="single" w:sz="8" w:color="auto"/>
            </w:tcBorders>
            <w:vMerge w:val="restart"/>
          </w:tcPr>
          <w:p>
            <w:pPr>
              <w:jc w:val="right"/>
              <w:ind w:right="148"/>
              <w:spacing w:after="0"/>
              <w:rPr>
                <w:sz w:val="20"/>
                <w:szCs w:val="20"/>
                <w:color w:val="auto"/>
              </w:rPr>
            </w:pPr>
            <w:r>
              <w:rPr>
                <w:rFonts w:ascii="Arial" w:cs="Arial" w:eastAsia="Arial" w:hAnsi="Arial"/>
                <w:sz w:val="14"/>
                <w:szCs w:val="14"/>
                <w:color w:val="auto"/>
              </w:rPr>
              <w:t>$</w:t>
            </w:r>
          </w:p>
        </w:tc>
        <w:tc>
          <w:tcPr>
            <w:tcW w:w="1180" w:type="dxa"/>
            <w:vAlign w:val="bottom"/>
            <w:tcBorders>
              <w:top w:val="single" w:sz="8" w:color="auto"/>
            </w:tcBorders>
            <w:vMerge w:val="restart"/>
          </w:tcPr>
          <w:p>
            <w:pPr>
              <w:jc w:val="right"/>
              <w:ind w:right="48"/>
              <w:spacing w:after="0"/>
              <w:rPr>
                <w:sz w:val="20"/>
                <w:szCs w:val="20"/>
                <w:color w:val="auto"/>
              </w:rPr>
            </w:pPr>
            <w:r>
              <w:rPr>
                <w:rFonts w:ascii="Arial" w:cs="Arial" w:eastAsia="Arial" w:hAnsi="Arial"/>
                <w:sz w:val="14"/>
                <w:szCs w:val="14"/>
                <w:color w:val="auto"/>
              </w:rPr>
              <w:t>11</w:t>
            </w:r>
          </w:p>
        </w:tc>
        <w:tc>
          <w:tcPr>
            <w:tcW w:w="120" w:type="dxa"/>
            <w:vAlign w:val="bottom"/>
          </w:tcPr>
          <w:p>
            <w:pPr>
              <w:spacing w:after="0"/>
              <w:rPr>
                <w:sz w:val="14"/>
                <w:szCs w:val="14"/>
                <w:color w:val="auto"/>
              </w:rPr>
            </w:pPr>
          </w:p>
        </w:tc>
        <w:tc>
          <w:tcPr>
            <w:tcW w:w="12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w:t>
            </w:r>
          </w:p>
        </w:tc>
        <w:tc>
          <w:tcPr>
            <w:tcW w:w="1380" w:type="dxa"/>
            <w:vAlign w:val="bottom"/>
            <w:tcBorders>
              <w:top w:val="single" w:sz="8" w:color="auto"/>
            </w:tcBorders>
            <w:vMerge w:val="restart"/>
          </w:tcPr>
          <w:p>
            <w:pPr>
              <w:jc w:val="right"/>
              <w:ind w:right="49"/>
              <w:spacing w:after="0"/>
              <w:rPr>
                <w:sz w:val="20"/>
                <w:szCs w:val="20"/>
                <w:color w:val="auto"/>
              </w:rPr>
            </w:pPr>
            <w:r>
              <w:rPr>
                <w:rFonts w:ascii="Arial" w:cs="Arial" w:eastAsia="Arial" w:hAnsi="Arial"/>
                <w:sz w:val="14"/>
                <w:szCs w:val="14"/>
                <w:color w:val="auto"/>
              </w:rPr>
              <w:t>2,523</w:t>
            </w:r>
          </w:p>
        </w:tc>
        <w:tc>
          <w:tcPr>
            <w:tcW w:w="120" w:type="dxa"/>
            <w:vAlign w:val="bottom"/>
          </w:tcPr>
          <w:p>
            <w:pPr>
              <w:spacing w:after="0"/>
              <w:rPr>
                <w:sz w:val="14"/>
                <w:szCs w:val="14"/>
                <w:color w:val="auto"/>
              </w:rPr>
            </w:pPr>
          </w:p>
        </w:tc>
        <w:tc>
          <w:tcPr>
            <w:tcW w:w="480" w:type="dxa"/>
            <w:vAlign w:val="bottom"/>
            <w:tcBorders>
              <w:top w:val="single" w:sz="8" w:color="auto"/>
            </w:tcBorders>
            <w:vMerge w:val="restart"/>
          </w:tcPr>
          <w:p>
            <w:pPr>
              <w:jc w:val="right"/>
              <w:ind w:right="308"/>
              <w:spacing w:after="0"/>
              <w:rPr>
                <w:sz w:val="20"/>
                <w:szCs w:val="20"/>
                <w:color w:val="auto"/>
              </w:rPr>
            </w:pPr>
            <w:r>
              <w:rPr>
                <w:rFonts w:ascii="Arial" w:cs="Arial" w:eastAsia="Arial" w:hAnsi="Arial"/>
                <w:sz w:val="14"/>
                <w:szCs w:val="14"/>
                <w:color w:val="auto"/>
              </w:rPr>
              <w:t>$</w:t>
            </w:r>
          </w:p>
        </w:tc>
        <w:tc>
          <w:tcPr>
            <w:tcW w:w="980" w:type="dxa"/>
            <w:vAlign w:val="bottom"/>
            <w:tcBorders>
              <w:top w:val="single" w:sz="8" w:color="auto"/>
            </w:tcBorders>
            <w:vMerge w:val="restart"/>
          </w:tcPr>
          <w:p>
            <w:pPr>
              <w:jc w:val="right"/>
              <w:ind w:right="48"/>
              <w:spacing w:after="0"/>
              <w:rPr>
                <w:sz w:val="20"/>
                <w:szCs w:val="20"/>
                <w:color w:val="auto"/>
              </w:rPr>
            </w:pPr>
            <w:r>
              <w:rPr>
                <w:rFonts w:ascii="Arial" w:cs="Arial" w:eastAsia="Arial" w:hAnsi="Arial"/>
                <w:sz w:val="14"/>
                <w:szCs w:val="14"/>
                <w:color w:val="auto"/>
              </w:rPr>
              <w:t>2,546</w:t>
            </w:r>
          </w:p>
        </w:tc>
        <w:tc>
          <w:tcPr>
            <w:tcW w:w="100" w:type="dxa"/>
            <w:vAlign w:val="bottom"/>
          </w:tcPr>
          <w:p>
            <w:pPr>
              <w:spacing w:after="0"/>
              <w:rPr>
                <w:sz w:val="14"/>
                <w:szCs w:val="14"/>
                <w:color w:val="auto"/>
              </w:rPr>
            </w:pPr>
          </w:p>
        </w:tc>
        <w:tc>
          <w:tcPr>
            <w:tcW w:w="280" w:type="dxa"/>
            <w:vAlign w:val="bottom"/>
            <w:tcBorders>
              <w:top w:val="single" w:sz="8" w:color="auto"/>
            </w:tcBorders>
            <w:vMerge w:val="restart"/>
          </w:tcPr>
          <w:p>
            <w:pPr>
              <w:jc w:val="right"/>
              <w:ind w:right="108"/>
              <w:spacing w:after="0"/>
              <w:rPr>
                <w:sz w:val="20"/>
                <w:szCs w:val="20"/>
                <w:color w:val="auto"/>
              </w:rPr>
            </w:pPr>
            <w:r>
              <w:rPr>
                <w:rFonts w:ascii="Arial" w:cs="Arial" w:eastAsia="Arial" w:hAnsi="Arial"/>
                <w:sz w:val="14"/>
                <w:szCs w:val="14"/>
                <w:color w:val="auto"/>
              </w:rPr>
              <w:t>$</w:t>
            </w:r>
          </w:p>
        </w:tc>
        <w:tc>
          <w:tcPr>
            <w:tcW w:w="1180" w:type="dxa"/>
            <w:vAlign w:val="bottom"/>
            <w:tcBorders>
              <w:top w:val="single" w:sz="8" w:color="auto"/>
            </w:tcBorders>
            <w:vMerge w:val="restart"/>
          </w:tcPr>
          <w:p>
            <w:pPr>
              <w:jc w:val="right"/>
              <w:ind w:right="29"/>
              <w:spacing w:after="0"/>
              <w:rPr>
                <w:sz w:val="20"/>
                <w:szCs w:val="20"/>
                <w:color w:val="auto"/>
              </w:rPr>
            </w:pPr>
            <w:r>
              <w:rPr>
                <w:rFonts w:ascii="Arial" w:cs="Arial" w:eastAsia="Arial" w:hAnsi="Arial"/>
                <w:sz w:val="14"/>
                <w:szCs w:val="14"/>
                <w:color w:val="auto"/>
              </w:rPr>
              <w:t>5,080</w:t>
            </w:r>
          </w:p>
        </w:tc>
        <w:tc>
          <w:tcPr>
            <w:tcW w:w="0" w:type="dxa"/>
            <w:vAlign w:val="bottom"/>
          </w:tcPr>
          <w:p>
            <w:pPr>
              <w:spacing w:after="0"/>
              <w:rPr>
                <w:sz w:val="1"/>
                <w:szCs w:val="1"/>
                <w:color w:val="auto"/>
              </w:rPr>
            </w:pPr>
          </w:p>
        </w:tc>
      </w:tr>
      <w:tr>
        <w:trPr>
          <w:trHeight w:val="65"/>
        </w:trPr>
        <w:tc>
          <w:tcPr>
            <w:tcW w:w="5160" w:type="dxa"/>
            <w:vAlign w:val="bottom"/>
          </w:tcPr>
          <w:p>
            <w:pPr>
              <w:spacing w:after="0"/>
              <w:rPr>
                <w:sz w:val="5"/>
                <w:szCs w:val="5"/>
                <w:color w:val="auto"/>
              </w:rPr>
            </w:pPr>
          </w:p>
        </w:tc>
        <w:tc>
          <w:tcPr>
            <w:tcW w:w="320" w:type="dxa"/>
            <w:vAlign w:val="bottom"/>
            <w:tcBorders>
              <w:bottom w:val="single" w:sz="8" w:color="auto"/>
            </w:tcBorders>
            <w:vMerge w:val="continue"/>
          </w:tcPr>
          <w:p>
            <w:pPr>
              <w:spacing w:after="0"/>
              <w:rPr>
                <w:sz w:val="5"/>
                <w:szCs w:val="5"/>
                <w:color w:val="auto"/>
              </w:rPr>
            </w:pPr>
          </w:p>
        </w:tc>
        <w:tc>
          <w:tcPr>
            <w:tcW w:w="1180" w:type="dxa"/>
            <w:vAlign w:val="bottom"/>
            <w:tcBorders>
              <w:bottom w:val="single" w:sz="8" w:color="auto"/>
            </w:tcBorders>
            <w:vMerge w:val="continue"/>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Borders>
              <w:bottom w:val="single" w:sz="8" w:color="auto"/>
            </w:tcBorders>
            <w:vMerge w:val="continue"/>
          </w:tcPr>
          <w:p>
            <w:pPr>
              <w:spacing w:after="0"/>
              <w:rPr>
                <w:sz w:val="5"/>
                <w:szCs w:val="5"/>
                <w:color w:val="auto"/>
              </w:rPr>
            </w:pPr>
          </w:p>
        </w:tc>
        <w:tc>
          <w:tcPr>
            <w:tcW w:w="1380" w:type="dxa"/>
            <w:vAlign w:val="bottom"/>
            <w:tcBorders>
              <w:bottom w:val="single" w:sz="8" w:color="auto"/>
            </w:tcBorders>
            <w:vMerge w:val="continue"/>
          </w:tcPr>
          <w:p>
            <w:pPr>
              <w:spacing w:after="0"/>
              <w:rPr>
                <w:sz w:val="5"/>
                <w:szCs w:val="5"/>
                <w:color w:val="auto"/>
              </w:rPr>
            </w:pPr>
          </w:p>
        </w:tc>
        <w:tc>
          <w:tcPr>
            <w:tcW w:w="120" w:type="dxa"/>
            <w:vAlign w:val="bottom"/>
          </w:tcPr>
          <w:p>
            <w:pPr>
              <w:spacing w:after="0"/>
              <w:rPr>
                <w:sz w:val="5"/>
                <w:szCs w:val="5"/>
                <w:color w:val="auto"/>
              </w:rPr>
            </w:pPr>
          </w:p>
        </w:tc>
        <w:tc>
          <w:tcPr>
            <w:tcW w:w="480" w:type="dxa"/>
            <w:vAlign w:val="bottom"/>
            <w:tcBorders>
              <w:bottom w:val="single" w:sz="8" w:color="auto"/>
            </w:tcBorders>
            <w:vMerge w:val="continue"/>
          </w:tcPr>
          <w:p>
            <w:pPr>
              <w:spacing w:after="0"/>
              <w:rPr>
                <w:sz w:val="5"/>
                <w:szCs w:val="5"/>
                <w:color w:val="auto"/>
              </w:rPr>
            </w:pPr>
          </w:p>
        </w:tc>
        <w:tc>
          <w:tcPr>
            <w:tcW w:w="980" w:type="dxa"/>
            <w:vAlign w:val="bottom"/>
            <w:tcBorders>
              <w:bottom w:val="single" w:sz="8" w:color="auto"/>
            </w:tcBorders>
            <w:vMerge w:val="continue"/>
          </w:tcPr>
          <w:p>
            <w:pPr>
              <w:spacing w:after="0"/>
              <w:rPr>
                <w:sz w:val="5"/>
                <w:szCs w:val="5"/>
                <w:color w:val="auto"/>
              </w:rPr>
            </w:pPr>
          </w:p>
        </w:tc>
        <w:tc>
          <w:tcPr>
            <w:tcW w:w="100" w:type="dxa"/>
            <w:vAlign w:val="bottom"/>
          </w:tcPr>
          <w:p>
            <w:pPr>
              <w:spacing w:after="0"/>
              <w:rPr>
                <w:sz w:val="5"/>
                <w:szCs w:val="5"/>
                <w:color w:val="auto"/>
              </w:rPr>
            </w:pPr>
          </w:p>
        </w:tc>
        <w:tc>
          <w:tcPr>
            <w:tcW w:w="280" w:type="dxa"/>
            <w:vAlign w:val="bottom"/>
            <w:tcBorders>
              <w:bottom w:val="single" w:sz="8" w:color="auto"/>
            </w:tcBorders>
            <w:vMerge w:val="continue"/>
          </w:tcPr>
          <w:p>
            <w:pPr>
              <w:spacing w:after="0"/>
              <w:rPr>
                <w:sz w:val="5"/>
                <w:szCs w:val="5"/>
                <w:color w:val="auto"/>
              </w:rPr>
            </w:pPr>
          </w:p>
        </w:tc>
        <w:tc>
          <w:tcPr>
            <w:tcW w:w="1180" w:type="dxa"/>
            <w:vAlign w:val="bottom"/>
            <w:tcBorders>
              <w:bottom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234" w:right="239" w:bottom="1440" w:gutter="0" w:footer="0" w:header="0"/>
        </w:sectPr>
      </w:pPr>
    </w:p>
    <w:p>
      <w:pPr>
        <w:spacing w:after="0" w:line="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43</w:t>
      </w:r>
    </w:p>
    <w:p>
      <w:pPr>
        <w:sectPr>
          <w:pgSz w:w="11900" w:h="16838" w:orient="portrait"/>
          <w:cols w:equalWidth="0" w:num="1">
            <w:col w:w="11420"/>
          </w:cols>
          <w:pgMar w:left="240" w:top="234" w:right="239" w:bottom="1440" w:gutter="0" w:footer="0" w:header="0"/>
          <w:type w:val="continuous"/>
        </w:sectPr>
      </w:pPr>
    </w:p>
    <w:bookmarkStart w:id="45" w:name="page46"/>
    <w:bookmarkEnd w:id="45"/>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109" w:lineRule="exact"/>
        <w:rPr>
          <w:sz w:val="20"/>
          <w:szCs w:val="20"/>
          <w:color w:val="auto"/>
        </w:rPr>
      </w:pPr>
    </w:p>
    <w:p>
      <w:pPr>
        <w:ind w:left="4660"/>
        <w:spacing w:after="0"/>
        <w:rPr>
          <w:sz w:val="20"/>
          <w:szCs w:val="20"/>
          <w:color w:val="auto"/>
        </w:rPr>
      </w:pPr>
      <w:r>
        <w:rPr>
          <w:rFonts w:ascii="Arial" w:cs="Arial" w:eastAsia="Arial" w:hAnsi="Arial"/>
          <w:sz w:val="18"/>
          <w:szCs w:val="18"/>
          <w:b w:val="1"/>
          <w:bCs w:val="1"/>
          <w:color w:val="auto"/>
        </w:rPr>
        <w:t>Brighthouse Financial, Inc.</w:t>
      </w:r>
    </w:p>
    <w:p>
      <w:pPr>
        <w:spacing w:after="0" w:line="117" w:lineRule="exact"/>
        <w:rPr>
          <w:sz w:val="20"/>
          <w:szCs w:val="20"/>
          <w:color w:val="auto"/>
        </w:rPr>
      </w:pPr>
    </w:p>
    <w:p>
      <w:pPr>
        <w:ind w:left="1480"/>
        <w:spacing w:after="0"/>
        <w:rPr>
          <w:sz w:val="20"/>
          <w:szCs w:val="20"/>
          <w:color w:val="auto"/>
        </w:rPr>
      </w:pPr>
      <w:r>
        <w:rPr>
          <w:rFonts w:ascii="Arial" w:cs="Arial" w:eastAsia="Arial" w:hAnsi="Arial"/>
          <w:sz w:val="18"/>
          <w:szCs w:val="18"/>
          <w:b w:val="1"/>
          <w:bCs w:val="1"/>
          <w:color w:val="auto"/>
        </w:rPr>
        <w:t>Notes to the Interim Condensed Consolidated and Combined Financial Statements (Unaudited) — (continued)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Fair Value (continued)</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516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960" w:type="dxa"/>
            <w:vAlign w:val="bottom"/>
            <w:tcBorders>
              <w:bottom w:val="single" w:sz="8" w:color="auto"/>
            </w:tcBorders>
            <w:gridSpan w:val="3"/>
          </w:tcPr>
          <w:p>
            <w:pPr>
              <w:jc w:val="right"/>
              <w:spacing w:after="0"/>
              <w:rPr>
                <w:sz w:val="20"/>
                <w:szCs w:val="20"/>
                <w:color w:val="auto"/>
              </w:rPr>
            </w:pPr>
            <w:r>
              <w:rPr>
                <w:rFonts w:ascii="Arial" w:cs="Arial" w:eastAsia="Arial" w:hAnsi="Arial"/>
                <w:sz w:val="13"/>
                <w:szCs w:val="13"/>
                <w:b w:val="1"/>
                <w:bCs w:val="1"/>
                <w:color w:val="auto"/>
              </w:rPr>
              <w:t>December 31, 2016</w:t>
            </w:r>
          </w:p>
        </w:tc>
        <w:tc>
          <w:tcPr>
            <w:tcW w:w="10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5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0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2"/>
              </w:rPr>
              <w:t>Fair Value Hierarchy</w:t>
            </w:r>
          </w:p>
        </w:tc>
        <w:tc>
          <w:tcPr>
            <w:tcW w:w="4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80" w:type="dxa"/>
            <w:vAlign w:val="bottom"/>
          </w:tcPr>
          <w:p>
            <w:pPr>
              <w:jc w:val="center"/>
              <w:ind w:right="209"/>
              <w:spacing w:after="0"/>
              <w:rPr>
                <w:sz w:val="20"/>
                <w:szCs w:val="20"/>
                <w:color w:val="auto"/>
              </w:rPr>
            </w:pPr>
            <w:r>
              <w:rPr>
                <w:rFonts w:ascii="Arial" w:cs="Arial" w:eastAsia="Arial" w:hAnsi="Arial"/>
                <w:sz w:val="13"/>
                <w:szCs w:val="13"/>
                <w:b w:val="1"/>
                <w:bCs w:val="1"/>
                <w:color w:val="auto"/>
                <w:w w:val="83"/>
              </w:rPr>
              <w:t>Total</w:t>
            </w:r>
          </w:p>
        </w:tc>
        <w:tc>
          <w:tcPr>
            <w:tcW w:w="0" w:type="dxa"/>
            <w:vAlign w:val="bottom"/>
          </w:tcPr>
          <w:p>
            <w:pPr>
              <w:spacing w:after="0"/>
              <w:rPr>
                <w:sz w:val="1"/>
                <w:szCs w:val="1"/>
                <w:color w:val="auto"/>
              </w:rPr>
            </w:pPr>
          </w:p>
        </w:tc>
      </w:tr>
      <w:tr>
        <w:trPr>
          <w:trHeight w:val="32"/>
        </w:trPr>
        <w:tc>
          <w:tcPr>
            <w:tcW w:w="51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vMerge w:val="restart"/>
          </w:tcPr>
          <w:p>
            <w:pPr>
              <w:jc w:val="center"/>
              <w:ind w:right="209"/>
              <w:spacing w:after="0" w:line="135" w:lineRule="exact"/>
              <w:rPr>
                <w:sz w:val="20"/>
                <w:szCs w:val="20"/>
                <w:color w:val="auto"/>
              </w:rPr>
            </w:pPr>
            <w:r>
              <w:rPr>
                <w:rFonts w:ascii="Arial" w:cs="Arial" w:eastAsia="Arial" w:hAnsi="Arial"/>
                <w:sz w:val="13"/>
                <w:szCs w:val="13"/>
                <w:b w:val="1"/>
                <w:bCs w:val="1"/>
                <w:color w:val="auto"/>
                <w:w w:val="86"/>
              </w:rPr>
              <w:t>Estimated</w:t>
            </w:r>
          </w:p>
        </w:tc>
        <w:tc>
          <w:tcPr>
            <w:tcW w:w="0" w:type="dxa"/>
            <w:vAlign w:val="bottom"/>
          </w:tcPr>
          <w:p>
            <w:pPr>
              <w:spacing w:after="0"/>
              <w:rPr>
                <w:sz w:val="1"/>
                <w:szCs w:val="1"/>
                <w:color w:val="auto"/>
              </w:rPr>
            </w:pPr>
          </w:p>
        </w:tc>
      </w:tr>
      <w:tr>
        <w:trPr>
          <w:trHeight w:val="83"/>
        </w:trPr>
        <w:tc>
          <w:tcPr>
            <w:tcW w:w="5160" w:type="dxa"/>
            <w:vAlign w:val="bottom"/>
          </w:tcPr>
          <w:p>
            <w:pPr>
              <w:spacing w:after="0"/>
              <w:rPr>
                <w:sz w:val="7"/>
                <w:szCs w:val="7"/>
                <w:color w:val="auto"/>
              </w:rPr>
            </w:pPr>
          </w:p>
        </w:tc>
        <w:tc>
          <w:tcPr>
            <w:tcW w:w="320" w:type="dxa"/>
            <w:vAlign w:val="bottom"/>
          </w:tcPr>
          <w:p>
            <w:pPr>
              <w:spacing w:after="0"/>
              <w:rPr>
                <w:sz w:val="7"/>
                <w:szCs w:val="7"/>
                <w:color w:val="auto"/>
              </w:rPr>
            </w:pPr>
          </w:p>
        </w:tc>
        <w:tc>
          <w:tcPr>
            <w:tcW w:w="11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380" w:type="dxa"/>
            <w:vAlign w:val="bottom"/>
          </w:tcPr>
          <w:p>
            <w:pPr>
              <w:spacing w:after="0"/>
              <w:rPr>
                <w:sz w:val="7"/>
                <w:szCs w:val="7"/>
                <w:color w:val="auto"/>
              </w:rPr>
            </w:pPr>
          </w:p>
        </w:tc>
        <w:tc>
          <w:tcPr>
            <w:tcW w:w="120" w:type="dxa"/>
            <w:vAlign w:val="bottom"/>
          </w:tcPr>
          <w:p>
            <w:pPr>
              <w:spacing w:after="0"/>
              <w:rPr>
                <w:sz w:val="7"/>
                <w:szCs w:val="7"/>
                <w:color w:val="auto"/>
              </w:rPr>
            </w:pPr>
          </w:p>
        </w:tc>
        <w:tc>
          <w:tcPr>
            <w:tcW w:w="46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00" w:type="dxa"/>
            <w:vAlign w:val="bottom"/>
          </w:tcPr>
          <w:p>
            <w:pPr>
              <w:spacing w:after="0"/>
              <w:rPr>
                <w:sz w:val="7"/>
                <w:szCs w:val="7"/>
                <w:color w:val="auto"/>
              </w:rPr>
            </w:pPr>
          </w:p>
        </w:tc>
        <w:tc>
          <w:tcPr>
            <w:tcW w:w="280" w:type="dxa"/>
            <w:vAlign w:val="bottom"/>
          </w:tcPr>
          <w:p>
            <w:pPr>
              <w:spacing w:after="0"/>
              <w:rPr>
                <w:sz w:val="7"/>
                <w:szCs w:val="7"/>
                <w:color w:val="auto"/>
              </w:rPr>
            </w:pPr>
          </w:p>
        </w:tc>
        <w:tc>
          <w:tcPr>
            <w:tcW w:w="11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4"/>
        </w:trPr>
        <w:tc>
          <w:tcPr>
            <w:tcW w:w="516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gridSpan w:val="2"/>
          </w:tcPr>
          <w:p>
            <w:pPr>
              <w:ind w:left="220"/>
              <w:spacing w:after="0"/>
              <w:rPr>
                <w:sz w:val="20"/>
                <w:szCs w:val="20"/>
                <w:color w:val="auto"/>
              </w:rPr>
            </w:pPr>
            <w:r>
              <w:rPr>
                <w:rFonts w:ascii="Arial" w:cs="Arial" w:eastAsia="Arial" w:hAnsi="Arial"/>
                <w:sz w:val="13"/>
                <w:szCs w:val="13"/>
                <w:b w:val="1"/>
                <w:bCs w:val="1"/>
                <w:color w:val="auto"/>
              </w:rPr>
              <w:t>Level 1</w:t>
            </w:r>
          </w:p>
        </w:tc>
        <w:tc>
          <w:tcPr>
            <w:tcW w:w="12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3"/>
                <w:szCs w:val="13"/>
                <w:b w:val="1"/>
                <w:bCs w:val="1"/>
                <w:color w:val="auto"/>
                <w:w w:val="90"/>
              </w:rPr>
              <w:t>Level 2</w:t>
            </w:r>
          </w:p>
        </w:tc>
        <w:tc>
          <w:tcPr>
            <w:tcW w:w="46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gridSpan w:val="2"/>
          </w:tcPr>
          <w:p>
            <w:pPr>
              <w:ind w:left="80"/>
              <w:spacing w:after="0"/>
              <w:rPr>
                <w:sz w:val="20"/>
                <w:szCs w:val="20"/>
                <w:color w:val="auto"/>
              </w:rPr>
            </w:pPr>
            <w:r>
              <w:rPr>
                <w:rFonts w:ascii="Arial" w:cs="Arial" w:eastAsia="Arial" w:hAnsi="Arial"/>
                <w:sz w:val="13"/>
                <w:szCs w:val="13"/>
                <w:b w:val="1"/>
                <w:bCs w:val="1"/>
                <w:color w:val="auto"/>
              </w:rPr>
              <w:t>Level 3</w:t>
            </w:r>
          </w:p>
        </w:tc>
        <w:tc>
          <w:tcPr>
            <w:tcW w:w="28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center"/>
              <w:ind w:right="189"/>
              <w:spacing w:after="0"/>
              <w:rPr>
                <w:sz w:val="20"/>
                <w:szCs w:val="20"/>
                <w:color w:val="auto"/>
              </w:rPr>
            </w:pPr>
            <w:r>
              <w:rPr>
                <w:rFonts w:ascii="Arial" w:cs="Arial" w:eastAsia="Arial" w:hAnsi="Arial"/>
                <w:sz w:val="13"/>
                <w:szCs w:val="13"/>
                <w:b w:val="1"/>
                <w:bCs w:val="1"/>
                <w:color w:val="auto"/>
                <w:w w:val="90"/>
              </w:rPr>
              <w:t>Fair Value</w:t>
            </w:r>
          </w:p>
        </w:tc>
        <w:tc>
          <w:tcPr>
            <w:tcW w:w="0" w:type="dxa"/>
            <w:vAlign w:val="bottom"/>
          </w:tcPr>
          <w:p>
            <w:pPr>
              <w:spacing w:after="0"/>
              <w:rPr>
                <w:sz w:val="1"/>
                <w:szCs w:val="1"/>
                <w:color w:val="auto"/>
              </w:rPr>
            </w:pPr>
          </w:p>
        </w:tc>
      </w:tr>
      <w:tr>
        <w:trPr>
          <w:trHeight w:val="249"/>
        </w:trPr>
        <w:tc>
          <w:tcPr>
            <w:tcW w:w="51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960" w:type="dxa"/>
            <w:vAlign w:val="bottom"/>
            <w:gridSpan w:val="3"/>
          </w:tcPr>
          <w:p>
            <w:pPr>
              <w:jc w:val="right"/>
              <w:ind w:right="148"/>
              <w:spacing w:after="0"/>
              <w:rPr>
                <w:sz w:val="20"/>
                <w:szCs w:val="20"/>
                <w:color w:val="auto"/>
              </w:rPr>
            </w:pPr>
            <w:r>
              <w:rPr>
                <w:rFonts w:ascii="Arial" w:cs="Arial" w:eastAsia="Arial" w:hAnsi="Arial"/>
                <w:sz w:val="13"/>
                <w:szCs w:val="13"/>
                <w:b w:val="1"/>
                <w:bCs w:val="1"/>
                <w:color w:val="auto"/>
              </w:rPr>
              <w:t>(In millions)</w:t>
            </w: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9"/>
        </w:trPr>
        <w:tc>
          <w:tcPr>
            <w:tcW w:w="516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Assets</w:t>
            </w:r>
          </w:p>
        </w:tc>
        <w:tc>
          <w:tcPr>
            <w:tcW w:w="32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80"/>
        </w:trPr>
        <w:tc>
          <w:tcPr>
            <w:tcW w:w="5160" w:type="dxa"/>
            <w:vAlign w:val="bottom"/>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118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38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460" w:type="dxa"/>
            <w:vAlign w:val="bottom"/>
            <w:shd w:val="clear" w:color="auto" w:fill="CCEEFF"/>
          </w:tcPr>
          <w:p>
            <w:pPr>
              <w:spacing w:after="0"/>
              <w:rPr>
                <w:sz w:val="6"/>
                <w:szCs w:val="6"/>
                <w:color w:val="auto"/>
              </w:rPr>
            </w:pPr>
          </w:p>
        </w:tc>
        <w:tc>
          <w:tcPr>
            <w:tcW w:w="10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118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5160" w:type="dxa"/>
            <w:vAlign w:val="bottom"/>
          </w:tcPr>
          <w:p>
            <w:pPr>
              <w:ind w:left="40"/>
              <w:spacing w:after="0"/>
              <w:rPr>
                <w:sz w:val="20"/>
                <w:szCs w:val="20"/>
                <w:color w:val="auto"/>
              </w:rPr>
            </w:pPr>
            <w:r>
              <w:rPr>
                <w:rFonts w:ascii="Arial" w:cs="Arial" w:eastAsia="Arial" w:hAnsi="Arial"/>
                <w:sz w:val="14"/>
                <w:szCs w:val="14"/>
                <w:color w:val="auto"/>
              </w:rPr>
              <w:t>Fixed maturity securities:</w:t>
            </w:r>
          </w:p>
        </w:tc>
        <w:tc>
          <w:tcPr>
            <w:tcW w:w="3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5160" w:type="dxa"/>
            <w:vAlign w:val="bottom"/>
          </w:tcPr>
          <w:p>
            <w:pPr>
              <w:spacing w:after="0"/>
              <w:rPr>
                <w:sz w:val="6"/>
                <w:szCs w:val="6"/>
                <w:color w:val="auto"/>
              </w:rPr>
            </w:pPr>
          </w:p>
        </w:tc>
        <w:tc>
          <w:tcPr>
            <w:tcW w:w="320" w:type="dxa"/>
            <w:vAlign w:val="bottom"/>
          </w:tcPr>
          <w:p>
            <w:pPr>
              <w:spacing w:after="0"/>
              <w:rPr>
                <w:sz w:val="6"/>
                <w:szCs w:val="6"/>
                <w:color w:val="auto"/>
              </w:rPr>
            </w:pPr>
          </w:p>
        </w:tc>
        <w:tc>
          <w:tcPr>
            <w:tcW w:w="11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380" w:type="dxa"/>
            <w:vAlign w:val="bottom"/>
          </w:tcPr>
          <w:p>
            <w:pPr>
              <w:spacing w:after="0"/>
              <w:rPr>
                <w:sz w:val="6"/>
                <w:szCs w:val="6"/>
                <w:color w:val="auto"/>
              </w:rPr>
            </w:pPr>
          </w:p>
        </w:tc>
        <w:tc>
          <w:tcPr>
            <w:tcW w:w="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00" w:type="dxa"/>
            <w:vAlign w:val="bottom"/>
          </w:tcPr>
          <w:p>
            <w:pPr>
              <w:spacing w:after="0"/>
              <w:rPr>
                <w:sz w:val="6"/>
                <w:szCs w:val="6"/>
                <w:color w:val="auto"/>
              </w:rPr>
            </w:pPr>
          </w:p>
        </w:tc>
        <w:tc>
          <w:tcPr>
            <w:tcW w:w="280" w:type="dxa"/>
            <w:vAlign w:val="bottom"/>
          </w:tcPr>
          <w:p>
            <w:pPr>
              <w:spacing w:after="0"/>
              <w:rPr>
                <w:sz w:val="6"/>
                <w:szCs w:val="6"/>
                <w:color w:val="auto"/>
              </w:rPr>
            </w:pPr>
          </w:p>
        </w:tc>
        <w:tc>
          <w:tcPr>
            <w:tcW w:w="11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5160" w:type="dxa"/>
            <w:vAlign w:val="bottom"/>
            <w:shd w:val="clear" w:color="auto" w:fill="CCEEFF"/>
          </w:tcPr>
          <w:p>
            <w:pPr>
              <w:ind w:left="40"/>
              <w:spacing w:after="0"/>
              <w:rPr>
                <w:sz w:val="20"/>
                <w:szCs w:val="20"/>
                <w:color w:val="auto"/>
              </w:rPr>
            </w:pPr>
            <w:r>
              <w:rPr>
                <w:rFonts w:ascii="Arial" w:cs="Arial" w:eastAsia="Arial" w:hAnsi="Arial"/>
                <w:sz w:val="14"/>
                <w:szCs w:val="14"/>
                <w:color w:val="auto"/>
              </w:rPr>
              <w:t>U.S. corporate</w:t>
            </w:r>
          </w:p>
        </w:tc>
        <w:tc>
          <w:tcPr>
            <w:tcW w:w="320" w:type="dxa"/>
            <w:vAlign w:val="bottom"/>
            <w:vMerge w:val="restart"/>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30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80" w:type="dxa"/>
            <w:vAlign w:val="bottom"/>
            <w:vMerge w:val="restart"/>
            <w:shd w:val="clear" w:color="auto" w:fill="CCEEFF"/>
          </w:tcPr>
          <w:p>
            <w:pPr>
              <w:jc w:val="right"/>
              <w:ind w:right="49"/>
              <w:spacing w:after="0"/>
              <w:rPr>
                <w:sz w:val="20"/>
                <w:szCs w:val="20"/>
                <w:color w:val="auto"/>
              </w:rPr>
            </w:pPr>
            <w:r>
              <w:rPr>
                <w:rFonts w:ascii="Arial" w:cs="Arial" w:eastAsia="Arial" w:hAnsi="Arial"/>
                <w:sz w:val="14"/>
                <w:szCs w:val="14"/>
                <w:color w:val="auto"/>
              </w:rPr>
              <w:t>20,828</w:t>
            </w:r>
          </w:p>
        </w:tc>
        <w:tc>
          <w:tcPr>
            <w:tcW w:w="120" w:type="dxa"/>
            <w:vAlign w:val="bottom"/>
            <w:shd w:val="clear" w:color="auto" w:fill="CCEEFF"/>
          </w:tcPr>
          <w:p>
            <w:pPr>
              <w:spacing w:after="0"/>
              <w:rPr>
                <w:sz w:val="16"/>
                <w:szCs w:val="16"/>
                <w:color w:val="auto"/>
              </w:rPr>
            </w:pPr>
          </w:p>
        </w:tc>
        <w:tc>
          <w:tcPr>
            <w:tcW w:w="460" w:type="dxa"/>
            <w:vAlign w:val="bottom"/>
            <w:vMerge w:val="restart"/>
            <w:shd w:val="clear" w:color="auto" w:fill="CCEEFF"/>
          </w:tcPr>
          <w:p>
            <w:pPr>
              <w:jc w:val="right"/>
              <w:ind w:right="288"/>
              <w:spacing w:after="0"/>
              <w:rPr>
                <w:sz w:val="20"/>
                <w:szCs w:val="20"/>
                <w:color w:val="auto"/>
              </w:rPr>
            </w:pPr>
            <w:r>
              <w:rPr>
                <w:rFonts w:ascii="Arial" w:cs="Arial" w:eastAsia="Arial" w:hAnsi="Arial"/>
                <w:sz w:val="14"/>
                <w:szCs w:val="14"/>
                <w:color w:val="auto"/>
              </w:rPr>
              <w:t>$</w:t>
            </w:r>
          </w:p>
        </w:tc>
        <w:tc>
          <w:tcPr>
            <w:tcW w:w="100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1,483</w:t>
            </w:r>
          </w:p>
        </w:tc>
        <w:tc>
          <w:tcPr>
            <w:tcW w:w="100" w:type="dxa"/>
            <w:vAlign w:val="bottom"/>
            <w:shd w:val="clear" w:color="auto" w:fill="CCEEFF"/>
          </w:tcPr>
          <w:p>
            <w:pPr>
              <w:spacing w:after="0"/>
              <w:rPr>
                <w:sz w:val="16"/>
                <w:szCs w:val="16"/>
                <w:color w:val="auto"/>
              </w:rPr>
            </w:pPr>
          </w:p>
        </w:tc>
        <w:tc>
          <w:tcPr>
            <w:tcW w:w="280" w:type="dxa"/>
            <w:vAlign w:val="bottom"/>
            <w:vMerge w:val="restart"/>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18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22,311</w:t>
            </w:r>
          </w:p>
        </w:tc>
        <w:tc>
          <w:tcPr>
            <w:tcW w:w="0" w:type="dxa"/>
            <w:vAlign w:val="bottom"/>
          </w:tcPr>
          <w:p>
            <w:pPr>
              <w:spacing w:after="0"/>
              <w:rPr>
                <w:sz w:val="1"/>
                <w:szCs w:val="1"/>
                <w:color w:val="auto"/>
              </w:rPr>
            </w:pPr>
          </w:p>
        </w:tc>
      </w:tr>
      <w:tr>
        <w:trPr>
          <w:trHeight w:val="80"/>
        </w:trPr>
        <w:tc>
          <w:tcPr>
            <w:tcW w:w="5160" w:type="dxa"/>
            <w:vAlign w:val="bottom"/>
            <w:shd w:val="clear" w:color="auto" w:fill="CCEEFF"/>
          </w:tcPr>
          <w:p>
            <w:pPr>
              <w:spacing w:after="0"/>
              <w:rPr>
                <w:sz w:val="6"/>
                <w:szCs w:val="6"/>
                <w:color w:val="auto"/>
              </w:rPr>
            </w:pPr>
          </w:p>
        </w:tc>
        <w:tc>
          <w:tcPr>
            <w:tcW w:w="320" w:type="dxa"/>
            <w:vAlign w:val="bottom"/>
            <w:vMerge w:val="continue"/>
            <w:shd w:val="clear" w:color="auto" w:fill="CCEEFF"/>
          </w:tcPr>
          <w:p>
            <w:pPr>
              <w:spacing w:after="0"/>
              <w:rPr>
                <w:sz w:val="6"/>
                <w:szCs w:val="6"/>
                <w:color w:val="auto"/>
              </w:rPr>
            </w:pPr>
          </w:p>
        </w:tc>
        <w:tc>
          <w:tcPr>
            <w:tcW w:w="1300" w:type="dxa"/>
            <w:vAlign w:val="bottom"/>
            <w:gridSpan w:val="2"/>
            <w:vMerge w:val="continue"/>
            <w:shd w:val="clear" w:color="auto" w:fill="CCEEFF"/>
          </w:tcPr>
          <w:p>
            <w:pPr>
              <w:spacing w:after="0"/>
              <w:rPr>
                <w:sz w:val="6"/>
                <w:szCs w:val="6"/>
                <w:color w:val="auto"/>
              </w:rPr>
            </w:pPr>
          </w:p>
        </w:tc>
        <w:tc>
          <w:tcPr>
            <w:tcW w:w="120" w:type="dxa"/>
            <w:vAlign w:val="bottom"/>
            <w:vMerge w:val="continue"/>
            <w:shd w:val="clear" w:color="auto" w:fill="CCEEFF"/>
          </w:tcPr>
          <w:p>
            <w:pPr>
              <w:spacing w:after="0"/>
              <w:rPr>
                <w:sz w:val="6"/>
                <w:szCs w:val="6"/>
                <w:color w:val="auto"/>
              </w:rPr>
            </w:pPr>
          </w:p>
        </w:tc>
        <w:tc>
          <w:tcPr>
            <w:tcW w:w="138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460" w:type="dxa"/>
            <w:vAlign w:val="bottom"/>
            <w:vMerge w:val="continue"/>
            <w:shd w:val="clear" w:color="auto" w:fill="CCEEFF"/>
          </w:tcPr>
          <w:p>
            <w:pPr>
              <w:spacing w:after="0"/>
              <w:rPr>
                <w:sz w:val="6"/>
                <w:szCs w:val="6"/>
                <w:color w:val="auto"/>
              </w:rPr>
            </w:pPr>
          </w:p>
        </w:tc>
        <w:tc>
          <w:tcPr>
            <w:tcW w:w="100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80" w:type="dxa"/>
            <w:vAlign w:val="bottom"/>
            <w:vMerge w:val="continue"/>
            <w:shd w:val="clear" w:color="auto" w:fill="CCEEFF"/>
          </w:tcPr>
          <w:p>
            <w:pPr>
              <w:spacing w:after="0"/>
              <w:rPr>
                <w:sz w:val="6"/>
                <w:szCs w:val="6"/>
                <w:color w:val="auto"/>
              </w:rPr>
            </w:pPr>
          </w:p>
        </w:tc>
        <w:tc>
          <w:tcPr>
            <w:tcW w:w="118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5160" w:type="dxa"/>
            <w:vAlign w:val="bottom"/>
          </w:tcPr>
          <w:p>
            <w:pPr>
              <w:ind w:left="40"/>
              <w:spacing w:after="0"/>
              <w:rPr>
                <w:sz w:val="20"/>
                <w:szCs w:val="20"/>
                <w:color w:val="auto"/>
              </w:rPr>
            </w:pPr>
            <w:r>
              <w:rPr>
                <w:rFonts w:ascii="Arial" w:cs="Arial" w:eastAsia="Arial" w:hAnsi="Arial"/>
                <w:sz w:val="14"/>
                <w:szCs w:val="14"/>
                <w:color w:val="auto"/>
              </w:rPr>
              <w:t>U.S. government and agency</w:t>
            </w:r>
          </w:p>
        </w:tc>
        <w:tc>
          <w:tcPr>
            <w:tcW w:w="320" w:type="dxa"/>
            <w:vAlign w:val="bottom"/>
          </w:tcPr>
          <w:p>
            <w:pPr>
              <w:spacing w:after="0"/>
              <w:rPr>
                <w:sz w:val="16"/>
                <w:szCs w:val="16"/>
                <w:color w:val="auto"/>
              </w:rPr>
            </w:pPr>
          </w:p>
        </w:tc>
        <w:tc>
          <w:tcPr>
            <w:tcW w:w="1180" w:type="dxa"/>
            <w:vAlign w:val="bottom"/>
            <w:vMerge w:val="restart"/>
          </w:tcPr>
          <w:p>
            <w:pPr>
              <w:jc w:val="right"/>
              <w:ind w:right="48"/>
              <w:spacing w:after="0"/>
              <w:rPr>
                <w:sz w:val="20"/>
                <w:szCs w:val="20"/>
                <w:color w:val="auto"/>
              </w:rPr>
            </w:pPr>
            <w:r>
              <w:rPr>
                <w:rFonts w:ascii="Arial" w:cs="Arial" w:eastAsia="Arial" w:hAnsi="Arial"/>
                <w:sz w:val="14"/>
                <w:szCs w:val="14"/>
                <w:color w:val="auto"/>
              </w:rPr>
              <w:t>6,210</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vMerge w:val="restart"/>
          </w:tcPr>
          <w:p>
            <w:pPr>
              <w:jc w:val="right"/>
              <w:ind w:right="49"/>
              <w:spacing w:after="0"/>
              <w:rPr>
                <w:sz w:val="20"/>
                <w:szCs w:val="20"/>
                <w:color w:val="auto"/>
              </w:rPr>
            </w:pPr>
            <w:r>
              <w:rPr>
                <w:rFonts w:ascii="Arial" w:cs="Arial" w:eastAsia="Arial" w:hAnsi="Arial"/>
                <w:sz w:val="14"/>
                <w:szCs w:val="14"/>
                <w:color w:val="auto"/>
              </w:rPr>
              <w:t>6,880</w:t>
            </w: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1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6"/>
                <w:szCs w:val="16"/>
                <w:color w:val="auto"/>
              </w:rPr>
            </w:pPr>
          </w:p>
        </w:tc>
        <w:tc>
          <w:tcPr>
            <w:tcW w:w="1180" w:type="dxa"/>
            <w:vAlign w:val="bottom"/>
            <w:vMerge w:val="restart"/>
          </w:tcPr>
          <w:p>
            <w:pPr>
              <w:jc w:val="right"/>
              <w:ind w:right="29"/>
              <w:spacing w:after="0"/>
              <w:rPr>
                <w:sz w:val="20"/>
                <w:szCs w:val="20"/>
                <w:color w:val="auto"/>
              </w:rPr>
            </w:pPr>
            <w:r>
              <w:rPr>
                <w:rFonts w:ascii="Arial" w:cs="Arial" w:eastAsia="Arial" w:hAnsi="Arial"/>
                <w:sz w:val="14"/>
                <w:szCs w:val="14"/>
                <w:color w:val="auto"/>
              </w:rPr>
              <w:t>13,090</w:t>
            </w:r>
          </w:p>
        </w:tc>
        <w:tc>
          <w:tcPr>
            <w:tcW w:w="0" w:type="dxa"/>
            <w:vAlign w:val="bottom"/>
          </w:tcPr>
          <w:p>
            <w:pPr>
              <w:spacing w:after="0"/>
              <w:rPr>
                <w:sz w:val="1"/>
                <w:szCs w:val="1"/>
                <w:color w:val="auto"/>
              </w:rPr>
            </w:pPr>
          </w:p>
        </w:tc>
      </w:tr>
      <w:tr>
        <w:trPr>
          <w:trHeight w:val="74"/>
        </w:trPr>
        <w:tc>
          <w:tcPr>
            <w:tcW w:w="5160" w:type="dxa"/>
            <w:vAlign w:val="bottom"/>
          </w:tcPr>
          <w:p>
            <w:pPr>
              <w:spacing w:after="0"/>
              <w:rPr>
                <w:sz w:val="6"/>
                <w:szCs w:val="6"/>
                <w:color w:val="auto"/>
              </w:rPr>
            </w:pPr>
          </w:p>
        </w:tc>
        <w:tc>
          <w:tcPr>
            <w:tcW w:w="320" w:type="dxa"/>
            <w:vAlign w:val="bottom"/>
          </w:tcPr>
          <w:p>
            <w:pPr>
              <w:spacing w:after="0"/>
              <w:rPr>
                <w:sz w:val="6"/>
                <w:szCs w:val="6"/>
                <w:color w:val="auto"/>
              </w:rPr>
            </w:pPr>
          </w:p>
        </w:tc>
        <w:tc>
          <w:tcPr>
            <w:tcW w:w="11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3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1100" w:type="dxa"/>
            <w:vAlign w:val="bottom"/>
            <w:gridSpan w:val="2"/>
            <w:vMerge w:val="continue"/>
          </w:tcPr>
          <w:p>
            <w:pPr>
              <w:spacing w:after="0"/>
              <w:rPr>
                <w:sz w:val="6"/>
                <w:szCs w:val="6"/>
                <w:color w:val="auto"/>
              </w:rPr>
            </w:pPr>
          </w:p>
        </w:tc>
        <w:tc>
          <w:tcPr>
            <w:tcW w:w="280" w:type="dxa"/>
            <w:vAlign w:val="bottom"/>
          </w:tcPr>
          <w:p>
            <w:pPr>
              <w:spacing w:after="0"/>
              <w:rPr>
                <w:sz w:val="6"/>
                <w:szCs w:val="6"/>
                <w:color w:val="auto"/>
              </w:rPr>
            </w:pPr>
          </w:p>
        </w:tc>
        <w:tc>
          <w:tcPr>
            <w:tcW w:w="11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5160" w:type="dxa"/>
            <w:vAlign w:val="bottom"/>
            <w:shd w:val="clear" w:color="auto" w:fill="CCEEFF"/>
          </w:tcPr>
          <w:p>
            <w:pPr>
              <w:ind w:left="40"/>
              <w:spacing w:after="0"/>
              <w:rPr>
                <w:sz w:val="20"/>
                <w:szCs w:val="20"/>
                <w:color w:val="auto"/>
              </w:rPr>
            </w:pPr>
            <w:r>
              <w:rPr>
                <w:rFonts w:ascii="Arial" w:cs="Arial" w:eastAsia="Arial" w:hAnsi="Arial"/>
                <w:sz w:val="14"/>
                <w:szCs w:val="14"/>
                <w:color w:val="auto"/>
              </w:rPr>
              <w:t>RMBS</w:t>
            </w:r>
          </w:p>
        </w:tc>
        <w:tc>
          <w:tcPr>
            <w:tcW w:w="320" w:type="dxa"/>
            <w:vAlign w:val="bottom"/>
            <w:shd w:val="clear" w:color="auto" w:fill="CCEEFF"/>
          </w:tcPr>
          <w:p>
            <w:pPr>
              <w:spacing w:after="0"/>
              <w:rPr>
                <w:sz w:val="17"/>
                <w:szCs w:val="17"/>
                <w:color w:val="auto"/>
              </w:rPr>
            </w:pPr>
          </w:p>
        </w:tc>
        <w:tc>
          <w:tcPr>
            <w:tcW w:w="130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1380" w:type="dxa"/>
            <w:vAlign w:val="bottom"/>
            <w:vMerge w:val="restart"/>
            <w:shd w:val="clear" w:color="auto" w:fill="CCEEFF"/>
          </w:tcPr>
          <w:p>
            <w:pPr>
              <w:jc w:val="right"/>
              <w:ind w:right="49"/>
              <w:spacing w:after="0"/>
              <w:rPr>
                <w:sz w:val="20"/>
                <w:szCs w:val="20"/>
                <w:color w:val="auto"/>
              </w:rPr>
            </w:pPr>
            <w:r>
              <w:rPr>
                <w:rFonts w:ascii="Arial" w:cs="Arial" w:eastAsia="Arial" w:hAnsi="Arial"/>
                <w:sz w:val="14"/>
                <w:szCs w:val="14"/>
                <w:color w:val="auto"/>
              </w:rPr>
              <w:t>6,703</w:t>
            </w: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1,320</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8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8,023</w:t>
            </w:r>
          </w:p>
        </w:tc>
        <w:tc>
          <w:tcPr>
            <w:tcW w:w="0" w:type="dxa"/>
            <w:vAlign w:val="bottom"/>
          </w:tcPr>
          <w:p>
            <w:pPr>
              <w:spacing w:after="0"/>
              <w:rPr>
                <w:sz w:val="1"/>
                <w:szCs w:val="1"/>
                <w:color w:val="auto"/>
              </w:rPr>
            </w:pPr>
          </w:p>
        </w:tc>
      </w:tr>
      <w:tr>
        <w:trPr>
          <w:trHeight w:val="80"/>
        </w:trPr>
        <w:tc>
          <w:tcPr>
            <w:tcW w:w="5160" w:type="dxa"/>
            <w:vAlign w:val="bottom"/>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1300" w:type="dxa"/>
            <w:vAlign w:val="bottom"/>
            <w:gridSpan w:val="2"/>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38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460" w:type="dxa"/>
            <w:vAlign w:val="bottom"/>
            <w:shd w:val="clear" w:color="auto" w:fill="CCEEFF"/>
          </w:tcPr>
          <w:p>
            <w:pPr>
              <w:spacing w:after="0"/>
              <w:rPr>
                <w:sz w:val="6"/>
                <w:szCs w:val="6"/>
                <w:color w:val="auto"/>
              </w:rPr>
            </w:pPr>
          </w:p>
        </w:tc>
        <w:tc>
          <w:tcPr>
            <w:tcW w:w="100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118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5160" w:type="dxa"/>
            <w:vAlign w:val="bottom"/>
          </w:tcPr>
          <w:p>
            <w:pPr>
              <w:ind w:left="40"/>
              <w:spacing w:after="0"/>
              <w:rPr>
                <w:sz w:val="20"/>
                <w:szCs w:val="20"/>
                <w:color w:val="auto"/>
              </w:rPr>
            </w:pPr>
            <w:r>
              <w:rPr>
                <w:rFonts w:ascii="Arial" w:cs="Arial" w:eastAsia="Arial" w:hAnsi="Arial"/>
                <w:sz w:val="14"/>
                <w:szCs w:val="14"/>
                <w:color w:val="auto"/>
              </w:rPr>
              <w:t>Foreign corporate</w:t>
            </w:r>
          </w:p>
        </w:tc>
        <w:tc>
          <w:tcPr>
            <w:tcW w:w="320" w:type="dxa"/>
            <w:vAlign w:val="bottom"/>
          </w:tcPr>
          <w:p>
            <w:pPr>
              <w:spacing w:after="0"/>
              <w:rPr>
                <w:sz w:val="16"/>
                <w:szCs w:val="16"/>
                <w:color w:val="auto"/>
              </w:rPr>
            </w:pPr>
          </w:p>
        </w:tc>
        <w:tc>
          <w:tcPr>
            <w:tcW w:w="130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380" w:type="dxa"/>
            <w:vAlign w:val="bottom"/>
            <w:vMerge w:val="restart"/>
          </w:tcPr>
          <w:p>
            <w:pPr>
              <w:jc w:val="right"/>
              <w:ind w:right="49"/>
              <w:spacing w:after="0"/>
              <w:rPr>
                <w:sz w:val="20"/>
                <w:szCs w:val="20"/>
                <w:color w:val="auto"/>
              </w:rPr>
            </w:pPr>
            <w:r>
              <w:rPr>
                <w:rFonts w:ascii="Arial" w:cs="Arial" w:eastAsia="Arial" w:hAnsi="Arial"/>
                <w:sz w:val="14"/>
                <w:szCs w:val="14"/>
                <w:color w:val="auto"/>
              </w:rPr>
              <w:t>5,485</w:t>
            </w: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0" w:type="dxa"/>
            <w:vAlign w:val="bottom"/>
            <w:vMerge w:val="restart"/>
          </w:tcPr>
          <w:p>
            <w:pPr>
              <w:jc w:val="right"/>
              <w:ind w:right="48"/>
              <w:spacing w:after="0"/>
              <w:rPr>
                <w:sz w:val="20"/>
                <w:szCs w:val="20"/>
                <w:color w:val="auto"/>
              </w:rPr>
            </w:pPr>
            <w:r>
              <w:rPr>
                <w:rFonts w:ascii="Arial" w:cs="Arial" w:eastAsia="Arial" w:hAnsi="Arial"/>
                <w:sz w:val="14"/>
                <w:szCs w:val="14"/>
                <w:color w:val="auto"/>
              </w:rPr>
              <w:t>908</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80" w:type="dxa"/>
            <w:vAlign w:val="bottom"/>
            <w:vMerge w:val="restart"/>
          </w:tcPr>
          <w:p>
            <w:pPr>
              <w:jc w:val="right"/>
              <w:ind w:right="29"/>
              <w:spacing w:after="0"/>
              <w:rPr>
                <w:sz w:val="20"/>
                <w:szCs w:val="20"/>
                <w:color w:val="auto"/>
              </w:rPr>
            </w:pPr>
            <w:r>
              <w:rPr>
                <w:rFonts w:ascii="Arial" w:cs="Arial" w:eastAsia="Arial" w:hAnsi="Arial"/>
                <w:sz w:val="14"/>
                <w:szCs w:val="14"/>
                <w:color w:val="auto"/>
              </w:rPr>
              <w:t>6,393</w:t>
            </w:r>
          </w:p>
        </w:tc>
        <w:tc>
          <w:tcPr>
            <w:tcW w:w="0" w:type="dxa"/>
            <w:vAlign w:val="bottom"/>
          </w:tcPr>
          <w:p>
            <w:pPr>
              <w:spacing w:after="0"/>
              <w:rPr>
                <w:sz w:val="1"/>
                <w:szCs w:val="1"/>
                <w:color w:val="auto"/>
              </w:rPr>
            </w:pPr>
          </w:p>
        </w:tc>
      </w:tr>
      <w:tr>
        <w:trPr>
          <w:trHeight w:val="74"/>
        </w:trPr>
        <w:tc>
          <w:tcPr>
            <w:tcW w:w="5160" w:type="dxa"/>
            <w:vAlign w:val="bottom"/>
          </w:tcPr>
          <w:p>
            <w:pPr>
              <w:spacing w:after="0"/>
              <w:rPr>
                <w:sz w:val="6"/>
                <w:szCs w:val="6"/>
                <w:color w:val="auto"/>
              </w:rPr>
            </w:pPr>
          </w:p>
        </w:tc>
        <w:tc>
          <w:tcPr>
            <w:tcW w:w="320" w:type="dxa"/>
            <w:vAlign w:val="bottom"/>
          </w:tcPr>
          <w:p>
            <w:pPr>
              <w:spacing w:after="0"/>
              <w:rPr>
                <w:sz w:val="6"/>
                <w:szCs w:val="6"/>
                <w:color w:val="auto"/>
              </w:rPr>
            </w:pPr>
          </w:p>
        </w:tc>
        <w:tc>
          <w:tcPr>
            <w:tcW w:w="130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13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100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280" w:type="dxa"/>
            <w:vAlign w:val="bottom"/>
          </w:tcPr>
          <w:p>
            <w:pPr>
              <w:spacing w:after="0"/>
              <w:rPr>
                <w:sz w:val="6"/>
                <w:szCs w:val="6"/>
                <w:color w:val="auto"/>
              </w:rPr>
            </w:pPr>
          </w:p>
        </w:tc>
        <w:tc>
          <w:tcPr>
            <w:tcW w:w="11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5160" w:type="dxa"/>
            <w:vAlign w:val="bottom"/>
            <w:shd w:val="clear" w:color="auto" w:fill="CCEEFF"/>
          </w:tcPr>
          <w:p>
            <w:pPr>
              <w:ind w:left="40"/>
              <w:spacing w:after="0"/>
              <w:rPr>
                <w:sz w:val="20"/>
                <w:szCs w:val="20"/>
                <w:color w:val="auto"/>
              </w:rPr>
            </w:pPr>
            <w:r>
              <w:rPr>
                <w:rFonts w:ascii="Arial" w:cs="Arial" w:eastAsia="Arial" w:hAnsi="Arial"/>
                <w:sz w:val="14"/>
                <w:szCs w:val="14"/>
                <w:color w:val="auto"/>
              </w:rPr>
              <w:t>State and political subdivision</w:t>
            </w:r>
          </w:p>
        </w:tc>
        <w:tc>
          <w:tcPr>
            <w:tcW w:w="320" w:type="dxa"/>
            <w:vAlign w:val="bottom"/>
            <w:shd w:val="clear" w:color="auto" w:fill="CCEEFF"/>
          </w:tcPr>
          <w:p>
            <w:pPr>
              <w:spacing w:after="0"/>
              <w:rPr>
                <w:sz w:val="17"/>
                <w:szCs w:val="17"/>
                <w:color w:val="auto"/>
              </w:rPr>
            </w:pPr>
          </w:p>
        </w:tc>
        <w:tc>
          <w:tcPr>
            <w:tcW w:w="130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1380" w:type="dxa"/>
            <w:vAlign w:val="bottom"/>
            <w:vMerge w:val="restart"/>
            <w:shd w:val="clear" w:color="auto" w:fill="CCEEFF"/>
          </w:tcPr>
          <w:p>
            <w:pPr>
              <w:jc w:val="right"/>
              <w:ind w:right="49"/>
              <w:spacing w:after="0"/>
              <w:rPr>
                <w:sz w:val="20"/>
                <w:szCs w:val="20"/>
                <w:color w:val="auto"/>
              </w:rPr>
            </w:pPr>
            <w:r>
              <w:rPr>
                <w:rFonts w:ascii="Arial" w:cs="Arial" w:eastAsia="Arial" w:hAnsi="Arial"/>
                <w:sz w:val="14"/>
                <w:szCs w:val="14"/>
                <w:color w:val="auto"/>
              </w:rPr>
              <w:t>3,928</w:t>
            </w: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17</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8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3,945</w:t>
            </w:r>
          </w:p>
        </w:tc>
        <w:tc>
          <w:tcPr>
            <w:tcW w:w="0" w:type="dxa"/>
            <w:vAlign w:val="bottom"/>
          </w:tcPr>
          <w:p>
            <w:pPr>
              <w:spacing w:after="0"/>
              <w:rPr>
                <w:sz w:val="1"/>
                <w:szCs w:val="1"/>
                <w:color w:val="auto"/>
              </w:rPr>
            </w:pPr>
          </w:p>
        </w:tc>
      </w:tr>
      <w:tr>
        <w:trPr>
          <w:trHeight w:val="80"/>
        </w:trPr>
        <w:tc>
          <w:tcPr>
            <w:tcW w:w="5160" w:type="dxa"/>
            <w:vAlign w:val="bottom"/>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1300" w:type="dxa"/>
            <w:vAlign w:val="bottom"/>
            <w:gridSpan w:val="2"/>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38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460" w:type="dxa"/>
            <w:vAlign w:val="bottom"/>
            <w:shd w:val="clear" w:color="auto" w:fill="CCEEFF"/>
          </w:tcPr>
          <w:p>
            <w:pPr>
              <w:spacing w:after="0"/>
              <w:rPr>
                <w:sz w:val="6"/>
                <w:szCs w:val="6"/>
                <w:color w:val="auto"/>
              </w:rPr>
            </w:pPr>
          </w:p>
        </w:tc>
        <w:tc>
          <w:tcPr>
            <w:tcW w:w="100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118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5160" w:type="dxa"/>
            <w:vAlign w:val="bottom"/>
          </w:tcPr>
          <w:p>
            <w:pPr>
              <w:ind w:left="40"/>
              <w:spacing w:after="0"/>
              <w:rPr>
                <w:sz w:val="20"/>
                <w:szCs w:val="20"/>
                <w:color w:val="auto"/>
              </w:rPr>
            </w:pPr>
            <w:r>
              <w:rPr>
                <w:rFonts w:ascii="Arial" w:cs="Arial" w:eastAsia="Arial" w:hAnsi="Arial"/>
                <w:sz w:val="14"/>
                <w:szCs w:val="14"/>
                <w:color w:val="auto"/>
              </w:rPr>
              <w:t>CMBS</w:t>
            </w:r>
          </w:p>
        </w:tc>
        <w:tc>
          <w:tcPr>
            <w:tcW w:w="320" w:type="dxa"/>
            <w:vAlign w:val="bottom"/>
          </w:tcPr>
          <w:p>
            <w:pPr>
              <w:spacing w:after="0"/>
              <w:rPr>
                <w:sz w:val="16"/>
                <w:szCs w:val="16"/>
                <w:color w:val="auto"/>
              </w:rPr>
            </w:pPr>
          </w:p>
        </w:tc>
        <w:tc>
          <w:tcPr>
            <w:tcW w:w="130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380" w:type="dxa"/>
            <w:vAlign w:val="bottom"/>
            <w:vMerge w:val="restart"/>
          </w:tcPr>
          <w:p>
            <w:pPr>
              <w:jc w:val="right"/>
              <w:ind w:right="49"/>
              <w:spacing w:after="0"/>
              <w:rPr>
                <w:sz w:val="20"/>
                <w:szCs w:val="20"/>
                <w:color w:val="auto"/>
              </w:rPr>
            </w:pPr>
            <w:r>
              <w:rPr>
                <w:rFonts w:ascii="Arial" w:cs="Arial" w:eastAsia="Arial" w:hAnsi="Arial"/>
                <w:sz w:val="14"/>
                <w:szCs w:val="14"/>
                <w:color w:val="auto"/>
              </w:rPr>
              <w:t>3,645</w:t>
            </w: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0" w:type="dxa"/>
            <w:vAlign w:val="bottom"/>
            <w:vMerge w:val="restart"/>
          </w:tcPr>
          <w:p>
            <w:pPr>
              <w:jc w:val="right"/>
              <w:ind w:right="48"/>
              <w:spacing w:after="0"/>
              <w:rPr>
                <w:sz w:val="20"/>
                <w:szCs w:val="20"/>
                <w:color w:val="auto"/>
              </w:rPr>
            </w:pPr>
            <w:r>
              <w:rPr>
                <w:rFonts w:ascii="Arial" w:cs="Arial" w:eastAsia="Arial" w:hAnsi="Arial"/>
                <w:sz w:val="14"/>
                <w:szCs w:val="14"/>
                <w:color w:val="auto"/>
              </w:rPr>
              <w:t>167</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80" w:type="dxa"/>
            <w:vAlign w:val="bottom"/>
            <w:vMerge w:val="restart"/>
          </w:tcPr>
          <w:p>
            <w:pPr>
              <w:jc w:val="right"/>
              <w:ind w:right="29"/>
              <w:spacing w:after="0"/>
              <w:rPr>
                <w:sz w:val="20"/>
                <w:szCs w:val="20"/>
                <w:color w:val="auto"/>
              </w:rPr>
            </w:pPr>
            <w:r>
              <w:rPr>
                <w:rFonts w:ascii="Arial" w:cs="Arial" w:eastAsia="Arial" w:hAnsi="Arial"/>
                <w:sz w:val="14"/>
                <w:szCs w:val="14"/>
                <w:color w:val="auto"/>
              </w:rPr>
              <w:t>3,812</w:t>
            </w:r>
          </w:p>
        </w:tc>
        <w:tc>
          <w:tcPr>
            <w:tcW w:w="0" w:type="dxa"/>
            <w:vAlign w:val="bottom"/>
          </w:tcPr>
          <w:p>
            <w:pPr>
              <w:spacing w:after="0"/>
              <w:rPr>
                <w:sz w:val="1"/>
                <w:szCs w:val="1"/>
                <w:color w:val="auto"/>
              </w:rPr>
            </w:pPr>
          </w:p>
        </w:tc>
      </w:tr>
      <w:tr>
        <w:trPr>
          <w:trHeight w:val="74"/>
        </w:trPr>
        <w:tc>
          <w:tcPr>
            <w:tcW w:w="5160" w:type="dxa"/>
            <w:vAlign w:val="bottom"/>
          </w:tcPr>
          <w:p>
            <w:pPr>
              <w:spacing w:after="0"/>
              <w:rPr>
                <w:sz w:val="6"/>
                <w:szCs w:val="6"/>
                <w:color w:val="auto"/>
              </w:rPr>
            </w:pPr>
          </w:p>
        </w:tc>
        <w:tc>
          <w:tcPr>
            <w:tcW w:w="320" w:type="dxa"/>
            <w:vAlign w:val="bottom"/>
          </w:tcPr>
          <w:p>
            <w:pPr>
              <w:spacing w:after="0"/>
              <w:rPr>
                <w:sz w:val="6"/>
                <w:szCs w:val="6"/>
                <w:color w:val="auto"/>
              </w:rPr>
            </w:pPr>
          </w:p>
        </w:tc>
        <w:tc>
          <w:tcPr>
            <w:tcW w:w="130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13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100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280" w:type="dxa"/>
            <w:vAlign w:val="bottom"/>
          </w:tcPr>
          <w:p>
            <w:pPr>
              <w:spacing w:after="0"/>
              <w:rPr>
                <w:sz w:val="6"/>
                <w:szCs w:val="6"/>
                <w:color w:val="auto"/>
              </w:rPr>
            </w:pPr>
          </w:p>
        </w:tc>
        <w:tc>
          <w:tcPr>
            <w:tcW w:w="11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5160" w:type="dxa"/>
            <w:vAlign w:val="bottom"/>
            <w:shd w:val="clear" w:color="auto" w:fill="CCEEFF"/>
          </w:tcPr>
          <w:p>
            <w:pPr>
              <w:ind w:left="40"/>
              <w:spacing w:after="0"/>
              <w:rPr>
                <w:sz w:val="20"/>
                <w:szCs w:val="20"/>
                <w:color w:val="auto"/>
              </w:rPr>
            </w:pPr>
            <w:r>
              <w:rPr>
                <w:rFonts w:ascii="Arial" w:cs="Arial" w:eastAsia="Arial" w:hAnsi="Arial"/>
                <w:sz w:val="14"/>
                <w:szCs w:val="14"/>
                <w:color w:val="auto"/>
              </w:rPr>
              <w:t>ABS</w:t>
            </w:r>
          </w:p>
        </w:tc>
        <w:tc>
          <w:tcPr>
            <w:tcW w:w="320" w:type="dxa"/>
            <w:vAlign w:val="bottom"/>
            <w:shd w:val="clear" w:color="auto" w:fill="CCEEFF"/>
          </w:tcPr>
          <w:p>
            <w:pPr>
              <w:spacing w:after="0"/>
              <w:rPr>
                <w:sz w:val="17"/>
                <w:szCs w:val="17"/>
                <w:color w:val="auto"/>
              </w:rPr>
            </w:pPr>
          </w:p>
        </w:tc>
        <w:tc>
          <w:tcPr>
            <w:tcW w:w="130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1380" w:type="dxa"/>
            <w:vAlign w:val="bottom"/>
            <w:vMerge w:val="restart"/>
            <w:shd w:val="clear" w:color="auto" w:fill="CCEEFF"/>
          </w:tcPr>
          <w:p>
            <w:pPr>
              <w:jc w:val="right"/>
              <w:ind w:right="49"/>
              <w:spacing w:after="0"/>
              <w:rPr>
                <w:sz w:val="20"/>
                <w:szCs w:val="20"/>
                <w:color w:val="auto"/>
              </w:rPr>
            </w:pPr>
            <w:r>
              <w:rPr>
                <w:rFonts w:ascii="Arial" w:cs="Arial" w:eastAsia="Arial" w:hAnsi="Arial"/>
                <w:sz w:val="14"/>
                <w:szCs w:val="14"/>
                <w:color w:val="auto"/>
              </w:rPr>
              <w:t>2,428</w:t>
            </w: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224</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8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2,652</w:t>
            </w:r>
          </w:p>
        </w:tc>
        <w:tc>
          <w:tcPr>
            <w:tcW w:w="0" w:type="dxa"/>
            <w:vAlign w:val="bottom"/>
          </w:tcPr>
          <w:p>
            <w:pPr>
              <w:spacing w:after="0"/>
              <w:rPr>
                <w:sz w:val="1"/>
                <w:szCs w:val="1"/>
                <w:color w:val="auto"/>
              </w:rPr>
            </w:pPr>
          </w:p>
        </w:tc>
      </w:tr>
      <w:tr>
        <w:trPr>
          <w:trHeight w:val="80"/>
        </w:trPr>
        <w:tc>
          <w:tcPr>
            <w:tcW w:w="5160" w:type="dxa"/>
            <w:vAlign w:val="bottom"/>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1300" w:type="dxa"/>
            <w:vAlign w:val="bottom"/>
            <w:gridSpan w:val="2"/>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38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460" w:type="dxa"/>
            <w:vAlign w:val="bottom"/>
            <w:shd w:val="clear" w:color="auto" w:fill="CCEEFF"/>
          </w:tcPr>
          <w:p>
            <w:pPr>
              <w:spacing w:after="0"/>
              <w:rPr>
                <w:sz w:val="6"/>
                <w:szCs w:val="6"/>
                <w:color w:val="auto"/>
              </w:rPr>
            </w:pPr>
          </w:p>
        </w:tc>
        <w:tc>
          <w:tcPr>
            <w:tcW w:w="100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118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5160" w:type="dxa"/>
            <w:vAlign w:val="bottom"/>
          </w:tcPr>
          <w:p>
            <w:pPr>
              <w:ind w:left="40"/>
              <w:spacing w:after="0"/>
              <w:rPr>
                <w:sz w:val="20"/>
                <w:szCs w:val="20"/>
                <w:color w:val="auto"/>
              </w:rPr>
            </w:pPr>
            <w:r>
              <w:rPr>
                <w:rFonts w:ascii="Arial" w:cs="Arial" w:eastAsia="Arial" w:hAnsi="Arial"/>
                <w:sz w:val="14"/>
                <w:szCs w:val="14"/>
                <w:color w:val="auto"/>
              </w:rPr>
              <w:t>Foreign government</w:t>
            </w:r>
          </w:p>
        </w:tc>
        <w:tc>
          <w:tcPr>
            <w:tcW w:w="320" w:type="dxa"/>
            <w:vAlign w:val="bottom"/>
          </w:tcPr>
          <w:p>
            <w:pPr>
              <w:spacing w:after="0"/>
              <w:rPr>
                <w:sz w:val="16"/>
                <w:szCs w:val="16"/>
                <w:color w:val="auto"/>
              </w:rPr>
            </w:pPr>
          </w:p>
        </w:tc>
        <w:tc>
          <w:tcPr>
            <w:tcW w:w="130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380" w:type="dxa"/>
            <w:vAlign w:val="bottom"/>
            <w:vMerge w:val="restart"/>
          </w:tcPr>
          <w:p>
            <w:pPr>
              <w:jc w:val="right"/>
              <w:ind w:right="49"/>
              <w:spacing w:after="0"/>
              <w:rPr>
                <w:sz w:val="20"/>
                <w:szCs w:val="20"/>
                <w:color w:val="auto"/>
              </w:rPr>
            </w:pPr>
            <w:r>
              <w:rPr>
                <w:rFonts w:ascii="Arial" w:cs="Arial" w:eastAsia="Arial" w:hAnsi="Arial"/>
                <w:sz w:val="14"/>
                <w:szCs w:val="14"/>
                <w:color w:val="auto"/>
              </w:rPr>
              <w:t>1,162</w:t>
            </w: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1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6"/>
                <w:szCs w:val="16"/>
                <w:color w:val="auto"/>
              </w:rPr>
            </w:pPr>
          </w:p>
        </w:tc>
        <w:tc>
          <w:tcPr>
            <w:tcW w:w="1180" w:type="dxa"/>
            <w:vAlign w:val="bottom"/>
            <w:vMerge w:val="restart"/>
          </w:tcPr>
          <w:p>
            <w:pPr>
              <w:jc w:val="right"/>
              <w:ind w:right="29"/>
              <w:spacing w:after="0"/>
              <w:rPr>
                <w:sz w:val="20"/>
                <w:szCs w:val="20"/>
                <w:color w:val="auto"/>
              </w:rPr>
            </w:pPr>
            <w:r>
              <w:rPr>
                <w:rFonts w:ascii="Arial" w:cs="Arial" w:eastAsia="Arial" w:hAnsi="Arial"/>
                <w:sz w:val="14"/>
                <w:szCs w:val="14"/>
                <w:color w:val="auto"/>
              </w:rPr>
              <w:t>1,162</w:t>
            </w:r>
          </w:p>
        </w:tc>
        <w:tc>
          <w:tcPr>
            <w:tcW w:w="0" w:type="dxa"/>
            <w:vAlign w:val="bottom"/>
          </w:tcPr>
          <w:p>
            <w:pPr>
              <w:spacing w:after="0"/>
              <w:rPr>
                <w:sz w:val="1"/>
                <w:szCs w:val="1"/>
                <w:color w:val="auto"/>
              </w:rPr>
            </w:pPr>
          </w:p>
        </w:tc>
      </w:tr>
      <w:tr>
        <w:trPr>
          <w:trHeight w:val="74"/>
        </w:trPr>
        <w:tc>
          <w:tcPr>
            <w:tcW w:w="5160" w:type="dxa"/>
            <w:vAlign w:val="bottom"/>
          </w:tcPr>
          <w:p>
            <w:pPr>
              <w:spacing w:after="0"/>
              <w:rPr>
                <w:sz w:val="6"/>
                <w:szCs w:val="6"/>
                <w:color w:val="auto"/>
              </w:rPr>
            </w:pPr>
          </w:p>
        </w:tc>
        <w:tc>
          <w:tcPr>
            <w:tcW w:w="320" w:type="dxa"/>
            <w:vAlign w:val="bottom"/>
          </w:tcPr>
          <w:p>
            <w:pPr>
              <w:spacing w:after="0"/>
              <w:rPr>
                <w:sz w:val="6"/>
                <w:szCs w:val="6"/>
                <w:color w:val="auto"/>
              </w:rPr>
            </w:pPr>
          </w:p>
        </w:tc>
        <w:tc>
          <w:tcPr>
            <w:tcW w:w="130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13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1100" w:type="dxa"/>
            <w:vAlign w:val="bottom"/>
            <w:gridSpan w:val="2"/>
            <w:vMerge w:val="continue"/>
          </w:tcPr>
          <w:p>
            <w:pPr>
              <w:spacing w:after="0"/>
              <w:rPr>
                <w:sz w:val="6"/>
                <w:szCs w:val="6"/>
                <w:color w:val="auto"/>
              </w:rPr>
            </w:pPr>
          </w:p>
        </w:tc>
        <w:tc>
          <w:tcPr>
            <w:tcW w:w="280" w:type="dxa"/>
            <w:vAlign w:val="bottom"/>
          </w:tcPr>
          <w:p>
            <w:pPr>
              <w:spacing w:after="0"/>
              <w:rPr>
                <w:sz w:val="6"/>
                <w:szCs w:val="6"/>
                <w:color w:val="auto"/>
              </w:rPr>
            </w:pPr>
          </w:p>
        </w:tc>
        <w:tc>
          <w:tcPr>
            <w:tcW w:w="11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5160" w:type="dxa"/>
            <w:vAlign w:val="bottom"/>
            <w:tcBorders>
              <w:top w:val="single" w:sz="8" w:color="CCEEFF"/>
            </w:tcBorders>
            <w:shd w:val="clear" w:color="auto" w:fill="CCEEFF"/>
          </w:tcPr>
          <w:p>
            <w:pPr>
              <w:ind w:left="200"/>
              <w:spacing w:after="0"/>
              <w:rPr>
                <w:sz w:val="20"/>
                <w:szCs w:val="20"/>
                <w:color w:val="auto"/>
              </w:rPr>
            </w:pPr>
            <w:r>
              <w:rPr>
                <w:rFonts w:ascii="Arial" w:cs="Arial" w:eastAsia="Arial" w:hAnsi="Arial"/>
                <w:sz w:val="14"/>
                <w:szCs w:val="14"/>
                <w:color w:val="auto"/>
              </w:rPr>
              <w:t>Total fixed maturity securities</w:t>
            </w:r>
          </w:p>
        </w:tc>
        <w:tc>
          <w:tcPr>
            <w:tcW w:w="320" w:type="dxa"/>
            <w:vAlign w:val="bottom"/>
            <w:tcBorders>
              <w:top w:val="single" w:sz="8" w:color="auto"/>
            </w:tcBorders>
            <w:shd w:val="clear" w:color="auto" w:fill="CCEEFF"/>
          </w:tcPr>
          <w:p>
            <w:pPr>
              <w:spacing w:after="0"/>
              <w:rPr>
                <w:sz w:val="15"/>
                <w:szCs w:val="15"/>
                <w:color w:val="auto"/>
              </w:rPr>
            </w:pPr>
          </w:p>
        </w:tc>
        <w:tc>
          <w:tcPr>
            <w:tcW w:w="1180" w:type="dxa"/>
            <w:vAlign w:val="bottom"/>
            <w:tcBorders>
              <w:top w:val="single" w:sz="8" w:color="auto"/>
            </w:tcBorders>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6,210</w:t>
            </w:r>
          </w:p>
        </w:tc>
        <w:tc>
          <w:tcPr>
            <w:tcW w:w="1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1380" w:type="dxa"/>
            <w:vAlign w:val="bottom"/>
            <w:tcBorders>
              <w:top w:val="single" w:sz="8" w:color="auto"/>
            </w:tcBorders>
            <w:vMerge w:val="restart"/>
            <w:shd w:val="clear" w:color="auto" w:fill="CCEEFF"/>
          </w:tcPr>
          <w:p>
            <w:pPr>
              <w:jc w:val="right"/>
              <w:ind w:right="49"/>
              <w:spacing w:after="0"/>
              <w:rPr>
                <w:sz w:val="20"/>
                <w:szCs w:val="20"/>
                <w:color w:val="auto"/>
              </w:rPr>
            </w:pPr>
            <w:r>
              <w:rPr>
                <w:rFonts w:ascii="Arial" w:cs="Arial" w:eastAsia="Arial" w:hAnsi="Arial"/>
                <w:sz w:val="14"/>
                <w:szCs w:val="14"/>
                <w:color w:val="auto"/>
              </w:rPr>
              <w:t>51,059</w:t>
            </w:r>
          </w:p>
        </w:tc>
        <w:tc>
          <w:tcPr>
            <w:tcW w:w="120" w:type="dxa"/>
            <w:vAlign w:val="bottom"/>
            <w:tcBorders>
              <w:top w:val="single" w:sz="8" w:color="CCEEFF"/>
            </w:tcBorders>
            <w:shd w:val="clear" w:color="auto" w:fill="CCEEFF"/>
          </w:tcPr>
          <w:p>
            <w:pPr>
              <w:spacing w:after="0"/>
              <w:rPr>
                <w:sz w:val="15"/>
                <w:szCs w:val="15"/>
                <w:color w:val="auto"/>
              </w:rPr>
            </w:pPr>
          </w:p>
        </w:tc>
        <w:tc>
          <w:tcPr>
            <w:tcW w:w="460" w:type="dxa"/>
            <w:vAlign w:val="bottom"/>
            <w:tcBorders>
              <w:top w:val="single" w:sz="8" w:color="auto"/>
            </w:tcBorders>
            <w:shd w:val="clear" w:color="auto" w:fill="CCEEFF"/>
          </w:tcPr>
          <w:p>
            <w:pPr>
              <w:spacing w:after="0"/>
              <w:rPr>
                <w:sz w:val="15"/>
                <w:szCs w:val="15"/>
                <w:color w:val="auto"/>
              </w:rPr>
            </w:pPr>
          </w:p>
        </w:tc>
        <w:tc>
          <w:tcPr>
            <w:tcW w:w="1000" w:type="dxa"/>
            <w:vAlign w:val="bottom"/>
            <w:tcBorders>
              <w:top w:val="single" w:sz="8" w:color="auto"/>
            </w:tcBorders>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4,119</w:t>
            </w:r>
          </w:p>
        </w:tc>
        <w:tc>
          <w:tcPr>
            <w:tcW w:w="10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auto"/>
            </w:tcBorders>
            <w:shd w:val="clear" w:color="auto" w:fill="CCEEFF"/>
          </w:tcPr>
          <w:p>
            <w:pPr>
              <w:spacing w:after="0"/>
              <w:rPr>
                <w:sz w:val="15"/>
                <w:szCs w:val="15"/>
                <w:color w:val="auto"/>
              </w:rPr>
            </w:pPr>
          </w:p>
        </w:tc>
        <w:tc>
          <w:tcPr>
            <w:tcW w:w="1180" w:type="dxa"/>
            <w:vAlign w:val="bottom"/>
            <w:tcBorders>
              <w:top w:val="single" w:sz="8" w:color="auto"/>
            </w:tcBorders>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61,388</w:t>
            </w:r>
          </w:p>
        </w:tc>
        <w:tc>
          <w:tcPr>
            <w:tcW w:w="0" w:type="dxa"/>
            <w:vAlign w:val="bottom"/>
          </w:tcPr>
          <w:p>
            <w:pPr>
              <w:spacing w:after="0"/>
              <w:rPr>
                <w:sz w:val="1"/>
                <w:szCs w:val="1"/>
                <w:color w:val="auto"/>
              </w:rPr>
            </w:pPr>
          </w:p>
        </w:tc>
      </w:tr>
      <w:tr>
        <w:trPr>
          <w:trHeight w:val="80"/>
        </w:trPr>
        <w:tc>
          <w:tcPr>
            <w:tcW w:w="5160" w:type="dxa"/>
            <w:vAlign w:val="bottom"/>
            <w:shd w:val="clear" w:color="auto" w:fill="CCEEFF"/>
          </w:tcPr>
          <w:p>
            <w:pPr>
              <w:spacing w:after="0"/>
              <w:rPr>
                <w:sz w:val="6"/>
                <w:szCs w:val="6"/>
                <w:color w:val="auto"/>
              </w:rPr>
            </w:pPr>
          </w:p>
        </w:tc>
        <w:tc>
          <w:tcPr>
            <w:tcW w:w="320" w:type="dxa"/>
            <w:vAlign w:val="bottom"/>
            <w:tcBorders>
              <w:bottom w:val="single" w:sz="8" w:color="auto"/>
            </w:tcBorders>
            <w:shd w:val="clear" w:color="auto" w:fill="CCEEFF"/>
          </w:tcPr>
          <w:p>
            <w:pPr>
              <w:spacing w:after="0"/>
              <w:rPr>
                <w:sz w:val="6"/>
                <w:szCs w:val="6"/>
                <w:color w:val="auto"/>
              </w:rPr>
            </w:pPr>
          </w:p>
        </w:tc>
        <w:tc>
          <w:tcPr>
            <w:tcW w:w="118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0" w:type="dxa"/>
            <w:vAlign w:val="bottom"/>
            <w:tcBorders>
              <w:bottom w:val="single" w:sz="8" w:color="auto"/>
            </w:tcBorders>
            <w:shd w:val="clear" w:color="auto" w:fill="CCEEFF"/>
          </w:tcPr>
          <w:p>
            <w:pPr>
              <w:spacing w:after="0"/>
              <w:rPr>
                <w:sz w:val="6"/>
                <w:szCs w:val="6"/>
                <w:color w:val="auto"/>
              </w:rPr>
            </w:pPr>
          </w:p>
        </w:tc>
        <w:tc>
          <w:tcPr>
            <w:tcW w:w="138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460" w:type="dxa"/>
            <w:vAlign w:val="bottom"/>
            <w:tcBorders>
              <w:bottom w:val="single" w:sz="8" w:color="auto"/>
            </w:tcBorders>
            <w:shd w:val="clear" w:color="auto" w:fill="CCEEFF"/>
          </w:tcPr>
          <w:p>
            <w:pPr>
              <w:spacing w:after="0"/>
              <w:rPr>
                <w:sz w:val="6"/>
                <w:szCs w:val="6"/>
                <w:color w:val="auto"/>
              </w:rPr>
            </w:pPr>
          </w:p>
        </w:tc>
        <w:tc>
          <w:tcPr>
            <w:tcW w:w="100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80" w:type="dxa"/>
            <w:vAlign w:val="bottom"/>
            <w:tcBorders>
              <w:bottom w:val="single" w:sz="8" w:color="auto"/>
            </w:tcBorders>
            <w:shd w:val="clear" w:color="auto" w:fill="CCEEFF"/>
          </w:tcPr>
          <w:p>
            <w:pPr>
              <w:spacing w:after="0"/>
              <w:rPr>
                <w:sz w:val="6"/>
                <w:szCs w:val="6"/>
                <w:color w:val="auto"/>
              </w:rPr>
            </w:pPr>
          </w:p>
        </w:tc>
        <w:tc>
          <w:tcPr>
            <w:tcW w:w="1180" w:type="dxa"/>
            <w:vAlign w:val="bottom"/>
            <w:tcBorders>
              <w:bottom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1"/>
        </w:trPr>
        <w:tc>
          <w:tcPr>
            <w:tcW w:w="5160" w:type="dxa"/>
            <w:vAlign w:val="bottom"/>
          </w:tcPr>
          <w:p>
            <w:pPr>
              <w:ind w:left="40"/>
              <w:spacing w:after="0"/>
              <w:rPr>
                <w:sz w:val="20"/>
                <w:szCs w:val="20"/>
                <w:color w:val="auto"/>
              </w:rPr>
            </w:pPr>
            <w:r>
              <w:rPr>
                <w:rFonts w:ascii="Arial" w:cs="Arial" w:eastAsia="Arial" w:hAnsi="Arial"/>
                <w:sz w:val="14"/>
                <w:szCs w:val="14"/>
                <w:color w:val="auto"/>
              </w:rPr>
              <w:t>Equity securities</w:t>
            </w:r>
          </w:p>
        </w:tc>
        <w:tc>
          <w:tcPr>
            <w:tcW w:w="320" w:type="dxa"/>
            <w:vAlign w:val="bottom"/>
          </w:tcPr>
          <w:p>
            <w:pPr>
              <w:spacing w:after="0"/>
              <w:rPr>
                <w:sz w:val="14"/>
                <w:szCs w:val="14"/>
                <w:color w:val="auto"/>
              </w:rPr>
            </w:pPr>
          </w:p>
        </w:tc>
        <w:tc>
          <w:tcPr>
            <w:tcW w:w="1180" w:type="dxa"/>
            <w:vAlign w:val="bottom"/>
            <w:vMerge w:val="restart"/>
          </w:tcPr>
          <w:p>
            <w:pPr>
              <w:jc w:val="right"/>
              <w:ind w:right="48"/>
              <w:spacing w:after="0"/>
              <w:rPr>
                <w:sz w:val="20"/>
                <w:szCs w:val="20"/>
                <w:color w:val="auto"/>
              </w:rPr>
            </w:pPr>
            <w:r>
              <w:rPr>
                <w:rFonts w:ascii="Arial" w:cs="Arial" w:eastAsia="Arial" w:hAnsi="Arial"/>
                <w:sz w:val="14"/>
                <w:szCs w:val="14"/>
                <w:color w:val="auto"/>
              </w:rPr>
              <w:t>39</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vMerge w:val="restart"/>
          </w:tcPr>
          <w:p>
            <w:pPr>
              <w:jc w:val="right"/>
              <w:ind w:right="49"/>
              <w:spacing w:after="0"/>
              <w:rPr>
                <w:sz w:val="20"/>
                <w:szCs w:val="20"/>
                <w:color w:val="auto"/>
              </w:rPr>
            </w:pPr>
            <w:r>
              <w:rPr>
                <w:rFonts w:ascii="Arial" w:cs="Arial" w:eastAsia="Arial" w:hAnsi="Arial"/>
                <w:sz w:val="14"/>
                <w:szCs w:val="14"/>
                <w:color w:val="auto"/>
              </w:rPr>
              <w:t>124</w:t>
            </w: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0" w:type="dxa"/>
            <w:vAlign w:val="bottom"/>
            <w:vMerge w:val="restart"/>
          </w:tcPr>
          <w:p>
            <w:pPr>
              <w:jc w:val="right"/>
              <w:ind w:right="48"/>
              <w:spacing w:after="0"/>
              <w:rPr>
                <w:sz w:val="20"/>
                <w:szCs w:val="20"/>
                <w:color w:val="auto"/>
              </w:rPr>
            </w:pPr>
            <w:r>
              <w:rPr>
                <w:rFonts w:ascii="Arial" w:cs="Arial" w:eastAsia="Arial" w:hAnsi="Arial"/>
                <w:sz w:val="14"/>
                <w:szCs w:val="14"/>
                <w:color w:val="auto"/>
              </w:rPr>
              <w:t>137</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80" w:type="dxa"/>
            <w:vAlign w:val="bottom"/>
            <w:vMerge w:val="restart"/>
          </w:tcPr>
          <w:p>
            <w:pPr>
              <w:jc w:val="right"/>
              <w:ind w:right="29"/>
              <w:spacing w:after="0"/>
              <w:rPr>
                <w:sz w:val="20"/>
                <w:szCs w:val="20"/>
                <w:color w:val="auto"/>
              </w:rPr>
            </w:pPr>
            <w:r>
              <w:rPr>
                <w:rFonts w:ascii="Arial" w:cs="Arial" w:eastAsia="Arial" w:hAnsi="Arial"/>
                <w:sz w:val="14"/>
                <w:szCs w:val="14"/>
                <w:color w:val="auto"/>
              </w:rPr>
              <w:t>300</w:t>
            </w:r>
          </w:p>
        </w:tc>
        <w:tc>
          <w:tcPr>
            <w:tcW w:w="0" w:type="dxa"/>
            <w:vAlign w:val="bottom"/>
          </w:tcPr>
          <w:p>
            <w:pPr>
              <w:spacing w:after="0"/>
              <w:rPr>
                <w:sz w:val="1"/>
                <w:szCs w:val="1"/>
                <w:color w:val="auto"/>
              </w:rPr>
            </w:pPr>
          </w:p>
        </w:tc>
      </w:tr>
      <w:tr>
        <w:trPr>
          <w:trHeight w:val="74"/>
        </w:trPr>
        <w:tc>
          <w:tcPr>
            <w:tcW w:w="5160" w:type="dxa"/>
            <w:vAlign w:val="bottom"/>
          </w:tcPr>
          <w:p>
            <w:pPr>
              <w:spacing w:after="0"/>
              <w:rPr>
                <w:sz w:val="6"/>
                <w:szCs w:val="6"/>
                <w:color w:val="auto"/>
              </w:rPr>
            </w:pPr>
          </w:p>
        </w:tc>
        <w:tc>
          <w:tcPr>
            <w:tcW w:w="320" w:type="dxa"/>
            <w:vAlign w:val="bottom"/>
          </w:tcPr>
          <w:p>
            <w:pPr>
              <w:spacing w:after="0"/>
              <w:rPr>
                <w:sz w:val="6"/>
                <w:szCs w:val="6"/>
                <w:color w:val="auto"/>
              </w:rPr>
            </w:pPr>
          </w:p>
        </w:tc>
        <w:tc>
          <w:tcPr>
            <w:tcW w:w="11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3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100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280" w:type="dxa"/>
            <w:vAlign w:val="bottom"/>
          </w:tcPr>
          <w:p>
            <w:pPr>
              <w:spacing w:after="0"/>
              <w:rPr>
                <w:sz w:val="6"/>
                <w:szCs w:val="6"/>
                <w:color w:val="auto"/>
              </w:rPr>
            </w:pPr>
          </w:p>
        </w:tc>
        <w:tc>
          <w:tcPr>
            <w:tcW w:w="11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5160" w:type="dxa"/>
            <w:vAlign w:val="bottom"/>
            <w:shd w:val="clear" w:color="auto" w:fill="CCEEFF"/>
          </w:tcPr>
          <w:p>
            <w:pPr>
              <w:ind w:left="40"/>
              <w:spacing w:after="0"/>
              <w:rPr>
                <w:sz w:val="20"/>
                <w:szCs w:val="20"/>
                <w:color w:val="auto"/>
              </w:rPr>
            </w:pPr>
            <w:r>
              <w:rPr>
                <w:rFonts w:ascii="Arial" w:cs="Arial" w:eastAsia="Arial" w:hAnsi="Arial"/>
                <w:sz w:val="14"/>
                <w:szCs w:val="14"/>
                <w:color w:val="auto"/>
              </w:rPr>
              <w:t>Short-term investments</w:t>
            </w:r>
          </w:p>
        </w:tc>
        <w:tc>
          <w:tcPr>
            <w:tcW w:w="320" w:type="dxa"/>
            <w:vAlign w:val="bottom"/>
            <w:shd w:val="clear" w:color="auto" w:fill="CCEEFF"/>
          </w:tcPr>
          <w:p>
            <w:pPr>
              <w:spacing w:after="0"/>
              <w:rPr>
                <w:sz w:val="17"/>
                <w:szCs w:val="17"/>
                <w:color w:val="auto"/>
              </w:rPr>
            </w:pPr>
          </w:p>
        </w:tc>
        <w:tc>
          <w:tcPr>
            <w:tcW w:w="118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718</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80" w:type="dxa"/>
            <w:vAlign w:val="bottom"/>
            <w:vMerge w:val="restart"/>
            <w:shd w:val="clear" w:color="auto" w:fill="CCEEFF"/>
          </w:tcPr>
          <w:p>
            <w:pPr>
              <w:jc w:val="right"/>
              <w:ind w:right="49"/>
              <w:spacing w:after="0"/>
              <w:rPr>
                <w:sz w:val="20"/>
                <w:szCs w:val="20"/>
                <w:color w:val="auto"/>
              </w:rPr>
            </w:pPr>
            <w:r>
              <w:rPr>
                <w:rFonts w:ascii="Arial" w:cs="Arial" w:eastAsia="Arial" w:hAnsi="Arial"/>
                <w:sz w:val="14"/>
                <w:szCs w:val="14"/>
                <w:color w:val="auto"/>
              </w:rPr>
              <w:t>568</w:t>
            </w: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8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1,288</w:t>
            </w:r>
          </w:p>
        </w:tc>
        <w:tc>
          <w:tcPr>
            <w:tcW w:w="0" w:type="dxa"/>
            <w:vAlign w:val="bottom"/>
          </w:tcPr>
          <w:p>
            <w:pPr>
              <w:spacing w:after="0"/>
              <w:rPr>
                <w:sz w:val="1"/>
                <w:szCs w:val="1"/>
                <w:color w:val="auto"/>
              </w:rPr>
            </w:pPr>
          </w:p>
        </w:tc>
      </w:tr>
      <w:tr>
        <w:trPr>
          <w:trHeight w:val="80"/>
        </w:trPr>
        <w:tc>
          <w:tcPr>
            <w:tcW w:w="5160" w:type="dxa"/>
            <w:vAlign w:val="bottom"/>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118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38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460" w:type="dxa"/>
            <w:vAlign w:val="bottom"/>
            <w:shd w:val="clear" w:color="auto" w:fill="CCEEFF"/>
          </w:tcPr>
          <w:p>
            <w:pPr>
              <w:spacing w:after="0"/>
              <w:rPr>
                <w:sz w:val="6"/>
                <w:szCs w:val="6"/>
                <w:color w:val="auto"/>
              </w:rPr>
            </w:pPr>
          </w:p>
        </w:tc>
        <w:tc>
          <w:tcPr>
            <w:tcW w:w="100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118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5160" w:type="dxa"/>
            <w:vAlign w:val="bottom"/>
          </w:tcPr>
          <w:p>
            <w:pPr>
              <w:ind w:left="40"/>
              <w:spacing w:after="0"/>
              <w:rPr>
                <w:sz w:val="20"/>
                <w:szCs w:val="20"/>
                <w:color w:val="auto"/>
              </w:rPr>
            </w:pPr>
            <w:r>
              <w:rPr>
                <w:rFonts w:ascii="Arial" w:cs="Arial" w:eastAsia="Arial" w:hAnsi="Arial"/>
                <w:sz w:val="14"/>
                <w:szCs w:val="14"/>
                <w:color w:val="auto"/>
              </w:rPr>
              <w:t>Commercial mortgage loans held by CSEs — FVO</w:t>
            </w:r>
          </w:p>
        </w:tc>
        <w:tc>
          <w:tcPr>
            <w:tcW w:w="320" w:type="dxa"/>
            <w:vAlign w:val="bottom"/>
          </w:tcPr>
          <w:p>
            <w:pPr>
              <w:spacing w:after="0"/>
              <w:rPr>
                <w:sz w:val="16"/>
                <w:szCs w:val="16"/>
                <w:color w:val="auto"/>
              </w:rPr>
            </w:pPr>
          </w:p>
        </w:tc>
        <w:tc>
          <w:tcPr>
            <w:tcW w:w="130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380" w:type="dxa"/>
            <w:vAlign w:val="bottom"/>
            <w:vMerge w:val="restart"/>
          </w:tcPr>
          <w:p>
            <w:pPr>
              <w:jc w:val="right"/>
              <w:ind w:right="49"/>
              <w:spacing w:after="0"/>
              <w:rPr>
                <w:sz w:val="20"/>
                <w:szCs w:val="20"/>
                <w:color w:val="auto"/>
              </w:rPr>
            </w:pPr>
            <w:r>
              <w:rPr>
                <w:rFonts w:ascii="Arial" w:cs="Arial" w:eastAsia="Arial" w:hAnsi="Arial"/>
                <w:sz w:val="14"/>
                <w:szCs w:val="14"/>
                <w:color w:val="auto"/>
              </w:rPr>
              <w:t>136</w:t>
            </w: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1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6"/>
                <w:szCs w:val="16"/>
                <w:color w:val="auto"/>
              </w:rPr>
            </w:pPr>
          </w:p>
        </w:tc>
        <w:tc>
          <w:tcPr>
            <w:tcW w:w="1180" w:type="dxa"/>
            <w:vAlign w:val="bottom"/>
            <w:vMerge w:val="restart"/>
          </w:tcPr>
          <w:p>
            <w:pPr>
              <w:jc w:val="right"/>
              <w:ind w:right="29"/>
              <w:spacing w:after="0"/>
              <w:rPr>
                <w:sz w:val="20"/>
                <w:szCs w:val="20"/>
                <w:color w:val="auto"/>
              </w:rPr>
            </w:pPr>
            <w:r>
              <w:rPr>
                <w:rFonts w:ascii="Arial" w:cs="Arial" w:eastAsia="Arial" w:hAnsi="Arial"/>
                <w:sz w:val="14"/>
                <w:szCs w:val="14"/>
                <w:color w:val="auto"/>
              </w:rPr>
              <w:t>136</w:t>
            </w:r>
          </w:p>
        </w:tc>
        <w:tc>
          <w:tcPr>
            <w:tcW w:w="0" w:type="dxa"/>
            <w:vAlign w:val="bottom"/>
          </w:tcPr>
          <w:p>
            <w:pPr>
              <w:spacing w:after="0"/>
              <w:rPr>
                <w:sz w:val="1"/>
                <w:szCs w:val="1"/>
                <w:color w:val="auto"/>
              </w:rPr>
            </w:pPr>
          </w:p>
        </w:tc>
      </w:tr>
      <w:tr>
        <w:trPr>
          <w:trHeight w:val="74"/>
        </w:trPr>
        <w:tc>
          <w:tcPr>
            <w:tcW w:w="5160" w:type="dxa"/>
            <w:vAlign w:val="bottom"/>
          </w:tcPr>
          <w:p>
            <w:pPr>
              <w:spacing w:after="0"/>
              <w:rPr>
                <w:sz w:val="6"/>
                <w:szCs w:val="6"/>
                <w:color w:val="auto"/>
              </w:rPr>
            </w:pPr>
          </w:p>
        </w:tc>
        <w:tc>
          <w:tcPr>
            <w:tcW w:w="320" w:type="dxa"/>
            <w:vAlign w:val="bottom"/>
          </w:tcPr>
          <w:p>
            <w:pPr>
              <w:spacing w:after="0"/>
              <w:rPr>
                <w:sz w:val="6"/>
                <w:szCs w:val="6"/>
                <w:color w:val="auto"/>
              </w:rPr>
            </w:pPr>
          </w:p>
        </w:tc>
        <w:tc>
          <w:tcPr>
            <w:tcW w:w="130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13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1100" w:type="dxa"/>
            <w:vAlign w:val="bottom"/>
            <w:gridSpan w:val="2"/>
            <w:vMerge w:val="continue"/>
          </w:tcPr>
          <w:p>
            <w:pPr>
              <w:spacing w:after="0"/>
              <w:rPr>
                <w:sz w:val="6"/>
                <w:szCs w:val="6"/>
                <w:color w:val="auto"/>
              </w:rPr>
            </w:pPr>
          </w:p>
        </w:tc>
        <w:tc>
          <w:tcPr>
            <w:tcW w:w="280" w:type="dxa"/>
            <w:vAlign w:val="bottom"/>
          </w:tcPr>
          <w:p>
            <w:pPr>
              <w:spacing w:after="0"/>
              <w:rPr>
                <w:sz w:val="6"/>
                <w:szCs w:val="6"/>
                <w:color w:val="auto"/>
              </w:rPr>
            </w:pPr>
          </w:p>
        </w:tc>
        <w:tc>
          <w:tcPr>
            <w:tcW w:w="11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5160" w:type="dxa"/>
            <w:vAlign w:val="bottom"/>
            <w:shd w:val="clear" w:color="auto" w:fill="CCEEFF"/>
          </w:tcPr>
          <w:p>
            <w:pPr>
              <w:ind w:left="40"/>
              <w:spacing w:after="0"/>
              <w:rPr>
                <w:sz w:val="20"/>
                <w:szCs w:val="20"/>
                <w:color w:val="auto"/>
              </w:rPr>
            </w:pPr>
            <w:r>
              <w:rPr>
                <w:rFonts w:ascii="Arial" w:cs="Arial" w:eastAsia="Arial" w:hAnsi="Arial"/>
                <w:sz w:val="14"/>
                <w:szCs w:val="14"/>
                <w:color w:val="auto"/>
              </w:rPr>
              <w:t>Loans to MetLife, Inc.</w:t>
            </w:r>
          </w:p>
        </w:tc>
        <w:tc>
          <w:tcPr>
            <w:tcW w:w="320" w:type="dxa"/>
            <w:vAlign w:val="bottom"/>
            <w:shd w:val="clear" w:color="auto" w:fill="CCEEFF"/>
          </w:tcPr>
          <w:p>
            <w:pPr>
              <w:spacing w:after="0"/>
              <w:rPr>
                <w:sz w:val="17"/>
                <w:szCs w:val="17"/>
                <w:color w:val="auto"/>
              </w:rPr>
            </w:pPr>
          </w:p>
        </w:tc>
        <w:tc>
          <w:tcPr>
            <w:tcW w:w="130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1380" w:type="dxa"/>
            <w:vAlign w:val="bottom"/>
            <w:vMerge w:val="restart"/>
            <w:shd w:val="clear" w:color="auto" w:fill="CCEEFF"/>
          </w:tcPr>
          <w:p>
            <w:pPr>
              <w:jc w:val="right"/>
              <w:ind w:right="49"/>
              <w:spacing w:after="0"/>
              <w:rPr>
                <w:sz w:val="20"/>
                <w:szCs w:val="20"/>
                <w:color w:val="auto"/>
              </w:rPr>
            </w:pPr>
            <w:r>
              <w:rPr>
                <w:rFonts w:ascii="Arial" w:cs="Arial" w:eastAsia="Arial" w:hAnsi="Arial"/>
                <w:sz w:val="14"/>
                <w:szCs w:val="14"/>
                <w:color w:val="auto"/>
              </w:rPr>
              <w:t>1,090</w:t>
            </w: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1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7"/>
                <w:szCs w:val="17"/>
                <w:color w:val="auto"/>
              </w:rPr>
            </w:pPr>
          </w:p>
        </w:tc>
        <w:tc>
          <w:tcPr>
            <w:tcW w:w="118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1,090</w:t>
            </w:r>
          </w:p>
        </w:tc>
        <w:tc>
          <w:tcPr>
            <w:tcW w:w="0" w:type="dxa"/>
            <w:vAlign w:val="bottom"/>
          </w:tcPr>
          <w:p>
            <w:pPr>
              <w:spacing w:after="0"/>
              <w:rPr>
                <w:sz w:val="1"/>
                <w:szCs w:val="1"/>
                <w:color w:val="auto"/>
              </w:rPr>
            </w:pPr>
          </w:p>
        </w:tc>
      </w:tr>
      <w:tr>
        <w:trPr>
          <w:trHeight w:val="80"/>
        </w:trPr>
        <w:tc>
          <w:tcPr>
            <w:tcW w:w="5160" w:type="dxa"/>
            <w:vAlign w:val="bottom"/>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1300" w:type="dxa"/>
            <w:vAlign w:val="bottom"/>
            <w:gridSpan w:val="2"/>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38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460" w:type="dxa"/>
            <w:vAlign w:val="bottom"/>
            <w:shd w:val="clear" w:color="auto" w:fill="CCEEFF"/>
          </w:tcPr>
          <w:p>
            <w:pPr>
              <w:spacing w:after="0"/>
              <w:rPr>
                <w:sz w:val="6"/>
                <w:szCs w:val="6"/>
                <w:color w:val="auto"/>
              </w:rPr>
            </w:pPr>
          </w:p>
        </w:tc>
        <w:tc>
          <w:tcPr>
            <w:tcW w:w="1100" w:type="dxa"/>
            <w:vAlign w:val="bottom"/>
            <w:gridSpan w:val="2"/>
            <w:vMerge w:val="continue"/>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118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5160" w:type="dxa"/>
            <w:vAlign w:val="bottom"/>
          </w:tcPr>
          <w:p>
            <w:pPr>
              <w:ind w:left="40"/>
              <w:spacing w:after="0"/>
              <w:rPr>
                <w:sz w:val="20"/>
                <w:szCs w:val="20"/>
                <w:color w:val="auto"/>
              </w:rPr>
            </w:pPr>
            <w:r>
              <w:rPr>
                <w:rFonts w:ascii="Arial" w:cs="Arial" w:eastAsia="Arial" w:hAnsi="Arial"/>
                <w:sz w:val="14"/>
                <w:szCs w:val="14"/>
                <w:color w:val="auto"/>
              </w:rPr>
              <w:t>Derivative assets: (1)</w:t>
            </w:r>
          </w:p>
        </w:tc>
        <w:tc>
          <w:tcPr>
            <w:tcW w:w="3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5160" w:type="dxa"/>
            <w:vAlign w:val="bottom"/>
          </w:tcPr>
          <w:p>
            <w:pPr>
              <w:spacing w:after="0"/>
              <w:rPr>
                <w:sz w:val="6"/>
                <w:szCs w:val="6"/>
                <w:color w:val="auto"/>
              </w:rPr>
            </w:pPr>
          </w:p>
        </w:tc>
        <w:tc>
          <w:tcPr>
            <w:tcW w:w="320" w:type="dxa"/>
            <w:vAlign w:val="bottom"/>
          </w:tcPr>
          <w:p>
            <w:pPr>
              <w:spacing w:after="0"/>
              <w:rPr>
                <w:sz w:val="6"/>
                <w:szCs w:val="6"/>
                <w:color w:val="auto"/>
              </w:rPr>
            </w:pPr>
          </w:p>
        </w:tc>
        <w:tc>
          <w:tcPr>
            <w:tcW w:w="11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380" w:type="dxa"/>
            <w:vAlign w:val="bottom"/>
          </w:tcPr>
          <w:p>
            <w:pPr>
              <w:spacing w:after="0"/>
              <w:rPr>
                <w:sz w:val="6"/>
                <w:szCs w:val="6"/>
                <w:color w:val="auto"/>
              </w:rPr>
            </w:pPr>
          </w:p>
        </w:tc>
        <w:tc>
          <w:tcPr>
            <w:tcW w:w="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00" w:type="dxa"/>
            <w:vAlign w:val="bottom"/>
          </w:tcPr>
          <w:p>
            <w:pPr>
              <w:spacing w:after="0"/>
              <w:rPr>
                <w:sz w:val="6"/>
                <w:szCs w:val="6"/>
                <w:color w:val="auto"/>
              </w:rPr>
            </w:pPr>
          </w:p>
        </w:tc>
        <w:tc>
          <w:tcPr>
            <w:tcW w:w="280" w:type="dxa"/>
            <w:vAlign w:val="bottom"/>
          </w:tcPr>
          <w:p>
            <w:pPr>
              <w:spacing w:after="0"/>
              <w:rPr>
                <w:sz w:val="6"/>
                <w:szCs w:val="6"/>
                <w:color w:val="auto"/>
              </w:rPr>
            </w:pPr>
          </w:p>
        </w:tc>
        <w:tc>
          <w:tcPr>
            <w:tcW w:w="11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516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Interest rate</w:t>
            </w:r>
          </w:p>
        </w:tc>
        <w:tc>
          <w:tcPr>
            <w:tcW w:w="320" w:type="dxa"/>
            <w:vAlign w:val="bottom"/>
            <w:shd w:val="clear" w:color="auto" w:fill="CCEEFF"/>
          </w:tcPr>
          <w:p>
            <w:pPr>
              <w:spacing w:after="0"/>
              <w:rPr>
                <w:sz w:val="16"/>
                <w:szCs w:val="16"/>
                <w:color w:val="auto"/>
              </w:rPr>
            </w:pPr>
          </w:p>
        </w:tc>
        <w:tc>
          <w:tcPr>
            <w:tcW w:w="118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9</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380" w:type="dxa"/>
            <w:vAlign w:val="bottom"/>
            <w:vMerge w:val="restart"/>
            <w:shd w:val="clear" w:color="auto" w:fill="CCEEFF"/>
          </w:tcPr>
          <w:p>
            <w:pPr>
              <w:jc w:val="right"/>
              <w:ind w:right="49"/>
              <w:spacing w:after="0"/>
              <w:rPr>
                <w:sz w:val="20"/>
                <w:szCs w:val="20"/>
                <w:color w:val="auto"/>
              </w:rPr>
            </w:pPr>
            <w:r>
              <w:rPr>
                <w:rFonts w:ascii="Arial" w:cs="Arial" w:eastAsia="Arial" w:hAnsi="Arial"/>
                <w:sz w:val="14"/>
                <w:szCs w:val="14"/>
                <w:color w:val="auto"/>
              </w:rPr>
              <w:t>2,143</w:t>
            </w:r>
          </w:p>
        </w:tc>
        <w:tc>
          <w:tcPr>
            <w:tcW w:w="12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1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6"/>
                <w:szCs w:val="16"/>
                <w:color w:val="auto"/>
              </w:rPr>
            </w:pPr>
          </w:p>
        </w:tc>
        <w:tc>
          <w:tcPr>
            <w:tcW w:w="118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2,152</w:t>
            </w:r>
          </w:p>
        </w:tc>
        <w:tc>
          <w:tcPr>
            <w:tcW w:w="0" w:type="dxa"/>
            <w:vAlign w:val="bottom"/>
          </w:tcPr>
          <w:p>
            <w:pPr>
              <w:spacing w:after="0"/>
              <w:rPr>
                <w:sz w:val="1"/>
                <w:szCs w:val="1"/>
                <w:color w:val="auto"/>
              </w:rPr>
            </w:pPr>
          </w:p>
        </w:tc>
      </w:tr>
      <w:tr>
        <w:trPr>
          <w:trHeight w:val="80"/>
        </w:trPr>
        <w:tc>
          <w:tcPr>
            <w:tcW w:w="5160" w:type="dxa"/>
            <w:vAlign w:val="bottom"/>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118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38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460" w:type="dxa"/>
            <w:vAlign w:val="bottom"/>
            <w:shd w:val="clear" w:color="auto" w:fill="CCEEFF"/>
          </w:tcPr>
          <w:p>
            <w:pPr>
              <w:spacing w:after="0"/>
              <w:rPr>
                <w:sz w:val="6"/>
                <w:szCs w:val="6"/>
                <w:color w:val="auto"/>
              </w:rPr>
            </w:pPr>
          </w:p>
        </w:tc>
        <w:tc>
          <w:tcPr>
            <w:tcW w:w="1100" w:type="dxa"/>
            <w:vAlign w:val="bottom"/>
            <w:gridSpan w:val="2"/>
            <w:vMerge w:val="continue"/>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118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5160" w:type="dxa"/>
            <w:vAlign w:val="bottom"/>
          </w:tcPr>
          <w:p>
            <w:pPr>
              <w:ind w:left="40"/>
              <w:spacing w:after="0"/>
              <w:rPr>
                <w:sz w:val="20"/>
                <w:szCs w:val="20"/>
                <w:color w:val="auto"/>
              </w:rPr>
            </w:pPr>
            <w:r>
              <w:rPr>
                <w:rFonts w:ascii="Arial" w:cs="Arial" w:eastAsia="Arial" w:hAnsi="Arial"/>
                <w:sz w:val="14"/>
                <w:szCs w:val="14"/>
                <w:color w:val="auto"/>
              </w:rPr>
              <w:t>Foreign currency exchange rate</w:t>
            </w:r>
          </w:p>
        </w:tc>
        <w:tc>
          <w:tcPr>
            <w:tcW w:w="320" w:type="dxa"/>
            <w:vAlign w:val="bottom"/>
          </w:tcPr>
          <w:p>
            <w:pPr>
              <w:spacing w:after="0"/>
              <w:rPr>
                <w:sz w:val="16"/>
                <w:szCs w:val="16"/>
                <w:color w:val="auto"/>
              </w:rPr>
            </w:pPr>
          </w:p>
        </w:tc>
        <w:tc>
          <w:tcPr>
            <w:tcW w:w="130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380" w:type="dxa"/>
            <w:vAlign w:val="bottom"/>
            <w:vMerge w:val="restart"/>
          </w:tcPr>
          <w:p>
            <w:pPr>
              <w:jc w:val="right"/>
              <w:ind w:right="49"/>
              <w:spacing w:after="0"/>
              <w:rPr>
                <w:sz w:val="20"/>
                <w:szCs w:val="20"/>
                <w:color w:val="auto"/>
              </w:rPr>
            </w:pPr>
            <w:r>
              <w:rPr>
                <w:rFonts w:ascii="Arial" w:cs="Arial" w:eastAsia="Arial" w:hAnsi="Arial"/>
                <w:sz w:val="14"/>
                <w:szCs w:val="14"/>
                <w:color w:val="auto"/>
              </w:rPr>
              <w:t>366</w:t>
            </w: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1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6"/>
                <w:szCs w:val="16"/>
                <w:color w:val="auto"/>
              </w:rPr>
            </w:pPr>
          </w:p>
        </w:tc>
        <w:tc>
          <w:tcPr>
            <w:tcW w:w="1180" w:type="dxa"/>
            <w:vAlign w:val="bottom"/>
            <w:vMerge w:val="restart"/>
          </w:tcPr>
          <w:p>
            <w:pPr>
              <w:jc w:val="right"/>
              <w:ind w:right="29"/>
              <w:spacing w:after="0"/>
              <w:rPr>
                <w:sz w:val="20"/>
                <w:szCs w:val="20"/>
                <w:color w:val="auto"/>
              </w:rPr>
            </w:pPr>
            <w:r>
              <w:rPr>
                <w:rFonts w:ascii="Arial" w:cs="Arial" w:eastAsia="Arial" w:hAnsi="Arial"/>
                <w:sz w:val="14"/>
                <w:szCs w:val="14"/>
                <w:color w:val="auto"/>
              </w:rPr>
              <w:t>366</w:t>
            </w:r>
          </w:p>
        </w:tc>
        <w:tc>
          <w:tcPr>
            <w:tcW w:w="0" w:type="dxa"/>
            <w:vAlign w:val="bottom"/>
          </w:tcPr>
          <w:p>
            <w:pPr>
              <w:spacing w:after="0"/>
              <w:rPr>
                <w:sz w:val="1"/>
                <w:szCs w:val="1"/>
                <w:color w:val="auto"/>
              </w:rPr>
            </w:pPr>
          </w:p>
        </w:tc>
      </w:tr>
      <w:tr>
        <w:trPr>
          <w:trHeight w:val="74"/>
        </w:trPr>
        <w:tc>
          <w:tcPr>
            <w:tcW w:w="5160" w:type="dxa"/>
            <w:vAlign w:val="bottom"/>
          </w:tcPr>
          <w:p>
            <w:pPr>
              <w:spacing w:after="0"/>
              <w:rPr>
                <w:sz w:val="6"/>
                <w:szCs w:val="6"/>
                <w:color w:val="auto"/>
              </w:rPr>
            </w:pPr>
          </w:p>
        </w:tc>
        <w:tc>
          <w:tcPr>
            <w:tcW w:w="320" w:type="dxa"/>
            <w:vAlign w:val="bottom"/>
          </w:tcPr>
          <w:p>
            <w:pPr>
              <w:spacing w:after="0"/>
              <w:rPr>
                <w:sz w:val="6"/>
                <w:szCs w:val="6"/>
                <w:color w:val="auto"/>
              </w:rPr>
            </w:pPr>
          </w:p>
        </w:tc>
        <w:tc>
          <w:tcPr>
            <w:tcW w:w="130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13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1100" w:type="dxa"/>
            <w:vAlign w:val="bottom"/>
            <w:gridSpan w:val="2"/>
            <w:vMerge w:val="continue"/>
          </w:tcPr>
          <w:p>
            <w:pPr>
              <w:spacing w:after="0"/>
              <w:rPr>
                <w:sz w:val="6"/>
                <w:szCs w:val="6"/>
                <w:color w:val="auto"/>
              </w:rPr>
            </w:pPr>
          </w:p>
        </w:tc>
        <w:tc>
          <w:tcPr>
            <w:tcW w:w="280" w:type="dxa"/>
            <w:vAlign w:val="bottom"/>
          </w:tcPr>
          <w:p>
            <w:pPr>
              <w:spacing w:after="0"/>
              <w:rPr>
                <w:sz w:val="6"/>
                <w:szCs w:val="6"/>
                <w:color w:val="auto"/>
              </w:rPr>
            </w:pPr>
          </w:p>
        </w:tc>
        <w:tc>
          <w:tcPr>
            <w:tcW w:w="11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5160" w:type="dxa"/>
            <w:vAlign w:val="bottom"/>
            <w:shd w:val="clear" w:color="auto" w:fill="CCEEFF"/>
          </w:tcPr>
          <w:p>
            <w:pPr>
              <w:ind w:left="40"/>
              <w:spacing w:after="0"/>
              <w:rPr>
                <w:sz w:val="20"/>
                <w:szCs w:val="20"/>
                <w:color w:val="auto"/>
              </w:rPr>
            </w:pPr>
            <w:r>
              <w:rPr>
                <w:rFonts w:ascii="Arial" w:cs="Arial" w:eastAsia="Arial" w:hAnsi="Arial"/>
                <w:sz w:val="14"/>
                <w:szCs w:val="14"/>
                <w:color w:val="auto"/>
              </w:rPr>
              <w:t>Credit</w:t>
            </w:r>
          </w:p>
        </w:tc>
        <w:tc>
          <w:tcPr>
            <w:tcW w:w="320" w:type="dxa"/>
            <w:vAlign w:val="bottom"/>
            <w:shd w:val="clear" w:color="auto" w:fill="CCEEFF"/>
          </w:tcPr>
          <w:p>
            <w:pPr>
              <w:spacing w:after="0"/>
              <w:rPr>
                <w:sz w:val="17"/>
                <w:szCs w:val="17"/>
                <w:color w:val="auto"/>
              </w:rPr>
            </w:pPr>
          </w:p>
        </w:tc>
        <w:tc>
          <w:tcPr>
            <w:tcW w:w="130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1380" w:type="dxa"/>
            <w:vAlign w:val="bottom"/>
            <w:vMerge w:val="restart"/>
            <w:shd w:val="clear" w:color="auto" w:fill="CCEEFF"/>
          </w:tcPr>
          <w:p>
            <w:pPr>
              <w:jc w:val="right"/>
              <w:ind w:right="49"/>
              <w:spacing w:after="0"/>
              <w:rPr>
                <w:sz w:val="20"/>
                <w:szCs w:val="20"/>
                <w:color w:val="auto"/>
              </w:rPr>
            </w:pPr>
            <w:r>
              <w:rPr>
                <w:rFonts w:ascii="Arial" w:cs="Arial" w:eastAsia="Arial" w:hAnsi="Arial"/>
                <w:sz w:val="14"/>
                <w:szCs w:val="14"/>
                <w:color w:val="auto"/>
              </w:rPr>
              <w:t>20</w:t>
            </w: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8</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8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28</w:t>
            </w:r>
          </w:p>
        </w:tc>
        <w:tc>
          <w:tcPr>
            <w:tcW w:w="0" w:type="dxa"/>
            <w:vAlign w:val="bottom"/>
          </w:tcPr>
          <w:p>
            <w:pPr>
              <w:spacing w:after="0"/>
              <w:rPr>
                <w:sz w:val="1"/>
                <w:szCs w:val="1"/>
                <w:color w:val="auto"/>
              </w:rPr>
            </w:pPr>
          </w:p>
        </w:tc>
      </w:tr>
      <w:tr>
        <w:trPr>
          <w:trHeight w:val="80"/>
        </w:trPr>
        <w:tc>
          <w:tcPr>
            <w:tcW w:w="5160" w:type="dxa"/>
            <w:vAlign w:val="bottom"/>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1300" w:type="dxa"/>
            <w:vAlign w:val="bottom"/>
            <w:gridSpan w:val="2"/>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38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460" w:type="dxa"/>
            <w:vAlign w:val="bottom"/>
            <w:shd w:val="clear" w:color="auto" w:fill="CCEEFF"/>
          </w:tcPr>
          <w:p>
            <w:pPr>
              <w:spacing w:after="0"/>
              <w:rPr>
                <w:sz w:val="6"/>
                <w:szCs w:val="6"/>
                <w:color w:val="auto"/>
              </w:rPr>
            </w:pPr>
          </w:p>
        </w:tc>
        <w:tc>
          <w:tcPr>
            <w:tcW w:w="100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118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5160" w:type="dxa"/>
            <w:vAlign w:val="bottom"/>
          </w:tcPr>
          <w:p>
            <w:pPr>
              <w:ind w:left="40"/>
              <w:spacing w:after="0"/>
              <w:rPr>
                <w:sz w:val="20"/>
                <w:szCs w:val="20"/>
                <w:color w:val="auto"/>
              </w:rPr>
            </w:pPr>
            <w:r>
              <w:rPr>
                <w:rFonts w:ascii="Arial" w:cs="Arial" w:eastAsia="Arial" w:hAnsi="Arial"/>
                <w:sz w:val="14"/>
                <w:szCs w:val="14"/>
                <w:color w:val="auto"/>
              </w:rPr>
              <w:t>Equity market</w:t>
            </w:r>
          </w:p>
        </w:tc>
        <w:tc>
          <w:tcPr>
            <w:tcW w:w="320" w:type="dxa"/>
            <w:vAlign w:val="bottom"/>
          </w:tcPr>
          <w:p>
            <w:pPr>
              <w:spacing w:after="0"/>
              <w:rPr>
                <w:sz w:val="16"/>
                <w:szCs w:val="16"/>
                <w:color w:val="auto"/>
              </w:rPr>
            </w:pPr>
          </w:p>
        </w:tc>
        <w:tc>
          <w:tcPr>
            <w:tcW w:w="1180" w:type="dxa"/>
            <w:vAlign w:val="bottom"/>
            <w:vMerge w:val="restart"/>
          </w:tcPr>
          <w:p>
            <w:pPr>
              <w:jc w:val="right"/>
              <w:ind w:right="48"/>
              <w:spacing w:after="0"/>
              <w:rPr>
                <w:sz w:val="20"/>
                <w:szCs w:val="20"/>
                <w:color w:val="auto"/>
              </w:rPr>
            </w:pPr>
            <w:r>
              <w:rPr>
                <w:rFonts w:ascii="Arial" w:cs="Arial" w:eastAsia="Arial" w:hAnsi="Arial"/>
                <w:sz w:val="14"/>
                <w:szCs w:val="14"/>
                <w:color w:val="auto"/>
              </w:rPr>
              <w:t>38</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vMerge w:val="restart"/>
          </w:tcPr>
          <w:p>
            <w:pPr>
              <w:jc w:val="right"/>
              <w:ind w:right="49"/>
              <w:spacing w:after="0"/>
              <w:rPr>
                <w:sz w:val="20"/>
                <w:szCs w:val="20"/>
                <w:color w:val="auto"/>
              </w:rPr>
            </w:pPr>
            <w:r>
              <w:rPr>
                <w:rFonts w:ascii="Arial" w:cs="Arial" w:eastAsia="Arial" w:hAnsi="Arial"/>
                <w:sz w:val="14"/>
                <w:szCs w:val="14"/>
                <w:color w:val="auto"/>
              </w:rPr>
              <w:t>859</w:t>
            </w: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0" w:type="dxa"/>
            <w:vAlign w:val="bottom"/>
            <w:vMerge w:val="restart"/>
          </w:tcPr>
          <w:p>
            <w:pPr>
              <w:jc w:val="right"/>
              <w:ind w:right="48"/>
              <w:spacing w:after="0"/>
              <w:rPr>
                <w:sz w:val="20"/>
                <w:szCs w:val="20"/>
                <w:color w:val="auto"/>
              </w:rPr>
            </w:pPr>
            <w:r>
              <w:rPr>
                <w:rFonts w:ascii="Arial" w:cs="Arial" w:eastAsia="Arial" w:hAnsi="Arial"/>
                <w:sz w:val="14"/>
                <w:szCs w:val="14"/>
                <w:color w:val="auto"/>
              </w:rPr>
              <w:t>179</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80" w:type="dxa"/>
            <w:vAlign w:val="bottom"/>
            <w:vMerge w:val="restart"/>
          </w:tcPr>
          <w:p>
            <w:pPr>
              <w:jc w:val="right"/>
              <w:ind w:right="29"/>
              <w:spacing w:after="0"/>
              <w:rPr>
                <w:sz w:val="20"/>
                <w:szCs w:val="20"/>
                <w:color w:val="auto"/>
              </w:rPr>
            </w:pPr>
            <w:r>
              <w:rPr>
                <w:rFonts w:ascii="Arial" w:cs="Arial" w:eastAsia="Arial" w:hAnsi="Arial"/>
                <w:sz w:val="14"/>
                <w:szCs w:val="14"/>
                <w:color w:val="auto"/>
              </w:rPr>
              <w:t>1,076</w:t>
            </w:r>
          </w:p>
        </w:tc>
        <w:tc>
          <w:tcPr>
            <w:tcW w:w="0" w:type="dxa"/>
            <w:vAlign w:val="bottom"/>
          </w:tcPr>
          <w:p>
            <w:pPr>
              <w:spacing w:after="0"/>
              <w:rPr>
                <w:sz w:val="1"/>
                <w:szCs w:val="1"/>
                <w:color w:val="auto"/>
              </w:rPr>
            </w:pPr>
          </w:p>
        </w:tc>
      </w:tr>
      <w:tr>
        <w:trPr>
          <w:trHeight w:val="74"/>
        </w:trPr>
        <w:tc>
          <w:tcPr>
            <w:tcW w:w="5160" w:type="dxa"/>
            <w:vAlign w:val="bottom"/>
            <w:tcBorders>
              <w:bottom w:val="single" w:sz="8" w:color="CCEEFF"/>
            </w:tcBorders>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118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138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460" w:type="dxa"/>
            <w:vAlign w:val="bottom"/>
            <w:tcBorders>
              <w:bottom w:val="single" w:sz="8" w:color="auto"/>
            </w:tcBorders>
          </w:tcPr>
          <w:p>
            <w:pPr>
              <w:spacing w:after="0"/>
              <w:rPr>
                <w:sz w:val="6"/>
                <w:szCs w:val="6"/>
                <w:color w:val="auto"/>
              </w:rPr>
            </w:pPr>
          </w:p>
        </w:tc>
        <w:tc>
          <w:tcPr>
            <w:tcW w:w="100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118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5160" w:type="dxa"/>
            <w:vAlign w:val="bottom"/>
            <w:shd w:val="clear" w:color="auto" w:fill="CCEEFF"/>
          </w:tcPr>
          <w:p>
            <w:pPr>
              <w:ind w:left="200"/>
              <w:spacing w:after="0"/>
              <w:rPr>
                <w:sz w:val="20"/>
                <w:szCs w:val="20"/>
                <w:color w:val="auto"/>
              </w:rPr>
            </w:pPr>
            <w:r>
              <w:rPr>
                <w:rFonts w:ascii="Arial" w:cs="Arial" w:eastAsia="Arial" w:hAnsi="Arial"/>
                <w:sz w:val="14"/>
                <w:szCs w:val="14"/>
                <w:color w:val="auto"/>
              </w:rPr>
              <w:t>Total derivative assets</w:t>
            </w:r>
          </w:p>
        </w:tc>
        <w:tc>
          <w:tcPr>
            <w:tcW w:w="320" w:type="dxa"/>
            <w:vAlign w:val="bottom"/>
            <w:shd w:val="clear" w:color="auto" w:fill="CCEEFF"/>
          </w:tcPr>
          <w:p>
            <w:pPr>
              <w:spacing w:after="0"/>
              <w:rPr>
                <w:sz w:val="15"/>
                <w:szCs w:val="15"/>
                <w:color w:val="auto"/>
              </w:rPr>
            </w:pPr>
          </w:p>
        </w:tc>
        <w:tc>
          <w:tcPr>
            <w:tcW w:w="118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47</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380" w:type="dxa"/>
            <w:vAlign w:val="bottom"/>
            <w:vMerge w:val="restart"/>
            <w:shd w:val="clear" w:color="auto" w:fill="CCEEFF"/>
          </w:tcPr>
          <w:p>
            <w:pPr>
              <w:jc w:val="right"/>
              <w:ind w:right="49"/>
              <w:spacing w:after="0"/>
              <w:rPr>
                <w:sz w:val="20"/>
                <w:szCs w:val="20"/>
                <w:color w:val="auto"/>
              </w:rPr>
            </w:pPr>
            <w:r>
              <w:rPr>
                <w:rFonts w:ascii="Arial" w:cs="Arial" w:eastAsia="Arial" w:hAnsi="Arial"/>
                <w:sz w:val="14"/>
                <w:szCs w:val="14"/>
                <w:color w:val="auto"/>
              </w:rPr>
              <w:t>3,388</w:t>
            </w:r>
          </w:p>
        </w:tc>
        <w:tc>
          <w:tcPr>
            <w:tcW w:w="1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00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187</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18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3,622</w:t>
            </w:r>
          </w:p>
        </w:tc>
        <w:tc>
          <w:tcPr>
            <w:tcW w:w="0" w:type="dxa"/>
            <w:vAlign w:val="bottom"/>
          </w:tcPr>
          <w:p>
            <w:pPr>
              <w:spacing w:after="0"/>
              <w:rPr>
                <w:sz w:val="1"/>
                <w:szCs w:val="1"/>
                <w:color w:val="auto"/>
              </w:rPr>
            </w:pPr>
          </w:p>
        </w:tc>
      </w:tr>
      <w:tr>
        <w:trPr>
          <w:trHeight w:val="80"/>
        </w:trPr>
        <w:tc>
          <w:tcPr>
            <w:tcW w:w="5160" w:type="dxa"/>
            <w:vAlign w:val="bottom"/>
            <w:shd w:val="clear" w:color="auto" w:fill="CCEEFF"/>
          </w:tcPr>
          <w:p>
            <w:pPr>
              <w:spacing w:after="0"/>
              <w:rPr>
                <w:sz w:val="6"/>
                <w:szCs w:val="6"/>
                <w:color w:val="auto"/>
              </w:rPr>
            </w:pPr>
          </w:p>
        </w:tc>
        <w:tc>
          <w:tcPr>
            <w:tcW w:w="320" w:type="dxa"/>
            <w:vAlign w:val="bottom"/>
            <w:tcBorders>
              <w:bottom w:val="single" w:sz="8" w:color="auto"/>
            </w:tcBorders>
            <w:shd w:val="clear" w:color="auto" w:fill="CCEEFF"/>
          </w:tcPr>
          <w:p>
            <w:pPr>
              <w:spacing w:after="0"/>
              <w:rPr>
                <w:sz w:val="6"/>
                <w:szCs w:val="6"/>
                <w:color w:val="auto"/>
              </w:rPr>
            </w:pPr>
          </w:p>
        </w:tc>
        <w:tc>
          <w:tcPr>
            <w:tcW w:w="118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0" w:type="dxa"/>
            <w:vAlign w:val="bottom"/>
            <w:tcBorders>
              <w:bottom w:val="single" w:sz="8" w:color="auto"/>
            </w:tcBorders>
            <w:shd w:val="clear" w:color="auto" w:fill="CCEEFF"/>
          </w:tcPr>
          <w:p>
            <w:pPr>
              <w:spacing w:after="0"/>
              <w:rPr>
                <w:sz w:val="6"/>
                <w:szCs w:val="6"/>
                <w:color w:val="auto"/>
              </w:rPr>
            </w:pPr>
          </w:p>
        </w:tc>
        <w:tc>
          <w:tcPr>
            <w:tcW w:w="138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460" w:type="dxa"/>
            <w:vAlign w:val="bottom"/>
            <w:tcBorders>
              <w:bottom w:val="single" w:sz="8" w:color="auto"/>
            </w:tcBorders>
            <w:shd w:val="clear" w:color="auto" w:fill="CCEEFF"/>
          </w:tcPr>
          <w:p>
            <w:pPr>
              <w:spacing w:after="0"/>
              <w:rPr>
                <w:sz w:val="6"/>
                <w:szCs w:val="6"/>
                <w:color w:val="auto"/>
              </w:rPr>
            </w:pPr>
          </w:p>
        </w:tc>
        <w:tc>
          <w:tcPr>
            <w:tcW w:w="100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80" w:type="dxa"/>
            <w:vAlign w:val="bottom"/>
            <w:tcBorders>
              <w:bottom w:val="single" w:sz="8" w:color="auto"/>
            </w:tcBorders>
            <w:shd w:val="clear" w:color="auto" w:fill="CCEEFF"/>
          </w:tcPr>
          <w:p>
            <w:pPr>
              <w:spacing w:after="0"/>
              <w:rPr>
                <w:sz w:val="6"/>
                <w:szCs w:val="6"/>
                <w:color w:val="auto"/>
              </w:rPr>
            </w:pPr>
          </w:p>
        </w:tc>
        <w:tc>
          <w:tcPr>
            <w:tcW w:w="1180" w:type="dxa"/>
            <w:vAlign w:val="bottom"/>
            <w:tcBorders>
              <w:bottom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1"/>
        </w:trPr>
        <w:tc>
          <w:tcPr>
            <w:tcW w:w="5160" w:type="dxa"/>
            <w:vAlign w:val="bottom"/>
          </w:tcPr>
          <w:p>
            <w:pPr>
              <w:ind w:left="40"/>
              <w:spacing w:after="0"/>
              <w:rPr>
                <w:sz w:val="20"/>
                <w:szCs w:val="20"/>
                <w:color w:val="auto"/>
              </w:rPr>
            </w:pPr>
            <w:r>
              <w:rPr>
                <w:rFonts w:ascii="Arial" w:cs="Arial" w:eastAsia="Arial" w:hAnsi="Arial"/>
                <w:sz w:val="14"/>
                <w:szCs w:val="14"/>
                <w:color w:val="auto"/>
              </w:rPr>
              <w:t>Embedded derivatives within asset host contracts (2)</w:t>
            </w:r>
          </w:p>
        </w:tc>
        <w:tc>
          <w:tcPr>
            <w:tcW w:w="320" w:type="dxa"/>
            <w:vAlign w:val="bottom"/>
          </w:tcPr>
          <w:p>
            <w:pPr>
              <w:spacing w:after="0"/>
              <w:rPr>
                <w:sz w:val="14"/>
                <w:szCs w:val="14"/>
                <w:color w:val="auto"/>
              </w:rPr>
            </w:pPr>
          </w:p>
        </w:tc>
        <w:tc>
          <w:tcPr>
            <w:tcW w:w="130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50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14"/>
                <w:szCs w:val="14"/>
                <w:color w:val="auto"/>
              </w:rPr>
            </w:pPr>
          </w:p>
        </w:tc>
        <w:tc>
          <w:tcPr>
            <w:tcW w:w="1000" w:type="dxa"/>
            <w:vAlign w:val="bottom"/>
            <w:vMerge w:val="restart"/>
          </w:tcPr>
          <w:p>
            <w:pPr>
              <w:jc w:val="right"/>
              <w:ind w:right="48"/>
              <w:spacing w:after="0"/>
              <w:rPr>
                <w:sz w:val="20"/>
                <w:szCs w:val="20"/>
                <w:color w:val="auto"/>
              </w:rPr>
            </w:pPr>
            <w:r>
              <w:rPr>
                <w:rFonts w:ascii="Arial" w:cs="Arial" w:eastAsia="Arial" w:hAnsi="Arial"/>
                <w:sz w:val="14"/>
                <w:szCs w:val="14"/>
                <w:color w:val="auto"/>
              </w:rPr>
              <w:t>628</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80" w:type="dxa"/>
            <w:vAlign w:val="bottom"/>
            <w:vMerge w:val="restart"/>
          </w:tcPr>
          <w:p>
            <w:pPr>
              <w:jc w:val="right"/>
              <w:ind w:right="29"/>
              <w:spacing w:after="0"/>
              <w:rPr>
                <w:sz w:val="20"/>
                <w:szCs w:val="20"/>
                <w:color w:val="auto"/>
              </w:rPr>
            </w:pPr>
            <w:r>
              <w:rPr>
                <w:rFonts w:ascii="Arial" w:cs="Arial" w:eastAsia="Arial" w:hAnsi="Arial"/>
                <w:sz w:val="14"/>
                <w:szCs w:val="14"/>
                <w:color w:val="auto"/>
              </w:rPr>
              <w:t>628</w:t>
            </w:r>
          </w:p>
        </w:tc>
        <w:tc>
          <w:tcPr>
            <w:tcW w:w="0" w:type="dxa"/>
            <w:vAlign w:val="bottom"/>
          </w:tcPr>
          <w:p>
            <w:pPr>
              <w:spacing w:after="0"/>
              <w:rPr>
                <w:sz w:val="1"/>
                <w:szCs w:val="1"/>
                <w:color w:val="auto"/>
              </w:rPr>
            </w:pPr>
          </w:p>
        </w:tc>
      </w:tr>
      <w:tr>
        <w:trPr>
          <w:trHeight w:val="74"/>
        </w:trPr>
        <w:tc>
          <w:tcPr>
            <w:tcW w:w="5160" w:type="dxa"/>
            <w:vAlign w:val="bottom"/>
          </w:tcPr>
          <w:p>
            <w:pPr>
              <w:spacing w:after="0"/>
              <w:rPr>
                <w:sz w:val="6"/>
                <w:szCs w:val="6"/>
                <w:color w:val="auto"/>
              </w:rPr>
            </w:pPr>
          </w:p>
        </w:tc>
        <w:tc>
          <w:tcPr>
            <w:tcW w:w="320" w:type="dxa"/>
            <w:vAlign w:val="bottom"/>
          </w:tcPr>
          <w:p>
            <w:pPr>
              <w:spacing w:after="0"/>
              <w:rPr>
                <w:sz w:val="6"/>
                <w:szCs w:val="6"/>
                <w:color w:val="auto"/>
              </w:rPr>
            </w:pPr>
          </w:p>
        </w:tc>
        <w:tc>
          <w:tcPr>
            <w:tcW w:w="130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1500" w:type="dxa"/>
            <w:vAlign w:val="bottom"/>
            <w:gridSpan w:val="2"/>
            <w:vMerge w:val="continue"/>
          </w:tcPr>
          <w:p>
            <w:pPr>
              <w:spacing w:after="0"/>
              <w:rPr>
                <w:sz w:val="6"/>
                <w:szCs w:val="6"/>
                <w:color w:val="auto"/>
              </w:rPr>
            </w:pPr>
          </w:p>
        </w:tc>
        <w:tc>
          <w:tcPr>
            <w:tcW w:w="460" w:type="dxa"/>
            <w:vAlign w:val="bottom"/>
          </w:tcPr>
          <w:p>
            <w:pPr>
              <w:spacing w:after="0"/>
              <w:rPr>
                <w:sz w:val="6"/>
                <w:szCs w:val="6"/>
                <w:color w:val="auto"/>
              </w:rPr>
            </w:pPr>
          </w:p>
        </w:tc>
        <w:tc>
          <w:tcPr>
            <w:tcW w:w="100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280" w:type="dxa"/>
            <w:vAlign w:val="bottom"/>
          </w:tcPr>
          <w:p>
            <w:pPr>
              <w:spacing w:after="0"/>
              <w:rPr>
                <w:sz w:val="6"/>
                <w:szCs w:val="6"/>
                <w:color w:val="auto"/>
              </w:rPr>
            </w:pPr>
          </w:p>
        </w:tc>
        <w:tc>
          <w:tcPr>
            <w:tcW w:w="11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5160" w:type="dxa"/>
            <w:vAlign w:val="bottom"/>
            <w:shd w:val="clear" w:color="auto" w:fill="CCEEFF"/>
          </w:tcPr>
          <w:p>
            <w:pPr>
              <w:ind w:left="40"/>
              <w:spacing w:after="0"/>
              <w:rPr>
                <w:sz w:val="20"/>
                <w:szCs w:val="20"/>
                <w:color w:val="auto"/>
              </w:rPr>
            </w:pPr>
            <w:r>
              <w:rPr>
                <w:rFonts w:ascii="Arial" w:cs="Arial" w:eastAsia="Arial" w:hAnsi="Arial"/>
                <w:sz w:val="14"/>
                <w:szCs w:val="14"/>
                <w:color w:val="auto"/>
              </w:rPr>
              <w:t>Separate account assets (3)</w:t>
            </w:r>
          </w:p>
        </w:tc>
        <w:tc>
          <w:tcPr>
            <w:tcW w:w="320" w:type="dxa"/>
            <w:vAlign w:val="bottom"/>
            <w:shd w:val="clear" w:color="auto" w:fill="CCEEFF"/>
          </w:tcPr>
          <w:p>
            <w:pPr>
              <w:spacing w:after="0"/>
              <w:rPr>
                <w:sz w:val="17"/>
                <w:szCs w:val="17"/>
                <w:color w:val="auto"/>
              </w:rPr>
            </w:pPr>
          </w:p>
        </w:tc>
        <w:tc>
          <w:tcPr>
            <w:tcW w:w="118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720</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80" w:type="dxa"/>
            <w:vAlign w:val="bottom"/>
            <w:vMerge w:val="restart"/>
            <w:shd w:val="clear" w:color="auto" w:fill="CCEEFF"/>
          </w:tcPr>
          <w:p>
            <w:pPr>
              <w:jc w:val="right"/>
              <w:ind w:right="49"/>
              <w:spacing w:after="0"/>
              <w:rPr>
                <w:sz w:val="20"/>
                <w:szCs w:val="20"/>
                <w:color w:val="auto"/>
              </w:rPr>
            </w:pPr>
            <w:r>
              <w:rPr>
                <w:rFonts w:ascii="Arial" w:cs="Arial" w:eastAsia="Arial" w:hAnsi="Arial"/>
                <w:sz w:val="14"/>
                <w:szCs w:val="14"/>
                <w:color w:val="auto"/>
              </w:rPr>
              <w:t>112,313</w:t>
            </w: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10</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8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113,043</w:t>
            </w:r>
          </w:p>
        </w:tc>
        <w:tc>
          <w:tcPr>
            <w:tcW w:w="0" w:type="dxa"/>
            <w:vAlign w:val="bottom"/>
          </w:tcPr>
          <w:p>
            <w:pPr>
              <w:spacing w:after="0"/>
              <w:rPr>
                <w:sz w:val="1"/>
                <w:szCs w:val="1"/>
                <w:color w:val="auto"/>
              </w:rPr>
            </w:pPr>
          </w:p>
        </w:tc>
      </w:tr>
      <w:tr>
        <w:trPr>
          <w:trHeight w:val="80"/>
        </w:trPr>
        <w:tc>
          <w:tcPr>
            <w:tcW w:w="5160" w:type="dxa"/>
            <w:vAlign w:val="bottom"/>
            <w:shd w:val="clear" w:color="auto" w:fill="CCEEFF"/>
          </w:tcPr>
          <w:p>
            <w:pPr>
              <w:spacing w:after="0"/>
              <w:rPr>
                <w:sz w:val="6"/>
                <w:szCs w:val="6"/>
                <w:color w:val="auto"/>
              </w:rPr>
            </w:pPr>
          </w:p>
        </w:tc>
        <w:tc>
          <w:tcPr>
            <w:tcW w:w="320" w:type="dxa"/>
            <w:vAlign w:val="bottom"/>
            <w:tcBorders>
              <w:bottom w:val="single" w:sz="8" w:color="auto"/>
            </w:tcBorders>
            <w:shd w:val="clear" w:color="auto" w:fill="CCEEFF"/>
          </w:tcPr>
          <w:p>
            <w:pPr>
              <w:spacing w:after="0"/>
              <w:rPr>
                <w:sz w:val="6"/>
                <w:szCs w:val="6"/>
                <w:color w:val="auto"/>
              </w:rPr>
            </w:pPr>
          </w:p>
        </w:tc>
        <w:tc>
          <w:tcPr>
            <w:tcW w:w="118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0" w:type="dxa"/>
            <w:vAlign w:val="bottom"/>
            <w:tcBorders>
              <w:bottom w:val="single" w:sz="8" w:color="auto"/>
            </w:tcBorders>
            <w:shd w:val="clear" w:color="auto" w:fill="CCEEFF"/>
          </w:tcPr>
          <w:p>
            <w:pPr>
              <w:spacing w:after="0"/>
              <w:rPr>
                <w:sz w:val="6"/>
                <w:szCs w:val="6"/>
                <w:color w:val="auto"/>
              </w:rPr>
            </w:pPr>
          </w:p>
        </w:tc>
        <w:tc>
          <w:tcPr>
            <w:tcW w:w="138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460" w:type="dxa"/>
            <w:vAlign w:val="bottom"/>
            <w:tcBorders>
              <w:bottom w:val="single" w:sz="8" w:color="auto"/>
            </w:tcBorders>
            <w:shd w:val="clear" w:color="auto" w:fill="CCEEFF"/>
          </w:tcPr>
          <w:p>
            <w:pPr>
              <w:spacing w:after="0"/>
              <w:rPr>
                <w:sz w:val="6"/>
                <w:szCs w:val="6"/>
                <w:color w:val="auto"/>
              </w:rPr>
            </w:pPr>
          </w:p>
        </w:tc>
        <w:tc>
          <w:tcPr>
            <w:tcW w:w="100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80" w:type="dxa"/>
            <w:vAlign w:val="bottom"/>
            <w:tcBorders>
              <w:bottom w:val="single" w:sz="8" w:color="auto"/>
            </w:tcBorders>
            <w:shd w:val="clear" w:color="auto" w:fill="CCEEFF"/>
          </w:tcPr>
          <w:p>
            <w:pPr>
              <w:spacing w:after="0"/>
              <w:rPr>
                <w:sz w:val="6"/>
                <w:szCs w:val="6"/>
                <w:color w:val="auto"/>
              </w:rPr>
            </w:pPr>
          </w:p>
        </w:tc>
        <w:tc>
          <w:tcPr>
            <w:tcW w:w="1180" w:type="dxa"/>
            <w:vAlign w:val="bottom"/>
            <w:tcBorders>
              <w:bottom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1"/>
        </w:trPr>
        <w:tc>
          <w:tcPr>
            <w:tcW w:w="5160" w:type="dxa"/>
            <w:vAlign w:val="bottom"/>
          </w:tcPr>
          <w:p>
            <w:pPr>
              <w:ind w:left="200"/>
              <w:spacing w:after="0"/>
              <w:rPr>
                <w:sz w:val="20"/>
                <w:szCs w:val="20"/>
                <w:color w:val="auto"/>
              </w:rPr>
            </w:pPr>
            <w:r>
              <w:rPr>
                <w:rFonts w:ascii="Arial" w:cs="Arial" w:eastAsia="Arial" w:hAnsi="Arial"/>
                <w:sz w:val="14"/>
                <w:szCs w:val="14"/>
                <w:color w:val="auto"/>
              </w:rPr>
              <w:t>Total assets</w:t>
            </w:r>
          </w:p>
        </w:tc>
        <w:tc>
          <w:tcPr>
            <w:tcW w:w="320" w:type="dxa"/>
            <w:vAlign w:val="bottom"/>
            <w:vMerge w:val="restart"/>
          </w:tcPr>
          <w:p>
            <w:pPr>
              <w:jc w:val="right"/>
              <w:ind w:right="148"/>
              <w:spacing w:after="0"/>
              <w:rPr>
                <w:sz w:val="20"/>
                <w:szCs w:val="20"/>
                <w:color w:val="auto"/>
              </w:rPr>
            </w:pPr>
            <w:r>
              <w:rPr>
                <w:rFonts w:ascii="Arial" w:cs="Arial" w:eastAsia="Arial" w:hAnsi="Arial"/>
                <w:sz w:val="14"/>
                <w:szCs w:val="14"/>
                <w:color w:val="auto"/>
              </w:rPr>
              <w:t>$</w:t>
            </w:r>
          </w:p>
        </w:tc>
        <w:tc>
          <w:tcPr>
            <w:tcW w:w="1180" w:type="dxa"/>
            <w:vAlign w:val="bottom"/>
            <w:vMerge w:val="restart"/>
          </w:tcPr>
          <w:p>
            <w:pPr>
              <w:jc w:val="right"/>
              <w:ind w:right="48"/>
              <w:spacing w:after="0"/>
              <w:rPr>
                <w:sz w:val="20"/>
                <w:szCs w:val="20"/>
                <w:color w:val="auto"/>
              </w:rPr>
            </w:pPr>
            <w:r>
              <w:rPr>
                <w:rFonts w:ascii="Arial" w:cs="Arial" w:eastAsia="Arial" w:hAnsi="Arial"/>
                <w:sz w:val="14"/>
                <w:szCs w:val="14"/>
                <w:color w:val="auto"/>
              </w:rPr>
              <w:t>7,734</w:t>
            </w:r>
          </w:p>
        </w:tc>
        <w:tc>
          <w:tcPr>
            <w:tcW w:w="120" w:type="dxa"/>
            <w:vAlign w:val="bottom"/>
          </w:tcPr>
          <w:p>
            <w:pPr>
              <w:spacing w:after="0"/>
              <w:rPr>
                <w:sz w:val="14"/>
                <w:szCs w:val="14"/>
                <w:color w:val="auto"/>
              </w:rPr>
            </w:pPr>
          </w:p>
        </w:tc>
        <w:tc>
          <w:tcPr>
            <w:tcW w:w="1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380" w:type="dxa"/>
            <w:vAlign w:val="bottom"/>
            <w:vMerge w:val="restart"/>
          </w:tcPr>
          <w:p>
            <w:pPr>
              <w:jc w:val="right"/>
              <w:ind w:right="49"/>
              <w:spacing w:after="0"/>
              <w:rPr>
                <w:sz w:val="20"/>
                <w:szCs w:val="20"/>
                <w:color w:val="auto"/>
              </w:rPr>
            </w:pPr>
            <w:r>
              <w:rPr>
                <w:rFonts w:ascii="Arial" w:cs="Arial" w:eastAsia="Arial" w:hAnsi="Arial"/>
                <w:sz w:val="14"/>
                <w:szCs w:val="14"/>
                <w:color w:val="auto"/>
              </w:rPr>
              <w:t>168,678</w:t>
            </w:r>
          </w:p>
        </w:tc>
        <w:tc>
          <w:tcPr>
            <w:tcW w:w="120" w:type="dxa"/>
            <w:vAlign w:val="bottom"/>
          </w:tcPr>
          <w:p>
            <w:pPr>
              <w:spacing w:after="0"/>
              <w:rPr>
                <w:sz w:val="14"/>
                <w:szCs w:val="14"/>
                <w:color w:val="auto"/>
              </w:rPr>
            </w:pPr>
          </w:p>
        </w:tc>
        <w:tc>
          <w:tcPr>
            <w:tcW w:w="460" w:type="dxa"/>
            <w:vAlign w:val="bottom"/>
            <w:vMerge w:val="restart"/>
          </w:tcPr>
          <w:p>
            <w:pPr>
              <w:jc w:val="right"/>
              <w:ind w:right="288"/>
              <w:spacing w:after="0"/>
              <w:rPr>
                <w:sz w:val="20"/>
                <w:szCs w:val="20"/>
                <w:color w:val="auto"/>
              </w:rPr>
            </w:pPr>
            <w:r>
              <w:rPr>
                <w:rFonts w:ascii="Arial" w:cs="Arial" w:eastAsia="Arial" w:hAnsi="Arial"/>
                <w:sz w:val="14"/>
                <w:szCs w:val="14"/>
                <w:color w:val="auto"/>
              </w:rPr>
              <w:t>$</w:t>
            </w:r>
          </w:p>
        </w:tc>
        <w:tc>
          <w:tcPr>
            <w:tcW w:w="1000" w:type="dxa"/>
            <w:vAlign w:val="bottom"/>
            <w:vMerge w:val="restart"/>
          </w:tcPr>
          <w:p>
            <w:pPr>
              <w:jc w:val="right"/>
              <w:ind w:right="48"/>
              <w:spacing w:after="0"/>
              <w:rPr>
                <w:sz w:val="20"/>
                <w:szCs w:val="20"/>
                <w:color w:val="auto"/>
              </w:rPr>
            </w:pPr>
            <w:r>
              <w:rPr>
                <w:rFonts w:ascii="Arial" w:cs="Arial" w:eastAsia="Arial" w:hAnsi="Arial"/>
                <w:sz w:val="14"/>
                <w:szCs w:val="14"/>
                <w:color w:val="auto"/>
              </w:rPr>
              <w:t>5,083</w:t>
            </w:r>
          </w:p>
        </w:tc>
        <w:tc>
          <w:tcPr>
            <w:tcW w:w="100" w:type="dxa"/>
            <w:vAlign w:val="bottom"/>
          </w:tcPr>
          <w:p>
            <w:pPr>
              <w:spacing w:after="0"/>
              <w:rPr>
                <w:sz w:val="14"/>
                <w:szCs w:val="14"/>
                <w:color w:val="auto"/>
              </w:rPr>
            </w:pPr>
          </w:p>
        </w:tc>
        <w:tc>
          <w:tcPr>
            <w:tcW w:w="280" w:type="dxa"/>
            <w:vAlign w:val="bottom"/>
            <w:vMerge w:val="restart"/>
          </w:tcPr>
          <w:p>
            <w:pPr>
              <w:jc w:val="right"/>
              <w:ind w:right="108"/>
              <w:spacing w:after="0"/>
              <w:rPr>
                <w:sz w:val="20"/>
                <w:szCs w:val="20"/>
                <w:color w:val="auto"/>
              </w:rPr>
            </w:pPr>
            <w:r>
              <w:rPr>
                <w:rFonts w:ascii="Arial" w:cs="Arial" w:eastAsia="Arial" w:hAnsi="Arial"/>
                <w:sz w:val="14"/>
                <w:szCs w:val="14"/>
                <w:color w:val="auto"/>
              </w:rPr>
              <w:t>$</w:t>
            </w:r>
          </w:p>
        </w:tc>
        <w:tc>
          <w:tcPr>
            <w:tcW w:w="1180" w:type="dxa"/>
            <w:vAlign w:val="bottom"/>
            <w:vMerge w:val="restart"/>
          </w:tcPr>
          <w:p>
            <w:pPr>
              <w:jc w:val="right"/>
              <w:ind w:right="29"/>
              <w:spacing w:after="0"/>
              <w:rPr>
                <w:sz w:val="20"/>
                <w:szCs w:val="20"/>
                <w:color w:val="auto"/>
              </w:rPr>
            </w:pPr>
            <w:r>
              <w:rPr>
                <w:rFonts w:ascii="Arial" w:cs="Arial" w:eastAsia="Arial" w:hAnsi="Arial"/>
                <w:sz w:val="14"/>
                <w:szCs w:val="14"/>
                <w:color w:val="auto"/>
              </w:rPr>
              <w:t>181,495</w:t>
            </w:r>
          </w:p>
        </w:tc>
        <w:tc>
          <w:tcPr>
            <w:tcW w:w="0" w:type="dxa"/>
            <w:vAlign w:val="bottom"/>
          </w:tcPr>
          <w:p>
            <w:pPr>
              <w:spacing w:after="0"/>
              <w:rPr>
                <w:sz w:val="1"/>
                <w:szCs w:val="1"/>
                <w:color w:val="auto"/>
              </w:rPr>
            </w:pPr>
          </w:p>
        </w:tc>
      </w:tr>
      <w:tr>
        <w:trPr>
          <w:trHeight w:val="100"/>
        </w:trPr>
        <w:tc>
          <w:tcPr>
            <w:tcW w:w="5160" w:type="dxa"/>
            <w:vAlign w:val="bottom"/>
            <w:tcBorders>
              <w:bottom w:val="single" w:sz="8" w:color="CCEEFF"/>
            </w:tcBorders>
          </w:tcPr>
          <w:p>
            <w:pPr>
              <w:spacing w:after="0"/>
              <w:rPr>
                <w:sz w:val="8"/>
                <w:szCs w:val="8"/>
                <w:color w:val="auto"/>
              </w:rPr>
            </w:pPr>
          </w:p>
        </w:tc>
        <w:tc>
          <w:tcPr>
            <w:tcW w:w="320" w:type="dxa"/>
            <w:vAlign w:val="bottom"/>
            <w:tcBorders>
              <w:bottom w:val="single" w:sz="8" w:color="auto"/>
            </w:tcBorders>
            <w:vMerge w:val="continue"/>
          </w:tcPr>
          <w:p>
            <w:pPr>
              <w:spacing w:after="0"/>
              <w:rPr>
                <w:sz w:val="8"/>
                <w:szCs w:val="8"/>
                <w:color w:val="auto"/>
              </w:rPr>
            </w:pPr>
          </w:p>
        </w:tc>
        <w:tc>
          <w:tcPr>
            <w:tcW w:w="1180" w:type="dxa"/>
            <w:vAlign w:val="bottom"/>
            <w:tcBorders>
              <w:bottom w:val="single" w:sz="8" w:color="auto"/>
            </w:tcBorders>
            <w:vMerge w:val="continue"/>
          </w:tcPr>
          <w:p>
            <w:pPr>
              <w:spacing w:after="0"/>
              <w:rPr>
                <w:sz w:val="8"/>
                <w:szCs w:val="8"/>
                <w:color w:val="auto"/>
              </w:rPr>
            </w:pPr>
          </w:p>
        </w:tc>
        <w:tc>
          <w:tcPr>
            <w:tcW w:w="120" w:type="dxa"/>
            <w:vAlign w:val="bottom"/>
            <w:tcBorders>
              <w:bottom w:val="single" w:sz="8" w:color="CCEEFF"/>
            </w:tcBorders>
          </w:tcPr>
          <w:p>
            <w:pPr>
              <w:spacing w:after="0"/>
              <w:rPr>
                <w:sz w:val="8"/>
                <w:szCs w:val="8"/>
                <w:color w:val="auto"/>
              </w:rPr>
            </w:pPr>
          </w:p>
        </w:tc>
        <w:tc>
          <w:tcPr>
            <w:tcW w:w="120" w:type="dxa"/>
            <w:vAlign w:val="bottom"/>
            <w:tcBorders>
              <w:bottom w:val="single" w:sz="8" w:color="auto"/>
            </w:tcBorders>
            <w:vMerge w:val="continue"/>
          </w:tcPr>
          <w:p>
            <w:pPr>
              <w:spacing w:after="0"/>
              <w:rPr>
                <w:sz w:val="8"/>
                <w:szCs w:val="8"/>
                <w:color w:val="auto"/>
              </w:rPr>
            </w:pPr>
          </w:p>
        </w:tc>
        <w:tc>
          <w:tcPr>
            <w:tcW w:w="1380" w:type="dxa"/>
            <w:vAlign w:val="bottom"/>
            <w:tcBorders>
              <w:bottom w:val="single" w:sz="8" w:color="auto"/>
            </w:tcBorders>
            <w:vMerge w:val="continue"/>
          </w:tcPr>
          <w:p>
            <w:pPr>
              <w:spacing w:after="0"/>
              <w:rPr>
                <w:sz w:val="8"/>
                <w:szCs w:val="8"/>
                <w:color w:val="auto"/>
              </w:rPr>
            </w:pPr>
          </w:p>
        </w:tc>
        <w:tc>
          <w:tcPr>
            <w:tcW w:w="120" w:type="dxa"/>
            <w:vAlign w:val="bottom"/>
            <w:tcBorders>
              <w:bottom w:val="single" w:sz="8" w:color="CCEEFF"/>
            </w:tcBorders>
          </w:tcPr>
          <w:p>
            <w:pPr>
              <w:spacing w:after="0"/>
              <w:rPr>
                <w:sz w:val="8"/>
                <w:szCs w:val="8"/>
                <w:color w:val="auto"/>
              </w:rPr>
            </w:pPr>
          </w:p>
        </w:tc>
        <w:tc>
          <w:tcPr>
            <w:tcW w:w="460" w:type="dxa"/>
            <w:vAlign w:val="bottom"/>
            <w:tcBorders>
              <w:bottom w:val="single" w:sz="8" w:color="auto"/>
            </w:tcBorders>
            <w:vMerge w:val="continue"/>
          </w:tcPr>
          <w:p>
            <w:pPr>
              <w:spacing w:after="0"/>
              <w:rPr>
                <w:sz w:val="8"/>
                <w:szCs w:val="8"/>
                <w:color w:val="auto"/>
              </w:rPr>
            </w:pPr>
          </w:p>
        </w:tc>
        <w:tc>
          <w:tcPr>
            <w:tcW w:w="1000" w:type="dxa"/>
            <w:vAlign w:val="bottom"/>
            <w:tcBorders>
              <w:bottom w:val="single" w:sz="8" w:color="auto"/>
            </w:tcBorders>
            <w:vMerge w:val="continue"/>
          </w:tcPr>
          <w:p>
            <w:pPr>
              <w:spacing w:after="0"/>
              <w:rPr>
                <w:sz w:val="8"/>
                <w:szCs w:val="8"/>
                <w:color w:val="auto"/>
              </w:rPr>
            </w:pPr>
          </w:p>
        </w:tc>
        <w:tc>
          <w:tcPr>
            <w:tcW w:w="100" w:type="dxa"/>
            <w:vAlign w:val="bottom"/>
            <w:tcBorders>
              <w:bottom w:val="single" w:sz="8" w:color="CCEEFF"/>
            </w:tcBorders>
          </w:tcPr>
          <w:p>
            <w:pPr>
              <w:spacing w:after="0"/>
              <w:rPr>
                <w:sz w:val="8"/>
                <w:szCs w:val="8"/>
                <w:color w:val="auto"/>
              </w:rPr>
            </w:pPr>
          </w:p>
        </w:tc>
        <w:tc>
          <w:tcPr>
            <w:tcW w:w="280" w:type="dxa"/>
            <w:vAlign w:val="bottom"/>
            <w:tcBorders>
              <w:bottom w:val="single" w:sz="8" w:color="auto"/>
            </w:tcBorders>
            <w:vMerge w:val="continue"/>
          </w:tcPr>
          <w:p>
            <w:pPr>
              <w:spacing w:after="0"/>
              <w:rPr>
                <w:sz w:val="8"/>
                <w:szCs w:val="8"/>
                <w:color w:val="auto"/>
              </w:rPr>
            </w:pPr>
          </w:p>
        </w:tc>
        <w:tc>
          <w:tcPr>
            <w:tcW w:w="118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50"/>
        </w:trPr>
        <w:tc>
          <w:tcPr>
            <w:tcW w:w="5160" w:type="dxa"/>
            <w:vAlign w:val="bottom"/>
            <w:shd w:val="clear" w:color="auto" w:fill="CCEEFF"/>
          </w:tcPr>
          <w:p>
            <w:pPr>
              <w:ind w:left="40"/>
              <w:spacing w:after="0" w:line="150" w:lineRule="exact"/>
              <w:rPr>
                <w:sz w:val="20"/>
                <w:szCs w:val="20"/>
                <w:color w:val="auto"/>
              </w:rPr>
            </w:pPr>
            <w:r>
              <w:rPr>
                <w:rFonts w:ascii="Arial" w:cs="Arial" w:eastAsia="Arial" w:hAnsi="Arial"/>
                <w:sz w:val="14"/>
                <w:szCs w:val="14"/>
                <w:b w:val="1"/>
                <w:bCs w:val="1"/>
                <w:color w:val="auto"/>
              </w:rPr>
              <w:t>Liabilities</w:t>
            </w:r>
          </w:p>
        </w:tc>
        <w:tc>
          <w:tcPr>
            <w:tcW w:w="32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3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516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11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3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10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11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91"/>
        </w:trPr>
        <w:tc>
          <w:tcPr>
            <w:tcW w:w="5160" w:type="dxa"/>
            <w:vAlign w:val="bottom"/>
          </w:tcPr>
          <w:p>
            <w:pPr>
              <w:ind w:left="40"/>
              <w:spacing w:after="0"/>
              <w:rPr>
                <w:sz w:val="20"/>
                <w:szCs w:val="20"/>
                <w:color w:val="auto"/>
              </w:rPr>
            </w:pPr>
            <w:r>
              <w:rPr>
                <w:rFonts w:ascii="Arial" w:cs="Arial" w:eastAsia="Arial" w:hAnsi="Arial"/>
                <w:sz w:val="14"/>
                <w:szCs w:val="14"/>
                <w:color w:val="auto"/>
              </w:rPr>
              <w:t>Derivative liabilities: (1)</w:t>
            </w:r>
          </w:p>
        </w:tc>
        <w:tc>
          <w:tcPr>
            <w:tcW w:w="3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5160" w:type="dxa"/>
            <w:vAlign w:val="bottom"/>
          </w:tcPr>
          <w:p>
            <w:pPr>
              <w:spacing w:after="0"/>
              <w:rPr>
                <w:sz w:val="6"/>
                <w:szCs w:val="6"/>
                <w:color w:val="auto"/>
              </w:rPr>
            </w:pPr>
          </w:p>
        </w:tc>
        <w:tc>
          <w:tcPr>
            <w:tcW w:w="320" w:type="dxa"/>
            <w:vAlign w:val="bottom"/>
          </w:tcPr>
          <w:p>
            <w:pPr>
              <w:spacing w:after="0"/>
              <w:rPr>
                <w:sz w:val="6"/>
                <w:szCs w:val="6"/>
                <w:color w:val="auto"/>
              </w:rPr>
            </w:pPr>
          </w:p>
        </w:tc>
        <w:tc>
          <w:tcPr>
            <w:tcW w:w="11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380" w:type="dxa"/>
            <w:vAlign w:val="bottom"/>
          </w:tcPr>
          <w:p>
            <w:pPr>
              <w:spacing w:after="0"/>
              <w:rPr>
                <w:sz w:val="6"/>
                <w:szCs w:val="6"/>
                <w:color w:val="auto"/>
              </w:rPr>
            </w:pPr>
          </w:p>
        </w:tc>
        <w:tc>
          <w:tcPr>
            <w:tcW w:w="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00" w:type="dxa"/>
            <w:vAlign w:val="bottom"/>
          </w:tcPr>
          <w:p>
            <w:pPr>
              <w:spacing w:after="0"/>
              <w:rPr>
                <w:sz w:val="6"/>
                <w:szCs w:val="6"/>
                <w:color w:val="auto"/>
              </w:rPr>
            </w:pPr>
          </w:p>
        </w:tc>
        <w:tc>
          <w:tcPr>
            <w:tcW w:w="280" w:type="dxa"/>
            <w:vAlign w:val="bottom"/>
          </w:tcPr>
          <w:p>
            <w:pPr>
              <w:spacing w:after="0"/>
              <w:rPr>
                <w:sz w:val="6"/>
                <w:szCs w:val="6"/>
                <w:color w:val="auto"/>
              </w:rPr>
            </w:pPr>
          </w:p>
        </w:tc>
        <w:tc>
          <w:tcPr>
            <w:tcW w:w="11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516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Interest rate</w:t>
            </w:r>
          </w:p>
        </w:tc>
        <w:tc>
          <w:tcPr>
            <w:tcW w:w="320" w:type="dxa"/>
            <w:vAlign w:val="bottom"/>
            <w:vMerge w:val="restart"/>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30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80" w:type="dxa"/>
            <w:vAlign w:val="bottom"/>
            <w:vMerge w:val="restart"/>
            <w:shd w:val="clear" w:color="auto" w:fill="CCEEFF"/>
          </w:tcPr>
          <w:p>
            <w:pPr>
              <w:jc w:val="right"/>
              <w:ind w:right="49"/>
              <w:spacing w:after="0"/>
              <w:rPr>
                <w:sz w:val="20"/>
                <w:szCs w:val="20"/>
                <w:color w:val="auto"/>
              </w:rPr>
            </w:pPr>
            <w:r>
              <w:rPr>
                <w:rFonts w:ascii="Arial" w:cs="Arial" w:eastAsia="Arial" w:hAnsi="Arial"/>
                <w:sz w:val="14"/>
                <w:szCs w:val="14"/>
                <w:color w:val="auto"/>
              </w:rPr>
              <w:t>1,689</w:t>
            </w:r>
          </w:p>
        </w:tc>
        <w:tc>
          <w:tcPr>
            <w:tcW w:w="120" w:type="dxa"/>
            <w:vAlign w:val="bottom"/>
            <w:shd w:val="clear" w:color="auto" w:fill="CCEEFF"/>
          </w:tcPr>
          <w:p>
            <w:pPr>
              <w:spacing w:after="0"/>
              <w:rPr>
                <w:sz w:val="16"/>
                <w:szCs w:val="16"/>
                <w:color w:val="auto"/>
              </w:rPr>
            </w:pPr>
          </w:p>
        </w:tc>
        <w:tc>
          <w:tcPr>
            <w:tcW w:w="460" w:type="dxa"/>
            <w:vAlign w:val="bottom"/>
            <w:vMerge w:val="restart"/>
            <w:shd w:val="clear" w:color="auto" w:fill="CCEEFF"/>
          </w:tcPr>
          <w:p>
            <w:pPr>
              <w:jc w:val="right"/>
              <w:ind w:right="288"/>
              <w:spacing w:after="0"/>
              <w:rPr>
                <w:sz w:val="20"/>
                <w:szCs w:val="20"/>
                <w:color w:val="auto"/>
              </w:rPr>
            </w:pPr>
            <w:r>
              <w:rPr>
                <w:rFonts w:ascii="Arial" w:cs="Arial" w:eastAsia="Arial" w:hAnsi="Arial"/>
                <w:sz w:val="14"/>
                <w:szCs w:val="14"/>
                <w:color w:val="auto"/>
              </w:rPr>
              <w:t>$</w:t>
            </w:r>
          </w:p>
        </w:tc>
        <w:tc>
          <w:tcPr>
            <w:tcW w:w="100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611</w:t>
            </w:r>
          </w:p>
        </w:tc>
        <w:tc>
          <w:tcPr>
            <w:tcW w:w="100" w:type="dxa"/>
            <w:vAlign w:val="bottom"/>
            <w:shd w:val="clear" w:color="auto" w:fill="CCEEFF"/>
          </w:tcPr>
          <w:p>
            <w:pPr>
              <w:spacing w:after="0"/>
              <w:rPr>
                <w:sz w:val="16"/>
                <w:szCs w:val="16"/>
                <w:color w:val="auto"/>
              </w:rPr>
            </w:pPr>
          </w:p>
        </w:tc>
        <w:tc>
          <w:tcPr>
            <w:tcW w:w="280" w:type="dxa"/>
            <w:vAlign w:val="bottom"/>
            <w:vMerge w:val="restart"/>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18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2,300</w:t>
            </w:r>
          </w:p>
        </w:tc>
        <w:tc>
          <w:tcPr>
            <w:tcW w:w="0" w:type="dxa"/>
            <w:vAlign w:val="bottom"/>
          </w:tcPr>
          <w:p>
            <w:pPr>
              <w:spacing w:after="0"/>
              <w:rPr>
                <w:sz w:val="1"/>
                <w:szCs w:val="1"/>
                <w:color w:val="auto"/>
              </w:rPr>
            </w:pPr>
          </w:p>
        </w:tc>
      </w:tr>
      <w:tr>
        <w:trPr>
          <w:trHeight w:val="80"/>
        </w:trPr>
        <w:tc>
          <w:tcPr>
            <w:tcW w:w="5160" w:type="dxa"/>
            <w:vAlign w:val="bottom"/>
            <w:shd w:val="clear" w:color="auto" w:fill="CCEEFF"/>
          </w:tcPr>
          <w:p>
            <w:pPr>
              <w:spacing w:after="0"/>
              <w:rPr>
                <w:sz w:val="6"/>
                <w:szCs w:val="6"/>
                <w:color w:val="auto"/>
              </w:rPr>
            </w:pPr>
          </w:p>
        </w:tc>
        <w:tc>
          <w:tcPr>
            <w:tcW w:w="320" w:type="dxa"/>
            <w:vAlign w:val="bottom"/>
            <w:vMerge w:val="continue"/>
            <w:shd w:val="clear" w:color="auto" w:fill="CCEEFF"/>
          </w:tcPr>
          <w:p>
            <w:pPr>
              <w:spacing w:after="0"/>
              <w:rPr>
                <w:sz w:val="6"/>
                <w:szCs w:val="6"/>
                <w:color w:val="auto"/>
              </w:rPr>
            </w:pPr>
          </w:p>
        </w:tc>
        <w:tc>
          <w:tcPr>
            <w:tcW w:w="1300" w:type="dxa"/>
            <w:vAlign w:val="bottom"/>
            <w:gridSpan w:val="2"/>
            <w:vMerge w:val="continue"/>
            <w:shd w:val="clear" w:color="auto" w:fill="CCEEFF"/>
          </w:tcPr>
          <w:p>
            <w:pPr>
              <w:spacing w:after="0"/>
              <w:rPr>
                <w:sz w:val="6"/>
                <w:szCs w:val="6"/>
                <w:color w:val="auto"/>
              </w:rPr>
            </w:pPr>
          </w:p>
        </w:tc>
        <w:tc>
          <w:tcPr>
            <w:tcW w:w="120" w:type="dxa"/>
            <w:vAlign w:val="bottom"/>
            <w:vMerge w:val="continue"/>
            <w:shd w:val="clear" w:color="auto" w:fill="CCEEFF"/>
          </w:tcPr>
          <w:p>
            <w:pPr>
              <w:spacing w:after="0"/>
              <w:rPr>
                <w:sz w:val="6"/>
                <w:szCs w:val="6"/>
                <w:color w:val="auto"/>
              </w:rPr>
            </w:pPr>
          </w:p>
        </w:tc>
        <w:tc>
          <w:tcPr>
            <w:tcW w:w="138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460" w:type="dxa"/>
            <w:vAlign w:val="bottom"/>
            <w:vMerge w:val="continue"/>
            <w:shd w:val="clear" w:color="auto" w:fill="CCEEFF"/>
          </w:tcPr>
          <w:p>
            <w:pPr>
              <w:spacing w:after="0"/>
              <w:rPr>
                <w:sz w:val="6"/>
                <w:szCs w:val="6"/>
                <w:color w:val="auto"/>
              </w:rPr>
            </w:pPr>
          </w:p>
        </w:tc>
        <w:tc>
          <w:tcPr>
            <w:tcW w:w="100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80" w:type="dxa"/>
            <w:vAlign w:val="bottom"/>
            <w:vMerge w:val="continue"/>
            <w:shd w:val="clear" w:color="auto" w:fill="CCEEFF"/>
          </w:tcPr>
          <w:p>
            <w:pPr>
              <w:spacing w:after="0"/>
              <w:rPr>
                <w:sz w:val="6"/>
                <w:szCs w:val="6"/>
                <w:color w:val="auto"/>
              </w:rPr>
            </w:pPr>
          </w:p>
        </w:tc>
        <w:tc>
          <w:tcPr>
            <w:tcW w:w="118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5160" w:type="dxa"/>
            <w:vAlign w:val="bottom"/>
          </w:tcPr>
          <w:p>
            <w:pPr>
              <w:ind w:left="40"/>
              <w:spacing w:after="0"/>
              <w:rPr>
                <w:sz w:val="20"/>
                <w:szCs w:val="20"/>
                <w:color w:val="auto"/>
              </w:rPr>
            </w:pPr>
            <w:r>
              <w:rPr>
                <w:rFonts w:ascii="Arial" w:cs="Arial" w:eastAsia="Arial" w:hAnsi="Arial"/>
                <w:sz w:val="14"/>
                <w:szCs w:val="14"/>
                <w:color w:val="auto"/>
              </w:rPr>
              <w:t>Foreign currency exchange rate</w:t>
            </w:r>
          </w:p>
        </w:tc>
        <w:tc>
          <w:tcPr>
            <w:tcW w:w="320" w:type="dxa"/>
            <w:vAlign w:val="bottom"/>
          </w:tcPr>
          <w:p>
            <w:pPr>
              <w:spacing w:after="0"/>
              <w:rPr>
                <w:sz w:val="16"/>
                <w:szCs w:val="16"/>
                <w:color w:val="auto"/>
              </w:rPr>
            </w:pPr>
          </w:p>
        </w:tc>
        <w:tc>
          <w:tcPr>
            <w:tcW w:w="130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380" w:type="dxa"/>
            <w:vAlign w:val="bottom"/>
            <w:vMerge w:val="restart"/>
          </w:tcPr>
          <w:p>
            <w:pPr>
              <w:jc w:val="right"/>
              <w:ind w:right="49"/>
              <w:spacing w:after="0"/>
              <w:rPr>
                <w:sz w:val="20"/>
                <w:szCs w:val="20"/>
                <w:color w:val="auto"/>
              </w:rPr>
            </w:pPr>
            <w:r>
              <w:rPr>
                <w:rFonts w:ascii="Arial" w:cs="Arial" w:eastAsia="Arial" w:hAnsi="Arial"/>
                <w:sz w:val="14"/>
                <w:szCs w:val="14"/>
                <w:color w:val="auto"/>
              </w:rPr>
              <w:t>15</w:t>
            </w: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1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6"/>
                <w:szCs w:val="16"/>
                <w:color w:val="auto"/>
              </w:rPr>
            </w:pPr>
          </w:p>
        </w:tc>
        <w:tc>
          <w:tcPr>
            <w:tcW w:w="1180" w:type="dxa"/>
            <w:vAlign w:val="bottom"/>
            <w:vMerge w:val="restart"/>
          </w:tcPr>
          <w:p>
            <w:pPr>
              <w:jc w:val="right"/>
              <w:ind w:right="29"/>
              <w:spacing w:after="0"/>
              <w:rPr>
                <w:sz w:val="20"/>
                <w:szCs w:val="20"/>
                <w:color w:val="auto"/>
              </w:rPr>
            </w:pPr>
            <w:r>
              <w:rPr>
                <w:rFonts w:ascii="Arial" w:cs="Arial" w:eastAsia="Arial" w:hAnsi="Arial"/>
                <w:sz w:val="14"/>
                <w:szCs w:val="14"/>
                <w:color w:val="auto"/>
              </w:rPr>
              <w:t>15</w:t>
            </w:r>
          </w:p>
        </w:tc>
        <w:tc>
          <w:tcPr>
            <w:tcW w:w="0" w:type="dxa"/>
            <w:vAlign w:val="bottom"/>
          </w:tcPr>
          <w:p>
            <w:pPr>
              <w:spacing w:after="0"/>
              <w:rPr>
                <w:sz w:val="1"/>
                <w:szCs w:val="1"/>
                <w:color w:val="auto"/>
              </w:rPr>
            </w:pPr>
          </w:p>
        </w:tc>
      </w:tr>
      <w:tr>
        <w:trPr>
          <w:trHeight w:val="74"/>
        </w:trPr>
        <w:tc>
          <w:tcPr>
            <w:tcW w:w="5160" w:type="dxa"/>
            <w:vAlign w:val="bottom"/>
          </w:tcPr>
          <w:p>
            <w:pPr>
              <w:spacing w:after="0"/>
              <w:rPr>
                <w:sz w:val="6"/>
                <w:szCs w:val="6"/>
                <w:color w:val="auto"/>
              </w:rPr>
            </w:pPr>
          </w:p>
        </w:tc>
        <w:tc>
          <w:tcPr>
            <w:tcW w:w="320" w:type="dxa"/>
            <w:vAlign w:val="bottom"/>
          </w:tcPr>
          <w:p>
            <w:pPr>
              <w:spacing w:after="0"/>
              <w:rPr>
                <w:sz w:val="6"/>
                <w:szCs w:val="6"/>
                <w:color w:val="auto"/>
              </w:rPr>
            </w:pPr>
          </w:p>
        </w:tc>
        <w:tc>
          <w:tcPr>
            <w:tcW w:w="130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13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1100" w:type="dxa"/>
            <w:vAlign w:val="bottom"/>
            <w:gridSpan w:val="2"/>
            <w:vMerge w:val="continue"/>
          </w:tcPr>
          <w:p>
            <w:pPr>
              <w:spacing w:after="0"/>
              <w:rPr>
                <w:sz w:val="6"/>
                <w:szCs w:val="6"/>
                <w:color w:val="auto"/>
              </w:rPr>
            </w:pPr>
          </w:p>
        </w:tc>
        <w:tc>
          <w:tcPr>
            <w:tcW w:w="280" w:type="dxa"/>
            <w:vAlign w:val="bottom"/>
          </w:tcPr>
          <w:p>
            <w:pPr>
              <w:spacing w:after="0"/>
              <w:rPr>
                <w:sz w:val="6"/>
                <w:szCs w:val="6"/>
                <w:color w:val="auto"/>
              </w:rPr>
            </w:pPr>
          </w:p>
        </w:tc>
        <w:tc>
          <w:tcPr>
            <w:tcW w:w="11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5160" w:type="dxa"/>
            <w:vAlign w:val="bottom"/>
            <w:shd w:val="clear" w:color="auto" w:fill="CCEEFF"/>
          </w:tcPr>
          <w:p>
            <w:pPr>
              <w:ind w:left="40"/>
              <w:spacing w:after="0"/>
              <w:rPr>
                <w:sz w:val="20"/>
                <w:szCs w:val="20"/>
                <w:color w:val="auto"/>
              </w:rPr>
            </w:pPr>
            <w:r>
              <w:rPr>
                <w:rFonts w:ascii="Arial" w:cs="Arial" w:eastAsia="Arial" w:hAnsi="Arial"/>
                <w:sz w:val="14"/>
                <w:szCs w:val="14"/>
                <w:color w:val="auto"/>
              </w:rPr>
              <w:t>Credit</w:t>
            </w:r>
          </w:p>
        </w:tc>
        <w:tc>
          <w:tcPr>
            <w:tcW w:w="320" w:type="dxa"/>
            <w:vAlign w:val="bottom"/>
            <w:shd w:val="clear" w:color="auto" w:fill="CCEEFF"/>
          </w:tcPr>
          <w:p>
            <w:pPr>
              <w:spacing w:after="0"/>
              <w:rPr>
                <w:sz w:val="17"/>
                <w:szCs w:val="17"/>
                <w:color w:val="auto"/>
              </w:rPr>
            </w:pPr>
          </w:p>
        </w:tc>
        <w:tc>
          <w:tcPr>
            <w:tcW w:w="130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150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spacing w:after="0"/>
              <w:rPr>
                <w:sz w:val="17"/>
                <w:szCs w:val="17"/>
                <w:color w:val="auto"/>
              </w:rPr>
            </w:pPr>
          </w:p>
        </w:tc>
        <w:tc>
          <w:tcPr>
            <w:tcW w:w="11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7"/>
                <w:szCs w:val="17"/>
                <w:color w:val="auto"/>
              </w:rPr>
            </w:pPr>
          </w:p>
        </w:tc>
        <w:tc>
          <w:tcPr>
            <w:tcW w:w="118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80"/>
        </w:trPr>
        <w:tc>
          <w:tcPr>
            <w:tcW w:w="5160" w:type="dxa"/>
            <w:vAlign w:val="bottom"/>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1300" w:type="dxa"/>
            <w:vAlign w:val="bottom"/>
            <w:gridSpan w:val="2"/>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500" w:type="dxa"/>
            <w:vAlign w:val="bottom"/>
            <w:gridSpan w:val="2"/>
            <w:vMerge w:val="continue"/>
            <w:shd w:val="clear" w:color="auto" w:fill="CCEEFF"/>
          </w:tcPr>
          <w:p>
            <w:pPr>
              <w:spacing w:after="0"/>
              <w:rPr>
                <w:sz w:val="6"/>
                <w:szCs w:val="6"/>
                <w:color w:val="auto"/>
              </w:rPr>
            </w:pPr>
          </w:p>
        </w:tc>
        <w:tc>
          <w:tcPr>
            <w:tcW w:w="460" w:type="dxa"/>
            <w:vAlign w:val="bottom"/>
            <w:shd w:val="clear" w:color="auto" w:fill="CCEEFF"/>
          </w:tcPr>
          <w:p>
            <w:pPr>
              <w:spacing w:after="0"/>
              <w:rPr>
                <w:sz w:val="6"/>
                <w:szCs w:val="6"/>
                <w:color w:val="auto"/>
              </w:rPr>
            </w:pPr>
          </w:p>
        </w:tc>
        <w:tc>
          <w:tcPr>
            <w:tcW w:w="1100" w:type="dxa"/>
            <w:vAlign w:val="bottom"/>
            <w:gridSpan w:val="2"/>
            <w:vMerge w:val="continue"/>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118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5160" w:type="dxa"/>
            <w:vAlign w:val="bottom"/>
          </w:tcPr>
          <w:p>
            <w:pPr>
              <w:ind w:left="40"/>
              <w:spacing w:after="0"/>
              <w:rPr>
                <w:sz w:val="20"/>
                <w:szCs w:val="20"/>
                <w:color w:val="auto"/>
              </w:rPr>
            </w:pPr>
            <w:r>
              <w:rPr>
                <w:rFonts w:ascii="Arial" w:cs="Arial" w:eastAsia="Arial" w:hAnsi="Arial"/>
                <w:sz w:val="14"/>
                <w:szCs w:val="14"/>
                <w:color w:val="auto"/>
              </w:rPr>
              <w:t>Equity market</w:t>
            </w:r>
          </w:p>
        </w:tc>
        <w:tc>
          <w:tcPr>
            <w:tcW w:w="320" w:type="dxa"/>
            <w:vAlign w:val="bottom"/>
          </w:tcPr>
          <w:p>
            <w:pPr>
              <w:spacing w:after="0"/>
              <w:rPr>
                <w:sz w:val="16"/>
                <w:szCs w:val="16"/>
                <w:color w:val="auto"/>
              </w:rPr>
            </w:pPr>
          </w:p>
        </w:tc>
        <w:tc>
          <w:tcPr>
            <w:tcW w:w="1180" w:type="dxa"/>
            <w:vAlign w:val="bottom"/>
            <w:vMerge w:val="restart"/>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vMerge w:val="restart"/>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vMerge w:val="restart"/>
          </w:tcPr>
          <w:p>
            <w:pPr>
              <w:jc w:val="right"/>
              <w:ind w:right="49"/>
              <w:spacing w:after="0"/>
              <w:rPr>
                <w:sz w:val="20"/>
                <w:szCs w:val="20"/>
                <w:color w:val="auto"/>
              </w:rPr>
            </w:pPr>
            <w:r>
              <w:rPr>
                <w:rFonts w:ascii="Arial" w:cs="Arial" w:eastAsia="Arial" w:hAnsi="Arial"/>
                <w:sz w:val="14"/>
                <w:szCs w:val="14"/>
                <w:color w:val="auto"/>
              </w:rPr>
              <w:t>1,038</w:t>
            </w: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0" w:type="dxa"/>
            <w:vAlign w:val="bottom"/>
            <w:vMerge w:val="restart"/>
          </w:tcPr>
          <w:p>
            <w:pPr>
              <w:jc w:val="right"/>
              <w:ind w:right="48"/>
              <w:spacing w:after="0"/>
              <w:rPr>
                <w:sz w:val="20"/>
                <w:szCs w:val="20"/>
                <w:color w:val="auto"/>
              </w:rPr>
            </w:pPr>
            <w:r>
              <w:rPr>
                <w:rFonts w:ascii="Arial" w:cs="Arial" w:eastAsia="Arial" w:hAnsi="Arial"/>
                <w:sz w:val="14"/>
                <w:szCs w:val="14"/>
                <w:color w:val="auto"/>
              </w:rPr>
              <w:t>530</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80" w:type="dxa"/>
            <w:vAlign w:val="bottom"/>
            <w:vMerge w:val="restart"/>
          </w:tcPr>
          <w:p>
            <w:pPr>
              <w:jc w:val="right"/>
              <w:ind w:right="29"/>
              <w:spacing w:after="0"/>
              <w:rPr>
                <w:sz w:val="20"/>
                <w:szCs w:val="20"/>
                <w:color w:val="auto"/>
              </w:rPr>
            </w:pPr>
            <w:r>
              <w:rPr>
                <w:rFonts w:ascii="Arial" w:cs="Arial" w:eastAsia="Arial" w:hAnsi="Arial"/>
                <w:sz w:val="14"/>
                <w:szCs w:val="14"/>
                <w:color w:val="auto"/>
              </w:rPr>
              <w:t>1,568</w:t>
            </w:r>
          </w:p>
        </w:tc>
        <w:tc>
          <w:tcPr>
            <w:tcW w:w="0" w:type="dxa"/>
            <w:vAlign w:val="bottom"/>
          </w:tcPr>
          <w:p>
            <w:pPr>
              <w:spacing w:after="0"/>
              <w:rPr>
                <w:sz w:val="1"/>
                <w:szCs w:val="1"/>
                <w:color w:val="auto"/>
              </w:rPr>
            </w:pPr>
          </w:p>
        </w:tc>
      </w:tr>
      <w:tr>
        <w:trPr>
          <w:trHeight w:val="74"/>
        </w:trPr>
        <w:tc>
          <w:tcPr>
            <w:tcW w:w="5160" w:type="dxa"/>
            <w:vAlign w:val="bottom"/>
            <w:tcBorders>
              <w:bottom w:val="single" w:sz="8" w:color="CCEEFF"/>
            </w:tcBorders>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118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vMerge w:val="continue"/>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138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460" w:type="dxa"/>
            <w:vAlign w:val="bottom"/>
            <w:tcBorders>
              <w:bottom w:val="single" w:sz="8" w:color="auto"/>
            </w:tcBorders>
          </w:tcPr>
          <w:p>
            <w:pPr>
              <w:spacing w:after="0"/>
              <w:rPr>
                <w:sz w:val="6"/>
                <w:szCs w:val="6"/>
                <w:color w:val="auto"/>
              </w:rPr>
            </w:pPr>
          </w:p>
        </w:tc>
        <w:tc>
          <w:tcPr>
            <w:tcW w:w="100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118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5160" w:type="dxa"/>
            <w:vAlign w:val="bottom"/>
            <w:shd w:val="clear" w:color="auto" w:fill="CCEEFF"/>
          </w:tcPr>
          <w:p>
            <w:pPr>
              <w:ind w:left="200"/>
              <w:spacing w:after="0"/>
              <w:rPr>
                <w:sz w:val="20"/>
                <w:szCs w:val="20"/>
                <w:color w:val="auto"/>
              </w:rPr>
            </w:pPr>
            <w:r>
              <w:rPr>
                <w:rFonts w:ascii="Arial" w:cs="Arial" w:eastAsia="Arial" w:hAnsi="Arial"/>
                <w:sz w:val="14"/>
                <w:szCs w:val="14"/>
                <w:color w:val="auto"/>
              </w:rPr>
              <w:t>Total derivative liabilities</w:t>
            </w:r>
          </w:p>
        </w:tc>
        <w:tc>
          <w:tcPr>
            <w:tcW w:w="320" w:type="dxa"/>
            <w:vAlign w:val="bottom"/>
            <w:shd w:val="clear" w:color="auto" w:fill="CCEEFF"/>
          </w:tcPr>
          <w:p>
            <w:pPr>
              <w:spacing w:after="0"/>
              <w:rPr>
                <w:sz w:val="15"/>
                <w:szCs w:val="15"/>
                <w:color w:val="auto"/>
              </w:rPr>
            </w:pPr>
          </w:p>
        </w:tc>
        <w:tc>
          <w:tcPr>
            <w:tcW w:w="118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vMerge w:val="restart"/>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380" w:type="dxa"/>
            <w:vAlign w:val="bottom"/>
            <w:vMerge w:val="restart"/>
            <w:shd w:val="clear" w:color="auto" w:fill="CCEEFF"/>
          </w:tcPr>
          <w:p>
            <w:pPr>
              <w:jc w:val="right"/>
              <w:ind w:right="49"/>
              <w:spacing w:after="0"/>
              <w:rPr>
                <w:sz w:val="20"/>
                <w:szCs w:val="20"/>
                <w:color w:val="auto"/>
              </w:rPr>
            </w:pPr>
            <w:r>
              <w:rPr>
                <w:rFonts w:ascii="Arial" w:cs="Arial" w:eastAsia="Arial" w:hAnsi="Arial"/>
                <w:sz w:val="14"/>
                <w:szCs w:val="14"/>
                <w:color w:val="auto"/>
              </w:rPr>
              <w:t>2,742</w:t>
            </w:r>
          </w:p>
        </w:tc>
        <w:tc>
          <w:tcPr>
            <w:tcW w:w="1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00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1,141</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18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3,883</w:t>
            </w:r>
          </w:p>
        </w:tc>
        <w:tc>
          <w:tcPr>
            <w:tcW w:w="0" w:type="dxa"/>
            <w:vAlign w:val="bottom"/>
          </w:tcPr>
          <w:p>
            <w:pPr>
              <w:spacing w:after="0"/>
              <w:rPr>
                <w:sz w:val="1"/>
                <w:szCs w:val="1"/>
                <w:color w:val="auto"/>
              </w:rPr>
            </w:pPr>
          </w:p>
        </w:tc>
      </w:tr>
      <w:tr>
        <w:trPr>
          <w:trHeight w:val="80"/>
        </w:trPr>
        <w:tc>
          <w:tcPr>
            <w:tcW w:w="5160" w:type="dxa"/>
            <w:vAlign w:val="bottom"/>
            <w:shd w:val="clear" w:color="auto" w:fill="CCEEFF"/>
          </w:tcPr>
          <w:p>
            <w:pPr>
              <w:spacing w:after="0"/>
              <w:rPr>
                <w:sz w:val="6"/>
                <w:szCs w:val="6"/>
                <w:color w:val="auto"/>
              </w:rPr>
            </w:pPr>
          </w:p>
        </w:tc>
        <w:tc>
          <w:tcPr>
            <w:tcW w:w="320" w:type="dxa"/>
            <w:vAlign w:val="bottom"/>
            <w:tcBorders>
              <w:bottom w:val="single" w:sz="8" w:color="auto"/>
            </w:tcBorders>
            <w:shd w:val="clear" w:color="auto" w:fill="CCEEFF"/>
          </w:tcPr>
          <w:p>
            <w:pPr>
              <w:spacing w:after="0"/>
              <w:rPr>
                <w:sz w:val="6"/>
                <w:szCs w:val="6"/>
                <w:color w:val="auto"/>
              </w:rPr>
            </w:pPr>
          </w:p>
        </w:tc>
        <w:tc>
          <w:tcPr>
            <w:tcW w:w="118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vMerge w:val="continue"/>
            <w:shd w:val="clear" w:color="auto" w:fill="CCEEFF"/>
          </w:tcPr>
          <w:p>
            <w:pPr>
              <w:spacing w:after="0"/>
              <w:rPr>
                <w:sz w:val="6"/>
                <w:szCs w:val="6"/>
                <w:color w:val="auto"/>
              </w:rPr>
            </w:pPr>
          </w:p>
        </w:tc>
        <w:tc>
          <w:tcPr>
            <w:tcW w:w="120" w:type="dxa"/>
            <w:vAlign w:val="bottom"/>
            <w:tcBorders>
              <w:bottom w:val="single" w:sz="8" w:color="auto"/>
            </w:tcBorders>
            <w:shd w:val="clear" w:color="auto" w:fill="CCEEFF"/>
          </w:tcPr>
          <w:p>
            <w:pPr>
              <w:spacing w:after="0"/>
              <w:rPr>
                <w:sz w:val="6"/>
                <w:szCs w:val="6"/>
                <w:color w:val="auto"/>
              </w:rPr>
            </w:pPr>
          </w:p>
        </w:tc>
        <w:tc>
          <w:tcPr>
            <w:tcW w:w="138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460" w:type="dxa"/>
            <w:vAlign w:val="bottom"/>
            <w:tcBorders>
              <w:bottom w:val="single" w:sz="8" w:color="auto"/>
            </w:tcBorders>
            <w:shd w:val="clear" w:color="auto" w:fill="CCEEFF"/>
          </w:tcPr>
          <w:p>
            <w:pPr>
              <w:spacing w:after="0"/>
              <w:rPr>
                <w:sz w:val="6"/>
                <w:szCs w:val="6"/>
                <w:color w:val="auto"/>
              </w:rPr>
            </w:pPr>
          </w:p>
        </w:tc>
        <w:tc>
          <w:tcPr>
            <w:tcW w:w="100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80" w:type="dxa"/>
            <w:vAlign w:val="bottom"/>
            <w:tcBorders>
              <w:bottom w:val="single" w:sz="8" w:color="auto"/>
            </w:tcBorders>
            <w:shd w:val="clear" w:color="auto" w:fill="CCEEFF"/>
          </w:tcPr>
          <w:p>
            <w:pPr>
              <w:spacing w:after="0"/>
              <w:rPr>
                <w:sz w:val="6"/>
                <w:szCs w:val="6"/>
                <w:color w:val="auto"/>
              </w:rPr>
            </w:pPr>
          </w:p>
        </w:tc>
        <w:tc>
          <w:tcPr>
            <w:tcW w:w="1180" w:type="dxa"/>
            <w:vAlign w:val="bottom"/>
            <w:tcBorders>
              <w:bottom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1"/>
        </w:trPr>
        <w:tc>
          <w:tcPr>
            <w:tcW w:w="5160" w:type="dxa"/>
            <w:vAlign w:val="bottom"/>
          </w:tcPr>
          <w:p>
            <w:pPr>
              <w:ind w:left="40"/>
              <w:spacing w:after="0"/>
              <w:rPr>
                <w:sz w:val="20"/>
                <w:szCs w:val="20"/>
                <w:color w:val="auto"/>
              </w:rPr>
            </w:pPr>
            <w:r>
              <w:rPr>
                <w:rFonts w:ascii="Arial" w:cs="Arial" w:eastAsia="Arial" w:hAnsi="Arial"/>
                <w:sz w:val="14"/>
                <w:szCs w:val="14"/>
                <w:color w:val="auto"/>
              </w:rPr>
              <w:t>Embedded derivatives within liability host contracts (2)</w:t>
            </w:r>
          </w:p>
        </w:tc>
        <w:tc>
          <w:tcPr>
            <w:tcW w:w="320" w:type="dxa"/>
            <w:vAlign w:val="bottom"/>
          </w:tcPr>
          <w:p>
            <w:pPr>
              <w:spacing w:after="0"/>
              <w:rPr>
                <w:sz w:val="14"/>
                <w:szCs w:val="14"/>
                <w:color w:val="auto"/>
              </w:rPr>
            </w:pPr>
          </w:p>
        </w:tc>
        <w:tc>
          <w:tcPr>
            <w:tcW w:w="130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50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14"/>
                <w:szCs w:val="14"/>
                <w:color w:val="auto"/>
              </w:rPr>
            </w:pPr>
          </w:p>
        </w:tc>
        <w:tc>
          <w:tcPr>
            <w:tcW w:w="1000" w:type="dxa"/>
            <w:vAlign w:val="bottom"/>
            <w:vMerge w:val="restart"/>
          </w:tcPr>
          <w:p>
            <w:pPr>
              <w:jc w:val="right"/>
              <w:ind w:right="48"/>
              <w:spacing w:after="0"/>
              <w:rPr>
                <w:sz w:val="20"/>
                <w:szCs w:val="20"/>
                <w:color w:val="auto"/>
              </w:rPr>
            </w:pPr>
            <w:r>
              <w:rPr>
                <w:rFonts w:ascii="Arial" w:cs="Arial" w:eastAsia="Arial" w:hAnsi="Arial"/>
                <w:sz w:val="14"/>
                <w:szCs w:val="14"/>
                <w:color w:val="auto"/>
              </w:rPr>
              <w:t>3,011</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80" w:type="dxa"/>
            <w:vAlign w:val="bottom"/>
            <w:vMerge w:val="restart"/>
          </w:tcPr>
          <w:p>
            <w:pPr>
              <w:jc w:val="right"/>
              <w:ind w:right="29"/>
              <w:spacing w:after="0"/>
              <w:rPr>
                <w:sz w:val="20"/>
                <w:szCs w:val="20"/>
                <w:color w:val="auto"/>
              </w:rPr>
            </w:pPr>
            <w:r>
              <w:rPr>
                <w:rFonts w:ascii="Arial" w:cs="Arial" w:eastAsia="Arial" w:hAnsi="Arial"/>
                <w:sz w:val="14"/>
                <w:szCs w:val="14"/>
                <w:color w:val="auto"/>
              </w:rPr>
              <w:t>3,011</w:t>
            </w:r>
          </w:p>
        </w:tc>
        <w:tc>
          <w:tcPr>
            <w:tcW w:w="0" w:type="dxa"/>
            <w:vAlign w:val="bottom"/>
          </w:tcPr>
          <w:p>
            <w:pPr>
              <w:spacing w:after="0"/>
              <w:rPr>
                <w:sz w:val="1"/>
                <w:szCs w:val="1"/>
                <w:color w:val="auto"/>
              </w:rPr>
            </w:pPr>
          </w:p>
        </w:tc>
      </w:tr>
      <w:tr>
        <w:trPr>
          <w:trHeight w:val="74"/>
        </w:trPr>
        <w:tc>
          <w:tcPr>
            <w:tcW w:w="5160" w:type="dxa"/>
            <w:vAlign w:val="bottom"/>
          </w:tcPr>
          <w:p>
            <w:pPr>
              <w:spacing w:after="0"/>
              <w:rPr>
                <w:sz w:val="6"/>
                <w:szCs w:val="6"/>
                <w:color w:val="auto"/>
              </w:rPr>
            </w:pPr>
          </w:p>
        </w:tc>
        <w:tc>
          <w:tcPr>
            <w:tcW w:w="320" w:type="dxa"/>
            <w:vAlign w:val="bottom"/>
          </w:tcPr>
          <w:p>
            <w:pPr>
              <w:spacing w:after="0"/>
              <w:rPr>
                <w:sz w:val="6"/>
                <w:szCs w:val="6"/>
                <w:color w:val="auto"/>
              </w:rPr>
            </w:pPr>
          </w:p>
        </w:tc>
        <w:tc>
          <w:tcPr>
            <w:tcW w:w="130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1500" w:type="dxa"/>
            <w:vAlign w:val="bottom"/>
            <w:gridSpan w:val="2"/>
            <w:vMerge w:val="continue"/>
          </w:tcPr>
          <w:p>
            <w:pPr>
              <w:spacing w:after="0"/>
              <w:rPr>
                <w:sz w:val="6"/>
                <w:szCs w:val="6"/>
                <w:color w:val="auto"/>
              </w:rPr>
            </w:pPr>
          </w:p>
        </w:tc>
        <w:tc>
          <w:tcPr>
            <w:tcW w:w="460" w:type="dxa"/>
            <w:vAlign w:val="bottom"/>
          </w:tcPr>
          <w:p>
            <w:pPr>
              <w:spacing w:after="0"/>
              <w:rPr>
                <w:sz w:val="6"/>
                <w:szCs w:val="6"/>
                <w:color w:val="auto"/>
              </w:rPr>
            </w:pPr>
          </w:p>
        </w:tc>
        <w:tc>
          <w:tcPr>
            <w:tcW w:w="100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280" w:type="dxa"/>
            <w:vAlign w:val="bottom"/>
          </w:tcPr>
          <w:p>
            <w:pPr>
              <w:spacing w:after="0"/>
              <w:rPr>
                <w:sz w:val="6"/>
                <w:szCs w:val="6"/>
                <w:color w:val="auto"/>
              </w:rPr>
            </w:pPr>
          </w:p>
        </w:tc>
        <w:tc>
          <w:tcPr>
            <w:tcW w:w="11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5160" w:type="dxa"/>
            <w:vAlign w:val="bottom"/>
            <w:shd w:val="clear" w:color="auto" w:fill="CCEEFF"/>
          </w:tcPr>
          <w:p>
            <w:pPr>
              <w:ind w:left="40"/>
              <w:spacing w:after="0"/>
              <w:rPr>
                <w:sz w:val="20"/>
                <w:szCs w:val="20"/>
                <w:color w:val="auto"/>
              </w:rPr>
            </w:pPr>
            <w:r>
              <w:rPr>
                <w:rFonts w:ascii="Arial" w:cs="Arial" w:eastAsia="Arial" w:hAnsi="Arial"/>
                <w:sz w:val="14"/>
                <w:szCs w:val="14"/>
                <w:color w:val="auto"/>
              </w:rPr>
              <w:t>Long-term debt of CSEs — FVO</w:t>
            </w:r>
          </w:p>
        </w:tc>
        <w:tc>
          <w:tcPr>
            <w:tcW w:w="320" w:type="dxa"/>
            <w:vAlign w:val="bottom"/>
            <w:shd w:val="clear" w:color="auto" w:fill="CCEEFF"/>
          </w:tcPr>
          <w:p>
            <w:pPr>
              <w:spacing w:after="0"/>
              <w:rPr>
                <w:sz w:val="17"/>
                <w:szCs w:val="17"/>
                <w:color w:val="auto"/>
              </w:rPr>
            </w:pPr>
          </w:p>
        </w:tc>
        <w:tc>
          <w:tcPr>
            <w:tcW w:w="118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vMerge w:val="restart"/>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80" w:type="dxa"/>
            <w:vAlign w:val="bottom"/>
            <w:vMerge w:val="restart"/>
            <w:shd w:val="clear" w:color="auto" w:fill="CCEEFF"/>
          </w:tcPr>
          <w:p>
            <w:pPr>
              <w:jc w:val="right"/>
              <w:ind w:right="49"/>
              <w:spacing w:after="0"/>
              <w:rPr>
                <w:sz w:val="20"/>
                <w:szCs w:val="20"/>
                <w:color w:val="auto"/>
              </w:rPr>
            </w:pPr>
            <w:r>
              <w:rPr>
                <w:rFonts w:ascii="Arial" w:cs="Arial" w:eastAsia="Arial" w:hAnsi="Arial"/>
                <w:sz w:val="14"/>
                <w:szCs w:val="14"/>
                <w:color w:val="auto"/>
              </w:rPr>
              <w:t>23</w:t>
            </w: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vMerge w:val="restart"/>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8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23</w:t>
            </w:r>
          </w:p>
        </w:tc>
        <w:tc>
          <w:tcPr>
            <w:tcW w:w="0" w:type="dxa"/>
            <w:vAlign w:val="bottom"/>
          </w:tcPr>
          <w:p>
            <w:pPr>
              <w:spacing w:after="0"/>
              <w:rPr>
                <w:sz w:val="1"/>
                <w:szCs w:val="1"/>
                <w:color w:val="auto"/>
              </w:rPr>
            </w:pPr>
          </w:p>
        </w:tc>
      </w:tr>
      <w:tr>
        <w:trPr>
          <w:trHeight w:val="80"/>
        </w:trPr>
        <w:tc>
          <w:tcPr>
            <w:tcW w:w="5160" w:type="dxa"/>
            <w:vAlign w:val="bottom"/>
            <w:shd w:val="clear" w:color="auto" w:fill="CCEEFF"/>
          </w:tcPr>
          <w:p>
            <w:pPr>
              <w:spacing w:after="0"/>
              <w:rPr>
                <w:sz w:val="6"/>
                <w:szCs w:val="6"/>
                <w:color w:val="auto"/>
              </w:rPr>
            </w:pPr>
          </w:p>
        </w:tc>
        <w:tc>
          <w:tcPr>
            <w:tcW w:w="320" w:type="dxa"/>
            <w:vAlign w:val="bottom"/>
            <w:tcBorders>
              <w:bottom w:val="single" w:sz="8" w:color="auto"/>
            </w:tcBorders>
            <w:shd w:val="clear" w:color="auto" w:fill="CCEEFF"/>
          </w:tcPr>
          <w:p>
            <w:pPr>
              <w:spacing w:after="0"/>
              <w:rPr>
                <w:sz w:val="6"/>
                <w:szCs w:val="6"/>
                <w:color w:val="auto"/>
              </w:rPr>
            </w:pPr>
          </w:p>
        </w:tc>
        <w:tc>
          <w:tcPr>
            <w:tcW w:w="118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vMerge w:val="continue"/>
            <w:shd w:val="clear" w:color="auto" w:fill="CCEEFF"/>
          </w:tcPr>
          <w:p>
            <w:pPr>
              <w:spacing w:after="0"/>
              <w:rPr>
                <w:sz w:val="6"/>
                <w:szCs w:val="6"/>
                <w:color w:val="auto"/>
              </w:rPr>
            </w:pPr>
          </w:p>
        </w:tc>
        <w:tc>
          <w:tcPr>
            <w:tcW w:w="120" w:type="dxa"/>
            <w:vAlign w:val="bottom"/>
            <w:tcBorders>
              <w:bottom w:val="single" w:sz="8" w:color="auto"/>
            </w:tcBorders>
            <w:shd w:val="clear" w:color="auto" w:fill="CCEEFF"/>
          </w:tcPr>
          <w:p>
            <w:pPr>
              <w:spacing w:after="0"/>
              <w:rPr>
                <w:sz w:val="6"/>
                <w:szCs w:val="6"/>
                <w:color w:val="auto"/>
              </w:rPr>
            </w:pPr>
          </w:p>
        </w:tc>
        <w:tc>
          <w:tcPr>
            <w:tcW w:w="138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460" w:type="dxa"/>
            <w:vAlign w:val="bottom"/>
            <w:tcBorders>
              <w:bottom w:val="single" w:sz="8" w:color="auto"/>
            </w:tcBorders>
            <w:shd w:val="clear" w:color="auto" w:fill="CCEEFF"/>
          </w:tcPr>
          <w:p>
            <w:pPr>
              <w:spacing w:after="0"/>
              <w:rPr>
                <w:sz w:val="6"/>
                <w:szCs w:val="6"/>
                <w:color w:val="auto"/>
              </w:rPr>
            </w:pPr>
          </w:p>
        </w:tc>
        <w:tc>
          <w:tcPr>
            <w:tcW w:w="100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vMerge w:val="continue"/>
            <w:shd w:val="clear" w:color="auto" w:fill="CCEEFF"/>
          </w:tcPr>
          <w:p>
            <w:pPr>
              <w:spacing w:after="0"/>
              <w:rPr>
                <w:sz w:val="6"/>
                <w:szCs w:val="6"/>
                <w:color w:val="auto"/>
              </w:rPr>
            </w:pPr>
          </w:p>
        </w:tc>
        <w:tc>
          <w:tcPr>
            <w:tcW w:w="280" w:type="dxa"/>
            <w:vAlign w:val="bottom"/>
            <w:tcBorders>
              <w:bottom w:val="single" w:sz="8" w:color="auto"/>
            </w:tcBorders>
            <w:shd w:val="clear" w:color="auto" w:fill="CCEEFF"/>
          </w:tcPr>
          <w:p>
            <w:pPr>
              <w:spacing w:after="0"/>
              <w:rPr>
                <w:sz w:val="6"/>
                <w:szCs w:val="6"/>
                <w:color w:val="auto"/>
              </w:rPr>
            </w:pPr>
          </w:p>
        </w:tc>
        <w:tc>
          <w:tcPr>
            <w:tcW w:w="1180" w:type="dxa"/>
            <w:vAlign w:val="bottom"/>
            <w:tcBorders>
              <w:bottom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1"/>
        </w:trPr>
        <w:tc>
          <w:tcPr>
            <w:tcW w:w="5160" w:type="dxa"/>
            <w:vAlign w:val="bottom"/>
          </w:tcPr>
          <w:p>
            <w:pPr>
              <w:ind w:left="200"/>
              <w:spacing w:after="0"/>
              <w:rPr>
                <w:sz w:val="20"/>
                <w:szCs w:val="20"/>
                <w:color w:val="auto"/>
              </w:rPr>
            </w:pPr>
            <w:r>
              <w:rPr>
                <w:rFonts w:ascii="Arial" w:cs="Arial" w:eastAsia="Arial" w:hAnsi="Arial"/>
                <w:sz w:val="14"/>
                <w:szCs w:val="14"/>
                <w:color w:val="auto"/>
              </w:rPr>
              <w:t>Total liabilities</w:t>
            </w:r>
          </w:p>
        </w:tc>
        <w:tc>
          <w:tcPr>
            <w:tcW w:w="320" w:type="dxa"/>
            <w:vAlign w:val="bottom"/>
            <w:vMerge w:val="restart"/>
          </w:tcPr>
          <w:p>
            <w:pPr>
              <w:jc w:val="right"/>
              <w:ind w:right="148"/>
              <w:spacing w:after="0"/>
              <w:rPr>
                <w:sz w:val="20"/>
                <w:szCs w:val="20"/>
                <w:color w:val="auto"/>
              </w:rPr>
            </w:pPr>
            <w:r>
              <w:rPr>
                <w:rFonts w:ascii="Arial" w:cs="Arial" w:eastAsia="Arial" w:hAnsi="Arial"/>
                <w:sz w:val="14"/>
                <w:szCs w:val="14"/>
                <w:color w:val="auto"/>
              </w:rPr>
              <w:t>$</w:t>
            </w:r>
          </w:p>
        </w:tc>
        <w:tc>
          <w:tcPr>
            <w:tcW w:w="130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380" w:type="dxa"/>
            <w:vAlign w:val="bottom"/>
            <w:vMerge w:val="restart"/>
          </w:tcPr>
          <w:p>
            <w:pPr>
              <w:jc w:val="right"/>
              <w:ind w:right="49"/>
              <w:spacing w:after="0"/>
              <w:rPr>
                <w:sz w:val="20"/>
                <w:szCs w:val="20"/>
                <w:color w:val="auto"/>
              </w:rPr>
            </w:pPr>
            <w:r>
              <w:rPr>
                <w:rFonts w:ascii="Arial" w:cs="Arial" w:eastAsia="Arial" w:hAnsi="Arial"/>
                <w:sz w:val="14"/>
                <w:szCs w:val="14"/>
                <w:color w:val="auto"/>
              </w:rPr>
              <w:t>2,765</w:t>
            </w:r>
          </w:p>
        </w:tc>
        <w:tc>
          <w:tcPr>
            <w:tcW w:w="120" w:type="dxa"/>
            <w:vAlign w:val="bottom"/>
          </w:tcPr>
          <w:p>
            <w:pPr>
              <w:spacing w:after="0"/>
              <w:rPr>
                <w:sz w:val="14"/>
                <w:szCs w:val="14"/>
                <w:color w:val="auto"/>
              </w:rPr>
            </w:pPr>
          </w:p>
        </w:tc>
        <w:tc>
          <w:tcPr>
            <w:tcW w:w="460" w:type="dxa"/>
            <w:vAlign w:val="bottom"/>
            <w:vMerge w:val="restart"/>
          </w:tcPr>
          <w:p>
            <w:pPr>
              <w:jc w:val="right"/>
              <w:ind w:right="288"/>
              <w:spacing w:after="0"/>
              <w:rPr>
                <w:sz w:val="20"/>
                <w:szCs w:val="20"/>
                <w:color w:val="auto"/>
              </w:rPr>
            </w:pPr>
            <w:r>
              <w:rPr>
                <w:rFonts w:ascii="Arial" w:cs="Arial" w:eastAsia="Arial" w:hAnsi="Arial"/>
                <w:sz w:val="14"/>
                <w:szCs w:val="14"/>
                <w:color w:val="auto"/>
              </w:rPr>
              <w:t>$</w:t>
            </w:r>
          </w:p>
        </w:tc>
        <w:tc>
          <w:tcPr>
            <w:tcW w:w="1000" w:type="dxa"/>
            <w:vAlign w:val="bottom"/>
            <w:vMerge w:val="restart"/>
          </w:tcPr>
          <w:p>
            <w:pPr>
              <w:jc w:val="right"/>
              <w:ind w:right="48"/>
              <w:spacing w:after="0"/>
              <w:rPr>
                <w:sz w:val="20"/>
                <w:szCs w:val="20"/>
                <w:color w:val="auto"/>
              </w:rPr>
            </w:pPr>
            <w:r>
              <w:rPr>
                <w:rFonts w:ascii="Arial" w:cs="Arial" w:eastAsia="Arial" w:hAnsi="Arial"/>
                <w:sz w:val="14"/>
                <w:szCs w:val="14"/>
                <w:color w:val="auto"/>
              </w:rPr>
              <w:t>4,152</w:t>
            </w:r>
          </w:p>
        </w:tc>
        <w:tc>
          <w:tcPr>
            <w:tcW w:w="100" w:type="dxa"/>
            <w:vAlign w:val="bottom"/>
          </w:tcPr>
          <w:p>
            <w:pPr>
              <w:spacing w:after="0"/>
              <w:rPr>
                <w:sz w:val="14"/>
                <w:szCs w:val="14"/>
                <w:color w:val="auto"/>
              </w:rPr>
            </w:pPr>
          </w:p>
        </w:tc>
        <w:tc>
          <w:tcPr>
            <w:tcW w:w="280" w:type="dxa"/>
            <w:vAlign w:val="bottom"/>
            <w:vMerge w:val="restart"/>
          </w:tcPr>
          <w:p>
            <w:pPr>
              <w:jc w:val="right"/>
              <w:ind w:right="108"/>
              <w:spacing w:after="0"/>
              <w:rPr>
                <w:sz w:val="20"/>
                <w:szCs w:val="20"/>
                <w:color w:val="auto"/>
              </w:rPr>
            </w:pPr>
            <w:r>
              <w:rPr>
                <w:rFonts w:ascii="Arial" w:cs="Arial" w:eastAsia="Arial" w:hAnsi="Arial"/>
                <w:sz w:val="14"/>
                <w:szCs w:val="14"/>
                <w:color w:val="auto"/>
              </w:rPr>
              <w:t>$</w:t>
            </w:r>
          </w:p>
        </w:tc>
        <w:tc>
          <w:tcPr>
            <w:tcW w:w="1180" w:type="dxa"/>
            <w:vAlign w:val="bottom"/>
            <w:vMerge w:val="restart"/>
          </w:tcPr>
          <w:p>
            <w:pPr>
              <w:jc w:val="right"/>
              <w:ind w:right="29"/>
              <w:spacing w:after="0"/>
              <w:rPr>
                <w:sz w:val="20"/>
                <w:szCs w:val="20"/>
                <w:color w:val="auto"/>
              </w:rPr>
            </w:pPr>
            <w:r>
              <w:rPr>
                <w:rFonts w:ascii="Arial" w:cs="Arial" w:eastAsia="Arial" w:hAnsi="Arial"/>
                <w:sz w:val="14"/>
                <w:szCs w:val="14"/>
                <w:color w:val="auto"/>
              </w:rPr>
              <w:t>6,917</w:t>
            </w:r>
          </w:p>
        </w:tc>
        <w:tc>
          <w:tcPr>
            <w:tcW w:w="0" w:type="dxa"/>
            <w:vAlign w:val="bottom"/>
          </w:tcPr>
          <w:p>
            <w:pPr>
              <w:spacing w:after="0"/>
              <w:rPr>
                <w:sz w:val="1"/>
                <w:szCs w:val="1"/>
                <w:color w:val="auto"/>
              </w:rPr>
            </w:pPr>
          </w:p>
        </w:tc>
      </w:tr>
      <w:tr>
        <w:trPr>
          <w:trHeight w:val="54"/>
        </w:trPr>
        <w:tc>
          <w:tcPr>
            <w:tcW w:w="5160" w:type="dxa"/>
            <w:vAlign w:val="bottom"/>
          </w:tcPr>
          <w:p>
            <w:pPr>
              <w:spacing w:after="0"/>
              <w:rPr>
                <w:sz w:val="4"/>
                <w:szCs w:val="4"/>
                <w:color w:val="auto"/>
              </w:rPr>
            </w:pPr>
          </w:p>
        </w:tc>
        <w:tc>
          <w:tcPr>
            <w:tcW w:w="320" w:type="dxa"/>
            <w:vAlign w:val="bottom"/>
            <w:vMerge w:val="continue"/>
          </w:tcPr>
          <w:p>
            <w:pPr>
              <w:spacing w:after="0"/>
              <w:rPr>
                <w:sz w:val="4"/>
                <w:szCs w:val="4"/>
                <w:color w:val="auto"/>
              </w:rPr>
            </w:pPr>
          </w:p>
        </w:tc>
        <w:tc>
          <w:tcPr>
            <w:tcW w:w="1300" w:type="dxa"/>
            <w:vAlign w:val="bottom"/>
            <w:gridSpan w:val="2"/>
            <w:vMerge w:val="continue"/>
          </w:tcPr>
          <w:p>
            <w:pPr>
              <w:spacing w:after="0"/>
              <w:rPr>
                <w:sz w:val="4"/>
                <w:szCs w:val="4"/>
                <w:color w:val="auto"/>
              </w:rPr>
            </w:pPr>
          </w:p>
        </w:tc>
        <w:tc>
          <w:tcPr>
            <w:tcW w:w="120" w:type="dxa"/>
            <w:vAlign w:val="bottom"/>
            <w:vMerge w:val="continue"/>
          </w:tcPr>
          <w:p>
            <w:pPr>
              <w:spacing w:after="0"/>
              <w:rPr>
                <w:sz w:val="4"/>
                <w:szCs w:val="4"/>
                <w:color w:val="auto"/>
              </w:rPr>
            </w:pPr>
          </w:p>
        </w:tc>
        <w:tc>
          <w:tcPr>
            <w:tcW w:w="138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460" w:type="dxa"/>
            <w:vAlign w:val="bottom"/>
            <w:vMerge w:val="continue"/>
          </w:tcPr>
          <w:p>
            <w:pPr>
              <w:spacing w:after="0"/>
              <w:rPr>
                <w:sz w:val="4"/>
                <w:szCs w:val="4"/>
                <w:color w:val="auto"/>
              </w:rPr>
            </w:pPr>
          </w:p>
        </w:tc>
        <w:tc>
          <w:tcPr>
            <w:tcW w:w="100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28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3272790</wp:posOffset>
            </wp:positionH>
            <wp:positionV relativeFrom="paragraph">
              <wp:posOffset>7620</wp:posOffset>
            </wp:positionV>
            <wp:extent cx="397891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978910" cy="8890"/>
                    </a:xfrm>
                    <a:prstGeom prst="rect">
                      <a:avLst/>
                    </a:prstGeom>
                    <a:noFill/>
                  </pic:spPr>
                </pic:pic>
              </a:graphicData>
            </a:graphic>
          </wp:anchor>
        </w:drawing>
      </w:r>
    </w:p>
    <w:p>
      <w:pPr>
        <w:spacing w:after="0" w:line="14"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3272790</wp:posOffset>
            </wp:positionH>
            <wp:positionV relativeFrom="paragraph">
              <wp:posOffset>-98425</wp:posOffset>
            </wp:positionV>
            <wp:extent cx="397891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978910" cy="8890"/>
                    </a:xfrm>
                    <a:prstGeom prst="rect">
                      <a:avLst/>
                    </a:prstGeom>
                    <a:noFill/>
                  </pic:spPr>
                </pic:pic>
              </a:graphicData>
            </a:graphic>
          </wp:anchor>
        </w:drawing>
      </w:r>
    </w:p>
    <w:p>
      <w:pPr>
        <w:spacing w:after="0" w:line="93" w:lineRule="exact"/>
        <w:rPr>
          <w:sz w:val="20"/>
          <w:szCs w:val="20"/>
          <w:color w:val="auto"/>
        </w:rPr>
      </w:pPr>
    </w:p>
    <w:p>
      <w:pPr>
        <w:jc w:val="both"/>
        <w:ind w:left="500" w:hanging="492"/>
        <w:spacing w:after="0" w:line="259" w:lineRule="auto"/>
        <w:tabs>
          <w:tab w:leader="none" w:pos="5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Derivative assets are presented within other invested assets on the consolidated and combined balance sheets and derivative liabilities are presented within other liabilities on the consolidated and combined balance sheets. The amounts are presented gross in the tables above to reflect the presentation on the consolidated and combined balance sheets, but are presented net for purposes of the rollforward in the Fair Value Measurements Using Significant Unobservable Inputs (Level 3) tables.</w:t>
      </w:r>
    </w:p>
    <w:p>
      <w:pPr>
        <w:sectPr>
          <w:pgSz w:w="11900" w:h="16838" w:orient="portrait"/>
          <w:cols w:equalWidth="0" w:num="1">
            <w:col w:w="11420"/>
          </w:cols>
          <w:pgMar w:left="240" w:top="288" w:right="239" w:bottom="1440" w:gutter="0" w:footer="0" w:header="0"/>
        </w:sect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44</w:t>
      </w:r>
    </w:p>
    <w:p>
      <w:pPr>
        <w:sectPr>
          <w:pgSz w:w="11900" w:h="16838" w:orient="portrait"/>
          <w:cols w:equalWidth="0" w:num="1">
            <w:col w:w="11420"/>
          </w:cols>
          <w:pgMar w:left="240" w:top="288" w:right="239" w:bottom="1440" w:gutter="0" w:footer="0" w:header="0"/>
          <w:type w:val="continuous"/>
        </w:sectPr>
      </w:pPr>
    </w:p>
    <w:bookmarkStart w:id="46" w:name="page47"/>
    <w:bookmarkEnd w:id="46"/>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109" w:lineRule="exact"/>
        <w:rPr>
          <w:sz w:val="20"/>
          <w:szCs w:val="20"/>
          <w:color w:val="auto"/>
        </w:rPr>
      </w:pPr>
    </w:p>
    <w:p>
      <w:pPr>
        <w:ind w:left="4660"/>
        <w:spacing w:after="0"/>
        <w:rPr>
          <w:sz w:val="20"/>
          <w:szCs w:val="20"/>
          <w:color w:val="auto"/>
        </w:rPr>
      </w:pPr>
      <w:r>
        <w:rPr>
          <w:rFonts w:ascii="Arial" w:cs="Arial" w:eastAsia="Arial" w:hAnsi="Arial"/>
          <w:sz w:val="18"/>
          <w:szCs w:val="18"/>
          <w:b w:val="1"/>
          <w:bCs w:val="1"/>
          <w:color w:val="auto"/>
        </w:rPr>
        <w:t>Brighthouse Financial, Inc.</w:t>
      </w:r>
    </w:p>
    <w:p>
      <w:pPr>
        <w:spacing w:after="0" w:line="117" w:lineRule="exact"/>
        <w:rPr>
          <w:sz w:val="20"/>
          <w:szCs w:val="20"/>
          <w:color w:val="auto"/>
        </w:rPr>
      </w:pPr>
    </w:p>
    <w:p>
      <w:pPr>
        <w:ind w:left="1480"/>
        <w:spacing w:after="0"/>
        <w:rPr>
          <w:sz w:val="20"/>
          <w:szCs w:val="20"/>
          <w:color w:val="auto"/>
        </w:rPr>
      </w:pPr>
      <w:r>
        <w:rPr>
          <w:rFonts w:ascii="Arial" w:cs="Arial" w:eastAsia="Arial" w:hAnsi="Arial"/>
          <w:sz w:val="18"/>
          <w:szCs w:val="18"/>
          <w:b w:val="1"/>
          <w:bCs w:val="1"/>
          <w:color w:val="auto"/>
        </w:rPr>
        <w:t>Notes to the Interim Condensed Consolidated and Combined Financial Statements (Unaudited) — (continued)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Fair Value (continued)</w:t>
      </w:r>
    </w:p>
    <w:p>
      <w:pPr>
        <w:spacing w:after="0" w:line="364" w:lineRule="exact"/>
        <w:rPr>
          <w:sz w:val="20"/>
          <w:szCs w:val="20"/>
          <w:color w:val="auto"/>
        </w:rPr>
      </w:pPr>
    </w:p>
    <w:p>
      <w:pPr>
        <w:jc w:val="both"/>
        <w:ind w:left="500" w:hanging="492"/>
        <w:spacing w:after="0" w:line="259" w:lineRule="auto"/>
        <w:tabs>
          <w:tab w:leader="none" w:pos="5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Embedded derivatives within asset host contracts are presented within premiums, reinsurance and other receivables and other invested assets on the consolidated and combined balance sheets. Embedded derivatives within liability host contracts are presented within policyholder account balances on the consolidated and combined balance sheets. At September 30, 2017 and December 31, 2016, debt and equity securities also included embedded derivatives of ($56) million and ($49) million, respectively.</w:t>
      </w:r>
    </w:p>
    <w:p>
      <w:pPr>
        <w:spacing w:after="0" w:line="78" w:lineRule="exact"/>
        <w:rPr>
          <w:rFonts w:ascii="Arial" w:cs="Arial" w:eastAsia="Arial" w:hAnsi="Arial"/>
          <w:sz w:val="18"/>
          <w:szCs w:val="18"/>
          <w:color w:val="auto"/>
        </w:rPr>
      </w:pPr>
    </w:p>
    <w:p>
      <w:pPr>
        <w:ind w:left="500" w:right="20" w:hanging="492"/>
        <w:spacing w:after="0" w:line="308" w:lineRule="auto"/>
        <w:tabs>
          <w:tab w:leader="none" w:pos="500" w:val="left"/>
        </w:tabs>
        <w:numPr>
          <w:ilvl w:val="0"/>
          <w:numId w:val="29"/>
        </w:numPr>
        <w:rPr>
          <w:rFonts w:ascii="Arial" w:cs="Arial" w:eastAsia="Arial" w:hAnsi="Arial"/>
          <w:sz w:val="17"/>
          <w:szCs w:val="17"/>
          <w:color w:val="auto"/>
        </w:rPr>
      </w:pPr>
      <w:r>
        <w:rPr>
          <w:rFonts w:ascii="Arial" w:cs="Arial" w:eastAsia="Arial" w:hAnsi="Arial"/>
          <w:sz w:val="17"/>
          <w:szCs w:val="17"/>
          <w:color w:val="auto"/>
        </w:rPr>
        <w:t>Investment performance related to separate account assets is fully offset by corresponding amounts credited to contractholders whose liability is reflected within separate account liabilities. Separate account liabilities are set equal to the estimated fair value of separate account assets.</w:t>
      </w:r>
    </w:p>
    <w:p>
      <w:pPr>
        <w:spacing w:after="0" w:line="38" w:lineRule="exact"/>
        <w:rPr>
          <w:sz w:val="20"/>
          <w:szCs w:val="20"/>
          <w:color w:val="auto"/>
        </w:rPr>
      </w:pPr>
    </w:p>
    <w:p>
      <w:pPr>
        <w:ind w:firstLine="324"/>
        <w:spacing w:after="0" w:line="308" w:lineRule="auto"/>
        <w:rPr>
          <w:sz w:val="20"/>
          <w:szCs w:val="20"/>
          <w:color w:val="auto"/>
        </w:rPr>
      </w:pPr>
      <w:r>
        <w:rPr>
          <w:rFonts w:ascii="Arial" w:cs="Arial" w:eastAsia="Arial" w:hAnsi="Arial"/>
          <w:sz w:val="17"/>
          <w:szCs w:val="17"/>
          <w:color w:val="auto"/>
        </w:rPr>
        <w:t>The following describes the valuation methodologies used to measure assets and liabilities at fair value. The description includes the valuation techniques and key inputs for each category of assets or liabilities that are classified within Level 2 and Level 3 of the fair value hierarchy.</w:t>
      </w:r>
    </w:p>
    <w:p>
      <w:pPr>
        <w:spacing w:after="0" w:line="38"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Investments</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i w:val="1"/>
          <w:iCs w:val="1"/>
          <w:u w:val="single" w:color="auto"/>
          <w:color w:val="auto"/>
        </w:rPr>
        <w:t>Valuation Controls and Procedures</w:t>
      </w:r>
    </w:p>
    <w:p>
      <w:pPr>
        <w:spacing w:after="0" w:line="117" w:lineRule="exact"/>
        <w:rPr>
          <w:sz w:val="20"/>
          <w:szCs w:val="20"/>
          <w:color w:val="auto"/>
        </w:rPr>
      </w:pPr>
    </w:p>
    <w:p>
      <w:pPr>
        <w:jc w:val="both"/>
        <w:ind w:left="340" w:firstLine="324"/>
        <w:spacing w:after="0" w:line="293" w:lineRule="auto"/>
        <w:rPr>
          <w:sz w:val="20"/>
          <w:szCs w:val="20"/>
          <w:color w:val="auto"/>
        </w:rPr>
      </w:pPr>
      <w:r>
        <w:rPr>
          <w:rFonts w:ascii="Arial" w:cs="Arial" w:eastAsia="Arial" w:hAnsi="Arial"/>
          <w:sz w:val="16"/>
          <w:szCs w:val="16"/>
          <w:color w:val="auto"/>
        </w:rPr>
        <w:t>The Company monitors and provides oversight of valuation controls and policies for securities, mortgage loans and derivatives, which are primarily executed by MetLife Investment Advisors, LLC (“MLIA”), a related party investment manager. The valuation methodologies used to determine fair values prioritize the use of observable market prices and market-based parameters and determines that judgmental valuation adjustments, when applied, are based upon established policies and are applied consistently over time. The valuation methodologies for securities, mortgage loans and derivatives are reviewed on an ongoing basis and revised when necessary, based on changing market conditions. In addition, the Chief Accounting Officer periodically reports to the Audit Committee of Brighthouse’s Board of Directors regarding compliance with fair value accounting standards.</w:t>
      </w:r>
    </w:p>
    <w:p>
      <w:pPr>
        <w:spacing w:after="0" w:line="57" w:lineRule="exact"/>
        <w:rPr>
          <w:sz w:val="20"/>
          <w:szCs w:val="20"/>
          <w:color w:val="auto"/>
        </w:rPr>
      </w:pPr>
    </w:p>
    <w:p>
      <w:pPr>
        <w:jc w:val="both"/>
        <w:ind w:left="340" w:firstLine="324"/>
        <w:spacing w:after="0" w:line="287" w:lineRule="auto"/>
        <w:rPr>
          <w:sz w:val="20"/>
          <w:szCs w:val="20"/>
          <w:color w:val="auto"/>
        </w:rPr>
      </w:pPr>
      <w:r>
        <w:rPr>
          <w:rFonts w:ascii="Arial" w:cs="Arial" w:eastAsia="Arial" w:hAnsi="Arial"/>
          <w:sz w:val="16"/>
          <w:szCs w:val="16"/>
          <w:color w:val="auto"/>
        </w:rPr>
        <w:t>The fair value of financial assets and financial liabilities is based on quoted market prices, where available. The Company assesses whether prices received represent a reasonable estimate of fair value through controls designed to ensure valuations represent an exit price. MLIA performs several controls, including certain monthly controls, which include, but are not limited to, analysis of portfolio returns to corresponding benchmark returns, comparing a sample of executed prices of securities sold to the fair value estimates, reviewing the bid/ask spreads to assess activity, comparing prices from multiple independent pricing services and ongoing due diligence to confirm that independent pricing services use market-based parameters. The process includes a determination of the observability of inputs used in estimated fair values received from independent pricing services or brokers by assessing whether these inputs can be corroborated by observable market data. Independent non-binding broker quotes, also referred to herein as “consensus pricing”, are used for non-significant portion of the portfolio. Prices received from independent brokers are assessed to determine if they represent a reasonable estimate of fair value by considering such pricing relative to the current market dynamics and current pricing for similar financial instruments. Fixed maturity securities priced using independent non-binding broker quotations represent less than 1% of the total estimated fair value of fixed maturity securities and 5% of the total estimated fair value of Level 3 fixed maturity securities at September 30, 2017.</w:t>
      </w:r>
    </w:p>
    <w:p>
      <w:pPr>
        <w:spacing w:after="0" w:line="65" w:lineRule="exact"/>
        <w:rPr>
          <w:sz w:val="20"/>
          <w:szCs w:val="20"/>
          <w:color w:val="auto"/>
        </w:rPr>
      </w:pPr>
    </w:p>
    <w:p>
      <w:pPr>
        <w:jc w:val="both"/>
        <w:ind w:left="340" w:firstLine="324"/>
        <w:spacing w:after="0" w:line="259" w:lineRule="auto"/>
        <w:rPr>
          <w:sz w:val="20"/>
          <w:szCs w:val="20"/>
          <w:color w:val="auto"/>
        </w:rPr>
      </w:pPr>
      <w:r>
        <w:rPr>
          <w:rFonts w:ascii="Arial" w:cs="Arial" w:eastAsia="Arial" w:hAnsi="Arial"/>
          <w:sz w:val="18"/>
          <w:szCs w:val="18"/>
          <w:color w:val="auto"/>
        </w:rPr>
        <w:t>MLIA also applies a formal process to challenge any prices received from independent pricing services that are not considered representative of estimated fair value. If prices received from independent pricing services are not considered reflective of market activity or representative of estimated fair value, independent non-binding broker quotations are obtained. If obtaining an independent non-binding broker quotation is unsuccessful, MLIA will use the last available price.</w:t>
      </w:r>
    </w:p>
    <w:p>
      <w:pPr>
        <w:spacing w:after="0" w:line="79" w:lineRule="exact"/>
        <w:rPr>
          <w:sz w:val="20"/>
          <w:szCs w:val="20"/>
          <w:color w:val="auto"/>
        </w:rPr>
      </w:pPr>
    </w:p>
    <w:p>
      <w:pPr>
        <w:jc w:val="both"/>
        <w:ind w:left="340" w:firstLine="324"/>
        <w:spacing w:after="0" w:line="279" w:lineRule="auto"/>
        <w:rPr>
          <w:sz w:val="20"/>
          <w:szCs w:val="20"/>
          <w:color w:val="auto"/>
        </w:rPr>
      </w:pPr>
      <w:r>
        <w:rPr>
          <w:rFonts w:ascii="Arial" w:cs="Arial" w:eastAsia="Arial" w:hAnsi="Arial"/>
          <w:sz w:val="17"/>
          <w:szCs w:val="17"/>
          <w:color w:val="auto"/>
        </w:rPr>
        <w:t>The Company reviews outputs of MLIA’s controls and performs additional controls, including certain monthly controls, which include but are not limited to, performing balance sheet analytics to assess reasonableness of period to period pricing changes, including any price adjustments. Price adjustments are applied if prices or quotes received from independent pricing services or brokers are not considered reflective of market activity or representative of estimated fair value. The Company did not have significant price adjustments during the nine months ended September 30, 2017.</w:t>
      </w:r>
    </w:p>
    <w:p>
      <w:pPr>
        <w:spacing w:after="0" w:line="63" w:lineRule="exact"/>
        <w:rPr>
          <w:sz w:val="20"/>
          <w:szCs w:val="20"/>
          <w:color w:val="auto"/>
        </w:rPr>
      </w:pPr>
    </w:p>
    <w:p>
      <w:pPr>
        <w:ind w:left="340"/>
        <w:spacing w:after="0"/>
        <w:rPr>
          <w:sz w:val="20"/>
          <w:szCs w:val="20"/>
          <w:color w:val="auto"/>
        </w:rPr>
      </w:pPr>
      <w:r>
        <w:rPr>
          <w:rFonts w:ascii="Arial" w:cs="Arial" w:eastAsia="Arial" w:hAnsi="Arial"/>
          <w:sz w:val="18"/>
          <w:szCs w:val="18"/>
          <w:i w:val="1"/>
          <w:iCs w:val="1"/>
          <w:u w:val="single" w:color="auto"/>
          <w:color w:val="auto"/>
        </w:rPr>
        <w:t>Securities, Short-term Investments, Loans to MetLife Inc. and Long-term Debt of CSEs — FVO</w:t>
      </w:r>
    </w:p>
    <w:p>
      <w:pPr>
        <w:spacing w:after="0" w:line="117" w:lineRule="exact"/>
        <w:rPr>
          <w:sz w:val="20"/>
          <w:szCs w:val="20"/>
          <w:color w:val="auto"/>
        </w:rPr>
      </w:pPr>
    </w:p>
    <w:p>
      <w:pPr>
        <w:jc w:val="both"/>
        <w:ind w:left="340" w:firstLine="324"/>
        <w:spacing w:after="0" w:line="264" w:lineRule="auto"/>
        <w:rPr>
          <w:sz w:val="20"/>
          <w:szCs w:val="20"/>
          <w:color w:val="auto"/>
        </w:rPr>
      </w:pPr>
      <w:r>
        <w:rPr>
          <w:rFonts w:ascii="Arial" w:cs="Arial" w:eastAsia="Arial" w:hAnsi="Arial"/>
          <w:sz w:val="18"/>
          <w:szCs w:val="18"/>
          <w:color w:val="auto"/>
        </w:rPr>
        <w:t>When available, the estimated fair value of these financial instruments is based on quoted prices in active markets that are readily and regularly obtainable. Generally, these are the most liquid of the Company’s securities holdings and valuation of these securities does not involve management’s judgment.</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288" w:right="239" w:bottom="1440" w:gutter="0" w:footer="0" w:header="0"/>
        </w:sectPr>
      </w:pPr>
    </w:p>
    <w:bookmarkStart w:id="47" w:name="page48"/>
    <w:bookmarkEnd w:id="47"/>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109" w:lineRule="exact"/>
        <w:rPr>
          <w:sz w:val="20"/>
          <w:szCs w:val="20"/>
          <w:color w:val="auto"/>
        </w:rPr>
      </w:pPr>
    </w:p>
    <w:p>
      <w:pPr>
        <w:ind w:left="4660"/>
        <w:spacing w:after="0"/>
        <w:rPr>
          <w:sz w:val="20"/>
          <w:szCs w:val="20"/>
          <w:color w:val="auto"/>
        </w:rPr>
      </w:pPr>
      <w:r>
        <w:rPr>
          <w:rFonts w:ascii="Arial" w:cs="Arial" w:eastAsia="Arial" w:hAnsi="Arial"/>
          <w:sz w:val="18"/>
          <w:szCs w:val="18"/>
          <w:b w:val="1"/>
          <w:bCs w:val="1"/>
          <w:color w:val="auto"/>
        </w:rPr>
        <w:t>Brighthouse Financial, Inc.</w:t>
      </w:r>
    </w:p>
    <w:p>
      <w:pPr>
        <w:spacing w:after="0" w:line="117" w:lineRule="exact"/>
        <w:rPr>
          <w:sz w:val="20"/>
          <w:szCs w:val="20"/>
          <w:color w:val="auto"/>
        </w:rPr>
      </w:pPr>
    </w:p>
    <w:p>
      <w:pPr>
        <w:ind w:left="1480"/>
        <w:spacing w:after="0"/>
        <w:rPr>
          <w:sz w:val="20"/>
          <w:szCs w:val="20"/>
          <w:color w:val="auto"/>
        </w:rPr>
      </w:pPr>
      <w:r>
        <w:rPr>
          <w:rFonts w:ascii="Arial" w:cs="Arial" w:eastAsia="Arial" w:hAnsi="Arial"/>
          <w:sz w:val="18"/>
          <w:szCs w:val="18"/>
          <w:b w:val="1"/>
          <w:bCs w:val="1"/>
          <w:color w:val="auto"/>
        </w:rPr>
        <w:t>Notes to the Interim Condensed Consolidated and Combined Financial Statements (Unaudited) — (continued)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Fair Value (continued)</w:t>
      </w:r>
    </w:p>
    <w:p>
      <w:pPr>
        <w:spacing w:after="0" w:line="364" w:lineRule="exact"/>
        <w:rPr>
          <w:sz w:val="20"/>
          <w:szCs w:val="20"/>
          <w:color w:val="auto"/>
        </w:rPr>
      </w:pPr>
    </w:p>
    <w:p>
      <w:pPr>
        <w:jc w:val="both"/>
        <w:ind w:left="340" w:right="20" w:firstLine="324"/>
        <w:spacing w:after="0" w:line="271" w:lineRule="auto"/>
        <w:rPr>
          <w:sz w:val="20"/>
          <w:szCs w:val="20"/>
          <w:color w:val="auto"/>
        </w:rPr>
      </w:pPr>
      <w:r>
        <w:rPr>
          <w:rFonts w:ascii="Arial" w:cs="Arial" w:eastAsia="Arial" w:hAnsi="Arial"/>
          <w:sz w:val="17"/>
          <w:szCs w:val="17"/>
          <w:color w:val="auto"/>
        </w:rPr>
        <w:t>When quoted prices in active markets are not available, the determination of estimated fair value is based on market standard valuation methodologies, giving priority to observable inputs. The significant inputs to the market standard valuation methodologies for certain types of securities with reasonable levels of price transparency are inputs that are observable in the market or can be derived principally from, or corroborated by, observable market data. When observable inputs are not available, the market standard valuation methodologies rely on inputs that are significant to the estimated fair value that are not observable in the market or cannot be derived principally from, or corroborated by, observable market data. These unobservable inputs can be based in large part on management’s judgment or estimation and cannot be supported by reference to market activity. Even though these inputs are unobservable, management believes they are consistent with what other market participants would use when pricing such securities and are considered appropriate given the circumstances.</w:t>
      </w:r>
    </w:p>
    <w:p>
      <w:pPr>
        <w:spacing w:after="0" w:line="71" w:lineRule="exact"/>
        <w:rPr>
          <w:sz w:val="20"/>
          <w:szCs w:val="20"/>
          <w:color w:val="auto"/>
        </w:rPr>
      </w:pPr>
    </w:p>
    <w:p>
      <w:pPr>
        <w:jc w:val="both"/>
        <w:ind w:left="340" w:right="40" w:firstLine="324"/>
        <w:spacing w:after="0" w:line="277" w:lineRule="auto"/>
        <w:rPr>
          <w:sz w:val="20"/>
          <w:szCs w:val="20"/>
          <w:color w:val="auto"/>
        </w:rPr>
      </w:pPr>
      <w:r>
        <w:rPr>
          <w:rFonts w:ascii="Arial" w:cs="Arial" w:eastAsia="Arial" w:hAnsi="Arial"/>
          <w:sz w:val="18"/>
          <w:szCs w:val="18"/>
          <w:color w:val="auto"/>
        </w:rPr>
        <w:t>The estimated fair value of loans to MetLife, Inc. and long-term debt of CSEs — FVO is determined on a basis consistent with the methodologies described herein for securities.</w:t>
      </w:r>
    </w:p>
    <w:p>
      <w:pPr>
        <w:spacing w:after="0" w:line="62" w:lineRule="exact"/>
        <w:rPr>
          <w:sz w:val="20"/>
          <w:szCs w:val="20"/>
          <w:color w:val="auto"/>
        </w:rPr>
      </w:pPr>
    </w:p>
    <w:p>
      <w:pPr>
        <w:jc w:val="both"/>
        <w:ind w:left="340" w:right="40" w:firstLine="324"/>
        <w:spacing w:after="0" w:line="277" w:lineRule="auto"/>
        <w:rPr>
          <w:sz w:val="20"/>
          <w:szCs w:val="20"/>
          <w:color w:val="auto"/>
        </w:rPr>
      </w:pPr>
      <w:r>
        <w:rPr>
          <w:rFonts w:ascii="Arial" w:cs="Arial" w:eastAsia="Arial" w:hAnsi="Arial"/>
          <w:sz w:val="18"/>
          <w:szCs w:val="18"/>
          <w:color w:val="auto"/>
        </w:rPr>
        <w:t>The valuation of most instruments listed below is determined using independent pricing sources, matrix pricing, discounted cash flow methodologies or other similar techniques that use either observable market inputs or unobservable inputs.</w:t>
      </w:r>
    </w:p>
    <w:p>
      <w:pPr>
        <w:spacing w:after="0" w:line="192" w:lineRule="exact"/>
        <w:rPr>
          <w:sz w:val="20"/>
          <w:szCs w:val="20"/>
          <w:color w:val="auto"/>
        </w:rPr>
      </w:pPr>
    </w:p>
    <w:tbl>
      <w:tblPr>
        <w:tblLayout w:type="fixed"/>
        <w:tblInd w:w="10" w:type="dxa"/>
        <w:tblCellMar>
          <w:top w:w="0" w:type="dxa"/>
          <w:left w:w="0" w:type="dxa"/>
          <w:bottom w:w="0" w:type="dxa"/>
          <w:right w:w="0" w:type="dxa"/>
        </w:tblCellMar>
      </w:tblPr>
      <w:tr>
        <w:trPr>
          <w:trHeight w:val="157"/>
        </w:trPr>
        <w:tc>
          <w:tcPr>
            <w:tcW w:w="1240" w:type="dxa"/>
            <w:vAlign w:val="bottom"/>
            <w:tcBorders>
              <w:top w:val="single" w:sz="8" w:color="auto"/>
              <w:left w:val="single" w:sz="8" w:color="auto"/>
              <w:right w:val="single" w:sz="8" w:color="auto"/>
            </w:tcBorders>
          </w:tcPr>
          <w:p>
            <w:pPr>
              <w:ind w:left="320"/>
              <w:spacing w:after="0"/>
              <w:rPr>
                <w:sz w:val="20"/>
                <w:szCs w:val="20"/>
                <w:color w:val="auto"/>
              </w:rPr>
            </w:pPr>
            <w:r>
              <w:rPr>
                <w:rFonts w:ascii="Arial" w:cs="Arial" w:eastAsia="Arial" w:hAnsi="Arial"/>
                <w:sz w:val="13"/>
                <w:szCs w:val="13"/>
                <w:b w:val="1"/>
                <w:bCs w:val="1"/>
                <w:color w:val="auto"/>
              </w:rPr>
              <w:t>Instrument</w:t>
            </w:r>
          </w:p>
        </w:tc>
        <w:tc>
          <w:tcPr>
            <w:tcW w:w="10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4940" w:type="dxa"/>
            <w:vAlign w:val="bottom"/>
            <w:tcBorders>
              <w:top w:val="single" w:sz="8" w:color="auto"/>
              <w:right w:val="single" w:sz="8" w:color="auto"/>
            </w:tcBorders>
          </w:tcPr>
          <w:p>
            <w:pPr>
              <w:ind w:left="2160"/>
              <w:spacing w:after="0"/>
              <w:rPr>
                <w:sz w:val="20"/>
                <w:szCs w:val="20"/>
                <w:color w:val="auto"/>
              </w:rPr>
            </w:pPr>
            <w:r>
              <w:rPr>
                <w:rFonts w:ascii="Arial" w:cs="Arial" w:eastAsia="Arial" w:hAnsi="Arial"/>
                <w:sz w:val="13"/>
                <w:szCs w:val="13"/>
                <w:b w:val="1"/>
                <w:bCs w:val="1"/>
                <w:color w:val="auto"/>
              </w:rPr>
              <w:t>Level 2</w:t>
            </w:r>
          </w:p>
        </w:tc>
        <w:tc>
          <w:tcPr>
            <w:tcW w:w="100" w:type="dxa"/>
            <w:vAlign w:val="bottom"/>
            <w:tcBorders>
              <w:top w:val="single" w:sz="8" w:color="auto"/>
            </w:tcBorders>
          </w:tcPr>
          <w:p>
            <w:pPr>
              <w:spacing w:after="0"/>
              <w:rPr>
                <w:sz w:val="13"/>
                <w:szCs w:val="13"/>
                <w:color w:val="auto"/>
              </w:rPr>
            </w:pPr>
          </w:p>
        </w:tc>
        <w:tc>
          <w:tcPr>
            <w:tcW w:w="4820" w:type="dxa"/>
            <w:vAlign w:val="bottom"/>
            <w:tcBorders>
              <w:top w:val="single" w:sz="8" w:color="auto"/>
              <w:right w:val="single" w:sz="8" w:color="auto"/>
            </w:tcBorders>
          </w:tcPr>
          <w:p>
            <w:pPr>
              <w:ind w:left="2160"/>
              <w:spacing w:after="0"/>
              <w:rPr>
                <w:sz w:val="20"/>
                <w:szCs w:val="20"/>
                <w:color w:val="auto"/>
              </w:rPr>
            </w:pPr>
            <w:r>
              <w:rPr>
                <w:rFonts w:ascii="Arial" w:cs="Arial" w:eastAsia="Arial" w:hAnsi="Arial"/>
                <w:sz w:val="13"/>
                <w:szCs w:val="13"/>
                <w:b w:val="1"/>
                <w:bCs w:val="1"/>
                <w:color w:val="auto"/>
              </w:rPr>
              <w:t>Level 3</w:t>
            </w:r>
          </w:p>
        </w:tc>
        <w:tc>
          <w:tcPr>
            <w:tcW w:w="0" w:type="dxa"/>
            <w:vAlign w:val="bottom"/>
          </w:tcPr>
          <w:p>
            <w:pPr>
              <w:spacing w:after="0"/>
              <w:rPr>
                <w:sz w:val="1"/>
                <w:szCs w:val="1"/>
                <w:color w:val="auto"/>
              </w:rPr>
            </w:pPr>
          </w:p>
        </w:tc>
      </w:tr>
      <w:tr>
        <w:trPr>
          <w:trHeight w:val="174"/>
        </w:trPr>
        <w:tc>
          <w:tcPr>
            <w:tcW w:w="1240" w:type="dxa"/>
            <w:vAlign w:val="bottom"/>
            <w:tcBorders>
              <w:left w:val="single" w:sz="8" w:color="auto"/>
              <w:bottom w:val="single" w:sz="8" w:color="auto"/>
              <w:right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4940" w:type="dxa"/>
            <w:vAlign w:val="bottom"/>
            <w:tcBorders>
              <w:bottom w:val="single" w:sz="8" w:color="auto"/>
              <w:right w:val="single" w:sz="8" w:color="auto"/>
            </w:tcBorders>
          </w:tcPr>
          <w:p>
            <w:pPr>
              <w:ind w:left="1840"/>
              <w:spacing w:after="0"/>
              <w:rPr>
                <w:sz w:val="20"/>
                <w:szCs w:val="20"/>
                <w:color w:val="auto"/>
              </w:rPr>
            </w:pPr>
            <w:r>
              <w:rPr>
                <w:rFonts w:ascii="Arial" w:cs="Arial" w:eastAsia="Arial" w:hAnsi="Arial"/>
                <w:sz w:val="13"/>
                <w:szCs w:val="13"/>
                <w:b w:val="1"/>
                <w:bCs w:val="1"/>
                <w:color w:val="auto"/>
              </w:rPr>
              <w:t>Observable Inputs</w:t>
            </w:r>
          </w:p>
        </w:tc>
        <w:tc>
          <w:tcPr>
            <w:tcW w:w="100" w:type="dxa"/>
            <w:vAlign w:val="bottom"/>
            <w:tcBorders>
              <w:bottom w:val="single" w:sz="8" w:color="auto"/>
            </w:tcBorders>
          </w:tcPr>
          <w:p>
            <w:pPr>
              <w:spacing w:after="0"/>
              <w:rPr>
                <w:sz w:val="15"/>
                <w:szCs w:val="15"/>
                <w:color w:val="auto"/>
              </w:rPr>
            </w:pPr>
          </w:p>
        </w:tc>
        <w:tc>
          <w:tcPr>
            <w:tcW w:w="4820" w:type="dxa"/>
            <w:vAlign w:val="bottom"/>
            <w:tcBorders>
              <w:bottom w:val="single" w:sz="8" w:color="auto"/>
              <w:right w:val="single" w:sz="8" w:color="auto"/>
            </w:tcBorders>
          </w:tcPr>
          <w:p>
            <w:pPr>
              <w:ind w:left="1780"/>
              <w:spacing w:after="0"/>
              <w:rPr>
                <w:sz w:val="20"/>
                <w:szCs w:val="20"/>
                <w:color w:val="auto"/>
              </w:rPr>
            </w:pPr>
            <w:r>
              <w:rPr>
                <w:rFonts w:ascii="Arial" w:cs="Arial" w:eastAsia="Arial" w:hAnsi="Arial"/>
                <w:sz w:val="13"/>
                <w:szCs w:val="13"/>
                <w:b w:val="1"/>
                <w:bCs w:val="1"/>
                <w:color w:val="auto"/>
              </w:rPr>
              <w:t>Unobservable Inputs</w:t>
            </w:r>
          </w:p>
        </w:tc>
        <w:tc>
          <w:tcPr>
            <w:tcW w:w="0" w:type="dxa"/>
            <w:vAlign w:val="bottom"/>
          </w:tcPr>
          <w:p>
            <w:pPr>
              <w:spacing w:after="0"/>
              <w:rPr>
                <w:sz w:val="1"/>
                <w:szCs w:val="1"/>
                <w:color w:val="auto"/>
              </w:rPr>
            </w:pPr>
          </w:p>
        </w:tc>
      </w:tr>
      <w:tr>
        <w:trPr>
          <w:trHeight w:val="183"/>
        </w:trPr>
        <w:tc>
          <w:tcPr>
            <w:tcW w:w="1580" w:type="dxa"/>
            <w:vAlign w:val="bottom"/>
            <w:tcBorders>
              <w:left w:val="single" w:sz="8" w:color="auto"/>
              <w:bottom w:val="single" w:sz="8" w:color="auto"/>
            </w:tcBorders>
            <w:gridSpan w:val="3"/>
          </w:tcPr>
          <w:p>
            <w:pPr>
              <w:ind w:left="40"/>
              <w:spacing w:after="0"/>
              <w:rPr>
                <w:sz w:val="20"/>
                <w:szCs w:val="20"/>
                <w:color w:val="auto"/>
              </w:rPr>
            </w:pPr>
            <w:r>
              <w:rPr>
                <w:rFonts w:ascii="Arial" w:cs="Arial" w:eastAsia="Arial" w:hAnsi="Arial"/>
                <w:sz w:val="13"/>
                <w:szCs w:val="13"/>
                <w:b w:val="1"/>
                <w:bCs w:val="1"/>
                <w:color w:val="auto"/>
                <w:w w:val="98"/>
              </w:rPr>
              <w:t>Fixed Maturity Securities</w:t>
            </w:r>
          </w:p>
        </w:tc>
        <w:tc>
          <w:tcPr>
            <w:tcW w:w="49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82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6520" w:type="dxa"/>
            <w:vAlign w:val="bottom"/>
            <w:tcBorders>
              <w:left w:val="single" w:sz="8" w:color="auto"/>
              <w:bottom w:val="single" w:sz="8" w:color="auto"/>
            </w:tcBorders>
            <w:gridSpan w:val="4"/>
          </w:tcPr>
          <w:p>
            <w:pPr>
              <w:ind w:left="180"/>
              <w:spacing w:after="0"/>
              <w:rPr>
                <w:sz w:val="20"/>
                <w:szCs w:val="20"/>
                <w:color w:val="auto"/>
              </w:rPr>
            </w:pPr>
            <w:r>
              <w:rPr>
                <w:rFonts w:ascii="Arial" w:cs="Arial" w:eastAsia="Arial" w:hAnsi="Arial"/>
                <w:sz w:val="13"/>
                <w:szCs w:val="13"/>
                <w:b w:val="1"/>
                <w:bCs w:val="1"/>
                <w:color w:val="auto"/>
              </w:rPr>
              <w:t>U.S. corporate and Foreign corporate securities</w:t>
            </w:r>
          </w:p>
        </w:tc>
        <w:tc>
          <w:tcPr>
            <w:tcW w:w="100" w:type="dxa"/>
            <w:vAlign w:val="bottom"/>
            <w:tcBorders>
              <w:bottom w:val="single" w:sz="8" w:color="auto"/>
            </w:tcBorders>
          </w:tcPr>
          <w:p>
            <w:pPr>
              <w:spacing w:after="0"/>
              <w:rPr>
                <w:sz w:val="15"/>
                <w:szCs w:val="15"/>
                <w:color w:val="auto"/>
              </w:rPr>
            </w:pPr>
          </w:p>
        </w:tc>
        <w:tc>
          <w:tcPr>
            <w:tcW w:w="482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1240" w:type="dxa"/>
            <w:vAlign w:val="bottom"/>
            <w:tcBorders>
              <w:left w:val="single" w:sz="8" w:color="auto"/>
              <w:right w:val="single" w:sz="8" w:color="auto"/>
            </w:tcBorders>
          </w:tcPr>
          <w:p>
            <w:pPr>
              <w:spacing w:after="0"/>
              <w:rPr>
                <w:sz w:val="15"/>
                <w:szCs w:val="15"/>
                <w:color w:val="auto"/>
              </w:rPr>
            </w:pPr>
          </w:p>
        </w:tc>
        <w:tc>
          <w:tcPr>
            <w:tcW w:w="5280" w:type="dxa"/>
            <w:vAlign w:val="bottom"/>
            <w:tcBorders>
              <w:right w:val="single" w:sz="8" w:color="auto"/>
            </w:tcBorders>
            <w:gridSpan w:val="3"/>
          </w:tcPr>
          <w:p>
            <w:pPr>
              <w:ind w:left="20"/>
              <w:spacing w:after="0"/>
              <w:rPr>
                <w:sz w:val="20"/>
                <w:szCs w:val="20"/>
                <w:color w:val="auto"/>
              </w:rPr>
            </w:pPr>
            <w:r>
              <w:rPr>
                <w:rFonts w:ascii="Arial" w:cs="Arial" w:eastAsia="Arial" w:hAnsi="Arial"/>
                <w:sz w:val="13"/>
                <w:szCs w:val="13"/>
                <w:color w:val="auto"/>
              </w:rPr>
              <w:t>Valuation Approaches: Principally the market and income approaches.</w:t>
            </w:r>
          </w:p>
        </w:tc>
        <w:tc>
          <w:tcPr>
            <w:tcW w:w="4920" w:type="dxa"/>
            <w:vAlign w:val="bottom"/>
            <w:tcBorders>
              <w:right w:val="single" w:sz="8" w:color="auto"/>
            </w:tcBorders>
            <w:gridSpan w:val="2"/>
          </w:tcPr>
          <w:p>
            <w:pPr>
              <w:ind w:left="20"/>
              <w:spacing w:after="0"/>
              <w:rPr>
                <w:sz w:val="20"/>
                <w:szCs w:val="20"/>
                <w:color w:val="auto"/>
              </w:rPr>
            </w:pPr>
            <w:r>
              <w:rPr>
                <w:rFonts w:ascii="Arial" w:cs="Arial" w:eastAsia="Arial" w:hAnsi="Arial"/>
                <w:sz w:val="13"/>
                <w:szCs w:val="13"/>
                <w:color w:val="auto"/>
              </w:rPr>
              <w:t>Valuation Approaches: Principally the market approach.</w:t>
            </w:r>
          </w:p>
        </w:tc>
        <w:tc>
          <w:tcPr>
            <w:tcW w:w="0" w:type="dxa"/>
            <w:vAlign w:val="bottom"/>
          </w:tcPr>
          <w:p>
            <w:pPr>
              <w:spacing w:after="0"/>
              <w:rPr>
                <w:sz w:val="1"/>
                <w:szCs w:val="1"/>
                <w:color w:val="auto"/>
              </w:rPr>
            </w:pPr>
          </w:p>
        </w:tc>
      </w:tr>
      <w:tr>
        <w:trPr>
          <w:trHeight w:val="270"/>
        </w:trPr>
        <w:tc>
          <w:tcPr>
            <w:tcW w:w="1240" w:type="dxa"/>
            <w:vAlign w:val="bottom"/>
            <w:tcBorders>
              <w:left w:val="single" w:sz="8" w:color="auto"/>
              <w:right w:val="single" w:sz="8" w:color="auto"/>
            </w:tcBorders>
          </w:tcPr>
          <w:p>
            <w:pPr>
              <w:spacing w:after="0"/>
              <w:rPr>
                <w:sz w:val="23"/>
                <w:szCs w:val="23"/>
                <w:color w:val="auto"/>
              </w:rPr>
            </w:pPr>
          </w:p>
        </w:tc>
        <w:tc>
          <w:tcPr>
            <w:tcW w:w="5280" w:type="dxa"/>
            <w:vAlign w:val="bottom"/>
            <w:tcBorders>
              <w:right w:val="single" w:sz="8" w:color="auto"/>
            </w:tcBorders>
            <w:gridSpan w:val="3"/>
          </w:tcPr>
          <w:p>
            <w:pPr>
              <w:ind w:left="20"/>
              <w:spacing w:after="0"/>
              <w:rPr>
                <w:sz w:val="20"/>
                <w:szCs w:val="20"/>
                <w:color w:val="auto"/>
              </w:rPr>
            </w:pPr>
            <w:r>
              <w:rPr>
                <w:rFonts w:ascii="Arial" w:cs="Arial" w:eastAsia="Arial" w:hAnsi="Arial"/>
                <w:sz w:val="13"/>
                <w:szCs w:val="13"/>
                <w:color w:val="auto"/>
              </w:rPr>
              <w:t>Key Inputs:</w:t>
            </w:r>
          </w:p>
        </w:tc>
        <w:tc>
          <w:tcPr>
            <w:tcW w:w="4920" w:type="dxa"/>
            <w:vAlign w:val="bottom"/>
            <w:tcBorders>
              <w:right w:val="single" w:sz="8" w:color="auto"/>
            </w:tcBorders>
            <w:gridSpan w:val="2"/>
          </w:tcPr>
          <w:p>
            <w:pPr>
              <w:ind w:left="20"/>
              <w:spacing w:after="0"/>
              <w:rPr>
                <w:sz w:val="20"/>
                <w:szCs w:val="20"/>
                <w:color w:val="auto"/>
              </w:rPr>
            </w:pPr>
            <w:r>
              <w:rPr>
                <w:rFonts w:ascii="Arial" w:cs="Arial" w:eastAsia="Arial" w:hAnsi="Arial"/>
                <w:sz w:val="13"/>
                <w:szCs w:val="13"/>
                <w:color w:val="auto"/>
              </w:rPr>
              <w:t>Key Inputs:</w:t>
            </w:r>
          </w:p>
        </w:tc>
        <w:tc>
          <w:tcPr>
            <w:tcW w:w="0" w:type="dxa"/>
            <w:vAlign w:val="bottom"/>
          </w:tcPr>
          <w:p>
            <w:pPr>
              <w:spacing w:after="0"/>
              <w:rPr>
                <w:sz w:val="1"/>
                <w:szCs w:val="1"/>
                <w:color w:val="auto"/>
              </w:rPr>
            </w:pPr>
          </w:p>
        </w:tc>
      </w:tr>
      <w:tr>
        <w:trPr>
          <w:trHeight w:val="270"/>
        </w:trPr>
        <w:tc>
          <w:tcPr>
            <w:tcW w:w="1240" w:type="dxa"/>
            <w:vAlign w:val="bottom"/>
            <w:tcBorders>
              <w:left w:val="single" w:sz="8" w:color="auto"/>
              <w:right w:val="single" w:sz="8" w:color="auto"/>
            </w:tcBorders>
          </w:tcPr>
          <w:p>
            <w:pPr>
              <w:spacing w:after="0"/>
              <w:rPr>
                <w:sz w:val="23"/>
                <w:szCs w:val="23"/>
                <w:color w:val="auto"/>
              </w:rPr>
            </w:pPr>
          </w:p>
        </w:tc>
        <w:tc>
          <w:tcPr>
            <w:tcW w:w="100" w:type="dxa"/>
            <w:vAlign w:val="bottom"/>
          </w:tcPr>
          <w:p>
            <w:pPr>
              <w:ind w:left="20"/>
              <w:spacing w:after="0"/>
              <w:rPr>
                <w:sz w:val="20"/>
                <w:szCs w:val="20"/>
                <w:color w:val="auto"/>
              </w:rPr>
            </w:pPr>
            <w:r>
              <w:rPr>
                <w:rFonts w:ascii="Arial" w:cs="Arial" w:eastAsia="Arial" w:hAnsi="Arial"/>
                <w:sz w:val="13"/>
                <w:szCs w:val="13"/>
                <w:color w:val="auto"/>
              </w:rPr>
              <w:t>•</w:t>
            </w:r>
          </w:p>
        </w:tc>
        <w:tc>
          <w:tcPr>
            <w:tcW w:w="5180" w:type="dxa"/>
            <w:vAlign w:val="bottom"/>
            <w:tcBorders>
              <w:right w:val="single" w:sz="8" w:color="auto"/>
            </w:tcBorders>
            <w:gridSpan w:val="2"/>
          </w:tcPr>
          <w:p>
            <w:pPr>
              <w:ind w:left="40"/>
              <w:spacing w:after="0"/>
              <w:rPr>
                <w:sz w:val="20"/>
                <w:szCs w:val="20"/>
                <w:color w:val="auto"/>
              </w:rPr>
            </w:pPr>
            <w:r>
              <w:rPr>
                <w:rFonts w:ascii="Arial" w:cs="Arial" w:eastAsia="Arial" w:hAnsi="Arial"/>
                <w:sz w:val="13"/>
                <w:szCs w:val="13"/>
                <w:color w:val="auto"/>
              </w:rPr>
              <w:t>quoted prices in markets that are not active</w:t>
            </w:r>
          </w:p>
        </w:tc>
        <w:tc>
          <w:tcPr>
            <w:tcW w:w="100" w:type="dxa"/>
            <w:vAlign w:val="bottom"/>
          </w:tcPr>
          <w:p>
            <w:pPr>
              <w:ind w:left="20"/>
              <w:spacing w:after="0"/>
              <w:rPr>
                <w:sz w:val="20"/>
                <w:szCs w:val="20"/>
                <w:color w:val="auto"/>
              </w:rPr>
            </w:pPr>
            <w:r>
              <w:rPr>
                <w:rFonts w:ascii="Arial" w:cs="Arial" w:eastAsia="Arial" w:hAnsi="Arial"/>
                <w:sz w:val="13"/>
                <w:szCs w:val="13"/>
                <w:color w:val="auto"/>
              </w:rPr>
              <w:t>•</w:t>
            </w:r>
          </w:p>
        </w:tc>
        <w:tc>
          <w:tcPr>
            <w:tcW w:w="4820" w:type="dxa"/>
            <w:vAlign w:val="bottom"/>
            <w:tcBorders>
              <w:right w:val="single" w:sz="8" w:color="auto"/>
            </w:tcBorders>
          </w:tcPr>
          <w:p>
            <w:pPr>
              <w:ind w:left="40"/>
              <w:spacing w:after="0"/>
              <w:rPr>
                <w:sz w:val="20"/>
                <w:szCs w:val="20"/>
                <w:color w:val="auto"/>
              </w:rPr>
            </w:pPr>
            <w:r>
              <w:rPr>
                <w:rFonts w:ascii="Arial" w:cs="Arial" w:eastAsia="Arial" w:hAnsi="Arial"/>
                <w:sz w:val="13"/>
                <w:szCs w:val="13"/>
                <w:color w:val="auto"/>
              </w:rPr>
              <w:t>illiquidity premium</w:t>
            </w:r>
          </w:p>
        </w:tc>
        <w:tc>
          <w:tcPr>
            <w:tcW w:w="0" w:type="dxa"/>
            <w:vAlign w:val="bottom"/>
          </w:tcPr>
          <w:p>
            <w:pPr>
              <w:spacing w:after="0"/>
              <w:rPr>
                <w:sz w:val="1"/>
                <w:szCs w:val="1"/>
                <w:color w:val="auto"/>
              </w:rPr>
            </w:pPr>
          </w:p>
        </w:tc>
      </w:tr>
      <w:tr>
        <w:trPr>
          <w:trHeight w:val="270"/>
        </w:trPr>
        <w:tc>
          <w:tcPr>
            <w:tcW w:w="1240" w:type="dxa"/>
            <w:vAlign w:val="bottom"/>
            <w:tcBorders>
              <w:left w:val="single" w:sz="8" w:color="auto"/>
              <w:right w:val="single" w:sz="8" w:color="auto"/>
            </w:tcBorders>
          </w:tcPr>
          <w:p>
            <w:pPr>
              <w:spacing w:after="0"/>
              <w:rPr>
                <w:sz w:val="23"/>
                <w:szCs w:val="23"/>
                <w:color w:val="auto"/>
              </w:rPr>
            </w:pPr>
          </w:p>
        </w:tc>
        <w:tc>
          <w:tcPr>
            <w:tcW w:w="100" w:type="dxa"/>
            <w:vAlign w:val="bottom"/>
          </w:tcPr>
          <w:p>
            <w:pPr>
              <w:ind w:left="20"/>
              <w:spacing w:after="0"/>
              <w:rPr>
                <w:sz w:val="20"/>
                <w:szCs w:val="20"/>
                <w:color w:val="auto"/>
              </w:rPr>
            </w:pPr>
            <w:r>
              <w:rPr>
                <w:rFonts w:ascii="Arial" w:cs="Arial" w:eastAsia="Arial" w:hAnsi="Arial"/>
                <w:sz w:val="13"/>
                <w:szCs w:val="13"/>
                <w:color w:val="auto"/>
              </w:rPr>
              <w:t>•</w:t>
            </w:r>
          </w:p>
        </w:tc>
        <w:tc>
          <w:tcPr>
            <w:tcW w:w="5180" w:type="dxa"/>
            <w:vAlign w:val="bottom"/>
            <w:tcBorders>
              <w:right w:val="single" w:sz="8" w:color="auto"/>
            </w:tcBorders>
            <w:gridSpan w:val="2"/>
          </w:tcPr>
          <w:p>
            <w:pPr>
              <w:ind w:left="40"/>
              <w:spacing w:after="0"/>
              <w:rPr>
                <w:sz w:val="20"/>
                <w:szCs w:val="20"/>
                <w:color w:val="auto"/>
              </w:rPr>
            </w:pPr>
            <w:r>
              <w:rPr>
                <w:rFonts w:ascii="Arial" w:cs="Arial" w:eastAsia="Arial" w:hAnsi="Arial"/>
                <w:sz w:val="13"/>
                <w:szCs w:val="13"/>
                <w:color w:val="auto"/>
              </w:rPr>
              <w:t>benchmark yields; spreads off benchmark yields; new issuances; issuer rating</w:t>
            </w:r>
          </w:p>
        </w:tc>
        <w:tc>
          <w:tcPr>
            <w:tcW w:w="100" w:type="dxa"/>
            <w:vAlign w:val="bottom"/>
          </w:tcPr>
          <w:p>
            <w:pPr>
              <w:ind w:left="20"/>
              <w:spacing w:after="0"/>
              <w:rPr>
                <w:sz w:val="20"/>
                <w:szCs w:val="20"/>
                <w:color w:val="auto"/>
              </w:rPr>
            </w:pPr>
            <w:r>
              <w:rPr>
                <w:rFonts w:ascii="Arial" w:cs="Arial" w:eastAsia="Arial" w:hAnsi="Arial"/>
                <w:sz w:val="13"/>
                <w:szCs w:val="13"/>
                <w:color w:val="auto"/>
              </w:rPr>
              <w:t>•</w:t>
            </w:r>
          </w:p>
        </w:tc>
        <w:tc>
          <w:tcPr>
            <w:tcW w:w="4820" w:type="dxa"/>
            <w:vAlign w:val="bottom"/>
            <w:tcBorders>
              <w:right w:val="single" w:sz="8" w:color="auto"/>
            </w:tcBorders>
          </w:tcPr>
          <w:p>
            <w:pPr>
              <w:ind w:left="40"/>
              <w:spacing w:after="0"/>
              <w:rPr>
                <w:sz w:val="20"/>
                <w:szCs w:val="20"/>
                <w:color w:val="auto"/>
              </w:rPr>
            </w:pPr>
            <w:r>
              <w:rPr>
                <w:rFonts w:ascii="Arial" w:cs="Arial" w:eastAsia="Arial" w:hAnsi="Arial"/>
                <w:sz w:val="13"/>
                <w:szCs w:val="13"/>
                <w:color w:val="auto"/>
              </w:rPr>
              <w:t>delta spread adjustments to reflect specific credit-related issues</w:t>
            </w:r>
          </w:p>
        </w:tc>
        <w:tc>
          <w:tcPr>
            <w:tcW w:w="0" w:type="dxa"/>
            <w:vAlign w:val="bottom"/>
          </w:tcPr>
          <w:p>
            <w:pPr>
              <w:spacing w:after="0"/>
              <w:rPr>
                <w:sz w:val="1"/>
                <w:szCs w:val="1"/>
                <w:color w:val="auto"/>
              </w:rPr>
            </w:pPr>
          </w:p>
        </w:tc>
      </w:tr>
      <w:tr>
        <w:trPr>
          <w:trHeight w:val="270"/>
        </w:trPr>
        <w:tc>
          <w:tcPr>
            <w:tcW w:w="1240" w:type="dxa"/>
            <w:vAlign w:val="bottom"/>
            <w:tcBorders>
              <w:left w:val="single" w:sz="8" w:color="auto"/>
              <w:right w:val="single" w:sz="8" w:color="auto"/>
            </w:tcBorders>
          </w:tcPr>
          <w:p>
            <w:pPr>
              <w:spacing w:after="0"/>
              <w:rPr>
                <w:sz w:val="23"/>
                <w:szCs w:val="23"/>
                <w:color w:val="auto"/>
              </w:rPr>
            </w:pPr>
          </w:p>
        </w:tc>
        <w:tc>
          <w:tcPr>
            <w:tcW w:w="100" w:type="dxa"/>
            <w:vAlign w:val="bottom"/>
          </w:tcPr>
          <w:p>
            <w:pPr>
              <w:ind w:left="20"/>
              <w:spacing w:after="0"/>
              <w:rPr>
                <w:sz w:val="20"/>
                <w:szCs w:val="20"/>
                <w:color w:val="auto"/>
              </w:rPr>
            </w:pPr>
            <w:r>
              <w:rPr>
                <w:rFonts w:ascii="Arial" w:cs="Arial" w:eastAsia="Arial" w:hAnsi="Arial"/>
                <w:sz w:val="13"/>
                <w:szCs w:val="13"/>
                <w:color w:val="auto"/>
              </w:rPr>
              <w:t>•</w:t>
            </w:r>
          </w:p>
        </w:tc>
        <w:tc>
          <w:tcPr>
            <w:tcW w:w="5180" w:type="dxa"/>
            <w:vAlign w:val="bottom"/>
            <w:tcBorders>
              <w:right w:val="single" w:sz="8" w:color="auto"/>
            </w:tcBorders>
            <w:gridSpan w:val="2"/>
          </w:tcPr>
          <w:p>
            <w:pPr>
              <w:ind w:left="40"/>
              <w:spacing w:after="0"/>
              <w:rPr>
                <w:sz w:val="20"/>
                <w:szCs w:val="20"/>
                <w:color w:val="auto"/>
              </w:rPr>
            </w:pPr>
            <w:r>
              <w:rPr>
                <w:rFonts w:ascii="Arial" w:cs="Arial" w:eastAsia="Arial" w:hAnsi="Arial"/>
                <w:sz w:val="13"/>
                <w:szCs w:val="13"/>
                <w:color w:val="auto"/>
              </w:rPr>
              <w:t>trades of identical or comparable securities; duration</w:t>
            </w:r>
          </w:p>
        </w:tc>
        <w:tc>
          <w:tcPr>
            <w:tcW w:w="100" w:type="dxa"/>
            <w:vAlign w:val="bottom"/>
          </w:tcPr>
          <w:p>
            <w:pPr>
              <w:ind w:left="20"/>
              <w:spacing w:after="0"/>
              <w:rPr>
                <w:sz w:val="20"/>
                <w:szCs w:val="20"/>
                <w:color w:val="auto"/>
              </w:rPr>
            </w:pPr>
            <w:r>
              <w:rPr>
                <w:rFonts w:ascii="Arial" w:cs="Arial" w:eastAsia="Arial" w:hAnsi="Arial"/>
                <w:sz w:val="13"/>
                <w:szCs w:val="13"/>
                <w:color w:val="auto"/>
              </w:rPr>
              <w:t>•</w:t>
            </w:r>
          </w:p>
        </w:tc>
        <w:tc>
          <w:tcPr>
            <w:tcW w:w="4820" w:type="dxa"/>
            <w:vAlign w:val="bottom"/>
            <w:tcBorders>
              <w:right w:val="single" w:sz="8" w:color="auto"/>
            </w:tcBorders>
          </w:tcPr>
          <w:p>
            <w:pPr>
              <w:ind w:left="40"/>
              <w:spacing w:after="0"/>
              <w:rPr>
                <w:sz w:val="20"/>
                <w:szCs w:val="20"/>
                <w:color w:val="auto"/>
              </w:rPr>
            </w:pPr>
            <w:r>
              <w:rPr>
                <w:rFonts w:ascii="Arial" w:cs="Arial" w:eastAsia="Arial" w:hAnsi="Arial"/>
                <w:sz w:val="13"/>
                <w:szCs w:val="13"/>
                <w:color w:val="auto"/>
              </w:rPr>
              <w:t>credit spreads</w:t>
            </w:r>
          </w:p>
        </w:tc>
        <w:tc>
          <w:tcPr>
            <w:tcW w:w="0" w:type="dxa"/>
            <w:vAlign w:val="bottom"/>
          </w:tcPr>
          <w:p>
            <w:pPr>
              <w:spacing w:after="0"/>
              <w:rPr>
                <w:sz w:val="1"/>
                <w:szCs w:val="1"/>
                <w:color w:val="auto"/>
              </w:rPr>
            </w:pPr>
          </w:p>
        </w:tc>
      </w:tr>
      <w:tr>
        <w:trPr>
          <w:trHeight w:val="245"/>
        </w:trPr>
        <w:tc>
          <w:tcPr>
            <w:tcW w:w="1240" w:type="dxa"/>
            <w:vAlign w:val="bottom"/>
            <w:tcBorders>
              <w:left w:val="single" w:sz="8" w:color="auto"/>
              <w:right w:val="single" w:sz="8" w:color="auto"/>
            </w:tcBorders>
          </w:tcPr>
          <w:p>
            <w:pPr>
              <w:spacing w:after="0"/>
              <w:rPr>
                <w:sz w:val="21"/>
                <w:szCs w:val="21"/>
                <w:color w:val="auto"/>
              </w:rPr>
            </w:pPr>
          </w:p>
        </w:tc>
        <w:tc>
          <w:tcPr>
            <w:tcW w:w="100" w:type="dxa"/>
            <w:vAlign w:val="bottom"/>
          </w:tcPr>
          <w:p>
            <w:pPr>
              <w:ind w:left="20"/>
              <w:spacing w:after="0"/>
              <w:rPr>
                <w:sz w:val="20"/>
                <w:szCs w:val="20"/>
                <w:color w:val="auto"/>
              </w:rPr>
            </w:pPr>
            <w:r>
              <w:rPr>
                <w:rFonts w:ascii="Arial" w:cs="Arial" w:eastAsia="Arial" w:hAnsi="Arial"/>
                <w:sz w:val="13"/>
                <w:szCs w:val="13"/>
                <w:color w:val="auto"/>
              </w:rPr>
              <w:t>•</w:t>
            </w:r>
          </w:p>
        </w:tc>
        <w:tc>
          <w:tcPr>
            <w:tcW w:w="5180" w:type="dxa"/>
            <w:vAlign w:val="bottom"/>
            <w:tcBorders>
              <w:right w:val="single" w:sz="8" w:color="auto"/>
            </w:tcBorders>
            <w:gridSpan w:val="2"/>
          </w:tcPr>
          <w:p>
            <w:pPr>
              <w:ind w:left="40"/>
              <w:spacing w:after="0"/>
              <w:rPr>
                <w:sz w:val="20"/>
                <w:szCs w:val="20"/>
                <w:color w:val="auto"/>
              </w:rPr>
            </w:pPr>
            <w:r>
              <w:rPr>
                <w:rFonts w:ascii="Arial" w:cs="Arial" w:eastAsia="Arial" w:hAnsi="Arial"/>
                <w:sz w:val="13"/>
                <w:szCs w:val="13"/>
                <w:color w:val="auto"/>
              </w:rPr>
              <w:t>Privately-placed securities are valued using the additional key inputs:</w:t>
            </w:r>
          </w:p>
        </w:tc>
        <w:tc>
          <w:tcPr>
            <w:tcW w:w="100" w:type="dxa"/>
            <w:vAlign w:val="bottom"/>
          </w:tcPr>
          <w:p>
            <w:pPr>
              <w:ind w:left="20"/>
              <w:spacing w:after="0"/>
              <w:rPr>
                <w:sz w:val="20"/>
                <w:szCs w:val="20"/>
                <w:color w:val="auto"/>
              </w:rPr>
            </w:pPr>
            <w:r>
              <w:rPr>
                <w:rFonts w:ascii="Arial" w:cs="Arial" w:eastAsia="Arial" w:hAnsi="Arial"/>
                <w:sz w:val="13"/>
                <w:szCs w:val="13"/>
                <w:color w:val="auto"/>
              </w:rPr>
              <w:t>•</w:t>
            </w:r>
          </w:p>
        </w:tc>
        <w:tc>
          <w:tcPr>
            <w:tcW w:w="4820" w:type="dxa"/>
            <w:vAlign w:val="bottom"/>
            <w:tcBorders>
              <w:right w:val="single" w:sz="8" w:color="auto"/>
            </w:tcBorders>
          </w:tcPr>
          <w:p>
            <w:pPr>
              <w:ind w:left="40"/>
              <w:spacing w:after="0"/>
              <w:rPr>
                <w:sz w:val="20"/>
                <w:szCs w:val="20"/>
                <w:color w:val="auto"/>
              </w:rPr>
            </w:pPr>
            <w:r>
              <w:rPr>
                <w:rFonts w:ascii="Arial" w:cs="Arial" w:eastAsia="Arial" w:hAnsi="Arial"/>
                <w:sz w:val="13"/>
                <w:szCs w:val="13"/>
                <w:color w:val="auto"/>
                <w:w w:val="93"/>
              </w:rPr>
              <w:t>quoted prices in markets that are not active for identical or similar securities that are less</w:t>
            </w:r>
          </w:p>
        </w:tc>
        <w:tc>
          <w:tcPr>
            <w:tcW w:w="0" w:type="dxa"/>
            <w:vAlign w:val="bottom"/>
          </w:tcPr>
          <w:p>
            <w:pPr>
              <w:spacing w:after="0"/>
              <w:rPr>
                <w:sz w:val="1"/>
                <w:szCs w:val="1"/>
                <w:color w:val="auto"/>
              </w:rPr>
            </w:pPr>
          </w:p>
        </w:tc>
      </w:tr>
      <w:tr>
        <w:trPr>
          <w:trHeight w:val="160"/>
        </w:trPr>
        <w:tc>
          <w:tcPr>
            <w:tcW w:w="1240" w:type="dxa"/>
            <w:vAlign w:val="bottom"/>
            <w:tcBorders>
              <w:left w:val="single" w:sz="8" w:color="auto"/>
              <w:right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vMerge w:val="restart"/>
          </w:tcPr>
          <w:p>
            <w:pPr>
              <w:ind w:left="40"/>
              <w:spacing w:after="0"/>
              <w:rPr>
                <w:sz w:val="20"/>
                <w:szCs w:val="20"/>
                <w:color w:val="auto"/>
              </w:rPr>
            </w:pPr>
            <w:r>
              <w:rPr>
                <w:rFonts w:ascii="Arial" w:cs="Arial" w:eastAsia="Arial" w:hAnsi="Arial"/>
                <w:sz w:val="13"/>
                <w:szCs w:val="13"/>
                <w:color w:val="auto"/>
              </w:rPr>
              <w:t>•</w:t>
            </w:r>
          </w:p>
        </w:tc>
        <w:tc>
          <w:tcPr>
            <w:tcW w:w="4940" w:type="dxa"/>
            <w:vAlign w:val="bottom"/>
            <w:tcBorders>
              <w:right w:val="single" w:sz="8" w:color="auto"/>
            </w:tcBorders>
            <w:vMerge w:val="restart"/>
          </w:tcPr>
          <w:p>
            <w:pPr>
              <w:ind w:left="180"/>
              <w:spacing w:after="0"/>
              <w:rPr>
                <w:sz w:val="20"/>
                <w:szCs w:val="20"/>
                <w:color w:val="auto"/>
              </w:rPr>
            </w:pPr>
            <w:r>
              <w:rPr>
                <w:rFonts w:ascii="Arial" w:cs="Arial" w:eastAsia="Arial" w:hAnsi="Arial"/>
                <w:sz w:val="13"/>
                <w:szCs w:val="13"/>
                <w:color w:val="auto"/>
              </w:rPr>
              <w:t>market yield curve; call provisions</w:t>
            </w:r>
          </w:p>
        </w:tc>
        <w:tc>
          <w:tcPr>
            <w:tcW w:w="100" w:type="dxa"/>
            <w:vAlign w:val="bottom"/>
          </w:tcPr>
          <w:p>
            <w:pPr>
              <w:spacing w:after="0"/>
              <w:rPr>
                <w:sz w:val="13"/>
                <w:szCs w:val="13"/>
                <w:color w:val="auto"/>
              </w:rPr>
            </w:pPr>
          </w:p>
        </w:tc>
        <w:tc>
          <w:tcPr>
            <w:tcW w:w="4820" w:type="dxa"/>
            <w:vAlign w:val="bottom"/>
            <w:tcBorders>
              <w:right w:val="single" w:sz="8" w:color="auto"/>
            </w:tcBorders>
          </w:tcPr>
          <w:p>
            <w:pPr>
              <w:ind w:left="200"/>
              <w:spacing w:after="0"/>
              <w:rPr>
                <w:sz w:val="20"/>
                <w:szCs w:val="20"/>
                <w:color w:val="auto"/>
              </w:rPr>
            </w:pPr>
            <w:r>
              <w:rPr>
                <w:rFonts w:ascii="Arial" w:cs="Arial" w:eastAsia="Arial" w:hAnsi="Arial"/>
                <w:sz w:val="13"/>
                <w:szCs w:val="13"/>
                <w:color w:val="auto"/>
                <w:w w:val="93"/>
              </w:rPr>
              <w:t>liquid and based on lower levels of trading activity than securities classified in Level 2</w:t>
            </w:r>
          </w:p>
        </w:tc>
        <w:tc>
          <w:tcPr>
            <w:tcW w:w="0" w:type="dxa"/>
            <w:vAlign w:val="bottom"/>
          </w:tcPr>
          <w:p>
            <w:pPr>
              <w:spacing w:after="0"/>
              <w:rPr>
                <w:sz w:val="1"/>
                <w:szCs w:val="1"/>
                <w:color w:val="auto"/>
              </w:rPr>
            </w:pPr>
          </w:p>
        </w:tc>
      </w:tr>
      <w:tr>
        <w:trPr>
          <w:trHeight w:val="135"/>
        </w:trPr>
        <w:tc>
          <w:tcPr>
            <w:tcW w:w="1240" w:type="dxa"/>
            <w:vAlign w:val="bottom"/>
            <w:tcBorders>
              <w:left w:val="single" w:sz="8" w:color="auto"/>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vMerge w:val="continue"/>
          </w:tcPr>
          <w:p>
            <w:pPr>
              <w:spacing w:after="0"/>
              <w:rPr>
                <w:sz w:val="11"/>
                <w:szCs w:val="11"/>
                <w:color w:val="auto"/>
              </w:rPr>
            </w:pPr>
          </w:p>
        </w:tc>
        <w:tc>
          <w:tcPr>
            <w:tcW w:w="4940" w:type="dxa"/>
            <w:vAlign w:val="bottom"/>
            <w:tcBorders>
              <w:right w:val="single" w:sz="8" w:color="auto"/>
            </w:tcBorders>
            <w:vMerge w:val="continue"/>
          </w:tcPr>
          <w:p>
            <w:pPr>
              <w:spacing w:after="0"/>
              <w:rPr>
                <w:sz w:val="11"/>
                <w:szCs w:val="11"/>
                <w:color w:val="auto"/>
              </w:rPr>
            </w:pPr>
          </w:p>
        </w:tc>
        <w:tc>
          <w:tcPr>
            <w:tcW w:w="100" w:type="dxa"/>
            <w:vAlign w:val="bottom"/>
          </w:tcPr>
          <w:p>
            <w:pPr>
              <w:spacing w:after="0"/>
              <w:rPr>
                <w:sz w:val="11"/>
                <w:szCs w:val="11"/>
                <w:color w:val="auto"/>
              </w:rPr>
            </w:pPr>
          </w:p>
        </w:tc>
        <w:tc>
          <w:tcPr>
            <w:tcW w:w="482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45"/>
        </w:trPr>
        <w:tc>
          <w:tcPr>
            <w:tcW w:w="1240" w:type="dxa"/>
            <w:vAlign w:val="bottom"/>
            <w:tcBorders>
              <w:left w:val="single" w:sz="8" w:color="auto"/>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ind w:left="40"/>
              <w:spacing w:after="0"/>
              <w:rPr>
                <w:sz w:val="20"/>
                <w:szCs w:val="20"/>
                <w:color w:val="auto"/>
              </w:rPr>
            </w:pPr>
            <w:r>
              <w:rPr>
                <w:rFonts w:ascii="Arial" w:cs="Arial" w:eastAsia="Arial" w:hAnsi="Arial"/>
                <w:sz w:val="13"/>
                <w:szCs w:val="13"/>
                <w:color w:val="auto"/>
              </w:rPr>
              <w:t>•</w:t>
            </w:r>
          </w:p>
        </w:tc>
        <w:tc>
          <w:tcPr>
            <w:tcW w:w="4940" w:type="dxa"/>
            <w:vAlign w:val="bottom"/>
            <w:tcBorders>
              <w:right w:val="single" w:sz="8" w:color="auto"/>
            </w:tcBorders>
          </w:tcPr>
          <w:p>
            <w:pPr>
              <w:ind w:left="180"/>
              <w:spacing w:after="0"/>
              <w:rPr>
                <w:sz w:val="20"/>
                <w:szCs w:val="20"/>
                <w:color w:val="auto"/>
              </w:rPr>
            </w:pPr>
            <w:r>
              <w:rPr>
                <w:rFonts w:ascii="Arial" w:cs="Arial" w:eastAsia="Arial" w:hAnsi="Arial"/>
                <w:sz w:val="13"/>
                <w:szCs w:val="13"/>
                <w:color w:val="auto"/>
                <w:w w:val="93"/>
              </w:rPr>
              <w:t>observable prices and spreads for similar public or private securities that incorporate the</w:t>
            </w:r>
          </w:p>
        </w:tc>
        <w:tc>
          <w:tcPr>
            <w:tcW w:w="100" w:type="dxa"/>
            <w:vAlign w:val="bottom"/>
          </w:tcPr>
          <w:p>
            <w:pPr>
              <w:ind w:left="20"/>
              <w:spacing w:after="0"/>
              <w:rPr>
                <w:sz w:val="20"/>
                <w:szCs w:val="20"/>
                <w:color w:val="auto"/>
              </w:rPr>
            </w:pPr>
            <w:r>
              <w:rPr>
                <w:rFonts w:ascii="Arial" w:cs="Arial" w:eastAsia="Arial" w:hAnsi="Arial"/>
                <w:sz w:val="13"/>
                <w:szCs w:val="13"/>
                <w:color w:val="auto"/>
              </w:rPr>
              <w:t>•</w:t>
            </w:r>
          </w:p>
        </w:tc>
        <w:tc>
          <w:tcPr>
            <w:tcW w:w="4820" w:type="dxa"/>
            <w:vAlign w:val="bottom"/>
            <w:tcBorders>
              <w:right w:val="single" w:sz="8" w:color="auto"/>
            </w:tcBorders>
          </w:tcPr>
          <w:p>
            <w:pPr>
              <w:ind w:left="40"/>
              <w:spacing w:after="0"/>
              <w:rPr>
                <w:sz w:val="20"/>
                <w:szCs w:val="20"/>
                <w:color w:val="auto"/>
              </w:rPr>
            </w:pPr>
            <w:r>
              <w:rPr>
                <w:rFonts w:ascii="Arial" w:cs="Arial" w:eastAsia="Arial" w:hAnsi="Arial"/>
                <w:sz w:val="13"/>
                <w:szCs w:val="13"/>
                <w:color w:val="auto"/>
              </w:rPr>
              <w:t>independent non-binding broker quotations</w:t>
            </w:r>
          </w:p>
        </w:tc>
        <w:tc>
          <w:tcPr>
            <w:tcW w:w="0" w:type="dxa"/>
            <w:vAlign w:val="bottom"/>
          </w:tcPr>
          <w:p>
            <w:pPr>
              <w:spacing w:after="0"/>
              <w:rPr>
                <w:sz w:val="1"/>
                <w:szCs w:val="1"/>
                <w:color w:val="auto"/>
              </w:rPr>
            </w:pPr>
          </w:p>
        </w:tc>
      </w:tr>
      <w:tr>
        <w:trPr>
          <w:trHeight w:val="160"/>
        </w:trPr>
        <w:tc>
          <w:tcPr>
            <w:tcW w:w="1240" w:type="dxa"/>
            <w:vAlign w:val="bottom"/>
            <w:tcBorders>
              <w:left w:val="single" w:sz="8" w:color="auto"/>
              <w:right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940" w:type="dxa"/>
            <w:vAlign w:val="bottom"/>
            <w:tcBorders>
              <w:right w:val="single" w:sz="8" w:color="auto"/>
            </w:tcBorders>
          </w:tcPr>
          <w:p>
            <w:pPr>
              <w:ind w:left="340"/>
              <w:spacing w:after="0"/>
              <w:rPr>
                <w:sz w:val="20"/>
                <w:szCs w:val="20"/>
                <w:color w:val="auto"/>
              </w:rPr>
            </w:pPr>
            <w:r>
              <w:rPr>
                <w:rFonts w:ascii="Arial" w:cs="Arial" w:eastAsia="Arial" w:hAnsi="Arial"/>
                <w:sz w:val="13"/>
                <w:szCs w:val="13"/>
                <w:color w:val="auto"/>
              </w:rPr>
              <w:t>credit quality and industry sector of the issuer</w:t>
            </w:r>
          </w:p>
        </w:tc>
        <w:tc>
          <w:tcPr>
            <w:tcW w:w="100" w:type="dxa"/>
            <w:vAlign w:val="bottom"/>
          </w:tcPr>
          <w:p>
            <w:pPr>
              <w:spacing w:after="0"/>
              <w:rPr>
                <w:sz w:val="13"/>
                <w:szCs w:val="13"/>
                <w:color w:val="auto"/>
              </w:rPr>
            </w:pPr>
          </w:p>
        </w:tc>
        <w:tc>
          <w:tcPr>
            <w:tcW w:w="482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1240" w:type="dxa"/>
            <w:vAlign w:val="bottom"/>
            <w:tcBorders>
              <w:left w:val="single" w:sz="8" w:color="auto"/>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ind w:left="40"/>
              <w:spacing w:after="0"/>
              <w:rPr>
                <w:sz w:val="20"/>
                <w:szCs w:val="20"/>
                <w:color w:val="auto"/>
              </w:rPr>
            </w:pPr>
            <w:r>
              <w:rPr>
                <w:rFonts w:ascii="Arial" w:cs="Arial" w:eastAsia="Arial" w:hAnsi="Arial"/>
                <w:sz w:val="13"/>
                <w:szCs w:val="13"/>
                <w:color w:val="auto"/>
              </w:rPr>
              <w:t>•</w:t>
            </w:r>
          </w:p>
        </w:tc>
        <w:tc>
          <w:tcPr>
            <w:tcW w:w="4940" w:type="dxa"/>
            <w:vAlign w:val="bottom"/>
            <w:tcBorders>
              <w:right w:val="single" w:sz="8" w:color="auto"/>
            </w:tcBorders>
          </w:tcPr>
          <w:p>
            <w:pPr>
              <w:ind w:left="180"/>
              <w:spacing w:after="0"/>
              <w:rPr>
                <w:sz w:val="20"/>
                <w:szCs w:val="20"/>
                <w:color w:val="auto"/>
              </w:rPr>
            </w:pPr>
            <w:r>
              <w:rPr>
                <w:rFonts w:ascii="Arial" w:cs="Arial" w:eastAsia="Arial" w:hAnsi="Arial"/>
                <w:sz w:val="13"/>
                <w:szCs w:val="13"/>
                <w:color w:val="auto"/>
              </w:rPr>
              <w:t>delta spread adjustments to reflect specific credit-related issues</w:t>
            </w:r>
          </w:p>
        </w:tc>
        <w:tc>
          <w:tcPr>
            <w:tcW w:w="100" w:type="dxa"/>
            <w:vAlign w:val="bottom"/>
          </w:tcPr>
          <w:p>
            <w:pPr>
              <w:spacing w:after="0"/>
              <w:rPr>
                <w:sz w:val="16"/>
                <w:szCs w:val="16"/>
                <w:color w:val="auto"/>
              </w:rPr>
            </w:pPr>
          </w:p>
        </w:tc>
        <w:tc>
          <w:tcPr>
            <w:tcW w:w="482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97"/>
        </w:trPr>
        <w:tc>
          <w:tcPr>
            <w:tcW w:w="1240" w:type="dxa"/>
            <w:vAlign w:val="bottom"/>
            <w:tcBorders>
              <w:left w:val="single" w:sz="8" w:color="auto"/>
              <w:bottom w:val="single" w:sz="8" w:color="auto"/>
              <w:right w:val="single" w:sz="8" w:color="auto"/>
            </w:tcBorders>
          </w:tcPr>
          <w:p>
            <w:pPr>
              <w:spacing w:after="0"/>
              <w:rPr>
                <w:sz w:val="8"/>
                <w:szCs w:val="8"/>
                <w:color w:val="auto"/>
              </w:rPr>
            </w:pPr>
          </w:p>
        </w:tc>
        <w:tc>
          <w:tcPr>
            <w:tcW w:w="5280" w:type="dxa"/>
            <w:vAlign w:val="bottom"/>
            <w:tcBorders>
              <w:bottom w:val="single" w:sz="8" w:color="auto"/>
              <w:right w:val="single" w:sz="8" w:color="auto"/>
            </w:tcBorders>
            <w:gridSpan w:val="3"/>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82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76"/>
        </w:trPr>
        <w:tc>
          <w:tcPr>
            <w:tcW w:w="6520" w:type="dxa"/>
            <w:vAlign w:val="bottom"/>
            <w:tcBorders>
              <w:left w:val="single" w:sz="8" w:color="auto"/>
              <w:bottom w:val="single" w:sz="8" w:color="auto"/>
            </w:tcBorders>
            <w:gridSpan w:val="4"/>
          </w:tcPr>
          <w:p>
            <w:pPr>
              <w:ind w:left="180"/>
              <w:spacing w:after="0"/>
              <w:rPr>
                <w:sz w:val="20"/>
                <w:szCs w:val="20"/>
                <w:color w:val="auto"/>
              </w:rPr>
            </w:pPr>
            <w:r>
              <w:rPr>
                <w:rFonts w:ascii="Arial" w:cs="Arial" w:eastAsia="Arial" w:hAnsi="Arial"/>
                <w:sz w:val="13"/>
                <w:szCs w:val="13"/>
                <w:b w:val="1"/>
                <w:bCs w:val="1"/>
                <w:color w:val="auto"/>
              </w:rPr>
              <w:t>U.S. government and agency, State and political subdivision and Foreign government securities</w:t>
            </w:r>
          </w:p>
        </w:tc>
        <w:tc>
          <w:tcPr>
            <w:tcW w:w="100" w:type="dxa"/>
            <w:vAlign w:val="bottom"/>
            <w:tcBorders>
              <w:bottom w:val="single" w:sz="8" w:color="auto"/>
            </w:tcBorders>
          </w:tcPr>
          <w:p>
            <w:pPr>
              <w:spacing w:after="0"/>
              <w:rPr>
                <w:sz w:val="15"/>
                <w:szCs w:val="15"/>
                <w:color w:val="auto"/>
              </w:rPr>
            </w:pPr>
          </w:p>
        </w:tc>
        <w:tc>
          <w:tcPr>
            <w:tcW w:w="482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1240" w:type="dxa"/>
            <w:vAlign w:val="bottom"/>
            <w:tcBorders>
              <w:left w:val="single" w:sz="8" w:color="auto"/>
              <w:right w:val="single" w:sz="8" w:color="auto"/>
            </w:tcBorders>
          </w:tcPr>
          <w:p>
            <w:pPr>
              <w:spacing w:after="0"/>
              <w:rPr>
                <w:sz w:val="15"/>
                <w:szCs w:val="15"/>
                <w:color w:val="auto"/>
              </w:rPr>
            </w:pPr>
          </w:p>
        </w:tc>
        <w:tc>
          <w:tcPr>
            <w:tcW w:w="5280" w:type="dxa"/>
            <w:vAlign w:val="bottom"/>
            <w:tcBorders>
              <w:right w:val="single" w:sz="8" w:color="auto"/>
            </w:tcBorders>
            <w:gridSpan w:val="3"/>
          </w:tcPr>
          <w:p>
            <w:pPr>
              <w:ind w:left="20"/>
              <w:spacing w:after="0"/>
              <w:rPr>
                <w:sz w:val="20"/>
                <w:szCs w:val="20"/>
                <w:color w:val="auto"/>
              </w:rPr>
            </w:pPr>
            <w:r>
              <w:rPr>
                <w:rFonts w:ascii="Arial" w:cs="Arial" w:eastAsia="Arial" w:hAnsi="Arial"/>
                <w:sz w:val="13"/>
                <w:szCs w:val="13"/>
                <w:color w:val="auto"/>
              </w:rPr>
              <w:t>Valuation Approaches: Principally the market approach.</w:t>
            </w:r>
          </w:p>
        </w:tc>
        <w:tc>
          <w:tcPr>
            <w:tcW w:w="4920" w:type="dxa"/>
            <w:vAlign w:val="bottom"/>
            <w:tcBorders>
              <w:right w:val="single" w:sz="8" w:color="auto"/>
            </w:tcBorders>
            <w:gridSpan w:val="2"/>
          </w:tcPr>
          <w:p>
            <w:pPr>
              <w:ind w:left="20"/>
              <w:spacing w:after="0"/>
              <w:rPr>
                <w:sz w:val="20"/>
                <w:szCs w:val="20"/>
                <w:color w:val="auto"/>
              </w:rPr>
            </w:pPr>
            <w:r>
              <w:rPr>
                <w:rFonts w:ascii="Arial" w:cs="Arial" w:eastAsia="Arial" w:hAnsi="Arial"/>
                <w:sz w:val="13"/>
                <w:szCs w:val="13"/>
                <w:color w:val="auto"/>
              </w:rPr>
              <w:t>Valuation Approaches: Principally the market approach.</w:t>
            </w:r>
          </w:p>
        </w:tc>
        <w:tc>
          <w:tcPr>
            <w:tcW w:w="0" w:type="dxa"/>
            <w:vAlign w:val="bottom"/>
          </w:tcPr>
          <w:p>
            <w:pPr>
              <w:spacing w:after="0"/>
              <w:rPr>
                <w:sz w:val="1"/>
                <w:szCs w:val="1"/>
                <w:color w:val="auto"/>
              </w:rPr>
            </w:pPr>
          </w:p>
        </w:tc>
      </w:tr>
      <w:tr>
        <w:trPr>
          <w:trHeight w:val="270"/>
        </w:trPr>
        <w:tc>
          <w:tcPr>
            <w:tcW w:w="1240" w:type="dxa"/>
            <w:vAlign w:val="bottom"/>
            <w:tcBorders>
              <w:left w:val="single" w:sz="8" w:color="auto"/>
              <w:right w:val="single" w:sz="8" w:color="auto"/>
            </w:tcBorders>
          </w:tcPr>
          <w:p>
            <w:pPr>
              <w:spacing w:after="0"/>
              <w:rPr>
                <w:sz w:val="23"/>
                <w:szCs w:val="23"/>
                <w:color w:val="auto"/>
              </w:rPr>
            </w:pPr>
          </w:p>
        </w:tc>
        <w:tc>
          <w:tcPr>
            <w:tcW w:w="5280" w:type="dxa"/>
            <w:vAlign w:val="bottom"/>
            <w:tcBorders>
              <w:right w:val="single" w:sz="8" w:color="auto"/>
            </w:tcBorders>
            <w:gridSpan w:val="3"/>
          </w:tcPr>
          <w:p>
            <w:pPr>
              <w:ind w:left="20"/>
              <w:spacing w:after="0"/>
              <w:rPr>
                <w:sz w:val="20"/>
                <w:szCs w:val="20"/>
                <w:color w:val="auto"/>
              </w:rPr>
            </w:pPr>
            <w:r>
              <w:rPr>
                <w:rFonts w:ascii="Arial" w:cs="Arial" w:eastAsia="Arial" w:hAnsi="Arial"/>
                <w:sz w:val="13"/>
                <w:szCs w:val="13"/>
                <w:color w:val="auto"/>
              </w:rPr>
              <w:t>Key Inputs:</w:t>
            </w:r>
          </w:p>
        </w:tc>
        <w:tc>
          <w:tcPr>
            <w:tcW w:w="4920" w:type="dxa"/>
            <w:vAlign w:val="bottom"/>
            <w:tcBorders>
              <w:right w:val="single" w:sz="8" w:color="auto"/>
            </w:tcBorders>
            <w:gridSpan w:val="2"/>
          </w:tcPr>
          <w:p>
            <w:pPr>
              <w:ind w:left="20"/>
              <w:spacing w:after="0"/>
              <w:rPr>
                <w:sz w:val="20"/>
                <w:szCs w:val="20"/>
                <w:color w:val="auto"/>
              </w:rPr>
            </w:pPr>
            <w:r>
              <w:rPr>
                <w:rFonts w:ascii="Arial" w:cs="Arial" w:eastAsia="Arial" w:hAnsi="Arial"/>
                <w:sz w:val="13"/>
                <w:szCs w:val="13"/>
                <w:color w:val="auto"/>
              </w:rPr>
              <w:t>Key Inputs:</w:t>
            </w:r>
          </w:p>
        </w:tc>
        <w:tc>
          <w:tcPr>
            <w:tcW w:w="0" w:type="dxa"/>
            <w:vAlign w:val="bottom"/>
          </w:tcPr>
          <w:p>
            <w:pPr>
              <w:spacing w:after="0"/>
              <w:rPr>
                <w:sz w:val="1"/>
                <w:szCs w:val="1"/>
                <w:color w:val="auto"/>
              </w:rPr>
            </w:pPr>
          </w:p>
        </w:tc>
      </w:tr>
      <w:tr>
        <w:trPr>
          <w:trHeight w:val="270"/>
        </w:trPr>
        <w:tc>
          <w:tcPr>
            <w:tcW w:w="1240" w:type="dxa"/>
            <w:vAlign w:val="bottom"/>
            <w:tcBorders>
              <w:left w:val="single" w:sz="8" w:color="auto"/>
              <w:right w:val="single" w:sz="8" w:color="auto"/>
            </w:tcBorders>
          </w:tcPr>
          <w:p>
            <w:pPr>
              <w:spacing w:after="0"/>
              <w:rPr>
                <w:sz w:val="23"/>
                <w:szCs w:val="23"/>
                <w:color w:val="auto"/>
              </w:rPr>
            </w:pPr>
          </w:p>
        </w:tc>
        <w:tc>
          <w:tcPr>
            <w:tcW w:w="100" w:type="dxa"/>
            <w:vAlign w:val="bottom"/>
          </w:tcPr>
          <w:p>
            <w:pPr>
              <w:ind w:left="20"/>
              <w:spacing w:after="0"/>
              <w:rPr>
                <w:sz w:val="20"/>
                <w:szCs w:val="20"/>
                <w:color w:val="auto"/>
              </w:rPr>
            </w:pPr>
            <w:r>
              <w:rPr>
                <w:rFonts w:ascii="Arial" w:cs="Arial" w:eastAsia="Arial" w:hAnsi="Arial"/>
                <w:sz w:val="13"/>
                <w:szCs w:val="13"/>
                <w:color w:val="auto"/>
              </w:rPr>
              <w:t>•</w:t>
            </w:r>
          </w:p>
        </w:tc>
        <w:tc>
          <w:tcPr>
            <w:tcW w:w="5180" w:type="dxa"/>
            <w:vAlign w:val="bottom"/>
            <w:tcBorders>
              <w:right w:val="single" w:sz="8" w:color="auto"/>
            </w:tcBorders>
            <w:gridSpan w:val="2"/>
          </w:tcPr>
          <w:p>
            <w:pPr>
              <w:ind w:left="40"/>
              <w:spacing w:after="0"/>
              <w:rPr>
                <w:sz w:val="20"/>
                <w:szCs w:val="20"/>
                <w:color w:val="auto"/>
              </w:rPr>
            </w:pPr>
            <w:r>
              <w:rPr>
                <w:rFonts w:ascii="Arial" w:cs="Arial" w:eastAsia="Arial" w:hAnsi="Arial"/>
                <w:sz w:val="13"/>
                <w:szCs w:val="13"/>
                <w:color w:val="auto"/>
              </w:rPr>
              <w:t>quoted prices in markets that are not active</w:t>
            </w:r>
          </w:p>
        </w:tc>
        <w:tc>
          <w:tcPr>
            <w:tcW w:w="100" w:type="dxa"/>
            <w:vAlign w:val="bottom"/>
          </w:tcPr>
          <w:p>
            <w:pPr>
              <w:ind w:left="20"/>
              <w:spacing w:after="0"/>
              <w:rPr>
                <w:sz w:val="20"/>
                <w:szCs w:val="20"/>
                <w:color w:val="auto"/>
              </w:rPr>
            </w:pPr>
            <w:r>
              <w:rPr>
                <w:rFonts w:ascii="Arial" w:cs="Arial" w:eastAsia="Arial" w:hAnsi="Arial"/>
                <w:sz w:val="13"/>
                <w:szCs w:val="13"/>
                <w:color w:val="auto"/>
              </w:rPr>
              <w:t>•</w:t>
            </w:r>
          </w:p>
        </w:tc>
        <w:tc>
          <w:tcPr>
            <w:tcW w:w="4820" w:type="dxa"/>
            <w:vAlign w:val="bottom"/>
            <w:tcBorders>
              <w:right w:val="single" w:sz="8" w:color="auto"/>
            </w:tcBorders>
          </w:tcPr>
          <w:p>
            <w:pPr>
              <w:ind w:left="40"/>
              <w:spacing w:after="0"/>
              <w:rPr>
                <w:sz w:val="20"/>
                <w:szCs w:val="20"/>
                <w:color w:val="auto"/>
              </w:rPr>
            </w:pPr>
            <w:r>
              <w:rPr>
                <w:rFonts w:ascii="Arial" w:cs="Arial" w:eastAsia="Arial" w:hAnsi="Arial"/>
                <w:sz w:val="13"/>
                <w:szCs w:val="13"/>
                <w:color w:val="auto"/>
              </w:rPr>
              <w:t>independent non-binding broker quotations</w:t>
            </w:r>
          </w:p>
        </w:tc>
        <w:tc>
          <w:tcPr>
            <w:tcW w:w="0" w:type="dxa"/>
            <w:vAlign w:val="bottom"/>
          </w:tcPr>
          <w:p>
            <w:pPr>
              <w:spacing w:after="0"/>
              <w:rPr>
                <w:sz w:val="1"/>
                <w:szCs w:val="1"/>
                <w:color w:val="auto"/>
              </w:rPr>
            </w:pPr>
          </w:p>
        </w:tc>
      </w:tr>
      <w:tr>
        <w:trPr>
          <w:trHeight w:val="245"/>
        </w:trPr>
        <w:tc>
          <w:tcPr>
            <w:tcW w:w="1240" w:type="dxa"/>
            <w:vAlign w:val="bottom"/>
            <w:tcBorders>
              <w:left w:val="single" w:sz="8" w:color="auto"/>
              <w:right w:val="single" w:sz="8" w:color="auto"/>
            </w:tcBorders>
          </w:tcPr>
          <w:p>
            <w:pPr>
              <w:spacing w:after="0"/>
              <w:rPr>
                <w:sz w:val="21"/>
                <w:szCs w:val="21"/>
                <w:color w:val="auto"/>
              </w:rPr>
            </w:pPr>
          </w:p>
        </w:tc>
        <w:tc>
          <w:tcPr>
            <w:tcW w:w="100" w:type="dxa"/>
            <w:vAlign w:val="bottom"/>
          </w:tcPr>
          <w:p>
            <w:pPr>
              <w:ind w:left="20"/>
              <w:spacing w:after="0"/>
              <w:rPr>
                <w:sz w:val="20"/>
                <w:szCs w:val="20"/>
                <w:color w:val="auto"/>
              </w:rPr>
            </w:pPr>
            <w:r>
              <w:rPr>
                <w:rFonts w:ascii="Arial" w:cs="Arial" w:eastAsia="Arial" w:hAnsi="Arial"/>
                <w:sz w:val="13"/>
                <w:szCs w:val="13"/>
                <w:color w:val="auto"/>
              </w:rPr>
              <w:t>•</w:t>
            </w:r>
          </w:p>
        </w:tc>
        <w:tc>
          <w:tcPr>
            <w:tcW w:w="5180" w:type="dxa"/>
            <w:vAlign w:val="bottom"/>
            <w:tcBorders>
              <w:right w:val="single" w:sz="8" w:color="auto"/>
            </w:tcBorders>
            <w:gridSpan w:val="2"/>
          </w:tcPr>
          <w:p>
            <w:pPr>
              <w:ind w:left="40"/>
              <w:spacing w:after="0"/>
              <w:rPr>
                <w:sz w:val="20"/>
                <w:szCs w:val="20"/>
                <w:color w:val="auto"/>
              </w:rPr>
            </w:pPr>
            <w:r>
              <w:rPr>
                <w:rFonts w:ascii="Arial" w:cs="Arial" w:eastAsia="Arial" w:hAnsi="Arial"/>
                <w:sz w:val="13"/>
                <w:szCs w:val="13"/>
                <w:color w:val="auto"/>
              </w:rPr>
              <w:t>benchmark U.S. Treasury yield or other yields</w:t>
            </w:r>
          </w:p>
        </w:tc>
        <w:tc>
          <w:tcPr>
            <w:tcW w:w="100" w:type="dxa"/>
            <w:vAlign w:val="bottom"/>
          </w:tcPr>
          <w:p>
            <w:pPr>
              <w:ind w:left="20"/>
              <w:spacing w:after="0"/>
              <w:rPr>
                <w:sz w:val="20"/>
                <w:szCs w:val="20"/>
                <w:color w:val="auto"/>
              </w:rPr>
            </w:pPr>
            <w:r>
              <w:rPr>
                <w:rFonts w:ascii="Arial" w:cs="Arial" w:eastAsia="Arial" w:hAnsi="Arial"/>
                <w:sz w:val="13"/>
                <w:szCs w:val="13"/>
                <w:color w:val="auto"/>
              </w:rPr>
              <w:t>•</w:t>
            </w:r>
          </w:p>
        </w:tc>
        <w:tc>
          <w:tcPr>
            <w:tcW w:w="4820" w:type="dxa"/>
            <w:vAlign w:val="bottom"/>
            <w:tcBorders>
              <w:right w:val="single" w:sz="8" w:color="auto"/>
            </w:tcBorders>
          </w:tcPr>
          <w:p>
            <w:pPr>
              <w:ind w:left="40"/>
              <w:spacing w:after="0"/>
              <w:rPr>
                <w:sz w:val="20"/>
                <w:szCs w:val="20"/>
                <w:color w:val="auto"/>
              </w:rPr>
            </w:pPr>
            <w:r>
              <w:rPr>
                <w:rFonts w:ascii="Arial" w:cs="Arial" w:eastAsia="Arial" w:hAnsi="Arial"/>
                <w:sz w:val="13"/>
                <w:szCs w:val="13"/>
                <w:color w:val="auto"/>
                <w:w w:val="93"/>
              </w:rPr>
              <w:t>quoted prices in markets that are not active for identical or similar securities that are less</w:t>
            </w:r>
          </w:p>
        </w:tc>
        <w:tc>
          <w:tcPr>
            <w:tcW w:w="0" w:type="dxa"/>
            <w:vAlign w:val="bottom"/>
          </w:tcPr>
          <w:p>
            <w:pPr>
              <w:spacing w:after="0"/>
              <w:rPr>
                <w:sz w:val="1"/>
                <w:szCs w:val="1"/>
                <w:color w:val="auto"/>
              </w:rPr>
            </w:pPr>
          </w:p>
        </w:tc>
      </w:tr>
      <w:tr>
        <w:trPr>
          <w:trHeight w:val="160"/>
        </w:trPr>
        <w:tc>
          <w:tcPr>
            <w:tcW w:w="1240" w:type="dxa"/>
            <w:vAlign w:val="bottom"/>
            <w:tcBorders>
              <w:left w:val="single" w:sz="8" w:color="auto"/>
              <w:right w:val="single" w:sz="8" w:color="auto"/>
            </w:tcBorders>
          </w:tcPr>
          <w:p>
            <w:pPr>
              <w:spacing w:after="0"/>
              <w:rPr>
                <w:sz w:val="13"/>
                <w:szCs w:val="13"/>
                <w:color w:val="auto"/>
              </w:rPr>
            </w:pPr>
          </w:p>
        </w:tc>
        <w:tc>
          <w:tcPr>
            <w:tcW w:w="100" w:type="dxa"/>
            <w:vAlign w:val="bottom"/>
            <w:vMerge w:val="restart"/>
          </w:tcPr>
          <w:p>
            <w:pPr>
              <w:ind w:left="20"/>
              <w:spacing w:after="0"/>
              <w:rPr>
                <w:sz w:val="20"/>
                <w:szCs w:val="20"/>
                <w:color w:val="auto"/>
              </w:rPr>
            </w:pPr>
            <w:r>
              <w:rPr>
                <w:rFonts w:ascii="Arial" w:cs="Arial" w:eastAsia="Arial" w:hAnsi="Arial"/>
                <w:sz w:val="13"/>
                <w:szCs w:val="13"/>
                <w:color w:val="auto"/>
              </w:rPr>
              <w:t>•</w:t>
            </w:r>
          </w:p>
        </w:tc>
        <w:tc>
          <w:tcPr>
            <w:tcW w:w="5180" w:type="dxa"/>
            <w:vAlign w:val="bottom"/>
            <w:tcBorders>
              <w:right w:val="single" w:sz="8" w:color="auto"/>
            </w:tcBorders>
            <w:gridSpan w:val="2"/>
            <w:vMerge w:val="restart"/>
          </w:tcPr>
          <w:p>
            <w:pPr>
              <w:ind w:left="40"/>
              <w:spacing w:after="0"/>
              <w:rPr>
                <w:sz w:val="20"/>
                <w:szCs w:val="20"/>
                <w:color w:val="auto"/>
              </w:rPr>
            </w:pPr>
            <w:r>
              <w:rPr>
                <w:rFonts w:ascii="Arial" w:cs="Arial" w:eastAsia="Arial" w:hAnsi="Arial"/>
                <w:sz w:val="13"/>
                <w:szCs w:val="13"/>
                <w:color w:val="auto"/>
              </w:rPr>
              <w:t>the spread off the U.S. Treasury yield curve for the identical security</w:t>
            </w:r>
          </w:p>
        </w:tc>
        <w:tc>
          <w:tcPr>
            <w:tcW w:w="100" w:type="dxa"/>
            <w:vAlign w:val="bottom"/>
          </w:tcPr>
          <w:p>
            <w:pPr>
              <w:spacing w:after="0"/>
              <w:rPr>
                <w:sz w:val="13"/>
                <w:szCs w:val="13"/>
                <w:color w:val="auto"/>
              </w:rPr>
            </w:pPr>
          </w:p>
        </w:tc>
        <w:tc>
          <w:tcPr>
            <w:tcW w:w="4820" w:type="dxa"/>
            <w:vAlign w:val="bottom"/>
            <w:tcBorders>
              <w:right w:val="single" w:sz="8" w:color="auto"/>
            </w:tcBorders>
          </w:tcPr>
          <w:p>
            <w:pPr>
              <w:ind w:left="200"/>
              <w:spacing w:after="0"/>
              <w:rPr>
                <w:sz w:val="20"/>
                <w:szCs w:val="20"/>
                <w:color w:val="auto"/>
              </w:rPr>
            </w:pPr>
            <w:r>
              <w:rPr>
                <w:rFonts w:ascii="Arial" w:cs="Arial" w:eastAsia="Arial" w:hAnsi="Arial"/>
                <w:sz w:val="13"/>
                <w:szCs w:val="13"/>
                <w:color w:val="auto"/>
                <w:w w:val="93"/>
              </w:rPr>
              <w:t>liquid and based on lower levels of trading activity than securities classified in Level 2</w:t>
            </w:r>
          </w:p>
        </w:tc>
        <w:tc>
          <w:tcPr>
            <w:tcW w:w="0" w:type="dxa"/>
            <w:vAlign w:val="bottom"/>
          </w:tcPr>
          <w:p>
            <w:pPr>
              <w:spacing w:after="0"/>
              <w:rPr>
                <w:sz w:val="1"/>
                <w:szCs w:val="1"/>
                <w:color w:val="auto"/>
              </w:rPr>
            </w:pPr>
          </w:p>
        </w:tc>
      </w:tr>
      <w:tr>
        <w:trPr>
          <w:trHeight w:val="135"/>
        </w:trPr>
        <w:tc>
          <w:tcPr>
            <w:tcW w:w="1240" w:type="dxa"/>
            <w:vAlign w:val="bottom"/>
            <w:tcBorders>
              <w:left w:val="single" w:sz="8" w:color="auto"/>
              <w:right w:val="single" w:sz="8" w:color="auto"/>
            </w:tcBorders>
          </w:tcPr>
          <w:p>
            <w:pPr>
              <w:spacing w:after="0"/>
              <w:rPr>
                <w:sz w:val="11"/>
                <w:szCs w:val="11"/>
                <w:color w:val="auto"/>
              </w:rPr>
            </w:pPr>
          </w:p>
        </w:tc>
        <w:tc>
          <w:tcPr>
            <w:tcW w:w="100" w:type="dxa"/>
            <w:vAlign w:val="bottom"/>
            <w:vMerge w:val="continue"/>
          </w:tcPr>
          <w:p>
            <w:pPr>
              <w:spacing w:after="0"/>
              <w:rPr>
                <w:sz w:val="11"/>
                <w:szCs w:val="11"/>
                <w:color w:val="auto"/>
              </w:rPr>
            </w:pPr>
          </w:p>
        </w:tc>
        <w:tc>
          <w:tcPr>
            <w:tcW w:w="5180" w:type="dxa"/>
            <w:vAlign w:val="bottom"/>
            <w:tcBorders>
              <w:right w:val="single" w:sz="8" w:color="auto"/>
            </w:tcBorders>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482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70"/>
        </w:trPr>
        <w:tc>
          <w:tcPr>
            <w:tcW w:w="1240" w:type="dxa"/>
            <w:vAlign w:val="bottom"/>
            <w:tcBorders>
              <w:left w:val="single" w:sz="8" w:color="auto"/>
              <w:right w:val="single" w:sz="8" w:color="auto"/>
            </w:tcBorders>
          </w:tcPr>
          <w:p>
            <w:pPr>
              <w:spacing w:after="0"/>
              <w:rPr>
                <w:sz w:val="23"/>
                <w:szCs w:val="23"/>
                <w:color w:val="auto"/>
              </w:rPr>
            </w:pPr>
          </w:p>
        </w:tc>
        <w:tc>
          <w:tcPr>
            <w:tcW w:w="100" w:type="dxa"/>
            <w:vAlign w:val="bottom"/>
          </w:tcPr>
          <w:p>
            <w:pPr>
              <w:ind w:left="20"/>
              <w:spacing w:after="0"/>
              <w:rPr>
                <w:sz w:val="20"/>
                <w:szCs w:val="20"/>
                <w:color w:val="auto"/>
              </w:rPr>
            </w:pPr>
            <w:r>
              <w:rPr>
                <w:rFonts w:ascii="Arial" w:cs="Arial" w:eastAsia="Arial" w:hAnsi="Arial"/>
                <w:sz w:val="13"/>
                <w:szCs w:val="13"/>
                <w:color w:val="auto"/>
              </w:rPr>
              <w:t>•</w:t>
            </w:r>
          </w:p>
        </w:tc>
        <w:tc>
          <w:tcPr>
            <w:tcW w:w="5180" w:type="dxa"/>
            <w:vAlign w:val="bottom"/>
            <w:tcBorders>
              <w:right w:val="single" w:sz="8" w:color="auto"/>
            </w:tcBorders>
            <w:gridSpan w:val="2"/>
          </w:tcPr>
          <w:p>
            <w:pPr>
              <w:ind w:left="40"/>
              <w:spacing w:after="0"/>
              <w:rPr>
                <w:sz w:val="20"/>
                <w:szCs w:val="20"/>
                <w:color w:val="auto"/>
              </w:rPr>
            </w:pPr>
            <w:r>
              <w:rPr>
                <w:rFonts w:ascii="Arial" w:cs="Arial" w:eastAsia="Arial" w:hAnsi="Arial"/>
                <w:sz w:val="13"/>
                <w:szCs w:val="13"/>
                <w:color w:val="auto"/>
              </w:rPr>
              <w:t>issuer ratings and issuer spreads; broker-dealer quotes</w:t>
            </w:r>
          </w:p>
        </w:tc>
        <w:tc>
          <w:tcPr>
            <w:tcW w:w="100" w:type="dxa"/>
            <w:vAlign w:val="bottom"/>
          </w:tcPr>
          <w:p>
            <w:pPr>
              <w:ind w:left="20"/>
              <w:spacing w:after="0"/>
              <w:rPr>
                <w:sz w:val="20"/>
                <w:szCs w:val="20"/>
                <w:color w:val="auto"/>
              </w:rPr>
            </w:pPr>
            <w:r>
              <w:rPr>
                <w:rFonts w:ascii="Arial" w:cs="Arial" w:eastAsia="Arial" w:hAnsi="Arial"/>
                <w:sz w:val="13"/>
                <w:szCs w:val="13"/>
                <w:color w:val="auto"/>
              </w:rPr>
              <w:t>•</w:t>
            </w:r>
          </w:p>
        </w:tc>
        <w:tc>
          <w:tcPr>
            <w:tcW w:w="4820" w:type="dxa"/>
            <w:vAlign w:val="bottom"/>
            <w:tcBorders>
              <w:right w:val="single" w:sz="8" w:color="auto"/>
            </w:tcBorders>
          </w:tcPr>
          <w:p>
            <w:pPr>
              <w:ind w:left="40"/>
              <w:spacing w:after="0"/>
              <w:rPr>
                <w:sz w:val="20"/>
                <w:szCs w:val="20"/>
                <w:color w:val="auto"/>
              </w:rPr>
            </w:pPr>
            <w:r>
              <w:rPr>
                <w:rFonts w:ascii="Arial" w:cs="Arial" w:eastAsia="Arial" w:hAnsi="Arial"/>
                <w:sz w:val="13"/>
                <w:szCs w:val="13"/>
                <w:color w:val="auto"/>
              </w:rPr>
              <w:t>credit spreads</w:t>
            </w:r>
          </w:p>
        </w:tc>
        <w:tc>
          <w:tcPr>
            <w:tcW w:w="0" w:type="dxa"/>
            <w:vAlign w:val="bottom"/>
          </w:tcPr>
          <w:p>
            <w:pPr>
              <w:spacing w:after="0"/>
              <w:rPr>
                <w:sz w:val="1"/>
                <w:szCs w:val="1"/>
                <w:color w:val="auto"/>
              </w:rPr>
            </w:pPr>
          </w:p>
        </w:tc>
      </w:tr>
      <w:tr>
        <w:trPr>
          <w:trHeight w:val="270"/>
        </w:trPr>
        <w:tc>
          <w:tcPr>
            <w:tcW w:w="1240" w:type="dxa"/>
            <w:vAlign w:val="bottom"/>
            <w:tcBorders>
              <w:left w:val="single" w:sz="8" w:color="auto"/>
              <w:right w:val="single" w:sz="8" w:color="auto"/>
            </w:tcBorders>
          </w:tcPr>
          <w:p>
            <w:pPr>
              <w:spacing w:after="0"/>
              <w:rPr>
                <w:sz w:val="23"/>
                <w:szCs w:val="23"/>
                <w:color w:val="auto"/>
              </w:rPr>
            </w:pPr>
          </w:p>
        </w:tc>
        <w:tc>
          <w:tcPr>
            <w:tcW w:w="100" w:type="dxa"/>
            <w:vAlign w:val="bottom"/>
          </w:tcPr>
          <w:p>
            <w:pPr>
              <w:ind w:left="20"/>
              <w:spacing w:after="0"/>
              <w:rPr>
                <w:sz w:val="20"/>
                <w:szCs w:val="20"/>
                <w:color w:val="auto"/>
              </w:rPr>
            </w:pPr>
            <w:r>
              <w:rPr>
                <w:rFonts w:ascii="Arial" w:cs="Arial" w:eastAsia="Arial" w:hAnsi="Arial"/>
                <w:sz w:val="13"/>
                <w:szCs w:val="13"/>
                <w:color w:val="auto"/>
              </w:rPr>
              <w:t>•</w:t>
            </w:r>
          </w:p>
        </w:tc>
        <w:tc>
          <w:tcPr>
            <w:tcW w:w="5180" w:type="dxa"/>
            <w:vAlign w:val="bottom"/>
            <w:tcBorders>
              <w:right w:val="single" w:sz="8" w:color="auto"/>
            </w:tcBorders>
            <w:gridSpan w:val="2"/>
          </w:tcPr>
          <w:p>
            <w:pPr>
              <w:ind w:left="40"/>
              <w:spacing w:after="0"/>
              <w:rPr>
                <w:sz w:val="20"/>
                <w:szCs w:val="20"/>
                <w:color w:val="auto"/>
              </w:rPr>
            </w:pPr>
            <w:r>
              <w:rPr>
                <w:rFonts w:ascii="Arial" w:cs="Arial" w:eastAsia="Arial" w:hAnsi="Arial"/>
                <w:sz w:val="13"/>
                <w:szCs w:val="13"/>
                <w:color w:val="auto"/>
              </w:rPr>
              <w:t>comparable securities that are actively traded</w:t>
            </w:r>
          </w:p>
        </w:tc>
        <w:tc>
          <w:tcPr>
            <w:tcW w:w="100" w:type="dxa"/>
            <w:vAlign w:val="bottom"/>
          </w:tcPr>
          <w:p>
            <w:pPr>
              <w:spacing w:after="0"/>
              <w:rPr>
                <w:sz w:val="23"/>
                <w:szCs w:val="23"/>
                <w:color w:val="auto"/>
              </w:rPr>
            </w:pPr>
          </w:p>
        </w:tc>
        <w:tc>
          <w:tcPr>
            <w:tcW w:w="482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97"/>
        </w:trPr>
        <w:tc>
          <w:tcPr>
            <w:tcW w:w="1240" w:type="dxa"/>
            <w:vAlign w:val="bottom"/>
            <w:tcBorders>
              <w:left w:val="single" w:sz="8" w:color="auto"/>
              <w:bottom w:val="single" w:sz="8" w:color="auto"/>
              <w:right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4940" w:type="dxa"/>
            <w:vAlign w:val="bottom"/>
            <w:tcBorders>
              <w:bottom w:val="single" w:sz="8" w:color="auto"/>
              <w:right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82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76"/>
        </w:trPr>
        <w:tc>
          <w:tcPr>
            <w:tcW w:w="1340" w:type="dxa"/>
            <w:vAlign w:val="bottom"/>
            <w:tcBorders>
              <w:left w:val="single" w:sz="8" w:color="auto"/>
              <w:bottom w:val="single" w:sz="8" w:color="auto"/>
            </w:tcBorders>
            <w:gridSpan w:val="2"/>
          </w:tcPr>
          <w:p>
            <w:pPr>
              <w:ind w:left="180"/>
              <w:spacing w:after="0"/>
              <w:rPr>
                <w:sz w:val="20"/>
                <w:szCs w:val="20"/>
                <w:color w:val="auto"/>
              </w:rPr>
            </w:pPr>
            <w:r>
              <w:rPr>
                <w:rFonts w:ascii="Arial" w:cs="Arial" w:eastAsia="Arial" w:hAnsi="Arial"/>
                <w:sz w:val="13"/>
                <w:szCs w:val="13"/>
                <w:b w:val="1"/>
                <w:bCs w:val="1"/>
                <w:color w:val="auto"/>
                <w:w w:val="86"/>
              </w:rPr>
              <w:t>Structured Securities</w:t>
            </w:r>
          </w:p>
        </w:tc>
        <w:tc>
          <w:tcPr>
            <w:tcW w:w="240" w:type="dxa"/>
            <w:vAlign w:val="bottom"/>
            <w:tcBorders>
              <w:bottom w:val="single" w:sz="8" w:color="auto"/>
            </w:tcBorders>
          </w:tcPr>
          <w:p>
            <w:pPr>
              <w:spacing w:after="0"/>
              <w:rPr>
                <w:sz w:val="15"/>
                <w:szCs w:val="15"/>
                <w:color w:val="auto"/>
              </w:rPr>
            </w:pPr>
          </w:p>
        </w:tc>
        <w:tc>
          <w:tcPr>
            <w:tcW w:w="49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82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1240" w:type="dxa"/>
            <w:vAlign w:val="bottom"/>
            <w:tcBorders>
              <w:left w:val="single" w:sz="8" w:color="auto"/>
              <w:right w:val="single" w:sz="8" w:color="auto"/>
            </w:tcBorders>
          </w:tcPr>
          <w:p>
            <w:pPr>
              <w:spacing w:after="0"/>
              <w:rPr>
                <w:sz w:val="15"/>
                <w:szCs w:val="15"/>
                <w:color w:val="auto"/>
              </w:rPr>
            </w:pPr>
          </w:p>
        </w:tc>
        <w:tc>
          <w:tcPr>
            <w:tcW w:w="5280" w:type="dxa"/>
            <w:vAlign w:val="bottom"/>
            <w:tcBorders>
              <w:right w:val="single" w:sz="8" w:color="auto"/>
            </w:tcBorders>
            <w:gridSpan w:val="3"/>
          </w:tcPr>
          <w:p>
            <w:pPr>
              <w:ind w:left="20"/>
              <w:spacing w:after="0"/>
              <w:rPr>
                <w:sz w:val="20"/>
                <w:szCs w:val="20"/>
                <w:color w:val="auto"/>
              </w:rPr>
            </w:pPr>
            <w:r>
              <w:rPr>
                <w:rFonts w:ascii="Arial" w:cs="Arial" w:eastAsia="Arial" w:hAnsi="Arial"/>
                <w:sz w:val="13"/>
                <w:szCs w:val="13"/>
                <w:color w:val="auto"/>
              </w:rPr>
              <w:t>Valuation Approaches: Principally the market and income approaches.</w:t>
            </w:r>
          </w:p>
        </w:tc>
        <w:tc>
          <w:tcPr>
            <w:tcW w:w="4920" w:type="dxa"/>
            <w:vAlign w:val="bottom"/>
            <w:tcBorders>
              <w:right w:val="single" w:sz="8" w:color="auto"/>
            </w:tcBorders>
            <w:gridSpan w:val="2"/>
          </w:tcPr>
          <w:p>
            <w:pPr>
              <w:ind w:left="20"/>
              <w:spacing w:after="0"/>
              <w:rPr>
                <w:sz w:val="20"/>
                <w:szCs w:val="20"/>
                <w:color w:val="auto"/>
              </w:rPr>
            </w:pPr>
            <w:r>
              <w:rPr>
                <w:rFonts w:ascii="Arial" w:cs="Arial" w:eastAsia="Arial" w:hAnsi="Arial"/>
                <w:sz w:val="13"/>
                <w:szCs w:val="13"/>
                <w:color w:val="auto"/>
              </w:rPr>
              <w:t>Valuation Approaches: Principally the market and income approaches.</w:t>
            </w:r>
          </w:p>
        </w:tc>
        <w:tc>
          <w:tcPr>
            <w:tcW w:w="0" w:type="dxa"/>
            <w:vAlign w:val="bottom"/>
          </w:tcPr>
          <w:p>
            <w:pPr>
              <w:spacing w:after="0"/>
              <w:rPr>
                <w:sz w:val="1"/>
                <w:szCs w:val="1"/>
                <w:color w:val="auto"/>
              </w:rPr>
            </w:pPr>
          </w:p>
        </w:tc>
      </w:tr>
      <w:tr>
        <w:trPr>
          <w:trHeight w:val="270"/>
        </w:trPr>
        <w:tc>
          <w:tcPr>
            <w:tcW w:w="1240" w:type="dxa"/>
            <w:vAlign w:val="bottom"/>
            <w:tcBorders>
              <w:left w:val="single" w:sz="8" w:color="auto"/>
              <w:right w:val="single" w:sz="8" w:color="auto"/>
            </w:tcBorders>
          </w:tcPr>
          <w:p>
            <w:pPr>
              <w:spacing w:after="0"/>
              <w:rPr>
                <w:sz w:val="23"/>
                <w:szCs w:val="23"/>
                <w:color w:val="auto"/>
              </w:rPr>
            </w:pPr>
          </w:p>
        </w:tc>
        <w:tc>
          <w:tcPr>
            <w:tcW w:w="5280" w:type="dxa"/>
            <w:vAlign w:val="bottom"/>
            <w:tcBorders>
              <w:right w:val="single" w:sz="8" w:color="auto"/>
            </w:tcBorders>
            <w:gridSpan w:val="3"/>
          </w:tcPr>
          <w:p>
            <w:pPr>
              <w:ind w:left="20"/>
              <w:spacing w:after="0"/>
              <w:rPr>
                <w:sz w:val="20"/>
                <w:szCs w:val="20"/>
                <w:color w:val="auto"/>
              </w:rPr>
            </w:pPr>
            <w:r>
              <w:rPr>
                <w:rFonts w:ascii="Arial" w:cs="Arial" w:eastAsia="Arial" w:hAnsi="Arial"/>
                <w:sz w:val="13"/>
                <w:szCs w:val="13"/>
                <w:color w:val="auto"/>
              </w:rPr>
              <w:t>Key Inputs:</w:t>
            </w:r>
          </w:p>
        </w:tc>
        <w:tc>
          <w:tcPr>
            <w:tcW w:w="4920" w:type="dxa"/>
            <w:vAlign w:val="bottom"/>
            <w:tcBorders>
              <w:right w:val="single" w:sz="8" w:color="auto"/>
            </w:tcBorders>
            <w:gridSpan w:val="2"/>
          </w:tcPr>
          <w:p>
            <w:pPr>
              <w:ind w:left="20"/>
              <w:spacing w:after="0"/>
              <w:rPr>
                <w:sz w:val="20"/>
                <w:szCs w:val="20"/>
                <w:color w:val="auto"/>
              </w:rPr>
            </w:pPr>
            <w:r>
              <w:rPr>
                <w:rFonts w:ascii="Arial" w:cs="Arial" w:eastAsia="Arial" w:hAnsi="Arial"/>
                <w:sz w:val="13"/>
                <w:szCs w:val="13"/>
                <w:color w:val="auto"/>
              </w:rPr>
              <w:t>Key Inputs:</w:t>
            </w:r>
          </w:p>
        </w:tc>
        <w:tc>
          <w:tcPr>
            <w:tcW w:w="0" w:type="dxa"/>
            <w:vAlign w:val="bottom"/>
          </w:tcPr>
          <w:p>
            <w:pPr>
              <w:spacing w:after="0"/>
              <w:rPr>
                <w:sz w:val="1"/>
                <w:szCs w:val="1"/>
                <w:color w:val="auto"/>
              </w:rPr>
            </w:pPr>
          </w:p>
        </w:tc>
      </w:tr>
      <w:tr>
        <w:trPr>
          <w:trHeight w:val="270"/>
        </w:trPr>
        <w:tc>
          <w:tcPr>
            <w:tcW w:w="1240" w:type="dxa"/>
            <w:vAlign w:val="bottom"/>
            <w:tcBorders>
              <w:left w:val="single" w:sz="8" w:color="auto"/>
              <w:right w:val="single" w:sz="8" w:color="auto"/>
            </w:tcBorders>
          </w:tcPr>
          <w:p>
            <w:pPr>
              <w:spacing w:after="0"/>
              <w:rPr>
                <w:sz w:val="23"/>
                <w:szCs w:val="23"/>
                <w:color w:val="auto"/>
              </w:rPr>
            </w:pPr>
          </w:p>
        </w:tc>
        <w:tc>
          <w:tcPr>
            <w:tcW w:w="100" w:type="dxa"/>
            <w:vAlign w:val="bottom"/>
          </w:tcPr>
          <w:p>
            <w:pPr>
              <w:ind w:left="20"/>
              <w:spacing w:after="0"/>
              <w:rPr>
                <w:sz w:val="20"/>
                <w:szCs w:val="20"/>
                <w:color w:val="auto"/>
              </w:rPr>
            </w:pPr>
            <w:r>
              <w:rPr>
                <w:rFonts w:ascii="Arial" w:cs="Arial" w:eastAsia="Arial" w:hAnsi="Arial"/>
                <w:sz w:val="13"/>
                <w:szCs w:val="13"/>
                <w:color w:val="auto"/>
              </w:rPr>
              <w:t>•</w:t>
            </w:r>
          </w:p>
        </w:tc>
        <w:tc>
          <w:tcPr>
            <w:tcW w:w="5180" w:type="dxa"/>
            <w:vAlign w:val="bottom"/>
            <w:tcBorders>
              <w:right w:val="single" w:sz="8" w:color="auto"/>
            </w:tcBorders>
            <w:gridSpan w:val="2"/>
          </w:tcPr>
          <w:p>
            <w:pPr>
              <w:ind w:left="40"/>
              <w:spacing w:after="0"/>
              <w:rPr>
                <w:sz w:val="20"/>
                <w:szCs w:val="20"/>
                <w:color w:val="auto"/>
              </w:rPr>
            </w:pPr>
            <w:r>
              <w:rPr>
                <w:rFonts w:ascii="Arial" w:cs="Arial" w:eastAsia="Arial" w:hAnsi="Arial"/>
                <w:sz w:val="13"/>
                <w:szCs w:val="13"/>
                <w:color w:val="auto"/>
              </w:rPr>
              <w:t>quoted prices in markets that are not active</w:t>
            </w:r>
          </w:p>
        </w:tc>
        <w:tc>
          <w:tcPr>
            <w:tcW w:w="100" w:type="dxa"/>
            <w:vAlign w:val="bottom"/>
          </w:tcPr>
          <w:p>
            <w:pPr>
              <w:ind w:left="20"/>
              <w:spacing w:after="0"/>
              <w:rPr>
                <w:sz w:val="20"/>
                <w:szCs w:val="20"/>
                <w:color w:val="auto"/>
              </w:rPr>
            </w:pPr>
            <w:r>
              <w:rPr>
                <w:rFonts w:ascii="Arial" w:cs="Arial" w:eastAsia="Arial" w:hAnsi="Arial"/>
                <w:sz w:val="13"/>
                <w:szCs w:val="13"/>
                <w:color w:val="auto"/>
              </w:rPr>
              <w:t>•</w:t>
            </w:r>
          </w:p>
        </w:tc>
        <w:tc>
          <w:tcPr>
            <w:tcW w:w="4820" w:type="dxa"/>
            <w:vAlign w:val="bottom"/>
            <w:tcBorders>
              <w:right w:val="single" w:sz="8" w:color="auto"/>
            </w:tcBorders>
          </w:tcPr>
          <w:p>
            <w:pPr>
              <w:ind w:left="40"/>
              <w:spacing w:after="0"/>
              <w:rPr>
                <w:sz w:val="20"/>
                <w:szCs w:val="20"/>
                <w:color w:val="auto"/>
              </w:rPr>
            </w:pPr>
            <w:r>
              <w:rPr>
                <w:rFonts w:ascii="Arial" w:cs="Arial" w:eastAsia="Arial" w:hAnsi="Arial"/>
                <w:sz w:val="13"/>
                <w:szCs w:val="13"/>
                <w:color w:val="auto"/>
              </w:rPr>
              <w:t>credit spreads</w:t>
            </w:r>
          </w:p>
        </w:tc>
        <w:tc>
          <w:tcPr>
            <w:tcW w:w="0" w:type="dxa"/>
            <w:vAlign w:val="bottom"/>
          </w:tcPr>
          <w:p>
            <w:pPr>
              <w:spacing w:after="0"/>
              <w:rPr>
                <w:sz w:val="1"/>
                <w:szCs w:val="1"/>
                <w:color w:val="auto"/>
              </w:rPr>
            </w:pPr>
          </w:p>
        </w:tc>
      </w:tr>
      <w:tr>
        <w:trPr>
          <w:trHeight w:val="245"/>
        </w:trPr>
        <w:tc>
          <w:tcPr>
            <w:tcW w:w="1240" w:type="dxa"/>
            <w:vAlign w:val="bottom"/>
            <w:tcBorders>
              <w:left w:val="single" w:sz="8" w:color="auto"/>
              <w:right w:val="single" w:sz="8" w:color="auto"/>
            </w:tcBorders>
          </w:tcPr>
          <w:p>
            <w:pPr>
              <w:spacing w:after="0"/>
              <w:rPr>
                <w:sz w:val="21"/>
                <w:szCs w:val="21"/>
                <w:color w:val="auto"/>
              </w:rPr>
            </w:pPr>
          </w:p>
        </w:tc>
        <w:tc>
          <w:tcPr>
            <w:tcW w:w="100" w:type="dxa"/>
            <w:vAlign w:val="bottom"/>
          </w:tcPr>
          <w:p>
            <w:pPr>
              <w:ind w:left="20"/>
              <w:spacing w:after="0"/>
              <w:rPr>
                <w:sz w:val="20"/>
                <w:szCs w:val="20"/>
                <w:color w:val="auto"/>
              </w:rPr>
            </w:pPr>
            <w:r>
              <w:rPr>
                <w:rFonts w:ascii="Arial" w:cs="Arial" w:eastAsia="Arial" w:hAnsi="Arial"/>
                <w:sz w:val="13"/>
                <w:szCs w:val="13"/>
                <w:color w:val="auto"/>
              </w:rPr>
              <w:t>•</w:t>
            </w:r>
          </w:p>
        </w:tc>
        <w:tc>
          <w:tcPr>
            <w:tcW w:w="5180" w:type="dxa"/>
            <w:vAlign w:val="bottom"/>
            <w:tcBorders>
              <w:right w:val="single" w:sz="8" w:color="auto"/>
            </w:tcBorders>
            <w:gridSpan w:val="2"/>
          </w:tcPr>
          <w:p>
            <w:pPr>
              <w:ind w:left="40"/>
              <w:spacing w:after="0"/>
              <w:rPr>
                <w:sz w:val="20"/>
                <w:szCs w:val="20"/>
                <w:color w:val="auto"/>
              </w:rPr>
            </w:pPr>
            <w:r>
              <w:rPr>
                <w:rFonts w:ascii="Arial" w:cs="Arial" w:eastAsia="Arial" w:hAnsi="Arial"/>
                <w:sz w:val="13"/>
                <w:szCs w:val="13"/>
                <w:color w:val="auto"/>
              </w:rPr>
              <w:t>spreads for actively traded securities; spreads off benchmark yields</w:t>
            </w:r>
          </w:p>
        </w:tc>
        <w:tc>
          <w:tcPr>
            <w:tcW w:w="100" w:type="dxa"/>
            <w:vAlign w:val="bottom"/>
          </w:tcPr>
          <w:p>
            <w:pPr>
              <w:ind w:left="20"/>
              <w:spacing w:after="0"/>
              <w:rPr>
                <w:sz w:val="20"/>
                <w:szCs w:val="20"/>
                <w:color w:val="auto"/>
              </w:rPr>
            </w:pPr>
            <w:r>
              <w:rPr>
                <w:rFonts w:ascii="Arial" w:cs="Arial" w:eastAsia="Arial" w:hAnsi="Arial"/>
                <w:sz w:val="13"/>
                <w:szCs w:val="13"/>
                <w:color w:val="auto"/>
              </w:rPr>
              <w:t>•</w:t>
            </w:r>
          </w:p>
        </w:tc>
        <w:tc>
          <w:tcPr>
            <w:tcW w:w="4820" w:type="dxa"/>
            <w:vAlign w:val="bottom"/>
            <w:tcBorders>
              <w:right w:val="single" w:sz="8" w:color="auto"/>
            </w:tcBorders>
          </w:tcPr>
          <w:p>
            <w:pPr>
              <w:ind w:left="40"/>
              <w:spacing w:after="0"/>
              <w:rPr>
                <w:sz w:val="20"/>
                <w:szCs w:val="20"/>
                <w:color w:val="auto"/>
              </w:rPr>
            </w:pPr>
            <w:r>
              <w:rPr>
                <w:rFonts w:ascii="Arial" w:cs="Arial" w:eastAsia="Arial" w:hAnsi="Arial"/>
                <w:sz w:val="13"/>
                <w:szCs w:val="13"/>
                <w:color w:val="auto"/>
                <w:w w:val="93"/>
              </w:rPr>
              <w:t>quoted prices in markets that are not active for identical or similar securities that are less</w:t>
            </w:r>
          </w:p>
        </w:tc>
        <w:tc>
          <w:tcPr>
            <w:tcW w:w="0" w:type="dxa"/>
            <w:vAlign w:val="bottom"/>
          </w:tcPr>
          <w:p>
            <w:pPr>
              <w:spacing w:after="0"/>
              <w:rPr>
                <w:sz w:val="1"/>
                <w:szCs w:val="1"/>
                <w:color w:val="auto"/>
              </w:rPr>
            </w:pPr>
          </w:p>
        </w:tc>
      </w:tr>
      <w:tr>
        <w:trPr>
          <w:trHeight w:val="160"/>
        </w:trPr>
        <w:tc>
          <w:tcPr>
            <w:tcW w:w="1240" w:type="dxa"/>
            <w:vAlign w:val="bottom"/>
            <w:tcBorders>
              <w:left w:val="single" w:sz="8" w:color="auto"/>
              <w:right w:val="single" w:sz="8" w:color="auto"/>
            </w:tcBorders>
          </w:tcPr>
          <w:p>
            <w:pPr>
              <w:spacing w:after="0"/>
              <w:rPr>
                <w:sz w:val="13"/>
                <w:szCs w:val="13"/>
                <w:color w:val="auto"/>
              </w:rPr>
            </w:pPr>
          </w:p>
        </w:tc>
        <w:tc>
          <w:tcPr>
            <w:tcW w:w="5280" w:type="dxa"/>
            <w:vAlign w:val="bottom"/>
            <w:tcBorders>
              <w:right w:val="single" w:sz="8" w:color="auto"/>
            </w:tcBorders>
            <w:gridSpan w:val="3"/>
            <w:vMerge w:val="restart"/>
          </w:tcPr>
          <w:p>
            <w:pPr>
              <w:ind w:left="20"/>
              <w:spacing w:after="0"/>
              <w:rPr>
                <w:sz w:val="20"/>
                <w:szCs w:val="20"/>
                <w:color w:val="auto"/>
              </w:rPr>
            </w:pPr>
            <w:r>
              <w:rPr>
                <w:rFonts w:ascii="Arial" w:cs="Arial" w:eastAsia="Arial" w:hAnsi="Arial"/>
                <w:sz w:val="13"/>
                <w:szCs w:val="13"/>
                <w:color w:val="auto"/>
              </w:rPr>
              <w:t>• expected prepayment speeds and volumes</w:t>
            </w:r>
          </w:p>
        </w:tc>
        <w:tc>
          <w:tcPr>
            <w:tcW w:w="100" w:type="dxa"/>
            <w:vAlign w:val="bottom"/>
          </w:tcPr>
          <w:p>
            <w:pPr>
              <w:spacing w:after="0"/>
              <w:rPr>
                <w:sz w:val="13"/>
                <w:szCs w:val="13"/>
                <w:color w:val="auto"/>
              </w:rPr>
            </w:pPr>
          </w:p>
        </w:tc>
        <w:tc>
          <w:tcPr>
            <w:tcW w:w="4820" w:type="dxa"/>
            <w:vAlign w:val="bottom"/>
            <w:tcBorders>
              <w:right w:val="single" w:sz="8" w:color="auto"/>
            </w:tcBorders>
          </w:tcPr>
          <w:p>
            <w:pPr>
              <w:ind w:left="200"/>
              <w:spacing w:after="0"/>
              <w:rPr>
                <w:sz w:val="20"/>
                <w:szCs w:val="20"/>
                <w:color w:val="auto"/>
              </w:rPr>
            </w:pPr>
            <w:r>
              <w:rPr>
                <w:rFonts w:ascii="Arial" w:cs="Arial" w:eastAsia="Arial" w:hAnsi="Arial"/>
                <w:sz w:val="13"/>
                <w:szCs w:val="13"/>
                <w:color w:val="auto"/>
                <w:w w:val="93"/>
              </w:rPr>
              <w:t>liquid and based on lower levels of trading activity than securities classified in Level 2</w:t>
            </w:r>
          </w:p>
        </w:tc>
        <w:tc>
          <w:tcPr>
            <w:tcW w:w="0" w:type="dxa"/>
            <w:vAlign w:val="bottom"/>
          </w:tcPr>
          <w:p>
            <w:pPr>
              <w:spacing w:after="0"/>
              <w:rPr>
                <w:sz w:val="1"/>
                <w:szCs w:val="1"/>
                <w:color w:val="auto"/>
              </w:rPr>
            </w:pPr>
          </w:p>
        </w:tc>
      </w:tr>
      <w:tr>
        <w:trPr>
          <w:trHeight w:val="135"/>
        </w:trPr>
        <w:tc>
          <w:tcPr>
            <w:tcW w:w="1240" w:type="dxa"/>
            <w:vAlign w:val="bottom"/>
            <w:tcBorders>
              <w:left w:val="single" w:sz="8" w:color="auto"/>
              <w:right w:val="single" w:sz="8" w:color="auto"/>
            </w:tcBorders>
          </w:tcPr>
          <w:p>
            <w:pPr>
              <w:spacing w:after="0"/>
              <w:rPr>
                <w:sz w:val="11"/>
                <w:szCs w:val="11"/>
                <w:color w:val="auto"/>
              </w:rPr>
            </w:pPr>
          </w:p>
        </w:tc>
        <w:tc>
          <w:tcPr>
            <w:tcW w:w="5280" w:type="dxa"/>
            <w:vAlign w:val="bottom"/>
            <w:tcBorders>
              <w:right w:val="single" w:sz="8" w:color="auto"/>
            </w:tcBorders>
            <w:gridSpan w:val="3"/>
            <w:vMerge w:val="continue"/>
          </w:tcPr>
          <w:p>
            <w:pPr>
              <w:spacing w:after="0"/>
              <w:rPr>
                <w:sz w:val="11"/>
                <w:szCs w:val="11"/>
                <w:color w:val="auto"/>
              </w:rPr>
            </w:pPr>
          </w:p>
        </w:tc>
        <w:tc>
          <w:tcPr>
            <w:tcW w:w="100" w:type="dxa"/>
            <w:vAlign w:val="bottom"/>
          </w:tcPr>
          <w:p>
            <w:pPr>
              <w:spacing w:after="0"/>
              <w:rPr>
                <w:sz w:val="11"/>
                <w:szCs w:val="11"/>
                <w:color w:val="auto"/>
              </w:rPr>
            </w:pPr>
          </w:p>
        </w:tc>
        <w:tc>
          <w:tcPr>
            <w:tcW w:w="482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70"/>
        </w:trPr>
        <w:tc>
          <w:tcPr>
            <w:tcW w:w="1240" w:type="dxa"/>
            <w:vAlign w:val="bottom"/>
            <w:tcBorders>
              <w:left w:val="single" w:sz="8" w:color="auto"/>
              <w:right w:val="single" w:sz="8" w:color="auto"/>
            </w:tcBorders>
          </w:tcPr>
          <w:p>
            <w:pPr>
              <w:spacing w:after="0"/>
              <w:rPr>
                <w:sz w:val="23"/>
                <w:szCs w:val="23"/>
                <w:color w:val="auto"/>
              </w:rPr>
            </w:pPr>
          </w:p>
        </w:tc>
        <w:tc>
          <w:tcPr>
            <w:tcW w:w="100" w:type="dxa"/>
            <w:vAlign w:val="bottom"/>
          </w:tcPr>
          <w:p>
            <w:pPr>
              <w:ind w:left="20"/>
              <w:spacing w:after="0"/>
              <w:rPr>
                <w:sz w:val="20"/>
                <w:szCs w:val="20"/>
                <w:color w:val="auto"/>
              </w:rPr>
            </w:pPr>
            <w:r>
              <w:rPr>
                <w:rFonts w:ascii="Arial" w:cs="Arial" w:eastAsia="Arial" w:hAnsi="Arial"/>
                <w:sz w:val="13"/>
                <w:szCs w:val="13"/>
                <w:color w:val="auto"/>
              </w:rPr>
              <w:t>•</w:t>
            </w:r>
          </w:p>
        </w:tc>
        <w:tc>
          <w:tcPr>
            <w:tcW w:w="5180" w:type="dxa"/>
            <w:vAlign w:val="bottom"/>
            <w:tcBorders>
              <w:right w:val="single" w:sz="8" w:color="auto"/>
            </w:tcBorders>
            <w:gridSpan w:val="2"/>
          </w:tcPr>
          <w:p>
            <w:pPr>
              <w:ind w:left="40"/>
              <w:spacing w:after="0"/>
              <w:rPr>
                <w:sz w:val="20"/>
                <w:szCs w:val="20"/>
                <w:color w:val="auto"/>
              </w:rPr>
            </w:pPr>
            <w:r>
              <w:rPr>
                <w:rFonts w:ascii="Arial" w:cs="Arial" w:eastAsia="Arial" w:hAnsi="Arial"/>
                <w:sz w:val="13"/>
                <w:szCs w:val="13"/>
                <w:color w:val="auto"/>
              </w:rPr>
              <w:t>current and forecasted loss severity; ratings; geographic region</w:t>
            </w:r>
          </w:p>
        </w:tc>
        <w:tc>
          <w:tcPr>
            <w:tcW w:w="100" w:type="dxa"/>
            <w:vAlign w:val="bottom"/>
          </w:tcPr>
          <w:p>
            <w:pPr>
              <w:ind w:left="20"/>
              <w:spacing w:after="0"/>
              <w:rPr>
                <w:sz w:val="20"/>
                <w:szCs w:val="20"/>
                <w:color w:val="auto"/>
              </w:rPr>
            </w:pPr>
            <w:r>
              <w:rPr>
                <w:rFonts w:ascii="Arial" w:cs="Arial" w:eastAsia="Arial" w:hAnsi="Arial"/>
                <w:sz w:val="13"/>
                <w:szCs w:val="13"/>
                <w:color w:val="auto"/>
              </w:rPr>
              <w:t>•</w:t>
            </w:r>
          </w:p>
        </w:tc>
        <w:tc>
          <w:tcPr>
            <w:tcW w:w="4820" w:type="dxa"/>
            <w:vAlign w:val="bottom"/>
            <w:tcBorders>
              <w:right w:val="single" w:sz="8" w:color="auto"/>
            </w:tcBorders>
          </w:tcPr>
          <w:p>
            <w:pPr>
              <w:ind w:left="40"/>
              <w:spacing w:after="0"/>
              <w:rPr>
                <w:sz w:val="20"/>
                <w:szCs w:val="20"/>
                <w:color w:val="auto"/>
              </w:rPr>
            </w:pPr>
            <w:r>
              <w:rPr>
                <w:rFonts w:ascii="Arial" w:cs="Arial" w:eastAsia="Arial" w:hAnsi="Arial"/>
                <w:sz w:val="13"/>
                <w:szCs w:val="13"/>
                <w:color w:val="auto"/>
              </w:rPr>
              <w:t>independent non-binding broker quotations</w:t>
            </w:r>
          </w:p>
        </w:tc>
        <w:tc>
          <w:tcPr>
            <w:tcW w:w="0" w:type="dxa"/>
            <w:vAlign w:val="bottom"/>
          </w:tcPr>
          <w:p>
            <w:pPr>
              <w:spacing w:after="0"/>
              <w:rPr>
                <w:sz w:val="1"/>
                <w:szCs w:val="1"/>
                <w:color w:val="auto"/>
              </w:rPr>
            </w:pPr>
          </w:p>
        </w:tc>
      </w:tr>
      <w:tr>
        <w:trPr>
          <w:trHeight w:val="270"/>
        </w:trPr>
        <w:tc>
          <w:tcPr>
            <w:tcW w:w="1240" w:type="dxa"/>
            <w:vAlign w:val="bottom"/>
            <w:tcBorders>
              <w:left w:val="single" w:sz="8" w:color="auto"/>
              <w:right w:val="single" w:sz="8" w:color="auto"/>
            </w:tcBorders>
          </w:tcPr>
          <w:p>
            <w:pPr>
              <w:spacing w:after="0"/>
              <w:rPr>
                <w:sz w:val="23"/>
                <w:szCs w:val="23"/>
                <w:color w:val="auto"/>
              </w:rPr>
            </w:pPr>
          </w:p>
        </w:tc>
        <w:tc>
          <w:tcPr>
            <w:tcW w:w="100" w:type="dxa"/>
            <w:vAlign w:val="bottom"/>
          </w:tcPr>
          <w:p>
            <w:pPr>
              <w:ind w:left="20"/>
              <w:spacing w:after="0"/>
              <w:rPr>
                <w:sz w:val="20"/>
                <w:szCs w:val="20"/>
                <w:color w:val="auto"/>
              </w:rPr>
            </w:pPr>
            <w:r>
              <w:rPr>
                <w:rFonts w:ascii="Arial" w:cs="Arial" w:eastAsia="Arial" w:hAnsi="Arial"/>
                <w:sz w:val="13"/>
                <w:szCs w:val="13"/>
                <w:color w:val="auto"/>
              </w:rPr>
              <w:t>•</w:t>
            </w:r>
          </w:p>
        </w:tc>
        <w:tc>
          <w:tcPr>
            <w:tcW w:w="5180" w:type="dxa"/>
            <w:vAlign w:val="bottom"/>
            <w:tcBorders>
              <w:right w:val="single" w:sz="8" w:color="auto"/>
            </w:tcBorders>
            <w:gridSpan w:val="2"/>
          </w:tcPr>
          <w:p>
            <w:pPr>
              <w:ind w:left="40"/>
              <w:spacing w:after="0"/>
              <w:rPr>
                <w:sz w:val="20"/>
                <w:szCs w:val="20"/>
                <w:color w:val="auto"/>
              </w:rPr>
            </w:pPr>
            <w:r>
              <w:rPr>
                <w:rFonts w:ascii="Arial" w:cs="Arial" w:eastAsia="Arial" w:hAnsi="Arial"/>
                <w:sz w:val="13"/>
                <w:szCs w:val="13"/>
                <w:color w:val="auto"/>
              </w:rPr>
              <w:t>weighted average coupon and weighted average maturity</w:t>
            </w:r>
          </w:p>
        </w:tc>
        <w:tc>
          <w:tcPr>
            <w:tcW w:w="100" w:type="dxa"/>
            <w:vAlign w:val="bottom"/>
          </w:tcPr>
          <w:p>
            <w:pPr>
              <w:spacing w:after="0"/>
              <w:rPr>
                <w:sz w:val="23"/>
                <w:szCs w:val="23"/>
                <w:color w:val="auto"/>
              </w:rPr>
            </w:pPr>
          </w:p>
        </w:tc>
        <w:tc>
          <w:tcPr>
            <w:tcW w:w="482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240" w:type="dxa"/>
            <w:vAlign w:val="bottom"/>
            <w:tcBorders>
              <w:left w:val="single" w:sz="8" w:color="auto"/>
              <w:right w:val="single" w:sz="8" w:color="auto"/>
            </w:tcBorders>
          </w:tcPr>
          <w:p>
            <w:pPr>
              <w:spacing w:after="0"/>
              <w:rPr>
                <w:sz w:val="23"/>
                <w:szCs w:val="23"/>
                <w:color w:val="auto"/>
              </w:rPr>
            </w:pPr>
          </w:p>
        </w:tc>
        <w:tc>
          <w:tcPr>
            <w:tcW w:w="100" w:type="dxa"/>
            <w:vAlign w:val="bottom"/>
          </w:tcPr>
          <w:p>
            <w:pPr>
              <w:ind w:left="20"/>
              <w:spacing w:after="0"/>
              <w:rPr>
                <w:sz w:val="20"/>
                <w:szCs w:val="20"/>
                <w:color w:val="auto"/>
              </w:rPr>
            </w:pPr>
            <w:r>
              <w:rPr>
                <w:rFonts w:ascii="Arial" w:cs="Arial" w:eastAsia="Arial" w:hAnsi="Arial"/>
                <w:sz w:val="13"/>
                <w:szCs w:val="13"/>
                <w:color w:val="auto"/>
              </w:rPr>
              <w:t>•</w:t>
            </w:r>
          </w:p>
        </w:tc>
        <w:tc>
          <w:tcPr>
            <w:tcW w:w="5180" w:type="dxa"/>
            <w:vAlign w:val="bottom"/>
            <w:tcBorders>
              <w:right w:val="single" w:sz="8" w:color="auto"/>
            </w:tcBorders>
            <w:gridSpan w:val="2"/>
          </w:tcPr>
          <w:p>
            <w:pPr>
              <w:ind w:left="40"/>
              <w:spacing w:after="0"/>
              <w:rPr>
                <w:sz w:val="20"/>
                <w:szCs w:val="20"/>
                <w:color w:val="auto"/>
              </w:rPr>
            </w:pPr>
            <w:r>
              <w:rPr>
                <w:rFonts w:ascii="Arial" w:cs="Arial" w:eastAsia="Arial" w:hAnsi="Arial"/>
                <w:sz w:val="13"/>
                <w:szCs w:val="13"/>
                <w:color w:val="auto"/>
              </w:rPr>
              <w:t>average delinquency rates; debt-service coverage ratios</w:t>
            </w:r>
          </w:p>
        </w:tc>
        <w:tc>
          <w:tcPr>
            <w:tcW w:w="100" w:type="dxa"/>
            <w:vAlign w:val="bottom"/>
          </w:tcPr>
          <w:p>
            <w:pPr>
              <w:spacing w:after="0"/>
              <w:rPr>
                <w:sz w:val="23"/>
                <w:szCs w:val="23"/>
                <w:color w:val="auto"/>
              </w:rPr>
            </w:pPr>
          </w:p>
        </w:tc>
        <w:tc>
          <w:tcPr>
            <w:tcW w:w="482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240" w:type="dxa"/>
            <w:vAlign w:val="bottom"/>
            <w:tcBorders>
              <w:left w:val="single" w:sz="8" w:color="auto"/>
              <w:right w:val="single" w:sz="8" w:color="auto"/>
            </w:tcBorders>
          </w:tcPr>
          <w:p>
            <w:pPr>
              <w:spacing w:after="0"/>
              <w:rPr>
                <w:sz w:val="23"/>
                <w:szCs w:val="23"/>
                <w:color w:val="auto"/>
              </w:rPr>
            </w:pPr>
          </w:p>
        </w:tc>
        <w:tc>
          <w:tcPr>
            <w:tcW w:w="100" w:type="dxa"/>
            <w:vAlign w:val="bottom"/>
          </w:tcPr>
          <w:p>
            <w:pPr>
              <w:ind w:left="20"/>
              <w:spacing w:after="0"/>
              <w:rPr>
                <w:sz w:val="20"/>
                <w:szCs w:val="20"/>
                <w:color w:val="auto"/>
              </w:rPr>
            </w:pPr>
            <w:r>
              <w:rPr>
                <w:rFonts w:ascii="Arial" w:cs="Arial" w:eastAsia="Arial" w:hAnsi="Arial"/>
                <w:sz w:val="13"/>
                <w:szCs w:val="13"/>
                <w:color w:val="auto"/>
              </w:rPr>
              <w:t>•</w:t>
            </w:r>
          </w:p>
        </w:tc>
        <w:tc>
          <w:tcPr>
            <w:tcW w:w="5180" w:type="dxa"/>
            <w:vAlign w:val="bottom"/>
            <w:tcBorders>
              <w:right w:val="single" w:sz="8" w:color="auto"/>
            </w:tcBorders>
            <w:gridSpan w:val="2"/>
          </w:tcPr>
          <w:p>
            <w:pPr>
              <w:ind w:left="40"/>
              <w:spacing w:after="0"/>
              <w:rPr>
                <w:sz w:val="20"/>
                <w:szCs w:val="20"/>
                <w:color w:val="auto"/>
              </w:rPr>
            </w:pPr>
            <w:r>
              <w:rPr>
                <w:rFonts w:ascii="Arial" w:cs="Arial" w:eastAsia="Arial" w:hAnsi="Arial"/>
                <w:sz w:val="13"/>
                <w:szCs w:val="13"/>
                <w:color w:val="auto"/>
              </w:rPr>
              <w:t>issuance-specific information, including, but not limited to:</w:t>
            </w:r>
          </w:p>
        </w:tc>
        <w:tc>
          <w:tcPr>
            <w:tcW w:w="100" w:type="dxa"/>
            <w:vAlign w:val="bottom"/>
          </w:tcPr>
          <w:p>
            <w:pPr>
              <w:spacing w:after="0"/>
              <w:rPr>
                <w:sz w:val="23"/>
                <w:szCs w:val="23"/>
                <w:color w:val="auto"/>
              </w:rPr>
            </w:pPr>
          </w:p>
        </w:tc>
        <w:tc>
          <w:tcPr>
            <w:tcW w:w="482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240" w:type="dxa"/>
            <w:vAlign w:val="bottom"/>
            <w:tcBorders>
              <w:left w:val="single" w:sz="8" w:color="auto"/>
              <w:right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ind w:left="40"/>
              <w:spacing w:after="0"/>
              <w:rPr>
                <w:sz w:val="20"/>
                <w:szCs w:val="20"/>
                <w:color w:val="auto"/>
              </w:rPr>
            </w:pPr>
            <w:r>
              <w:rPr>
                <w:rFonts w:ascii="Arial" w:cs="Arial" w:eastAsia="Arial" w:hAnsi="Arial"/>
                <w:sz w:val="13"/>
                <w:szCs w:val="13"/>
                <w:color w:val="auto"/>
              </w:rPr>
              <w:t>•</w:t>
            </w:r>
          </w:p>
        </w:tc>
        <w:tc>
          <w:tcPr>
            <w:tcW w:w="4940" w:type="dxa"/>
            <w:vAlign w:val="bottom"/>
            <w:tcBorders>
              <w:right w:val="single" w:sz="8" w:color="auto"/>
            </w:tcBorders>
          </w:tcPr>
          <w:p>
            <w:pPr>
              <w:ind w:left="180"/>
              <w:spacing w:after="0"/>
              <w:rPr>
                <w:sz w:val="20"/>
                <w:szCs w:val="20"/>
                <w:color w:val="auto"/>
              </w:rPr>
            </w:pPr>
            <w:r>
              <w:rPr>
                <w:rFonts w:ascii="Arial" w:cs="Arial" w:eastAsia="Arial" w:hAnsi="Arial"/>
                <w:sz w:val="13"/>
                <w:szCs w:val="13"/>
                <w:color w:val="auto"/>
              </w:rPr>
              <w:t>collateral type; structure of the security; vintage of the loans</w:t>
            </w:r>
          </w:p>
        </w:tc>
        <w:tc>
          <w:tcPr>
            <w:tcW w:w="100" w:type="dxa"/>
            <w:vAlign w:val="bottom"/>
          </w:tcPr>
          <w:p>
            <w:pPr>
              <w:spacing w:after="0"/>
              <w:rPr>
                <w:sz w:val="23"/>
                <w:szCs w:val="23"/>
                <w:color w:val="auto"/>
              </w:rPr>
            </w:pPr>
          </w:p>
        </w:tc>
        <w:tc>
          <w:tcPr>
            <w:tcW w:w="482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240" w:type="dxa"/>
            <w:vAlign w:val="bottom"/>
            <w:tcBorders>
              <w:left w:val="single" w:sz="8" w:color="auto"/>
              <w:right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ind w:left="40"/>
              <w:spacing w:after="0"/>
              <w:rPr>
                <w:sz w:val="20"/>
                <w:szCs w:val="20"/>
                <w:color w:val="auto"/>
              </w:rPr>
            </w:pPr>
            <w:r>
              <w:rPr>
                <w:rFonts w:ascii="Arial" w:cs="Arial" w:eastAsia="Arial" w:hAnsi="Arial"/>
                <w:sz w:val="13"/>
                <w:szCs w:val="13"/>
                <w:color w:val="auto"/>
              </w:rPr>
              <w:t>•</w:t>
            </w:r>
          </w:p>
        </w:tc>
        <w:tc>
          <w:tcPr>
            <w:tcW w:w="4940" w:type="dxa"/>
            <w:vAlign w:val="bottom"/>
            <w:tcBorders>
              <w:right w:val="single" w:sz="8" w:color="auto"/>
            </w:tcBorders>
          </w:tcPr>
          <w:p>
            <w:pPr>
              <w:ind w:left="180"/>
              <w:spacing w:after="0"/>
              <w:rPr>
                <w:sz w:val="20"/>
                <w:szCs w:val="20"/>
                <w:color w:val="auto"/>
              </w:rPr>
            </w:pPr>
            <w:r>
              <w:rPr>
                <w:rFonts w:ascii="Arial" w:cs="Arial" w:eastAsia="Arial" w:hAnsi="Arial"/>
                <w:sz w:val="13"/>
                <w:szCs w:val="13"/>
                <w:color w:val="auto"/>
              </w:rPr>
              <w:t>payment terms of the underlying assets</w:t>
            </w:r>
          </w:p>
        </w:tc>
        <w:tc>
          <w:tcPr>
            <w:tcW w:w="100" w:type="dxa"/>
            <w:vAlign w:val="bottom"/>
          </w:tcPr>
          <w:p>
            <w:pPr>
              <w:spacing w:after="0"/>
              <w:rPr>
                <w:sz w:val="23"/>
                <w:szCs w:val="23"/>
                <w:color w:val="auto"/>
              </w:rPr>
            </w:pPr>
          </w:p>
        </w:tc>
        <w:tc>
          <w:tcPr>
            <w:tcW w:w="482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240" w:type="dxa"/>
            <w:vAlign w:val="bottom"/>
            <w:tcBorders>
              <w:left w:val="single" w:sz="8" w:color="auto"/>
              <w:right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ind w:left="40"/>
              <w:spacing w:after="0"/>
              <w:rPr>
                <w:sz w:val="20"/>
                <w:szCs w:val="20"/>
                <w:color w:val="auto"/>
              </w:rPr>
            </w:pPr>
            <w:r>
              <w:rPr>
                <w:rFonts w:ascii="Arial" w:cs="Arial" w:eastAsia="Arial" w:hAnsi="Arial"/>
                <w:sz w:val="13"/>
                <w:szCs w:val="13"/>
                <w:color w:val="auto"/>
              </w:rPr>
              <w:t>•</w:t>
            </w:r>
          </w:p>
        </w:tc>
        <w:tc>
          <w:tcPr>
            <w:tcW w:w="4940" w:type="dxa"/>
            <w:vAlign w:val="bottom"/>
            <w:tcBorders>
              <w:right w:val="single" w:sz="8" w:color="auto"/>
            </w:tcBorders>
          </w:tcPr>
          <w:p>
            <w:pPr>
              <w:ind w:left="180"/>
              <w:spacing w:after="0"/>
              <w:rPr>
                <w:sz w:val="20"/>
                <w:szCs w:val="20"/>
                <w:color w:val="auto"/>
              </w:rPr>
            </w:pPr>
            <w:r>
              <w:rPr>
                <w:rFonts w:ascii="Arial" w:cs="Arial" w:eastAsia="Arial" w:hAnsi="Arial"/>
                <w:sz w:val="13"/>
                <w:szCs w:val="13"/>
                <w:color w:val="auto"/>
              </w:rPr>
              <w:t>payment priority within the tranche; deal performance</w:t>
            </w:r>
          </w:p>
        </w:tc>
        <w:tc>
          <w:tcPr>
            <w:tcW w:w="100" w:type="dxa"/>
            <w:vAlign w:val="bottom"/>
          </w:tcPr>
          <w:p>
            <w:pPr>
              <w:spacing w:after="0"/>
              <w:rPr>
                <w:sz w:val="23"/>
                <w:szCs w:val="23"/>
                <w:color w:val="auto"/>
              </w:rPr>
            </w:pPr>
          </w:p>
        </w:tc>
        <w:tc>
          <w:tcPr>
            <w:tcW w:w="482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97"/>
        </w:trPr>
        <w:tc>
          <w:tcPr>
            <w:tcW w:w="1240" w:type="dxa"/>
            <w:vAlign w:val="bottom"/>
            <w:tcBorders>
              <w:left w:val="single" w:sz="8" w:color="auto"/>
              <w:bottom w:val="single" w:sz="8" w:color="auto"/>
              <w:right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4940" w:type="dxa"/>
            <w:vAlign w:val="bottom"/>
            <w:tcBorders>
              <w:bottom w:val="single" w:sz="8" w:color="auto"/>
              <w:right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82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40"/>
          </w:cols>
          <w:pgMar w:left="240" w:top="288" w:right="219" w:bottom="1440" w:gutter="0" w:footer="0" w:header="0"/>
        </w:sectPr>
      </w:pPr>
    </w:p>
    <w:p>
      <w:pPr>
        <w:spacing w:after="0" w:line="29"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46</w:t>
      </w:r>
    </w:p>
    <w:p>
      <w:pPr>
        <w:sectPr>
          <w:pgSz w:w="11900" w:h="16838" w:orient="portrait"/>
          <w:cols w:equalWidth="0" w:num="1">
            <w:col w:w="11440"/>
          </w:cols>
          <w:pgMar w:left="240" w:top="288" w:right="219" w:bottom="1440" w:gutter="0" w:footer="0" w:header="0"/>
          <w:type w:val="continuous"/>
        </w:sectPr>
      </w:pPr>
    </w:p>
    <w:bookmarkStart w:id="48" w:name="page49"/>
    <w:bookmarkEnd w:id="48"/>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109" w:lineRule="exact"/>
        <w:rPr>
          <w:sz w:val="20"/>
          <w:szCs w:val="20"/>
          <w:color w:val="auto"/>
        </w:rPr>
      </w:pPr>
    </w:p>
    <w:p>
      <w:pPr>
        <w:ind w:left="4660"/>
        <w:spacing w:after="0"/>
        <w:rPr>
          <w:sz w:val="20"/>
          <w:szCs w:val="20"/>
          <w:color w:val="auto"/>
        </w:rPr>
      </w:pPr>
      <w:r>
        <w:rPr>
          <w:rFonts w:ascii="Arial" w:cs="Arial" w:eastAsia="Arial" w:hAnsi="Arial"/>
          <w:sz w:val="18"/>
          <w:szCs w:val="18"/>
          <w:b w:val="1"/>
          <w:bCs w:val="1"/>
          <w:color w:val="auto"/>
        </w:rPr>
        <w:t>Brighthouse Financial, Inc.</w:t>
      </w:r>
    </w:p>
    <w:p>
      <w:pPr>
        <w:spacing w:after="0" w:line="117" w:lineRule="exact"/>
        <w:rPr>
          <w:sz w:val="20"/>
          <w:szCs w:val="20"/>
          <w:color w:val="auto"/>
        </w:rPr>
      </w:pPr>
    </w:p>
    <w:p>
      <w:pPr>
        <w:ind w:left="1480"/>
        <w:spacing w:after="0"/>
        <w:rPr>
          <w:sz w:val="20"/>
          <w:szCs w:val="20"/>
          <w:color w:val="auto"/>
        </w:rPr>
      </w:pPr>
      <w:r>
        <w:rPr>
          <w:rFonts w:ascii="Arial" w:cs="Arial" w:eastAsia="Arial" w:hAnsi="Arial"/>
          <w:sz w:val="18"/>
          <w:szCs w:val="18"/>
          <w:b w:val="1"/>
          <w:bCs w:val="1"/>
          <w:color w:val="auto"/>
        </w:rPr>
        <w:t>Notes to the Interim Condensed Consolidated and Combined Financial Statements (Unaudited) — (continued)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Fair Value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326390</wp:posOffset>
            </wp:positionV>
            <wp:extent cx="7237730" cy="40049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37730" cy="4004945"/>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tbl>
      <w:tblPr>
        <w:tblLayout w:type="fixed"/>
        <w:tblInd w:w="20" w:type="dxa"/>
        <w:tblCellMar>
          <w:top w:w="0" w:type="dxa"/>
          <w:left w:w="0" w:type="dxa"/>
          <w:bottom w:w="0" w:type="dxa"/>
          <w:right w:w="0" w:type="dxa"/>
        </w:tblCellMar>
      </w:tblPr>
      <w:tr>
        <w:trPr>
          <w:trHeight w:val="157"/>
        </w:trPr>
        <w:tc>
          <w:tcPr>
            <w:tcW w:w="1040" w:type="dxa"/>
            <w:vAlign w:val="bottom"/>
            <w:tcBorders>
              <w:top w:val="single" w:sz="8" w:color="auto"/>
              <w:right w:val="single" w:sz="8" w:color="auto"/>
            </w:tcBorders>
          </w:tcPr>
          <w:p>
            <w:pPr>
              <w:ind w:left="220"/>
              <w:spacing w:after="0"/>
              <w:rPr>
                <w:sz w:val="20"/>
                <w:szCs w:val="20"/>
                <w:color w:val="auto"/>
              </w:rPr>
            </w:pPr>
            <w:r>
              <w:rPr>
                <w:rFonts w:ascii="Arial" w:cs="Arial" w:eastAsia="Arial" w:hAnsi="Arial"/>
                <w:sz w:val="13"/>
                <w:szCs w:val="13"/>
                <w:b w:val="1"/>
                <w:bCs w:val="1"/>
                <w:color w:val="auto"/>
              </w:rPr>
              <w:t>Instrument</w:t>
            </w:r>
          </w:p>
        </w:tc>
        <w:tc>
          <w:tcPr>
            <w:tcW w:w="160" w:type="dxa"/>
            <w:vAlign w:val="bottom"/>
            <w:tcBorders>
              <w:top w:val="single" w:sz="8" w:color="auto"/>
            </w:tcBorders>
          </w:tcPr>
          <w:p>
            <w:pPr>
              <w:spacing w:after="0"/>
              <w:rPr>
                <w:sz w:val="13"/>
                <w:szCs w:val="13"/>
                <w:color w:val="auto"/>
              </w:rPr>
            </w:pPr>
          </w:p>
        </w:tc>
        <w:tc>
          <w:tcPr>
            <w:tcW w:w="5080" w:type="dxa"/>
            <w:vAlign w:val="bottom"/>
            <w:tcBorders>
              <w:top w:val="single" w:sz="8" w:color="auto"/>
              <w:right w:val="single" w:sz="8" w:color="auto"/>
            </w:tcBorders>
          </w:tcPr>
          <w:p>
            <w:pPr>
              <w:ind w:left="2260"/>
              <w:spacing w:after="0"/>
              <w:rPr>
                <w:sz w:val="20"/>
                <w:szCs w:val="20"/>
                <w:color w:val="auto"/>
              </w:rPr>
            </w:pPr>
            <w:r>
              <w:rPr>
                <w:rFonts w:ascii="Arial" w:cs="Arial" w:eastAsia="Arial" w:hAnsi="Arial"/>
                <w:sz w:val="13"/>
                <w:szCs w:val="13"/>
                <w:b w:val="1"/>
                <w:bCs w:val="1"/>
                <w:color w:val="auto"/>
              </w:rPr>
              <w:t>Level 2</w:t>
            </w:r>
          </w:p>
        </w:tc>
        <w:tc>
          <w:tcPr>
            <w:tcW w:w="160" w:type="dxa"/>
            <w:vAlign w:val="bottom"/>
            <w:tcBorders>
              <w:top w:val="single" w:sz="8" w:color="auto"/>
            </w:tcBorders>
          </w:tcPr>
          <w:p>
            <w:pPr>
              <w:spacing w:after="0"/>
              <w:rPr>
                <w:sz w:val="13"/>
                <w:szCs w:val="13"/>
                <w:color w:val="auto"/>
              </w:rPr>
            </w:pPr>
          </w:p>
        </w:tc>
        <w:tc>
          <w:tcPr>
            <w:tcW w:w="4960" w:type="dxa"/>
            <w:vAlign w:val="bottom"/>
            <w:tcBorders>
              <w:top w:val="single" w:sz="8" w:color="auto"/>
            </w:tcBorders>
          </w:tcPr>
          <w:p>
            <w:pPr>
              <w:ind w:left="2200"/>
              <w:spacing w:after="0"/>
              <w:rPr>
                <w:sz w:val="20"/>
                <w:szCs w:val="20"/>
                <w:color w:val="auto"/>
              </w:rPr>
            </w:pPr>
            <w:r>
              <w:rPr>
                <w:rFonts w:ascii="Arial" w:cs="Arial" w:eastAsia="Arial" w:hAnsi="Arial"/>
                <w:sz w:val="13"/>
                <w:szCs w:val="13"/>
                <w:b w:val="1"/>
                <w:bCs w:val="1"/>
                <w:color w:val="auto"/>
              </w:rPr>
              <w:t>Level 3</w:t>
            </w:r>
          </w:p>
        </w:tc>
      </w:tr>
      <w:tr>
        <w:trPr>
          <w:trHeight w:val="174"/>
        </w:trPr>
        <w:tc>
          <w:tcPr>
            <w:tcW w:w="1040" w:type="dxa"/>
            <w:vAlign w:val="bottom"/>
            <w:tcBorders>
              <w:bottom w:val="single" w:sz="8" w:color="auto"/>
              <w:right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5080" w:type="dxa"/>
            <w:vAlign w:val="bottom"/>
            <w:tcBorders>
              <w:bottom w:val="single" w:sz="8" w:color="auto"/>
              <w:right w:val="single" w:sz="8" w:color="auto"/>
            </w:tcBorders>
          </w:tcPr>
          <w:p>
            <w:pPr>
              <w:ind w:left="1960"/>
              <w:spacing w:after="0"/>
              <w:rPr>
                <w:sz w:val="20"/>
                <w:szCs w:val="20"/>
                <w:color w:val="auto"/>
              </w:rPr>
            </w:pPr>
            <w:r>
              <w:rPr>
                <w:rFonts w:ascii="Arial" w:cs="Arial" w:eastAsia="Arial" w:hAnsi="Arial"/>
                <w:sz w:val="13"/>
                <w:szCs w:val="13"/>
                <w:b w:val="1"/>
                <w:bCs w:val="1"/>
                <w:color w:val="auto"/>
              </w:rPr>
              <w:t>Observable Inputs</w:t>
            </w:r>
          </w:p>
        </w:tc>
        <w:tc>
          <w:tcPr>
            <w:tcW w:w="160" w:type="dxa"/>
            <w:vAlign w:val="bottom"/>
            <w:tcBorders>
              <w:bottom w:val="single" w:sz="8" w:color="auto"/>
            </w:tcBorders>
          </w:tcPr>
          <w:p>
            <w:pPr>
              <w:spacing w:after="0"/>
              <w:rPr>
                <w:sz w:val="15"/>
                <w:szCs w:val="15"/>
                <w:color w:val="auto"/>
              </w:rPr>
            </w:pPr>
          </w:p>
        </w:tc>
        <w:tc>
          <w:tcPr>
            <w:tcW w:w="4960" w:type="dxa"/>
            <w:vAlign w:val="bottom"/>
            <w:tcBorders>
              <w:bottom w:val="single" w:sz="8" w:color="auto"/>
            </w:tcBorders>
          </w:tcPr>
          <w:p>
            <w:pPr>
              <w:ind w:left="1840"/>
              <w:spacing w:after="0"/>
              <w:rPr>
                <w:sz w:val="20"/>
                <w:szCs w:val="20"/>
                <w:color w:val="auto"/>
              </w:rPr>
            </w:pPr>
            <w:r>
              <w:rPr>
                <w:rFonts w:ascii="Arial" w:cs="Arial" w:eastAsia="Arial" w:hAnsi="Arial"/>
                <w:sz w:val="13"/>
                <w:szCs w:val="13"/>
                <w:b w:val="1"/>
                <w:bCs w:val="1"/>
                <w:color w:val="auto"/>
              </w:rPr>
              <w:t>Unobservable Inputs</w:t>
            </w:r>
          </w:p>
        </w:tc>
      </w:tr>
      <w:tr>
        <w:trPr>
          <w:trHeight w:val="183"/>
        </w:trPr>
        <w:tc>
          <w:tcPr>
            <w:tcW w:w="1200" w:type="dxa"/>
            <w:vAlign w:val="bottom"/>
            <w:tcBorders>
              <w:bottom w:val="single" w:sz="8" w:color="auto"/>
            </w:tcBorders>
            <w:gridSpan w:val="2"/>
          </w:tcPr>
          <w:p>
            <w:pPr>
              <w:ind w:left="40"/>
              <w:spacing w:after="0"/>
              <w:rPr>
                <w:sz w:val="20"/>
                <w:szCs w:val="20"/>
                <w:color w:val="auto"/>
              </w:rPr>
            </w:pPr>
            <w:r>
              <w:rPr>
                <w:rFonts w:ascii="Arial" w:cs="Arial" w:eastAsia="Arial" w:hAnsi="Arial"/>
                <w:sz w:val="13"/>
                <w:szCs w:val="13"/>
                <w:b w:val="1"/>
                <w:bCs w:val="1"/>
                <w:color w:val="auto"/>
              </w:rPr>
              <w:t>Equity Securities</w:t>
            </w:r>
          </w:p>
        </w:tc>
        <w:tc>
          <w:tcPr>
            <w:tcW w:w="508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4960" w:type="dxa"/>
            <w:vAlign w:val="bottom"/>
            <w:tcBorders>
              <w:bottom w:val="single" w:sz="8" w:color="auto"/>
            </w:tcBorders>
          </w:tcPr>
          <w:p>
            <w:pPr>
              <w:spacing w:after="0"/>
              <w:rPr>
                <w:sz w:val="15"/>
                <w:szCs w:val="15"/>
                <w:color w:val="auto"/>
              </w:rPr>
            </w:pPr>
          </w:p>
        </w:tc>
      </w:tr>
      <w:tr>
        <w:trPr>
          <w:trHeight w:val="173"/>
        </w:trPr>
        <w:tc>
          <w:tcPr>
            <w:tcW w:w="1040" w:type="dxa"/>
            <w:vAlign w:val="bottom"/>
            <w:tcBorders>
              <w:right w:val="single" w:sz="8" w:color="auto"/>
            </w:tcBorders>
          </w:tcPr>
          <w:p>
            <w:pPr>
              <w:spacing w:after="0"/>
              <w:rPr>
                <w:sz w:val="15"/>
                <w:szCs w:val="15"/>
                <w:color w:val="auto"/>
              </w:rPr>
            </w:pPr>
          </w:p>
        </w:tc>
        <w:tc>
          <w:tcPr>
            <w:tcW w:w="5240" w:type="dxa"/>
            <w:vAlign w:val="bottom"/>
            <w:tcBorders>
              <w:right w:val="single" w:sz="8" w:color="auto"/>
            </w:tcBorders>
            <w:gridSpan w:val="2"/>
          </w:tcPr>
          <w:p>
            <w:pPr>
              <w:ind w:left="20"/>
              <w:spacing w:after="0"/>
              <w:rPr>
                <w:sz w:val="20"/>
                <w:szCs w:val="20"/>
                <w:color w:val="auto"/>
              </w:rPr>
            </w:pPr>
            <w:r>
              <w:rPr>
                <w:rFonts w:ascii="Arial" w:cs="Arial" w:eastAsia="Arial" w:hAnsi="Arial"/>
                <w:sz w:val="13"/>
                <w:szCs w:val="13"/>
                <w:color w:val="auto"/>
              </w:rPr>
              <w:t>Valuation Approaches: Principally the market approach.</w:t>
            </w:r>
          </w:p>
        </w:tc>
        <w:tc>
          <w:tcPr>
            <w:tcW w:w="5120" w:type="dxa"/>
            <w:vAlign w:val="bottom"/>
            <w:gridSpan w:val="2"/>
          </w:tcPr>
          <w:p>
            <w:pPr>
              <w:ind w:left="20"/>
              <w:spacing w:after="0"/>
              <w:rPr>
                <w:sz w:val="20"/>
                <w:szCs w:val="20"/>
                <w:color w:val="auto"/>
              </w:rPr>
            </w:pPr>
            <w:r>
              <w:rPr>
                <w:rFonts w:ascii="Arial" w:cs="Arial" w:eastAsia="Arial" w:hAnsi="Arial"/>
                <w:sz w:val="13"/>
                <w:szCs w:val="13"/>
                <w:color w:val="auto"/>
              </w:rPr>
              <w:t>Valuation Approaches: Principally the market and income approaches.</w:t>
            </w:r>
          </w:p>
        </w:tc>
      </w:tr>
      <w:tr>
        <w:trPr>
          <w:trHeight w:val="270"/>
        </w:trPr>
        <w:tc>
          <w:tcPr>
            <w:tcW w:w="1040" w:type="dxa"/>
            <w:vAlign w:val="bottom"/>
            <w:tcBorders>
              <w:right w:val="single" w:sz="8" w:color="auto"/>
            </w:tcBorders>
          </w:tcPr>
          <w:p>
            <w:pPr>
              <w:spacing w:after="0"/>
              <w:rPr>
                <w:sz w:val="23"/>
                <w:szCs w:val="23"/>
                <w:color w:val="auto"/>
              </w:rPr>
            </w:pPr>
          </w:p>
        </w:tc>
        <w:tc>
          <w:tcPr>
            <w:tcW w:w="5240" w:type="dxa"/>
            <w:vAlign w:val="bottom"/>
            <w:tcBorders>
              <w:right w:val="single" w:sz="8" w:color="auto"/>
            </w:tcBorders>
            <w:gridSpan w:val="2"/>
          </w:tcPr>
          <w:p>
            <w:pPr>
              <w:ind w:left="20"/>
              <w:spacing w:after="0"/>
              <w:rPr>
                <w:sz w:val="20"/>
                <w:szCs w:val="20"/>
                <w:color w:val="auto"/>
              </w:rPr>
            </w:pPr>
            <w:r>
              <w:rPr>
                <w:rFonts w:ascii="Arial" w:cs="Arial" w:eastAsia="Arial" w:hAnsi="Arial"/>
                <w:sz w:val="13"/>
                <w:szCs w:val="13"/>
                <w:color w:val="auto"/>
              </w:rPr>
              <w:t>Key Input:</w:t>
            </w:r>
          </w:p>
        </w:tc>
        <w:tc>
          <w:tcPr>
            <w:tcW w:w="5120" w:type="dxa"/>
            <w:vAlign w:val="bottom"/>
            <w:gridSpan w:val="2"/>
          </w:tcPr>
          <w:p>
            <w:pPr>
              <w:ind w:left="20"/>
              <w:spacing w:after="0"/>
              <w:rPr>
                <w:sz w:val="20"/>
                <w:szCs w:val="20"/>
                <w:color w:val="auto"/>
              </w:rPr>
            </w:pPr>
            <w:r>
              <w:rPr>
                <w:rFonts w:ascii="Arial" w:cs="Arial" w:eastAsia="Arial" w:hAnsi="Arial"/>
                <w:sz w:val="13"/>
                <w:szCs w:val="13"/>
                <w:color w:val="auto"/>
              </w:rPr>
              <w:t>Key Inputs:</w:t>
            </w:r>
          </w:p>
        </w:tc>
      </w:tr>
      <w:tr>
        <w:trPr>
          <w:trHeight w:val="270"/>
        </w:trPr>
        <w:tc>
          <w:tcPr>
            <w:tcW w:w="1040" w:type="dxa"/>
            <w:vAlign w:val="bottom"/>
            <w:tcBorders>
              <w:right w:val="single" w:sz="8" w:color="auto"/>
            </w:tcBorders>
          </w:tcPr>
          <w:p>
            <w:pPr>
              <w:spacing w:after="0"/>
              <w:rPr>
                <w:sz w:val="23"/>
                <w:szCs w:val="23"/>
                <w:color w:val="auto"/>
              </w:rPr>
            </w:pPr>
          </w:p>
        </w:tc>
        <w:tc>
          <w:tcPr>
            <w:tcW w:w="160" w:type="dxa"/>
            <w:vAlign w:val="bottom"/>
          </w:tcPr>
          <w:p>
            <w:pPr>
              <w:ind w:left="20"/>
              <w:spacing w:after="0"/>
              <w:rPr>
                <w:sz w:val="20"/>
                <w:szCs w:val="20"/>
                <w:color w:val="auto"/>
              </w:rPr>
            </w:pPr>
            <w:r>
              <w:rPr>
                <w:rFonts w:ascii="Arial" w:cs="Arial" w:eastAsia="Arial" w:hAnsi="Arial"/>
                <w:sz w:val="13"/>
                <w:szCs w:val="13"/>
                <w:color w:val="auto"/>
              </w:rPr>
              <w:t>•</w:t>
            </w:r>
          </w:p>
        </w:tc>
        <w:tc>
          <w:tcPr>
            <w:tcW w:w="5080" w:type="dxa"/>
            <w:vAlign w:val="bottom"/>
            <w:tcBorders>
              <w:right w:val="single" w:sz="8" w:color="auto"/>
            </w:tcBorders>
          </w:tcPr>
          <w:p>
            <w:pPr>
              <w:ind w:left="100"/>
              <w:spacing w:after="0"/>
              <w:rPr>
                <w:sz w:val="20"/>
                <w:szCs w:val="20"/>
                <w:color w:val="auto"/>
              </w:rPr>
            </w:pPr>
            <w:r>
              <w:rPr>
                <w:rFonts w:ascii="Arial" w:cs="Arial" w:eastAsia="Arial" w:hAnsi="Arial"/>
                <w:sz w:val="13"/>
                <w:szCs w:val="13"/>
                <w:color w:val="auto"/>
              </w:rPr>
              <w:t>quoted prices in markets that are not considered active</w:t>
            </w:r>
          </w:p>
        </w:tc>
        <w:tc>
          <w:tcPr>
            <w:tcW w:w="5120" w:type="dxa"/>
            <w:vAlign w:val="bottom"/>
            <w:gridSpan w:val="2"/>
          </w:tcPr>
          <w:p>
            <w:pPr>
              <w:ind w:left="20"/>
              <w:spacing w:after="0"/>
              <w:rPr>
                <w:sz w:val="20"/>
                <w:szCs w:val="20"/>
                <w:color w:val="auto"/>
              </w:rPr>
            </w:pPr>
            <w:r>
              <w:rPr>
                <w:rFonts w:ascii="Arial" w:cs="Arial" w:eastAsia="Arial" w:hAnsi="Arial"/>
                <w:sz w:val="13"/>
                <w:szCs w:val="13"/>
                <w:color w:val="auto"/>
              </w:rPr>
              <w:t>•   credit ratings; issuance structures</w:t>
            </w:r>
          </w:p>
        </w:tc>
      </w:tr>
      <w:tr>
        <w:trPr>
          <w:trHeight w:val="245"/>
        </w:trPr>
        <w:tc>
          <w:tcPr>
            <w:tcW w:w="1040" w:type="dxa"/>
            <w:vAlign w:val="bottom"/>
            <w:tcBorders>
              <w:right w:val="single" w:sz="8" w:color="auto"/>
            </w:tcBorders>
          </w:tcPr>
          <w:p>
            <w:pPr>
              <w:spacing w:after="0"/>
              <w:rPr>
                <w:sz w:val="21"/>
                <w:szCs w:val="21"/>
                <w:color w:val="auto"/>
              </w:rPr>
            </w:pPr>
          </w:p>
        </w:tc>
        <w:tc>
          <w:tcPr>
            <w:tcW w:w="160" w:type="dxa"/>
            <w:vAlign w:val="bottom"/>
          </w:tcPr>
          <w:p>
            <w:pPr>
              <w:spacing w:after="0"/>
              <w:rPr>
                <w:sz w:val="21"/>
                <w:szCs w:val="21"/>
                <w:color w:val="auto"/>
              </w:rPr>
            </w:pPr>
          </w:p>
        </w:tc>
        <w:tc>
          <w:tcPr>
            <w:tcW w:w="5080" w:type="dxa"/>
            <w:vAlign w:val="bottom"/>
            <w:tcBorders>
              <w:right w:val="single" w:sz="8" w:color="auto"/>
            </w:tcBorders>
          </w:tcPr>
          <w:p>
            <w:pPr>
              <w:spacing w:after="0"/>
              <w:rPr>
                <w:sz w:val="21"/>
                <w:szCs w:val="21"/>
                <w:color w:val="auto"/>
              </w:rPr>
            </w:pPr>
          </w:p>
        </w:tc>
        <w:tc>
          <w:tcPr>
            <w:tcW w:w="5120" w:type="dxa"/>
            <w:vAlign w:val="bottom"/>
            <w:gridSpan w:val="2"/>
          </w:tcPr>
          <w:p>
            <w:pPr>
              <w:ind w:left="20"/>
              <w:spacing w:after="0"/>
              <w:rPr>
                <w:sz w:val="20"/>
                <w:szCs w:val="20"/>
                <w:color w:val="auto"/>
              </w:rPr>
            </w:pPr>
            <w:r>
              <w:rPr>
                <w:rFonts w:ascii="Arial" w:cs="Arial" w:eastAsia="Arial" w:hAnsi="Arial"/>
                <w:sz w:val="13"/>
                <w:szCs w:val="13"/>
                <w:color w:val="auto"/>
                <w:w w:val="91"/>
              </w:rPr>
              <w:t>•   quoted prices in markets that are not active for identical or similar securities that are less liquid</w:t>
            </w:r>
          </w:p>
        </w:tc>
      </w:tr>
      <w:tr>
        <w:trPr>
          <w:trHeight w:val="160"/>
        </w:trPr>
        <w:tc>
          <w:tcPr>
            <w:tcW w:w="1040" w:type="dxa"/>
            <w:vAlign w:val="bottom"/>
            <w:tcBorders>
              <w:right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5080" w:type="dxa"/>
            <w:vAlign w:val="bottom"/>
            <w:tcBorders>
              <w:right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4960" w:type="dxa"/>
            <w:vAlign w:val="bottom"/>
          </w:tcPr>
          <w:p>
            <w:pPr>
              <w:ind w:left="240"/>
              <w:spacing w:after="0"/>
              <w:rPr>
                <w:sz w:val="20"/>
                <w:szCs w:val="20"/>
                <w:color w:val="auto"/>
              </w:rPr>
            </w:pPr>
            <w:r>
              <w:rPr>
                <w:rFonts w:ascii="Arial" w:cs="Arial" w:eastAsia="Arial" w:hAnsi="Arial"/>
                <w:sz w:val="13"/>
                <w:szCs w:val="13"/>
                <w:color w:val="auto"/>
              </w:rPr>
              <w:t>and based on lower levels of trading activity than securities classified in Level 2</w:t>
            </w:r>
          </w:p>
        </w:tc>
      </w:tr>
      <w:tr>
        <w:trPr>
          <w:trHeight w:val="189"/>
        </w:trPr>
        <w:tc>
          <w:tcPr>
            <w:tcW w:w="1040" w:type="dxa"/>
            <w:vAlign w:val="bottom"/>
            <w:tcBorders>
              <w:right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5080" w:type="dxa"/>
            <w:vAlign w:val="bottom"/>
            <w:tcBorders>
              <w:right w:val="single" w:sz="8" w:color="auto"/>
            </w:tcBorders>
          </w:tcPr>
          <w:p>
            <w:pPr>
              <w:spacing w:after="0"/>
              <w:rPr>
                <w:sz w:val="16"/>
                <w:szCs w:val="16"/>
                <w:color w:val="auto"/>
              </w:rPr>
            </w:pPr>
          </w:p>
        </w:tc>
        <w:tc>
          <w:tcPr>
            <w:tcW w:w="5120" w:type="dxa"/>
            <w:vAlign w:val="bottom"/>
            <w:gridSpan w:val="2"/>
          </w:tcPr>
          <w:p>
            <w:pPr>
              <w:ind w:left="20"/>
              <w:spacing w:after="0"/>
              <w:rPr>
                <w:sz w:val="20"/>
                <w:szCs w:val="20"/>
                <w:color w:val="auto"/>
              </w:rPr>
            </w:pPr>
            <w:r>
              <w:rPr>
                <w:rFonts w:ascii="Arial" w:cs="Arial" w:eastAsia="Arial" w:hAnsi="Arial"/>
                <w:sz w:val="13"/>
                <w:szCs w:val="13"/>
                <w:color w:val="auto"/>
              </w:rPr>
              <w:t>•   independent non-binding broker quotations</w:t>
            </w:r>
          </w:p>
        </w:tc>
      </w:tr>
      <w:tr>
        <w:trPr>
          <w:trHeight w:val="97"/>
        </w:trPr>
        <w:tc>
          <w:tcPr>
            <w:tcW w:w="1040" w:type="dxa"/>
            <w:vAlign w:val="bottom"/>
            <w:tcBorders>
              <w:bottom w:val="single" w:sz="8" w:color="auto"/>
              <w:right w:val="single" w:sz="8" w:color="auto"/>
            </w:tcBorders>
          </w:tcPr>
          <w:p>
            <w:pPr>
              <w:spacing w:after="0"/>
              <w:rPr>
                <w:sz w:val="8"/>
                <w:szCs w:val="8"/>
                <w:color w:val="auto"/>
              </w:rPr>
            </w:pPr>
          </w:p>
        </w:tc>
        <w:tc>
          <w:tcPr>
            <w:tcW w:w="5240" w:type="dxa"/>
            <w:vAlign w:val="bottom"/>
            <w:tcBorders>
              <w:bottom w:val="single" w:sz="8" w:color="auto"/>
              <w:right w:val="single" w:sz="8" w:color="auto"/>
            </w:tcBorders>
            <w:gridSpan w:val="2"/>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4960" w:type="dxa"/>
            <w:vAlign w:val="bottom"/>
            <w:tcBorders>
              <w:bottom w:val="single" w:sz="8" w:color="auto"/>
            </w:tcBorders>
          </w:tcPr>
          <w:p>
            <w:pPr>
              <w:spacing w:after="0"/>
              <w:rPr>
                <w:sz w:val="8"/>
                <w:szCs w:val="8"/>
                <w:color w:val="auto"/>
              </w:rPr>
            </w:pPr>
          </w:p>
        </w:tc>
      </w:tr>
      <w:tr>
        <w:trPr>
          <w:trHeight w:val="176"/>
        </w:trPr>
        <w:tc>
          <w:tcPr>
            <w:tcW w:w="6280" w:type="dxa"/>
            <w:vAlign w:val="bottom"/>
            <w:tcBorders>
              <w:bottom w:val="single" w:sz="8" w:color="auto"/>
            </w:tcBorders>
            <w:gridSpan w:val="3"/>
          </w:tcPr>
          <w:p>
            <w:pPr>
              <w:ind w:left="40"/>
              <w:spacing w:after="0"/>
              <w:rPr>
                <w:sz w:val="20"/>
                <w:szCs w:val="20"/>
                <w:color w:val="auto"/>
              </w:rPr>
            </w:pPr>
            <w:r>
              <w:rPr>
                <w:rFonts w:ascii="Arial" w:cs="Arial" w:eastAsia="Arial" w:hAnsi="Arial"/>
                <w:sz w:val="13"/>
                <w:szCs w:val="13"/>
                <w:b w:val="1"/>
                <w:bCs w:val="1"/>
                <w:color w:val="auto"/>
              </w:rPr>
              <w:t>Short-term investments and Loans to MetLife, Inc.</w:t>
            </w:r>
          </w:p>
        </w:tc>
        <w:tc>
          <w:tcPr>
            <w:tcW w:w="160" w:type="dxa"/>
            <w:vAlign w:val="bottom"/>
            <w:tcBorders>
              <w:bottom w:val="single" w:sz="8" w:color="auto"/>
            </w:tcBorders>
          </w:tcPr>
          <w:p>
            <w:pPr>
              <w:spacing w:after="0"/>
              <w:rPr>
                <w:sz w:val="15"/>
                <w:szCs w:val="15"/>
                <w:color w:val="auto"/>
              </w:rPr>
            </w:pPr>
          </w:p>
        </w:tc>
        <w:tc>
          <w:tcPr>
            <w:tcW w:w="4960" w:type="dxa"/>
            <w:vAlign w:val="bottom"/>
            <w:tcBorders>
              <w:bottom w:val="single" w:sz="8" w:color="auto"/>
            </w:tcBorders>
          </w:tcPr>
          <w:p>
            <w:pPr>
              <w:spacing w:after="0"/>
              <w:rPr>
                <w:sz w:val="15"/>
                <w:szCs w:val="15"/>
                <w:color w:val="auto"/>
              </w:rPr>
            </w:pPr>
          </w:p>
        </w:tc>
      </w:tr>
      <w:tr>
        <w:trPr>
          <w:trHeight w:val="148"/>
        </w:trPr>
        <w:tc>
          <w:tcPr>
            <w:tcW w:w="1040" w:type="dxa"/>
            <w:vAlign w:val="bottom"/>
            <w:tcBorders>
              <w:right w:val="single" w:sz="8" w:color="auto"/>
            </w:tcBorders>
          </w:tcPr>
          <w:p>
            <w:pPr>
              <w:spacing w:after="0"/>
              <w:rPr>
                <w:sz w:val="12"/>
                <w:szCs w:val="12"/>
                <w:color w:val="auto"/>
              </w:rPr>
            </w:pPr>
          </w:p>
        </w:tc>
        <w:tc>
          <w:tcPr>
            <w:tcW w:w="160" w:type="dxa"/>
            <w:vAlign w:val="bottom"/>
          </w:tcPr>
          <w:p>
            <w:pPr>
              <w:ind w:left="20"/>
              <w:spacing w:after="0" w:line="148" w:lineRule="exact"/>
              <w:rPr>
                <w:sz w:val="20"/>
                <w:szCs w:val="20"/>
                <w:color w:val="auto"/>
              </w:rPr>
            </w:pPr>
            <w:r>
              <w:rPr>
                <w:rFonts w:ascii="Arial" w:cs="Arial" w:eastAsia="Arial" w:hAnsi="Arial"/>
                <w:sz w:val="13"/>
                <w:szCs w:val="13"/>
                <w:color w:val="auto"/>
              </w:rPr>
              <w:t>•</w:t>
            </w:r>
          </w:p>
        </w:tc>
        <w:tc>
          <w:tcPr>
            <w:tcW w:w="5080" w:type="dxa"/>
            <w:vAlign w:val="bottom"/>
            <w:tcBorders>
              <w:right w:val="single" w:sz="8" w:color="auto"/>
            </w:tcBorders>
          </w:tcPr>
          <w:p>
            <w:pPr>
              <w:ind w:left="100"/>
              <w:spacing w:after="0" w:line="148" w:lineRule="exact"/>
              <w:rPr>
                <w:sz w:val="20"/>
                <w:szCs w:val="20"/>
                <w:color w:val="auto"/>
              </w:rPr>
            </w:pPr>
            <w:r>
              <w:rPr>
                <w:rFonts w:ascii="Arial" w:cs="Arial" w:eastAsia="Arial" w:hAnsi="Arial"/>
                <w:sz w:val="13"/>
                <w:szCs w:val="13"/>
                <w:color w:val="auto"/>
                <w:w w:val="91"/>
              </w:rPr>
              <w:t>Short-term investments and loans to MetLife, Inc. are of a similar nature and class to the fixed</w:t>
            </w:r>
          </w:p>
        </w:tc>
        <w:tc>
          <w:tcPr>
            <w:tcW w:w="5120" w:type="dxa"/>
            <w:vAlign w:val="bottom"/>
            <w:gridSpan w:val="2"/>
          </w:tcPr>
          <w:p>
            <w:pPr>
              <w:ind w:left="20"/>
              <w:spacing w:after="0" w:line="148" w:lineRule="exact"/>
              <w:rPr>
                <w:sz w:val="20"/>
                <w:szCs w:val="20"/>
                <w:color w:val="auto"/>
              </w:rPr>
            </w:pPr>
            <w:r>
              <w:rPr>
                <w:rFonts w:ascii="Arial" w:cs="Arial" w:eastAsia="Arial" w:hAnsi="Arial"/>
                <w:sz w:val="13"/>
                <w:szCs w:val="13"/>
                <w:color w:val="auto"/>
                <w:w w:val="98"/>
              </w:rPr>
              <w:t>•   Short-term investments are of a similar nature and class to the fixed maturity and equity</w:t>
            </w:r>
          </w:p>
        </w:tc>
      </w:tr>
      <w:tr>
        <w:trPr>
          <w:trHeight w:val="135"/>
        </w:trPr>
        <w:tc>
          <w:tcPr>
            <w:tcW w:w="1040" w:type="dxa"/>
            <w:vAlign w:val="bottom"/>
            <w:tcBorders>
              <w:right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5080" w:type="dxa"/>
            <w:vAlign w:val="bottom"/>
            <w:tcBorders>
              <w:right w:val="single" w:sz="8" w:color="auto"/>
            </w:tcBorders>
          </w:tcPr>
          <w:p>
            <w:pPr>
              <w:ind w:left="260"/>
              <w:spacing w:after="0" w:line="135" w:lineRule="exact"/>
              <w:rPr>
                <w:sz w:val="20"/>
                <w:szCs w:val="20"/>
                <w:color w:val="auto"/>
              </w:rPr>
            </w:pPr>
            <w:r>
              <w:rPr>
                <w:rFonts w:ascii="Arial" w:cs="Arial" w:eastAsia="Arial" w:hAnsi="Arial"/>
                <w:sz w:val="13"/>
                <w:szCs w:val="13"/>
                <w:color w:val="auto"/>
                <w:w w:val="92"/>
              </w:rPr>
              <w:t>maturity and equity securities described above; accordingly, the valuation approaches and</w:t>
            </w:r>
          </w:p>
        </w:tc>
        <w:tc>
          <w:tcPr>
            <w:tcW w:w="160" w:type="dxa"/>
            <w:vAlign w:val="bottom"/>
          </w:tcPr>
          <w:p>
            <w:pPr>
              <w:spacing w:after="0"/>
              <w:rPr>
                <w:sz w:val="11"/>
                <w:szCs w:val="11"/>
                <w:color w:val="auto"/>
              </w:rPr>
            </w:pPr>
          </w:p>
        </w:tc>
        <w:tc>
          <w:tcPr>
            <w:tcW w:w="4960" w:type="dxa"/>
            <w:vAlign w:val="bottom"/>
          </w:tcPr>
          <w:p>
            <w:pPr>
              <w:ind w:left="240"/>
              <w:spacing w:after="0" w:line="135" w:lineRule="exact"/>
              <w:rPr>
                <w:sz w:val="20"/>
                <w:szCs w:val="20"/>
                <w:color w:val="auto"/>
              </w:rPr>
            </w:pPr>
            <w:r>
              <w:rPr>
                <w:rFonts w:ascii="Arial" w:cs="Arial" w:eastAsia="Arial" w:hAnsi="Arial"/>
                <w:sz w:val="13"/>
                <w:szCs w:val="13"/>
                <w:color w:val="auto"/>
                <w:w w:val="89"/>
              </w:rPr>
              <w:t>securities described above; accordingly, the valuation approaches and unobservable inputs</w:t>
            </w:r>
          </w:p>
        </w:tc>
      </w:tr>
      <w:tr>
        <w:trPr>
          <w:trHeight w:val="170"/>
        </w:trPr>
        <w:tc>
          <w:tcPr>
            <w:tcW w:w="1040" w:type="dxa"/>
            <w:vAlign w:val="bottom"/>
            <w:tcBorders>
              <w:bottom w:val="single" w:sz="8" w:color="auto"/>
              <w:right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080" w:type="dxa"/>
            <w:vAlign w:val="bottom"/>
            <w:tcBorders>
              <w:bottom w:val="single" w:sz="8" w:color="auto"/>
              <w:right w:val="single" w:sz="8" w:color="auto"/>
            </w:tcBorders>
          </w:tcPr>
          <w:p>
            <w:pPr>
              <w:ind w:left="260"/>
              <w:spacing w:after="0"/>
              <w:rPr>
                <w:sz w:val="20"/>
                <w:szCs w:val="20"/>
                <w:color w:val="auto"/>
              </w:rPr>
            </w:pPr>
            <w:r>
              <w:rPr>
                <w:rFonts w:ascii="Arial" w:cs="Arial" w:eastAsia="Arial" w:hAnsi="Arial"/>
                <w:sz w:val="13"/>
                <w:szCs w:val="13"/>
                <w:color w:val="auto"/>
              </w:rPr>
              <w:t>observable inputs used in their valuation are also similar to those described above.</w:t>
            </w:r>
          </w:p>
        </w:tc>
        <w:tc>
          <w:tcPr>
            <w:tcW w:w="160" w:type="dxa"/>
            <w:vAlign w:val="bottom"/>
            <w:tcBorders>
              <w:bottom w:val="single" w:sz="8" w:color="auto"/>
            </w:tcBorders>
          </w:tcPr>
          <w:p>
            <w:pPr>
              <w:spacing w:after="0"/>
              <w:rPr>
                <w:sz w:val="14"/>
                <w:szCs w:val="14"/>
                <w:color w:val="auto"/>
              </w:rPr>
            </w:pPr>
          </w:p>
        </w:tc>
        <w:tc>
          <w:tcPr>
            <w:tcW w:w="4960" w:type="dxa"/>
            <w:vAlign w:val="bottom"/>
            <w:tcBorders>
              <w:bottom w:val="single" w:sz="8" w:color="auto"/>
            </w:tcBorders>
          </w:tcPr>
          <w:p>
            <w:pPr>
              <w:ind w:left="240"/>
              <w:spacing w:after="0"/>
              <w:rPr>
                <w:sz w:val="20"/>
                <w:szCs w:val="20"/>
                <w:color w:val="auto"/>
              </w:rPr>
            </w:pPr>
            <w:r>
              <w:rPr>
                <w:rFonts w:ascii="Arial" w:cs="Arial" w:eastAsia="Arial" w:hAnsi="Arial"/>
                <w:sz w:val="13"/>
                <w:szCs w:val="13"/>
                <w:color w:val="auto"/>
              </w:rPr>
              <w:t>used in their valuation are also similar to those described above.</w:t>
            </w:r>
          </w:p>
        </w:tc>
      </w:tr>
      <w:tr>
        <w:trPr>
          <w:trHeight w:val="183"/>
        </w:trPr>
        <w:tc>
          <w:tcPr>
            <w:tcW w:w="6280" w:type="dxa"/>
            <w:vAlign w:val="bottom"/>
            <w:tcBorders>
              <w:bottom w:val="single" w:sz="8" w:color="auto"/>
            </w:tcBorders>
            <w:gridSpan w:val="3"/>
          </w:tcPr>
          <w:p>
            <w:pPr>
              <w:ind w:left="40"/>
              <w:spacing w:after="0"/>
              <w:rPr>
                <w:sz w:val="20"/>
                <w:szCs w:val="20"/>
                <w:color w:val="auto"/>
              </w:rPr>
            </w:pPr>
            <w:r>
              <w:rPr>
                <w:rFonts w:ascii="Arial" w:cs="Arial" w:eastAsia="Arial" w:hAnsi="Arial"/>
                <w:sz w:val="13"/>
                <w:szCs w:val="13"/>
                <w:b w:val="1"/>
                <w:bCs w:val="1"/>
                <w:color w:val="auto"/>
              </w:rPr>
              <w:t>Commercial mortgage loans held by CSEs — FVO</w:t>
            </w:r>
          </w:p>
        </w:tc>
        <w:tc>
          <w:tcPr>
            <w:tcW w:w="160" w:type="dxa"/>
            <w:vAlign w:val="bottom"/>
            <w:tcBorders>
              <w:bottom w:val="single" w:sz="8" w:color="auto"/>
            </w:tcBorders>
          </w:tcPr>
          <w:p>
            <w:pPr>
              <w:spacing w:after="0"/>
              <w:rPr>
                <w:sz w:val="15"/>
                <w:szCs w:val="15"/>
                <w:color w:val="auto"/>
              </w:rPr>
            </w:pPr>
          </w:p>
        </w:tc>
        <w:tc>
          <w:tcPr>
            <w:tcW w:w="4960" w:type="dxa"/>
            <w:vAlign w:val="bottom"/>
            <w:tcBorders>
              <w:bottom w:val="single" w:sz="8" w:color="auto"/>
            </w:tcBorders>
          </w:tcPr>
          <w:p>
            <w:pPr>
              <w:spacing w:after="0"/>
              <w:rPr>
                <w:sz w:val="15"/>
                <w:szCs w:val="15"/>
                <w:color w:val="auto"/>
              </w:rPr>
            </w:pPr>
          </w:p>
        </w:tc>
      </w:tr>
      <w:tr>
        <w:trPr>
          <w:trHeight w:val="173"/>
        </w:trPr>
        <w:tc>
          <w:tcPr>
            <w:tcW w:w="1040" w:type="dxa"/>
            <w:vAlign w:val="bottom"/>
            <w:tcBorders>
              <w:right w:val="single" w:sz="8" w:color="auto"/>
            </w:tcBorders>
          </w:tcPr>
          <w:p>
            <w:pPr>
              <w:spacing w:after="0"/>
              <w:rPr>
                <w:sz w:val="15"/>
                <w:szCs w:val="15"/>
                <w:color w:val="auto"/>
              </w:rPr>
            </w:pPr>
          </w:p>
        </w:tc>
        <w:tc>
          <w:tcPr>
            <w:tcW w:w="5240" w:type="dxa"/>
            <w:vAlign w:val="bottom"/>
            <w:tcBorders>
              <w:right w:val="single" w:sz="8" w:color="auto"/>
            </w:tcBorders>
            <w:gridSpan w:val="2"/>
          </w:tcPr>
          <w:p>
            <w:pPr>
              <w:ind w:left="20"/>
              <w:spacing w:after="0"/>
              <w:rPr>
                <w:sz w:val="20"/>
                <w:szCs w:val="20"/>
                <w:color w:val="auto"/>
              </w:rPr>
            </w:pPr>
            <w:r>
              <w:rPr>
                <w:rFonts w:ascii="Arial" w:cs="Arial" w:eastAsia="Arial" w:hAnsi="Arial"/>
                <w:sz w:val="13"/>
                <w:szCs w:val="13"/>
                <w:color w:val="auto"/>
              </w:rPr>
              <w:t>Valuation Approaches: Principally the market approach.</w:t>
            </w:r>
          </w:p>
        </w:tc>
        <w:tc>
          <w:tcPr>
            <w:tcW w:w="160" w:type="dxa"/>
            <w:vAlign w:val="bottom"/>
          </w:tcPr>
          <w:p>
            <w:pPr>
              <w:ind w:left="20"/>
              <w:spacing w:after="0"/>
              <w:rPr>
                <w:sz w:val="20"/>
                <w:szCs w:val="20"/>
                <w:color w:val="auto"/>
              </w:rPr>
            </w:pPr>
            <w:r>
              <w:rPr>
                <w:rFonts w:ascii="Arial" w:cs="Arial" w:eastAsia="Arial" w:hAnsi="Arial"/>
                <w:sz w:val="13"/>
                <w:szCs w:val="13"/>
                <w:color w:val="auto"/>
              </w:rPr>
              <w:t>•</w:t>
            </w:r>
          </w:p>
        </w:tc>
        <w:tc>
          <w:tcPr>
            <w:tcW w:w="4960" w:type="dxa"/>
            <w:vAlign w:val="bottom"/>
          </w:tcPr>
          <w:p>
            <w:pPr>
              <w:ind w:left="80"/>
              <w:spacing w:after="0"/>
              <w:rPr>
                <w:sz w:val="20"/>
                <w:szCs w:val="20"/>
                <w:color w:val="auto"/>
              </w:rPr>
            </w:pPr>
            <w:r>
              <w:rPr>
                <w:rFonts w:ascii="Arial" w:cs="Arial" w:eastAsia="Arial" w:hAnsi="Arial"/>
                <w:sz w:val="13"/>
                <w:szCs w:val="13"/>
                <w:color w:val="auto"/>
              </w:rPr>
              <w:t>N/A</w:t>
            </w:r>
          </w:p>
        </w:tc>
      </w:tr>
      <w:tr>
        <w:trPr>
          <w:trHeight w:val="270"/>
        </w:trPr>
        <w:tc>
          <w:tcPr>
            <w:tcW w:w="1040" w:type="dxa"/>
            <w:vAlign w:val="bottom"/>
            <w:tcBorders>
              <w:right w:val="single" w:sz="8" w:color="auto"/>
            </w:tcBorders>
          </w:tcPr>
          <w:p>
            <w:pPr>
              <w:spacing w:after="0"/>
              <w:rPr>
                <w:sz w:val="23"/>
                <w:szCs w:val="23"/>
                <w:color w:val="auto"/>
              </w:rPr>
            </w:pPr>
          </w:p>
        </w:tc>
        <w:tc>
          <w:tcPr>
            <w:tcW w:w="5240" w:type="dxa"/>
            <w:vAlign w:val="bottom"/>
            <w:tcBorders>
              <w:right w:val="single" w:sz="8" w:color="auto"/>
            </w:tcBorders>
            <w:gridSpan w:val="2"/>
          </w:tcPr>
          <w:p>
            <w:pPr>
              <w:ind w:left="20"/>
              <w:spacing w:after="0"/>
              <w:rPr>
                <w:sz w:val="20"/>
                <w:szCs w:val="20"/>
                <w:color w:val="auto"/>
              </w:rPr>
            </w:pPr>
            <w:r>
              <w:rPr>
                <w:rFonts w:ascii="Arial" w:cs="Arial" w:eastAsia="Arial" w:hAnsi="Arial"/>
                <w:sz w:val="13"/>
                <w:szCs w:val="13"/>
                <w:color w:val="auto"/>
              </w:rPr>
              <w:t>Key Input:</w:t>
            </w:r>
          </w:p>
        </w:tc>
        <w:tc>
          <w:tcPr>
            <w:tcW w:w="160" w:type="dxa"/>
            <w:vAlign w:val="bottom"/>
          </w:tcPr>
          <w:p>
            <w:pPr>
              <w:spacing w:after="0"/>
              <w:rPr>
                <w:sz w:val="23"/>
                <w:szCs w:val="23"/>
                <w:color w:val="auto"/>
              </w:rPr>
            </w:pPr>
          </w:p>
        </w:tc>
        <w:tc>
          <w:tcPr>
            <w:tcW w:w="4960" w:type="dxa"/>
            <w:vAlign w:val="bottom"/>
          </w:tcPr>
          <w:p>
            <w:pPr>
              <w:spacing w:after="0"/>
              <w:rPr>
                <w:sz w:val="23"/>
                <w:szCs w:val="23"/>
                <w:color w:val="auto"/>
              </w:rPr>
            </w:pPr>
          </w:p>
        </w:tc>
      </w:tr>
      <w:tr>
        <w:trPr>
          <w:trHeight w:val="245"/>
        </w:trPr>
        <w:tc>
          <w:tcPr>
            <w:tcW w:w="1040" w:type="dxa"/>
            <w:vAlign w:val="bottom"/>
            <w:tcBorders>
              <w:right w:val="single" w:sz="8" w:color="auto"/>
            </w:tcBorders>
          </w:tcPr>
          <w:p>
            <w:pPr>
              <w:spacing w:after="0"/>
              <w:rPr>
                <w:sz w:val="21"/>
                <w:szCs w:val="21"/>
                <w:color w:val="auto"/>
              </w:rPr>
            </w:pPr>
          </w:p>
        </w:tc>
        <w:tc>
          <w:tcPr>
            <w:tcW w:w="160" w:type="dxa"/>
            <w:vAlign w:val="bottom"/>
          </w:tcPr>
          <w:p>
            <w:pPr>
              <w:ind w:left="20"/>
              <w:spacing w:after="0"/>
              <w:rPr>
                <w:sz w:val="20"/>
                <w:szCs w:val="20"/>
                <w:color w:val="auto"/>
              </w:rPr>
            </w:pPr>
            <w:r>
              <w:rPr>
                <w:rFonts w:ascii="Arial" w:cs="Arial" w:eastAsia="Arial" w:hAnsi="Arial"/>
                <w:sz w:val="13"/>
                <w:szCs w:val="13"/>
                <w:color w:val="auto"/>
              </w:rPr>
              <w:t>•</w:t>
            </w:r>
          </w:p>
        </w:tc>
        <w:tc>
          <w:tcPr>
            <w:tcW w:w="5080" w:type="dxa"/>
            <w:vAlign w:val="bottom"/>
            <w:tcBorders>
              <w:right w:val="single" w:sz="8" w:color="auto"/>
            </w:tcBorders>
          </w:tcPr>
          <w:p>
            <w:pPr>
              <w:ind w:left="100"/>
              <w:spacing w:after="0"/>
              <w:rPr>
                <w:sz w:val="20"/>
                <w:szCs w:val="20"/>
                <w:color w:val="auto"/>
              </w:rPr>
            </w:pPr>
            <w:r>
              <w:rPr>
                <w:rFonts w:ascii="Arial" w:cs="Arial" w:eastAsia="Arial" w:hAnsi="Arial"/>
                <w:sz w:val="13"/>
                <w:szCs w:val="13"/>
                <w:color w:val="auto"/>
                <w:w w:val="90"/>
              </w:rPr>
              <w:t>quoted securitization market price determined principally by independent pricing services using</w:t>
            </w:r>
          </w:p>
        </w:tc>
        <w:tc>
          <w:tcPr>
            <w:tcW w:w="160" w:type="dxa"/>
            <w:vAlign w:val="bottom"/>
          </w:tcPr>
          <w:p>
            <w:pPr>
              <w:spacing w:after="0"/>
              <w:rPr>
                <w:sz w:val="21"/>
                <w:szCs w:val="21"/>
                <w:color w:val="auto"/>
              </w:rPr>
            </w:pPr>
          </w:p>
        </w:tc>
        <w:tc>
          <w:tcPr>
            <w:tcW w:w="4960" w:type="dxa"/>
            <w:vAlign w:val="bottom"/>
          </w:tcPr>
          <w:p>
            <w:pPr>
              <w:spacing w:after="0"/>
              <w:rPr>
                <w:sz w:val="21"/>
                <w:szCs w:val="21"/>
                <w:color w:val="auto"/>
              </w:rPr>
            </w:pPr>
          </w:p>
        </w:tc>
      </w:tr>
      <w:tr>
        <w:trPr>
          <w:trHeight w:val="160"/>
        </w:trPr>
        <w:tc>
          <w:tcPr>
            <w:tcW w:w="1040" w:type="dxa"/>
            <w:vAlign w:val="bottom"/>
            <w:tcBorders>
              <w:right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5080" w:type="dxa"/>
            <w:vAlign w:val="bottom"/>
            <w:tcBorders>
              <w:right w:val="single" w:sz="8" w:color="auto"/>
            </w:tcBorders>
          </w:tcPr>
          <w:p>
            <w:pPr>
              <w:ind w:left="260"/>
              <w:spacing w:after="0"/>
              <w:rPr>
                <w:sz w:val="20"/>
                <w:szCs w:val="20"/>
                <w:color w:val="auto"/>
              </w:rPr>
            </w:pPr>
            <w:r>
              <w:rPr>
                <w:rFonts w:ascii="Arial" w:cs="Arial" w:eastAsia="Arial" w:hAnsi="Arial"/>
                <w:sz w:val="13"/>
                <w:szCs w:val="13"/>
                <w:color w:val="auto"/>
              </w:rPr>
              <w:t>observable inputs</w:t>
            </w:r>
          </w:p>
        </w:tc>
        <w:tc>
          <w:tcPr>
            <w:tcW w:w="160" w:type="dxa"/>
            <w:vAlign w:val="bottom"/>
          </w:tcPr>
          <w:p>
            <w:pPr>
              <w:spacing w:after="0"/>
              <w:rPr>
                <w:sz w:val="13"/>
                <w:szCs w:val="13"/>
                <w:color w:val="auto"/>
              </w:rPr>
            </w:pPr>
          </w:p>
        </w:tc>
        <w:tc>
          <w:tcPr>
            <w:tcW w:w="4960" w:type="dxa"/>
            <w:vAlign w:val="bottom"/>
          </w:tcPr>
          <w:p>
            <w:pPr>
              <w:spacing w:after="0"/>
              <w:rPr>
                <w:sz w:val="13"/>
                <w:szCs w:val="13"/>
                <w:color w:val="auto"/>
              </w:rPr>
            </w:pPr>
          </w:p>
        </w:tc>
      </w:tr>
      <w:tr>
        <w:trPr>
          <w:trHeight w:val="286"/>
        </w:trPr>
        <w:tc>
          <w:tcPr>
            <w:tcW w:w="1040" w:type="dxa"/>
            <w:vAlign w:val="bottom"/>
            <w:tcBorders>
              <w:bottom w:val="single" w:sz="8" w:color="auto"/>
              <w:right w:val="single" w:sz="8" w:color="auto"/>
            </w:tcBorders>
          </w:tcPr>
          <w:p>
            <w:pPr>
              <w:spacing w:after="0"/>
              <w:rPr>
                <w:sz w:val="24"/>
                <w:szCs w:val="24"/>
                <w:color w:val="auto"/>
              </w:rPr>
            </w:pPr>
          </w:p>
        </w:tc>
        <w:tc>
          <w:tcPr>
            <w:tcW w:w="5240" w:type="dxa"/>
            <w:vAlign w:val="bottom"/>
            <w:tcBorders>
              <w:bottom w:val="single" w:sz="8" w:color="auto"/>
              <w:right w:val="single" w:sz="8" w:color="auto"/>
            </w:tcBorders>
            <w:gridSpan w:val="2"/>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4960" w:type="dxa"/>
            <w:vAlign w:val="bottom"/>
            <w:tcBorders>
              <w:bottom w:val="single" w:sz="8" w:color="auto"/>
            </w:tcBorders>
          </w:tcPr>
          <w:p>
            <w:pPr>
              <w:spacing w:after="0"/>
              <w:rPr>
                <w:sz w:val="24"/>
                <w:szCs w:val="24"/>
                <w:color w:val="auto"/>
              </w:rPr>
            </w:pPr>
          </w:p>
        </w:tc>
      </w:tr>
      <w:tr>
        <w:trPr>
          <w:trHeight w:val="176"/>
        </w:trPr>
        <w:tc>
          <w:tcPr>
            <w:tcW w:w="6280" w:type="dxa"/>
            <w:vAlign w:val="bottom"/>
            <w:tcBorders>
              <w:bottom w:val="single" w:sz="8" w:color="auto"/>
            </w:tcBorders>
            <w:gridSpan w:val="3"/>
          </w:tcPr>
          <w:p>
            <w:pPr>
              <w:ind w:left="40"/>
              <w:spacing w:after="0"/>
              <w:rPr>
                <w:sz w:val="20"/>
                <w:szCs w:val="20"/>
                <w:color w:val="auto"/>
              </w:rPr>
            </w:pPr>
            <w:r>
              <w:rPr>
                <w:rFonts w:ascii="Arial" w:cs="Arial" w:eastAsia="Arial" w:hAnsi="Arial"/>
                <w:sz w:val="13"/>
                <w:szCs w:val="13"/>
                <w:b w:val="1"/>
                <w:bCs w:val="1"/>
                <w:color w:val="auto"/>
              </w:rPr>
              <w:t>Separate Account Assets (1)</w:t>
            </w:r>
          </w:p>
        </w:tc>
        <w:tc>
          <w:tcPr>
            <w:tcW w:w="160" w:type="dxa"/>
            <w:vAlign w:val="bottom"/>
            <w:tcBorders>
              <w:bottom w:val="single" w:sz="8" w:color="auto"/>
            </w:tcBorders>
          </w:tcPr>
          <w:p>
            <w:pPr>
              <w:spacing w:after="0"/>
              <w:rPr>
                <w:sz w:val="15"/>
                <w:szCs w:val="15"/>
                <w:color w:val="auto"/>
              </w:rPr>
            </w:pPr>
          </w:p>
        </w:tc>
        <w:tc>
          <w:tcPr>
            <w:tcW w:w="4960" w:type="dxa"/>
            <w:vAlign w:val="bottom"/>
            <w:tcBorders>
              <w:bottom w:val="single" w:sz="8" w:color="auto"/>
            </w:tcBorders>
          </w:tcPr>
          <w:p>
            <w:pPr>
              <w:spacing w:after="0"/>
              <w:rPr>
                <w:sz w:val="15"/>
                <w:szCs w:val="15"/>
                <w:color w:val="auto"/>
              </w:rPr>
            </w:pPr>
          </w:p>
        </w:tc>
      </w:tr>
      <w:tr>
        <w:trPr>
          <w:trHeight w:val="183"/>
        </w:trPr>
        <w:tc>
          <w:tcPr>
            <w:tcW w:w="6280" w:type="dxa"/>
            <w:vAlign w:val="bottom"/>
            <w:tcBorders>
              <w:bottom w:val="single" w:sz="8" w:color="auto"/>
            </w:tcBorders>
            <w:gridSpan w:val="3"/>
          </w:tcPr>
          <w:p>
            <w:pPr>
              <w:ind w:left="180"/>
              <w:spacing w:after="0"/>
              <w:rPr>
                <w:sz w:val="20"/>
                <w:szCs w:val="20"/>
                <w:color w:val="auto"/>
              </w:rPr>
            </w:pPr>
            <w:r>
              <w:rPr>
                <w:rFonts w:ascii="Arial" w:cs="Arial" w:eastAsia="Arial" w:hAnsi="Arial"/>
                <w:sz w:val="13"/>
                <w:szCs w:val="13"/>
                <w:b w:val="1"/>
                <w:bCs w:val="1"/>
                <w:color w:val="auto"/>
              </w:rPr>
              <w:t>Mutual funds without readily determinable fair values as prices are not published publicly</w:t>
            </w:r>
          </w:p>
        </w:tc>
        <w:tc>
          <w:tcPr>
            <w:tcW w:w="160" w:type="dxa"/>
            <w:vAlign w:val="bottom"/>
            <w:tcBorders>
              <w:bottom w:val="single" w:sz="8" w:color="auto"/>
            </w:tcBorders>
          </w:tcPr>
          <w:p>
            <w:pPr>
              <w:spacing w:after="0"/>
              <w:rPr>
                <w:sz w:val="15"/>
                <w:szCs w:val="15"/>
                <w:color w:val="auto"/>
              </w:rPr>
            </w:pPr>
          </w:p>
        </w:tc>
        <w:tc>
          <w:tcPr>
            <w:tcW w:w="4960" w:type="dxa"/>
            <w:vAlign w:val="bottom"/>
            <w:tcBorders>
              <w:bottom w:val="single" w:sz="8" w:color="auto"/>
            </w:tcBorders>
          </w:tcPr>
          <w:p>
            <w:pPr>
              <w:spacing w:after="0"/>
              <w:rPr>
                <w:sz w:val="15"/>
                <w:szCs w:val="15"/>
                <w:color w:val="auto"/>
              </w:rPr>
            </w:pPr>
          </w:p>
        </w:tc>
      </w:tr>
      <w:tr>
        <w:trPr>
          <w:trHeight w:val="173"/>
        </w:trPr>
        <w:tc>
          <w:tcPr>
            <w:tcW w:w="1040" w:type="dxa"/>
            <w:vAlign w:val="bottom"/>
          </w:tcPr>
          <w:p>
            <w:pPr>
              <w:spacing w:after="0"/>
              <w:rPr>
                <w:sz w:val="15"/>
                <w:szCs w:val="15"/>
                <w:color w:val="auto"/>
              </w:rPr>
            </w:pPr>
          </w:p>
        </w:tc>
        <w:tc>
          <w:tcPr>
            <w:tcW w:w="5240" w:type="dxa"/>
            <w:vAlign w:val="bottom"/>
            <w:gridSpan w:val="2"/>
          </w:tcPr>
          <w:p>
            <w:pPr>
              <w:ind w:left="20"/>
              <w:spacing w:after="0"/>
              <w:rPr>
                <w:sz w:val="20"/>
                <w:szCs w:val="20"/>
                <w:color w:val="auto"/>
              </w:rPr>
            </w:pPr>
            <w:r>
              <w:rPr>
                <w:rFonts w:ascii="Arial" w:cs="Arial" w:eastAsia="Arial" w:hAnsi="Arial"/>
                <w:sz w:val="13"/>
                <w:szCs w:val="13"/>
                <w:color w:val="auto"/>
              </w:rPr>
              <w:t>Key Input:</w:t>
            </w:r>
          </w:p>
        </w:tc>
        <w:tc>
          <w:tcPr>
            <w:tcW w:w="160" w:type="dxa"/>
            <w:vAlign w:val="bottom"/>
          </w:tcPr>
          <w:p>
            <w:pPr>
              <w:ind w:left="20"/>
              <w:spacing w:after="0"/>
              <w:rPr>
                <w:sz w:val="20"/>
                <w:szCs w:val="20"/>
                <w:color w:val="auto"/>
              </w:rPr>
            </w:pPr>
            <w:r>
              <w:rPr>
                <w:rFonts w:ascii="Arial" w:cs="Arial" w:eastAsia="Arial" w:hAnsi="Arial"/>
                <w:sz w:val="13"/>
                <w:szCs w:val="13"/>
                <w:color w:val="auto"/>
              </w:rPr>
              <w:t>•</w:t>
            </w:r>
          </w:p>
        </w:tc>
        <w:tc>
          <w:tcPr>
            <w:tcW w:w="4960" w:type="dxa"/>
            <w:vAlign w:val="bottom"/>
          </w:tcPr>
          <w:p>
            <w:pPr>
              <w:ind w:left="80"/>
              <w:spacing w:after="0"/>
              <w:rPr>
                <w:sz w:val="20"/>
                <w:szCs w:val="20"/>
                <w:color w:val="auto"/>
              </w:rPr>
            </w:pPr>
            <w:r>
              <w:rPr>
                <w:rFonts w:ascii="Arial" w:cs="Arial" w:eastAsia="Arial" w:hAnsi="Arial"/>
                <w:sz w:val="13"/>
                <w:szCs w:val="13"/>
                <w:color w:val="auto"/>
              </w:rPr>
              <w:t>N/A</w:t>
            </w:r>
          </w:p>
        </w:tc>
      </w:tr>
    </w:tbl>
    <w:p>
      <w:pPr>
        <w:spacing w:after="0" w:line="110" w:lineRule="exact"/>
        <w:rPr>
          <w:sz w:val="20"/>
          <w:szCs w:val="20"/>
          <w:color w:val="auto"/>
        </w:rPr>
      </w:pPr>
    </w:p>
    <w:p>
      <w:pPr>
        <w:ind w:left="1320" w:hanging="232"/>
        <w:spacing w:after="0"/>
        <w:tabs>
          <w:tab w:leader="none" w:pos="1320" w:val="left"/>
        </w:tabs>
        <w:numPr>
          <w:ilvl w:val="0"/>
          <w:numId w:val="30"/>
        </w:numPr>
        <w:rPr>
          <w:rFonts w:ascii="Arial" w:cs="Arial" w:eastAsia="Arial" w:hAnsi="Arial"/>
          <w:sz w:val="13"/>
          <w:szCs w:val="13"/>
          <w:color w:val="auto"/>
        </w:rPr>
      </w:pPr>
      <w:r>
        <w:rPr>
          <w:rFonts w:ascii="Arial" w:cs="Arial" w:eastAsia="Arial" w:hAnsi="Arial"/>
          <w:sz w:val="13"/>
          <w:szCs w:val="13"/>
          <w:color w:val="auto"/>
        </w:rPr>
        <w:t>quoted prices or reported net asset value (“NAV”) provided by the fund managers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6280" w:type="dxa"/>
            <w:vAlign w:val="bottom"/>
            <w:tcBorders>
              <w:bottom w:val="single" w:sz="8" w:color="auto"/>
            </w:tcBorders>
            <w:gridSpan w:val="2"/>
          </w:tcPr>
          <w:p>
            <w:pPr>
              <w:jc w:val="right"/>
              <w:ind w:right="4157"/>
              <w:spacing w:after="0"/>
              <w:rPr>
                <w:sz w:val="20"/>
                <w:szCs w:val="20"/>
                <w:color w:val="auto"/>
              </w:rPr>
            </w:pPr>
            <w:r>
              <w:rPr>
                <w:rFonts w:ascii="Arial" w:cs="Arial" w:eastAsia="Arial" w:hAnsi="Arial"/>
                <w:sz w:val="13"/>
                <w:szCs w:val="13"/>
                <w:b w:val="1"/>
                <w:bCs w:val="1"/>
                <w:color w:val="auto"/>
                <w:w w:val="95"/>
              </w:rPr>
              <w:t>Other limited partnership interests</w:t>
            </w:r>
          </w:p>
        </w:tc>
        <w:tc>
          <w:tcPr>
            <w:tcW w:w="51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040" w:type="dxa"/>
            <w:vAlign w:val="bottom"/>
            <w:tcBorders>
              <w:right w:val="single" w:sz="8" w:color="auto"/>
            </w:tcBorders>
          </w:tcPr>
          <w:p>
            <w:pPr>
              <w:spacing w:after="0"/>
              <w:rPr>
                <w:sz w:val="12"/>
                <w:szCs w:val="12"/>
                <w:color w:val="auto"/>
              </w:rPr>
            </w:pPr>
          </w:p>
        </w:tc>
        <w:tc>
          <w:tcPr>
            <w:tcW w:w="5240" w:type="dxa"/>
            <w:vAlign w:val="bottom"/>
            <w:tcBorders>
              <w:right w:val="single" w:sz="8" w:color="auto"/>
            </w:tcBorders>
          </w:tcPr>
          <w:p>
            <w:pPr>
              <w:jc w:val="right"/>
              <w:ind w:right="4697"/>
              <w:spacing w:after="0" w:line="148" w:lineRule="exact"/>
              <w:rPr>
                <w:sz w:val="20"/>
                <w:szCs w:val="20"/>
                <w:color w:val="auto"/>
              </w:rPr>
            </w:pPr>
            <w:r>
              <w:rPr>
                <w:rFonts w:ascii="Arial" w:cs="Arial" w:eastAsia="Arial" w:hAnsi="Arial"/>
                <w:sz w:val="13"/>
                <w:szCs w:val="13"/>
                <w:color w:val="auto"/>
              </w:rPr>
              <w:t>•   N/A</w:t>
            </w:r>
          </w:p>
        </w:tc>
        <w:tc>
          <w:tcPr>
            <w:tcW w:w="5120" w:type="dxa"/>
            <w:vAlign w:val="bottom"/>
          </w:tcPr>
          <w:p>
            <w:pPr>
              <w:ind w:left="20"/>
              <w:spacing w:after="0" w:line="148" w:lineRule="exact"/>
              <w:rPr>
                <w:sz w:val="20"/>
                <w:szCs w:val="20"/>
                <w:color w:val="auto"/>
              </w:rPr>
            </w:pPr>
            <w:r>
              <w:rPr>
                <w:rFonts w:ascii="Arial" w:cs="Arial" w:eastAsia="Arial" w:hAnsi="Arial"/>
                <w:sz w:val="13"/>
                <w:szCs w:val="13"/>
                <w:color w:val="auto"/>
                <w:w w:val="96"/>
              </w:rPr>
              <w:t>Valued giving consideration to the underlying holdings of the partnerships and by applying a</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40" w:type="dxa"/>
            <w:vAlign w:val="bottom"/>
            <w:tcBorders>
              <w:right w:val="single" w:sz="8" w:color="auto"/>
            </w:tcBorders>
          </w:tcPr>
          <w:p>
            <w:pPr>
              <w:spacing w:after="0"/>
              <w:rPr>
                <w:sz w:val="13"/>
                <w:szCs w:val="13"/>
                <w:color w:val="auto"/>
              </w:rPr>
            </w:pPr>
          </w:p>
        </w:tc>
        <w:tc>
          <w:tcPr>
            <w:tcW w:w="5240" w:type="dxa"/>
            <w:vAlign w:val="bottom"/>
            <w:tcBorders>
              <w:right w:val="single" w:sz="8" w:color="auto"/>
            </w:tcBorders>
          </w:tcPr>
          <w:p>
            <w:pPr>
              <w:spacing w:after="0"/>
              <w:rPr>
                <w:sz w:val="13"/>
                <w:szCs w:val="13"/>
                <w:color w:val="auto"/>
              </w:rPr>
            </w:pPr>
          </w:p>
        </w:tc>
        <w:tc>
          <w:tcPr>
            <w:tcW w:w="5120" w:type="dxa"/>
            <w:vAlign w:val="bottom"/>
          </w:tcPr>
          <w:p>
            <w:pPr>
              <w:ind w:left="20"/>
              <w:spacing w:after="0"/>
              <w:rPr>
                <w:sz w:val="20"/>
                <w:szCs w:val="20"/>
                <w:color w:val="auto"/>
              </w:rPr>
            </w:pPr>
            <w:r>
              <w:rPr>
                <w:rFonts w:ascii="Arial" w:cs="Arial" w:eastAsia="Arial" w:hAnsi="Arial"/>
                <w:sz w:val="13"/>
                <w:szCs w:val="13"/>
                <w:color w:val="auto"/>
              </w:rPr>
              <w:t>premium or discount, if appropriate.</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040" w:type="dxa"/>
            <w:vAlign w:val="bottom"/>
            <w:tcBorders>
              <w:right w:val="single" w:sz="8" w:color="auto"/>
            </w:tcBorders>
          </w:tcPr>
          <w:p>
            <w:pPr>
              <w:spacing w:after="0"/>
              <w:rPr>
                <w:sz w:val="16"/>
                <w:szCs w:val="16"/>
                <w:color w:val="auto"/>
              </w:rPr>
            </w:pPr>
          </w:p>
        </w:tc>
        <w:tc>
          <w:tcPr>
            <w:tcW w:w="5240" w:type="dxa"/>
            <w:vAlign w:val="bottom"/>
            <w:tcBorders>
              <w:right w:val="single" w:sz="8" w:color="auto"/>
            </w:tcBorders>
          </w:tcPr>
          <w:p>
            <w:pPr>
              <w:spacing w:after="0"/>
              <w:rPr>
                <w:sz w:val="16"/>
                <w:szCs w:val="16"/>
                <w:color w:val="auto"/>
              </w:rPr>
            </w:pPr>
          </w:p>
        </w:tc>
        <w:tc>
          <w:tcPr>
            <w:tcW w:w="5120" w:type="dxa"/>
            <w:vAlign w:val="bottom"/>
          </w:tcPr>
          <w:p>
            <w:pPr>
              <w:ind w:left="20"/>
              <w:spacing w:after="0"/>
              <w:rPr>
                <w:sz w:val="20"/>
                <w:szCs w:val="20"/>
                <w:color w:val="auto"/>
              </w:rPr>
            </w:pPr>
            <w:r>
              <w:rPr>
                <w:rFonts w:ascii="Arial" w:cs="Arial" w:eastAsia="Arial" w:hAnsi="Arial"/>
                <w:sz w:val="13"/>
                <w:szCs w:val="13"/>
                <w:color w:val="auto"/>
              </w:rPr>
              <w:t>Key Inputs:</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1040" w:type="dxa"/>
            <w:vAlign w:val="bottom"/>
            <w:tcBorders>
              <w:right w:val="single" w:sz="8" w:color="auto"/>
            </w:tcBorders>
          </w:tcPr>
          <w:p>
            <w:pPr>
              <w:spacing w:after="0"/>
              <w:rPr>
                <w:sz w:val="23"/>
                <w:szCs w:val="23"/>
                <w:color w:val="auto"/>
              </w:rPr>
            </w:pPr>
          </w:p>
        </w:tc>
        <w:tc>
          <w:tcPr>
            <w:tcW w:w="5240" w:type="dxa"/>
            <w:vAlign w:val="bottom"/>
            <w:tcBorders>
              <w:right w:val="single" w:sz="8" w:color="auto"/>
            </w:tcBorders>
          </w:tcPr>
          <w:p>
            <w:pPr>
              <w:spacing w:after="0"/>
              <w:rPr>
                <w:sz w:val="23"/>
                <w:szCs w:val="23"/>
                <w:color w:val="auto"/>
              </w:rPr>
            </w:pPr>
          </w:p>
        </w:tc>
        <w:tc>
          <w:tcPr>
            <w:tcW w:w="5120" w:type="dxa"/>
            <w:vAlign w:val="bottom"/>
          </w:tcPr>
          <w:p>
            <w:pPr>
              <w:ind w:left="20"/>
              <w:spacing w:after="0"/>
              <w:rPr>
                <w:sz w:val="20"/>
                <w:szCs w:val="20"/>
                <w:color w:val="auto"/>
              </w:rPr>
            </w:pPr>
            <w:r>
              <w:rPr>
                <w:rFonts w:ascii="Arial" w:cs="Arial" w:eastAsia="Arial" w:hAnsi="Arial"/>
                <w:sz w:val="13"/>
                <w:szCs w:val="13"/>
                <w:color w:val="auto"/>
              </w:rPr>
              <w:t>•   liquidity; bid/ask spreads; performance record of the fund manager</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1040" w:type="dxa"/>
            <w:vAlign w:val="bottom"/>
            <w:tcBorders>
              <w:right w:val="single" w:sz="8" w:color="auto"/>
            </w:tcBorders>
          </w:tcPr>
          <w:p>
            <w:pPr>
              <w:spacing w:after="0"/>
              <w:rPr>
                <w:sz w:val="23"/>
                <w:szCs w:val="23"/>
                <w:color w:val="auto"/>
              </w:rPr>
            </w:pPr>
          </w:p>
        </w:tc>
        <w:tc>
          <w:tcPr>
            <w:tcW w:w="5240" w:type="dxa"/>
            <w:vAlign w:val="bottom"/>
            <w:tcBorders>
              <w:right w:val="single" w:sz="8" w:color="auto"/>
            </w:tcBorders>
          </w:tcPr>
          <w:p>
            <w:pPr>
              <w:spacing w:after="0"/>
              <w:rPr>
                <w:sz w:val="23"/>
                <w:szCs w:val="23"/>
                <w:color w:val="auto"/>
              </w:rPr>
            </w:pPr>
          </w:p>
        </w:tc>
        <w:tc>
          <w:tcPr>
            <w:tcW w:w="5120" w:type="dxa"/>
            <w:vAlign w:val="bottom"/>
          </w:tcPr>
          <w:p>
            <w:pPr>
              <w:ind w:left="20"/>
              <w:spacing w:after="0"/>
              <w:rPr>
                <w:sz w:val="20"/>
                <w:szCs w:val="20"/>
                <w:color w:val="auto"/>
              </w:rPr>
            </w:pPr>
            <w:r>
              <w:rPr>
                <w:rFonts w:ascii="Arial" w:cs="Arial" w:eastAsia="Arial" w:hAnsi="Arial"/>
                <w:sz w:val="13"/>
                <w:szCs w:val="13"/>
                <w:color w:val="auto"/>
                <w:w w:val="95"/>
              </w:rPr>
              <w:t>•   other relevant variables that may impact the exit value of the particular partnership interest</w:t>
            </w:r>
          </w:p>
        </w:tc>
        <w:tc>
          <w:tcPr>
            <w:tcW w:w="0" w:type="dxa"/>
            <w:vAlign w:val="bottom"/>
          </w:tcPr>
          <w:p>
            <w:pPr>
              <w:spacing w:after="0"/>
              <w:rPr>
                <w:sz w:val="1"/>
                <w:szCs w:val="1"/>
                <w:color w:val="auto"/>
              </w:rPr>
            </w:pPr>
          </w:p>
        </w:tc>
      </w:tr>
      <w:tr>
        <w:trPr>
          <w:trHeight w:val="97"/>
        </w:trPr>
        <w:tc>
          <w:tcPr>
            <w:tcW w:w="20" w:type="dxa"/>
            <w:vAlign w:val="bottom"/>
            <w:vMerge w:val="restart"/>
          </w:tcPr>
          <w:p>
            <w:pPr>
              <w:spacing w:after="0"/>
              <w:rPr>
                <w:sz w:val="8"/>
                <w:szCs w:val="8"/>
                <w:color w:val="auto"/>
              </w:rPr>
            </w:pPr>
          </w:p>
        </w:tc>
        <w:tc>
          <w:tcPr>
            <w:tcW w:w="1040" w:type="dxa"/>
            <w:vAlign w:val="bottom"/>
            <w:tcBorders>
              <w:bottom w:val="single" w:sz="8" w:color="auto"/>
              <w:right w:val="single" w:sz="8" w:color="auto"/>
            </w:tcBorders>
          </w:tcPr>
          <w:p>
            <w:pPr>
              <w:spacing w:after="0"/>
              <w:rPr>
                <w:sz w:val="8"/>
                <w:szCs w:val="8"/>
                <w:color w:val="auto"/>
              </w:rPr>
            </w:pPr>
          </w:p>
        </w:tc>
        <w:tc>
          <w:tcPr>
            <w:tcW w:w="5240" w:type="dxa"/>
            <w:vAlign w:val="bottom"/>
            <w:tcBorders>
              <w:bottom w:val="single" w:sz="8" w:color="auto"/>
              <w:right w:val="single" w:sz="8" w:color="auto"/>
            </w:tcBorders>
          </w:tcPr>
          <w:p>
            <w:pPr>
              <w:spacing w:after="0"/>
              <w:rPr>
                <w:sz w:val="8"/>
                <w:szCs w:val="8"/>
                <w:color w:val="auto"/>
              </w:rPr>
            </w:pPr>
          </w:p>
        </w:tc>
        <w:tc>
          <w:tcPr>
            <w:tcW w:w="51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6280" w:type="dxa"/>
            <w:vAlign w:val="bottom"/>
            <w:gridSpan w:val="2"/>
          </w:tcPr>
          <w:p>
            <w:pPr>
              <w:jc w:val="right"/>
              <w:ind w:right="4937"/>
              <w:spacing w:after="0"/>
              <w:rPr>
                <w:sz w:val="20"/>
                <w:szCs w:val="20"/>
                <w:color w:val="auto"/>
              </w:rPr>
            </w:pPr>
            <w:r>
              <w:rPr>
                <w:rFonts w:ascii="Arial" w:cs="Arial" w:eastAsia="Arial" w:hAnsi="Arial"/>
                <w:sz w:val="14"/>
                <w:szCs w:val="14"/>
                <w:color w:val="auto"/>
                <w:w w:val="89"/>
              </w:rPr>
              <w:t>__________________</w:t>
            </w:r>
          </w:p>
        </w:tc>
        <w:tc>
          <w:tcPr>
            <w:tcW w:w="51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73" w:lineRule="exact"/>
        <w:rPr>
          <w:sz w:val="20"/>
          <w:szCs w:val="20"/>
          <w:color w:val="auto"/>
        </w:rPr>
      </w:pPr>
    </w:p>
    <w:p>
      <w:pPr>
        <w:jc w:val="both"/>
        <w:ind w:left="500" w:hanging="492"/>
        <w:spacing w:after="0" w:line="257" w:lineRule="auto"/>
        <w:tabs>
          <w:tab w:leader="none" w:pos="5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Estimated fair value equals carrying value, based on the value of the underlying assets, including: mutual fund interests, fixed maturity securities, equity securities, derivatives, other limited partnership interests, short-term investments and cash and cash equivalents. Fixed maturity securities, equity securities, derivatives, short-term investments and cash and cash equivalents are similar in nature to the instruments described under “— Securities, Short-term Investments, Loans to MetLife, Inc., and Long-term Debt of CSEs — FVO” and “— Derivatives — Freestanding Derivatives.”</w:t>
      </w:r>
    </w:p>
    <w:p>
      <w:pPr>
        <w:spacing w:after="0" w:line="80"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Derivatives</w:t>
      </w:r>
    </w:p>
    <w:p>
      <w:pPr>
        <w:spacing w:after="0" w:line="117" w:lineRule="exact"/>
        <w:rPr>
          <w:sz w:val="20"/>
          <w:szCs w:val="20"/>
          <w:color w:val="auto"/>
        </w:rPr>
      </w:pPr>
    </w:p>
    <w:p>
      <w:pPr>
        <w:jc w:val="both"/>
        <w:ind w:left="180" w:firstLine="324"/>
        <w:spacing w:after="0" w:line="273" w:lineRule="auto"/>
        <w:rPr>
          <w:sz w:val="20"/>
          <w:szCs w:val="20"/>
          <w:color w:val="auto"/>
        </w:rPr>
      </w:pPr>
      <w:r>
        <w:rPr>
          <w:rFonts w:ascii="Arial" w:cs="Arial" w:eastAsia="Arial" w:hAnsi="Arial"/>
          <w:sz w:val="17"/>
          <w:szCs w:val="17"/>
          <w:color w:val="auto"/>
        </w:rPr>
        <w:t>The estimated fair value of derivatives is determined through the use of quoted market prices for exchange-traded derivatives, or through the use of pricing models for OTC-bilateral and OTC-cleared derivatives. The determination of estimated fair value, when quoted market values are not available, is based on market standard valuation methodologies and inputs that management believes are consistent with what other market participants would use when pricing such instruments. Derivative valuations can be affected by changes in interest rates, foreign currency exchange rates, financial indices, credit spreads, default risk, nonperformance risk, volatility, liquidity and changes in estimates and assumptions used in the pricing models. The valuation controls and procedures for derivatives are described in “— Investments.”</w:t>
      </w:r>
    </w:p>
    <w:p>
      <w:pPr>
        <w:spacing w:after="0" w:line="70" w:lineRule="exact"/>
        <w:rPr>
          <w:sz w:val="20"/>
          <w:szCs w:val="20"/>
          <w:color w:val="auto"/>
        </w:rPr>
      </w:pPr>
    </w:p>
    <w:p>
      <w:pPr>
        <w:jc w:val="both"/>
        <w:ind w:left="180" w:firstLine="324"/>
        <w:spacing w:after="0" w:line="255" w:lineRule="auto"/>
        <w:rPr>
          <w:sz w:val="20"/>
          <w:szCs w:val="20"/>
          <w:color w:val="auto"/>
        </w:rPr>
      </w:pPr>
      <w:r>
        <w:rPr>
          <w:rFonts w:ascii="Arial" w:cs="Arial" w:eastAsia="Arial" w:hAnsi="Arial"/>
          <w:sz w:val="18"/>
          <w:szCs w:val="18"/>
          <w:color w:val="auto"/>
        </w:rPr>
        <w:t>The significant inputs to the pricing models for most OTC-bilateral and OTC-cleared derivatives are inputs that are observable in the market or can be derived principally from, or corroborated by, observable market data. Certain OTC-bilateral and OTC-cleared derivatives may rely on inputs that are significant to the estimated fair value that are not observable in the market or cannot be derived principally from, or corroborated by, observable market data. These unobservable inputs may involve significant management judgment or estimation. Even though unobservable, these inputs are based on assumptions deemed appropriate given the circumstances and management believes they are consistent with what other market participants would use when pricing such instruments.</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288" w:right="239" w:bottom="1440" w:gutter="0" w:footer="0" w:header="0"/>
        </w:sectPr>
      </w:pPr>
    </w:p>
    <w:bookmarkStart w:id="49" w:name="page50"/>
    <w:bookmarkEnd w:id="49"/>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109" w:lineRule="exact"/>
        <w:rPr>
          <w:sz w:val="20"/>
          <w:szCs w:val="20"/>
          <w:color w:val="auto"/>
        </w:rPr>
      </w:pPr>
    </w:p>
    <w:p>
      <w:pPr>
        <w:ind w:left="4660"/>
        <w:spacing w:after="0"/>
        <w:rPr>
          <w:sz w:val="20"/>
          <w:szCs w:val="20"/>
          <w:color w:val="auto"/>
        </w:rPr>
      </w:pPr>
      <w:r>
        <w:rPr>
          <w:rFonts w:ascii="Arial" w:cs="Arial" w:eastAsia="Arial" w:hAnsi="Arial"/>
          <w:sz w:val="18"/>
          <w:szCs w:val="18"/>
          <w:b w:val="1"/>
          <w:bCs w:val="1"/>
          <w:color w:val="auto"/>
        </w:rPr>
        <w:t>Brighthouse Financial, Inc.</w:t>
      </w:r>
    </w:p>
    <w:p>
      <w:pPr>
        <w:spacing w:after="0" w:line="117" w:lineRule="exact"/>
        <w:rPr>
          <w:sz w:val="20"/>
          <w:szCs w:val="20"/>
          <w:color w:val="auto"/>
        </w:rPr>
      </w:pPr>
    </w:p>
    <w:p>
      <w:pPr>
        <w:ind w:left="1480"/>
        <w:spacing w:after="0"/>
        <w:rPr>
          <w:sz w:val="20"/>
          <w:szCs w:val="20"/>
          <w:color w:val="auto"/>
        </w:rPr>
      </w:pPr>
      <w:r>
        <w:rPr>
          <w:rFonts w:ascii="Arial" w:cs="Arial" w:eastAsia="Arial" w:hAnsi="Arial"/>
          <w:sz w:val="18"/>
          <w:szCs w:val="18"/>
          <w:b w:val="1"/>
          <w:bCs w:val="1"/>
          <w:color w:val="auto"/>
        </w:rPr>
        <w:t>Notes to the Interim Condensed Consolidated and Combined Financial Statements (Unaudited) — (continued)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Fair Value (continued)</w:t>
      </w:r>
    </w:p>
    <w:p>
      <w:pPr>
        <w:spacing w:after="0" w:line="364" w:lineRule="exact"/>
        <w:rPr>
          <w:sz w:val="20"/>
          <w:szCs w:val="20"/>
          <w:color w:val="auto"/>
        </w:rPr>
      </w:pPr>
    </w:p>
    <w:p>
      <w:pPr>
        <w:jc w:val="both"/>
        <w:ind w:left="180" w:right="20" w:firstLine="324"/>
        <w:spacing w:after="0" w:line="264" w:lineRule="auto"/>
        <w:rPr>
          <w:sz w:val="20"/>
          <w:szCs w:val="20"/>
          <w:color w:val="auto"/>
        </w:rPr>
      </w:pPr>
      <w:r>
        <w:rPr>
          <w:rFonts w:ascii="Arial" w:cs="Arial" w:eastAsia="Arial" w:hAnsi="Arial"/>
          <w:sz w:val="18"/>
          <w:szCs w:val="18"/>
          <w:color w:val="auto"/>
        </w:rPr>
        <w:t>Most inputs for OTC-bilateral and OTC-cleared derivatives are mid-market inputs but, in certain cases, liquidity adjustments are made when they are deemed more representative of exit value. Market liquidity, as well as the use of different methodologies, assumptions and inputs, may have a material effect on the estimated fair values of the Company’s derivatives and could materially affect net income.</w:t>
      </w:r>
    </w:p>
    <w:p>
      <w:pPr>
        <w:spacing w:after="0" w:line="73" w:lineRule="exact"/>
        <w:rPr>
          <w:sz w:val="20"/>
          <w:szCs w:val="20"/>
          <w:color w:val="auto"/>
        </w:rPr>
      </w:pPr>
    </w:p>
    <w:p>
      <w:pPr>
        <w:jc w:val="both"/>
        <w:ind w:left="180" w:right="20" w:firstLine="324"/>
        <w:spacing w:after="0" w:line="290" w:lineRule="auto"/>
        <w:rPr>
          <w:sz w:val="20"/>
          <w:szCs w:val="20"/>
          <w:color w:val="auto"/>
        </w:rPr>
      </w:pPr>
      <w:r>
        <w:rPr>
          <w:rFonts w:ascii="Arial" w:cs="Arial" w:eastAsia="Arial" w:hAnsi="Arial"/>
          <w:sz w:val="16"/>
          <w:szCs w:val="16"/>
          <w:color w:val="auto"/>
        </w:rPr>
        <w:t>The credit risk of both the counterparty and the Company are considered in determining the estimated fair value for all OTC-bilateral and OTC-cleared derivatives, and any potential credit adjustment is based on the net exposure by counterparty after taking into account the effects of netting agreements and collateral arrangements. The Company values its OTC-bilateral and OTC-cleared derivatives using standard swap curves which may include a spread to the risk-free rate, depending upon specific collateral arrangements. This credit spread is appropriate for those parties that execute trades at pricing levels consistent with similar collateral arrangements. As the Company and its significant derivative counterparties generally execute trades at such pricing levels and hold sufficient collateral, additional credit risk adjustments are not currently required in the valuation process. The Company’s ability to consistently execute at such pricing levels is in part due to the netting agreements and collateral arrangements that are in place with all of its significant derivative counterparties. An evaluation of the requirement to make additional credit risk adjustments is performed by the Company each reporting period.</w:t>
      </w:r>
    </w:p>
    <w:p>
      <w:pPr>
        <w:spacing w:after="0" w:line="58" w:lineRule="exact"/>
        <w:rPr>
          <w:sz w:val="20"/>
          <w:szCs w:val="20"/>
          <w:color w:val="auto"/>
        </w:rPr>
      </w:pPr>
    </w:p>
    <w:p>
      <w:pPr>
        <w:ind w:left="340"/>
        <w:spacing w:after="0"/>
        <w:rPr>
          <w:sz w:val="20"/>
          <w:szCs w:val="20"/>
          <w:color w:val="auto"/>
        </w:rPr>
      </w:pPr>
      <w:r>
        <w:rPr>
          <w:rFonts w:ascii="Arial" w:cs="Arial" w:eastAsia="Arial" w:hAnsi="Arial"/>
          <w:sz w:val="18"/>
          <w:szCs w:val="18"/>
          <w:i w:val="1"/>
          <w:iCs w:val="1"/>
          <w:u w:val="single" w:color="auto"/>
          <w:color w:val="auto"/>
        </w:rPr>
        <w:t>Freestanding Derivatives</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8"/>
          <w:szCs w:val="18"/>
          <w:u w:val="single" w:color="auto"/>
          <w:color w:val="auto"/>
        </w:rPr>
        <w:t>Level 2 Valuation Approaches and Key Inputs:</w:t>
      </w:r>
    </w:p>
    <w:p>
      <w:pPr>
        <w:spacing w:after="0" w:line="117" w:lineRule="exact"/>
        <w:rPr>
          <w:sz w:val="20"/>
          <w:szCs w:val="20"/>
          <w:color w:val="auto"/>
        </w:rPr>
      </w:pPr>
    </w:p>
    <w:p>
      <w:pPr>
        <w:jc w:val="both"/>
        <w:ind w:left="500" w:right="40" w:firstLine="324"/>
        <w:spacing w:after="0" w:line="277" w:lineRule="auto"/>
        <w:rPr>
          <w:sz w:val="20"/>
          <w:szCs w:val="20"/>
          <w:color w:val="auto"/>
        </w:rPr>
      </w:pPr>
      <w:r>
        <w:rPr>
          <w:rFonts w:ascii="Arial" w:cs="Arial" w:eastAsia="Arial" w:hAnsi="Arial"/>
          <w:sz w:val="18"/>
          <w:szCs w:val="18"/>
          <w:color w:val="auto"/>
        </w:rPr>
        <w:t>This level includes all types of derivatives utilized by the Company with the exception of exchange-traded derivatives included within Level 1 and those derivatives with unobservable inputs as described in Level 3.</w:t>
      </w:r>
    </w:p>
    <w:p>
      <w:pPr>
        <w:spacing w:after="0" w:line="62" w:lineRule="exact"/>
        <w:rPr>
          <w:sz w:val="20"/>
          <w:szCs w:val="20"/>
          <w:color w:val="auto"/>
        </w:rPr>
      </w:pPr>
    </w:p>
    <w:p>
      <w:pPr>
        <w:ind w:left="500"/>
        <w:spacing w:after="0"/>
        <w:rPr>
          <w:sz w:val="20"/>
          <w:szCs w:val="20"/>
          <w:color w:val="auto"/>
        </w:rPr>
      </w:pPr>
      <w:r>
        <w:rPr>
          <w:rFonts w:ascii="Arial" w:cs="Arial" w:eastAsia="Arial" w:hAnsi="Arial"/>
          <w:sz w:val="18"/>
          <w:szCs w:val="18"/>
          <w:u w:val="single" w:color="auto"/>
          <w:color w:val="auto"/>
        </w:rPr>
        <w:t>Level 3 Valuation Approaches and Key Inputs:</w:t>
      </w:r>
    </w:p>
    <w:p>
      <w:pPr>
        <w:spacing w:after="0" w:line="117" w:lineRule="exact"/>
        <w:rPr>
          <w:sz w:val="20"/>
          <w:szCs w:val="20"/>
          <w:color w:val="auto"/>
        </w:rPr>
      </w:pPr>
    </w:p>
    <w:p>
      <w:pPr>
        <w:jc w:val="both"/>
        <w:ind w:left="500" w:right="20" w:firstLine="324"/>
        <w:spacing w:after="0" w:line="264" w:lineRule="auto"/>
        <w:rPr>
          <w:sz w:val="20"/>
          <w:szCs w:val="20"/>
          <w:color w:val="auto"/>
        </w:rPr>
      </w:pPr>
      <w:r>
        <w:rPr>
          <w:rFonts w:ascii="Arial" w:cs="Arial" w:eastAsia="Arial" w:hAnsi="Arial"/>
          <w:sz w:val="18"/>
          <w:szCs w:val="18"/>
          <w:color w:val="auto"/>
        </w:rPr>
        <w:t>These valuation methodologies generally use the same inputs as described in the corresponding sections for Level 2 measurements of derivatives. However, these derivatives result in Level 3 classification because one or more of the significant inputs are not observable in the market or cannot be derived principally from, or corroborated by, observable market data.</w:t>
      </w:r>
    </w:p>
    <w:p>
      <w:pPr>
        <w:spacing w:after="0" w:line="73" w:lineRule="exact"/>
        <w:rPr>
          <w:sz w:val="20"/>
          <w:szCs w:val="20"/>
          <w:color w:val="auto"/>
        </w:rPr>
      </w:pPr>
    </w:p>
    <w:p>
      <w:pPr>
        <w:ind w:left="180" w:right="20" w:firstLine="324"/>
        <w:spacing w:after="0" w:line="277" w:lineRule="auto"/>
        <w:rPr>
          <w:sz w:val="20"/>
          <w:szCs w:val="20"/>
          <w:color w:val="auto"/>
        </w:rPr>
      </w:pPr>
      <w:r>
        <w:rPr>
          <w:rFonts w:ascii="Arial" w:cs="Arial" w:eastAsia="Arial" w:hAnsi="Arial"/>
          <w:sz w:val="18"/>
          <w:szCs w:val="18"/>
          <w:color w:val="auto"/>
        </w:rPr>
        <w:t>Freestanding derivatives are principally valued using the income approach. Valuations of non-option-based derivatives utilize present value techniques, whereas valuations of option-based derivatives utilize option pricing models. Key inputs are as follows:</w:t>
      </w:r>
    </w:p>
    <w:p>
      <w:pPr>
        <w:spacing w:after="0" w:line="84" w:lineRule="exact"/>
        <w:rPr>
          <w:sz w:val="20"/>
          <w:szCs w:val="20"/>
          <w:color w:val="auto"/>
        </w:rPr>
      </w:pPr>
    </w:p>
    <w:tbl>
      <w:tblPr>
        <w:tblLayout w:type="fixed"/>
        <w:tblInd w:w="10" w:type="dxa"/>
        <w:tblCellMar>
          <w:top w:w="0" w:type="dxa"/>
          <w:left w:w="0" w:type="dxa"/>
          <w:bottom w:w="0" w:type="dxa"/>
          <w:right w:w="0" w:type="dxa"/>
        </w:tblCellMar>
      </w:tblPr>
      <w:tr>
        <w:trPr>
          <w:trHeight w:val="157"/>
        </w:trPr>
        <w:tc>
          <w:tcPr>
            <w:tcW w:w="1860" w:type="dxa"/>
            <w:vAlign w:val="bottom"/>
            <w:tcBorders>
              <w:top w:val="single" w:sz="8" w:color="auto"/>
              <w:left w:val="single" w:sz="8" w:color="auto"/>
              <w:right w:val="single" w:sz="8" w:color="auto"/>
            </w:tcBorders>
          </w:tcPr>
          <w:p>
            <w:pPr>
              <w:ind w:left="620"/>
              <w:spacing w:after="0"/>
              <w:rPr>
                <w:sz w:val="20"/>
                <w:szCs w:val="20"/>
                <w:color w:val="auto"/>
              </w:rPr>
            </w:pPr>
            <w:r>
              <w:rPr>
                <w:rFonts w:ascii="Arial" w:cs="Arial" w:eastAsia="Arial" w:hAnsi="Arial"/>
                <w:sz w:val="13"/>
                <w:szCs w:val="13"/>
                <w:b w:val="1"/>
                <w:bCs w:val="1"/>
                <w:color w:val="auto"/>
              </w:rPr>
              <w:t>Instrument</w:t>
            </w:r>
          </w:p>
        </w:tc>
        <w:tc>
          <w:tcPr>
            <w:tcW w:w="160" w:type="dxa"/>
            <w:vAlign w:val="bottom"/>
            <w:tcBorders>
              <w:top w:val="single" w:sz="8" w:color="auto"/>
            </w:tcBorders>
          </w:tcPr>
          <w:p>
            <w:pPr>
              <w:spacing w:after="0"/>
              <w:rPr>
                <w:sz w:val="13"/>
                <w:szCs w:val="13"/>
                <w:color w:val="auto"/>
              </w:rPr>
            </w:pPr>
          </w:p>
        </w:tc>
        <w:tc>
          <w:tcPr>
            <w:tcW w:w="2240" w:type="dxa"/>
            <w:vAlign w:val="bottom"/>
            <w:tcBorders>
              <w:top w:val="single" w:sz="8" w:color="auto"/>
              <w:right w:val="single" w:sz="8" w:color="auto"/>
            </w:tcBorders>
          </w:tcPr>
          <w:p>
            <w:pPr>
              <w:ind w:left="800"/>
              <w:spacing w:after="0"/>
              <w:rPr>
                <w:sz w:val="20"/>
                <w:szCs w:val="20"/>
                <w:color w:val="auto"/>
              </w:rPr>
            </w:pPr>
            <w:r>
              <w:rPr>
                <w:rFonts w:ascii="Arial" w:cs="Arial" w:eastAsia="Arial" w:hAnsi="Arial"/>
                <w:sz w:val="13"/>
                <w:szCs w:val="13"/>
                <w:b w:val="1"/>
                <w:bCs w:val="1"/>
                <w:color w:val="auto"/>
              </w:rPr>
              <w:t>Interest Rate</w:t>
            </w:r>
          </w:p>
        </w:tc>
        <w:tc>
          <w:tcPr>
            <w:tcW w:w="160" w:type="dxa"/>
            <w:vAlign w:val="bottom"/>
            <w:tcBorders>
              <w:top w:val="single" w:sz="8" w:color="auto"/>
            </w:tcBorders>
          </w:tcPr>
          <w:p>
            <w:pPr>
              <w:spacing w:after="0"/>
              <w:rPr>
                <w:sz w:val="13"/>
                <w:szCs w:val="13"/>
                <w:color w:val="auto"/>
              </w:rPr>
            </w:pPr>
          </w:p>
        </w:tc>
        <w:tc>
          <w:tcPr>
            <w:tcW w:w="2260" w:type="dxa"/>
            <w:vAlign w:val="bottom"/>
            <w:tcBorders>
              <w:top w:val="single" w:sz="8" w:color="auto"/>
              <w:right w:val="single" w:sz="8" w:color="auto"/>
            </w:tcBorders>
          </w:tcPr>
          <w:p>
            <w:pPr>
              <w:ind w:left="660"/>
              <w:spacing w:after="0"/>
              <w:rPr>
                <w:sz w:val="20"/>
                <w:szCs w:val="20"/>
                <w:color w:val="auto"/>
              </w:rPr>
            </w:pPr>
            <w:r>
              <w:rPr>
                <w:rFonts w:ascii="Arial" w:cs="Arial" w:eastAsia="Arial" w:hAnsi="Arial"/>
                <w:sz w:val="13"/>
                <w:szCs w:val="13"/>
                <w:b w:val="1"/>
                <w:bCs w:val="1"/>
                <w:color w:val="auto"/>
              </w:rPr>
              <w:t>Foreign Currency</w:t>
            </w:r>
          </w:p>
        </w:tc>
        <w:tc>
          <w:tcPr>
            <w:tcW w:w="140" w:type="dxa"/>
            <w:vAlign w:val="bottom"/>
            <w:tcBorders>
              <w:top w:val="single" w:sz="8" w:color="auto"/>
            </w:tcBorders>
          </w:tcPr>
          <w:p>
            <w:pPr>
              <w:spacing w:after="0"/>
              <w:rPr>
                <w:sz w:val="13"/>
                <w:szCs w:val="13"/>
                <w:color w:val="auto"/>
              </w:rPr>
            </w:pPr>
          </w:p>
        </w:tc>
        <w:tc>
          <w:tcPr>
            <w:tcW w:w="2240" w:type="dxa"/>
            <w:vAlign w:val="bottom"/>
            <w:tcBorders>
              <w:top w:val="single" w:sz="8" w:color="auto"/>
              <w:right w:val="single" w:sz="8" w:color="auto"/>
            </w:tcBorders>
          </w:tcPr>
          <w:p>
            <w:pPr>
              <w:ind w:left="960"/>
              <w:spacing w:after="0"/>
              <w:rPr>
                <w:sz w:val="20"/>
                <w:szCs w:val="20"/>
                <w:color w:val="auto"/>
              </w:rPr>
            </w:pPr>
            <w:r>
              <w:rPr>
                <w:rFonts w:ascii="Arial" w:cs="Arial" w:eastAsia="Arial" w:hAnsi="Arial"/>
                <w:sz w:val="13"/>
                <w:szCs w:val="13"/>
                <w:b w:val="1"/>
                <w:bCs w:val="1"/>
                <w:color w:val="auto"/>
              </w:rPr>
              <w:t>Credit</w:t>
            </w:r>
          </w:p>
        </w:tc>
        <w:tc>
          <w:tcPr>
            <w:tcW w:w="160" w:type="dxa"/>
            <w:vAlign w:val="bottom"/>
            <w:tcBorders>
              <w:top w:val="single" w:sz="8" w:color="auto"/>
            </w:tcBorders>
          </w:tcPr>
          <w:p>
            <w:pPr>
              <w:spacing w:after="0"/>
              <w:rPr>
                <w:sz w:val="13"/>
                <w:szCs w:val="13"/>
                <w:color w:val="auto"/>
              </w:rPr>
            </w:pPr>
          </w:p>
        </w:tc>
        <w:tc>
          <w:tcPr>
            <w:tcW w:w="2220" w:type="dxa"/>
            <w:vAlign w:val="bottom"/>
            <w:tcBorders>
              <w:top w:val="single" w:sz="8" w:color="auto"/>
              <w:right w:val="single" w:sz="8" w:color="auto"/>
            </w:tcBorders>
          </w:tcPr>
          <w:p>
            <w:pPr>
              <w:ind w:left="720"/>
              <w:spacing w:after="0"/>
              <w:rPr>
                <w:sz w:val="20"/>
                <w:szCs w:val="20"/>
                <w:color w:val="auto"/>
              </w:rPr>
            </w:pPr>
            <w:r>
              <w:rPr>
                <w:rFonts w:ascii="Arial" w:cs="Arial" w:eastAsia="Arial" w:hAnsi="Arial"/>
                <w:sz w:val="13"/>
                <w:szCs w:val="13"/>
                <w:b w:val="1"/>
                <w:bCs w:val="1"/>
                <w:color w:val="auto"/>
              </w:rPr>
              <w:t>Equity Market</w:t>
            </w:r>
          </w:p>
        </w:tc>
      </w:tr>
      <w:tr>
        <w:trPr>
          <w:trHeight w:val="174"/>
        </w:trPr>
        <w:tc>
          <w:tcPr>
            <w:tcW w:w="1860" w:type="dxa"/>
            <w:vAlign w:val="bottom"/>
            <w:tcBorders>
              <w:left w:val="single" w:sz="8" w:color="auto"/>
              <w:bottom w:val="single" w:sz="8" w:color="auto"/>
              <w:right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240" w:type="dxa"/>
            <w:vAlign w:val="bottom"/>
            <w:tcBorders>
              <w:bottom w:val="single" w:sz="8" w:color="auto"/>
              <w:right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260" w:type="dxa"/>
            <w:vAlign w:val="bottom"/>
            <w:tcBorders>
              <w:bottom w:val="single" w:sz="8" w:color="auto"/>
              <w:right w:val="single" w:sz="8" w:color="auto"/>
            </w:tcBorders>
          </w:tcPr>
          <w:p>
            <w:pPr>
              <w:ind w:left="740"/>
              <w:spacing w:after="0"/>
              <w:rPr>
                <w:sz w:val="20"/>
                <w:szCs w:val="20"/>
                <w:color w:val="auto"/>
              </w:rPr>
            </w:pPr>
            <w:r>
              <w:rPr>
                <w:rFonts w:ascii="Arial" w:cs="Arial" w:eastAsia="Arial" w:hAnsi="Arial"/>
                <w:sz w:val="13"/>
                <w:szCs w:val="13"/>
                <w:b w:val="1"/>
                <w:bCs w:val="1"/>
                <w:color w:val="auto"/>
              </w:rPr>
              <w:t>Exchange Rate</w:t>
            </w:r>
          </w:p>
        </w:tc>
        <w:tc>
          <w:tcPr>
            <w:tcW w:w="140" w:type="dxa"/>
            <w:vAlign w:val="bottom"/>
            <w:tcBorders>
              <w:bottom w:val="single" w:sz="8" w:color="auto"/>
            </w:tcBorders>
          </w:tcPr>
          <w:p>
            <w:pPr>
              <w:spacing w:after="0"/>
              <w:rPr>
                <w:sz w:val="15"/>
                <w:szCs w:val="15"/>
                <w:color w:val="auto"/>
              </w:rPr>
            </w:pPr>
          </w:p>
        </w:tc>
        <w:tc>
          <w:tcPr>
            <w:tcW w:w="2240" w:type="dxa"/>
            <w:vAlign w:val="bottom"/>
            <w:tcBorders>
              <w:bottom w:val="single" w:sz="8" w:color="auto"/>
              <w:right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220" w:type="dxa"/>
            <w:vAlign w:val="bottom"/>
            <w:tcBorders>
              <w:bottom w:val="single" w:sz="8" w:color="auto"/>
              <w:right w:val="single" w:sz="8" w:color="auto"/>
            </w:tcBorders>
          </w:tcPr>
          <w:p>
            <w:pPr>
              <w:spacing w:after="0"/>
              <w:rPr>
                <w:sz w:val="15"/>
                <w:szCs w:val="15"/>
                <w:color w:val="auto"/>
              </w:rPr>
            </w:pPr>
          </w:p>
        </w:tc>
      </w:tr>
      <w:tr>
        <w:trPr>
          <w:trHeight w:val="157"/>
        </w:trPr>
        <w:tc>
          <w:tcPr>
            <w:tcW w:w="1860" w:type="dxa"/>
            <w:vAlign w:val="bottom"/>
            <w:tcBorders>
              <w:left w:val="single" w:sz="8" w:color="auto"/>
              <w:right w:val="single" w:sz="8" w:color="auto"/>
            </w:tcBorders>
          </w:tcPr>
          <w:p>
            <w:pPr>
              <w:ind w:left="40"/>
              <w:spacing w:after="0" w:line="157" w:lineRule="exact"/>
              <w:rPr>
                <w:sz w:val="20"/>
                <w:szCs w:val="20"/>
                <w:color w:val="auto"/>
              </w:rPr>
            </w:pPr>
            <w:r>
              <w:rPr>
                <w:rFonts w:ascii="Arial" w:cs="Arial" w:eastAsia="Arial" w:hAnsi="Arial"/>
                <w:sz w:val="14"/>
                <w:szCs w:val="14"/>
                <w:color w:val="auto"/>
                <w:w w:val="94"/>
              </w:rPr>
              <w:t>Inputs common to Level 2 and</w:t>
            </w:r>
          </w:p>
        </w:tc>
        <w:tc>
          <w:tcPr>
            <w:tcW w:w="160" w:type="dxa"/>
            <w:vAlign w:val="bottom"/>
          </w:tcPr>
          <w:p>
            <w:pPr>
              <w:ind w:left="20"/>
              <w:spacing w:after="0" w:line="157" w:lineRule="exact"/>
              <w:rPr>
                <w:sz w:val="20"/>
                <w:szCs w:val="20"/>
                <w:color w:val="auto"/>
              </w:rPr>
            </w:pPr>
            <w:r>
              <w:rPr>
                <w:rFonts w:ascii="Arial" w:cs="Arial" w:eastAsia="Arial" w:hAnsi="Arial"/>
                <w:sz w:val="14"/>
                <w:szCs w:val="14"/>
                <w:color w:val="auto"/>
              </w:rPr>
              <w:t>•</w:t>
            </w:r>
          </w:p>
        </w:tc>
        <w:tc>
          <w:tcPr>
            <w:tcW w:w="2240" w:type="dxa"/>
            <w:vAlign w:val="bottom"/>
            <w:tcBorders>
              <w:right w:val="single" w:sz="8" w:color="auto"/>
            </w:tcBorders>
          </w:tcPr>
          <w:p>
            <w:pPr>
              <w:ind w:left="80"/>
              <w:spacing w:after="0" w:line="157" w:lineRule="exact"/>
              <w:rPr>
                <w:sz w:val="20"/>
                <w:szCs w:val="20"/>
                <w:color w:val="auto"/>
              </w:rPr>
            </w:pPr>
            <w:r>
              <w:rPr>
                <w:rFonts w:ascii="Arial" w:cs="Arial" w:eastAsia="Arial" w:hAnsi="Arial"/>
                <w:sz w:val="14"/>
                <w:szCs w:val="14"/>
                <w:color w:val="auto"/>
              </w:rPr>
              <w:t>swap yield curves</w:t>
            </w:r>
          </w:p>
        </w:tc>
        <w:tc>
          <w:tcPr>
            <w:tcW w:w="160" w:type="dxa"/>
            <w:vAlign w:val="bottom"/>
          </w:tcPr>
          <w:p>
            <w:pPr>
              <w:ind w:left="20"/>
              <w:spacing w:after="0" w:line="157" w:lineRule="exact"/>
              <w:rPr>
                <w:sz w:val="20"/>
                <w:szCs w:val="20"/>
                <w:color w:val="auto"/>
              </w:rPr>
            </w:pPr>
            <w:r>
              <w:rPr>
                <w:rFonts w:ascii="Arial" w:cs="Arial" w:eastAsia="Arial" w:hAnsi="Arial"/>
                <w:sz w:val="14"/>
                <w:szCs w:val="14"/>
                <w:color w:val="auto"/>
              </w:rPr>
              <w:t>•</w:t>
            </w:r>
          </w:p>
        </w:tc>
        <w:tc>
          <w:tcPr>
            <w:tcW w:w="2260" w:type="dxa"/>
            <w:vAlign w:val="bottom"/>
            <w:tcBorders>
              <w:right w:val="single" w:sz="8" w:color="auto"/>
            </w:tcBorders>
          </w:tcPr>
          <w:p>
            <w:pPr>
              <w:ind w:left="80"/>
              <w:spacing w:after="0" w:line="157" w:lineRule="exact"/>
              <w:rPr>
                <w:sz w:val="20"/>
                <w:szCs w:val="20"/>
                <w:color w:val="auto"/>
              </w:rPr>
            </w:pPr>
            <w:r>
              <w:rPr>
                <w:rFonts w:ascii="Arial" w:cs="Arial" w:eastAsia="Arial" w:hAnsi="Arial"/>
                <w:sz w:val="14"/>
                <w:szCs w:val="14"/>
                <w:color w:val="auto"/>
              </w:rPr>
              <w:t>swap yield curves</w:t>
            </w:r>
          </w:p>
        </w:tc>
        <w:tc>
          <w:tcPr>
            <w:tcW w:w="140" w:type="dxa"/>
            <w:vAlign w:val="bottom"/>
          </w:tcPr>
          <w:p>
            <w:pPr>
              <w:ind w:left="20"/>
              <w:spacing w:after="0" w:line="157" w:lineRule="exact"/>
              <w:rPr>
                <w:sz w:val="20"/>
                <w:szCs w:val="20"/>
                <w:color w:val="auto"/>
              </w:rPr>
            </w:pPr>
            <w:r>
              <w:rPr>
                <w:rFonts w:ascii="Arial" w:cs="Arial" w:eastAsia="Arial" w:hAnsi="Arial"/>
                <w:sz w:val="14"/>
                <w:szCs w:val="14"/>
                <w:color w:val="auto"/>
              </w:rPr>
              <w:t>•</w:t>
            </w:r>
          </w:p>
        </w:tc>
        <w:tc>
          <w:tcPr>
            <w:tcW w:w="2240" w:type="dxa"/>
            <w:vAlign w:val="bottom"/>
            <w:tcBorders>
              <w:right w:val="single" w:sz="8" w:color="auto"/>
            </w:tcBorders>
          </w:tcPr>
          <w:p>
            <w:pPr>
              <w:ind w:left="80"/>
              <w:spacing w:after="0" w:line="157" w:lineRule="exact"/>
              <w:rPr>
                <w:sz w:val="20"/>
                <w:szCs w:val="20"/>
                <w:color w:val="auto"/>
              </w:rPr>
            </w:pPr>
            <w:r>
              <w:rPr>
                <w:rFonts w:ascii="Arial" w:cs="Arial" w:eastAsia="Arial" w:hAnsi="Arial"/>
                <w:sz w:val="14"/>
                <w:szCs w:val="14"/>
                <w:color w:val="auto"/>
              </w:rPr>
              <w:t>swap yield curves</w:t>
            </w:r>
          </w:p>
        </w:tc>
        <w:tc>
          <w:tcPr>
            <w:tcW w:w="160" w:type="dxa"/>
            <w:vAlign w:val="bottom"/>
          </w:tcPr>
          <w:p>
            <w:pPr>
              <w:ind w:left="20"/>
              <w:spacing w:after="0" w:line="157" w:lineRule="exact"/>
              <w:rPr>
                <w:sz w:val="20"/>
                <w:szCs w:val="20"/>
                <w:color w:val="auto"/>
              </w:rPr>
            </w:pPr>
            <w:r>
              <w:rPr>
                <w:rFonts w:ascii="Arial" w:cs="Arial" w:eastAsia="Arial" w:hAnsi="Arial"/>
                <w:sz w:val="14"/>
                <w:szCs w:val="14"/>
                <w:color w:val="auto"/>
              </w:rPr>
              <w:t>•</w:t>
            </w:r>
          </w:p>
        </w:tc>
        <w:tc>
          <w:tcPr>
            <w:tcW w:w="2220" w:type="dxa"/>
            <w:vAlign w:val="bottom"/>
            <w:tcBorders>
              <w:right w:val="single" w:sz="8" w:color="auto"/>
            </w:tcBorders>
          </w:tcPr>
          <w:p>
            <w:pPr>
              <w:ind w:left="60"/>
              <w:spacing w:after="0" w:line="157" w:lineRule="exact"/>
              <w:rPr>
                <w:sz w:val="20"/>
                <w:szCs w:val="20"/>
                <w:color w:val="auto"/>
              </w:rPr>
            </w:pPr>
            <w:r>
              <w:rPr>
                <w:rFonts w:ascii="Arial" w:cs="Arial" w:eastAsia="Arial" w:hAnsi="Arial"/>
                <w:sz w:val="14"/>
                <w:szCs w:val="14"/>
                <w:color w:val="auto"/>
              </w:rPr>
              <w:t>swap yield curves</w:t>
            </w:r>
          </w:p>
        </w:tc>
      </w:tr>
      <w:tr>
        <w:trPr>
          <w:trHeight w:val="236"/>
        </w:trPr>
        <w:tc>
          <w:tcPr>
            <w:tcW w:w="1860" w:type="dxa"/>
            <w:vAlign w:val="bottom"/>
            <w:tcBorders>
              <w:left w:val="single" w:sz="8" w:color="auto"/>
              <w:right w:val="single" w:sz="8" w:color="auto"/>
            </w:tcBorders>
          </w:tcPr>
          <w:p>
            <w:pPr>
              <w:ind w:left="220"/>
              <w:spacing w:after="0"/>
              <w:rPr>
                <w:sz w:val="20"/>
                <w:szCs w:val="20"/>
                <w:color w:val="auto"/>
              </w:rPr>
            </w:pPr>
            <w:r>
              <w:rPr>
                <w:rFonts w:ascii="Arial" w:cs="Arial" w:eastAsia="Arial" w:hAnsi="Arial"/>
                <w:sz w:val="14"/>
                <w:szCs w:val="14"/>
                <w:color w:val="auto"/>
                <w:w w:val="97"/>
              </w:rPr>
              <w:t>Level 3 by instrument type</w:t>
            </w:r>
          </w:p>
        </w:tc>
        <w:tc>
          <w:tcPr>
            <w:tcW w:w="160" w:type="dxa"/>
            <w:vAlign w:val="bottom"/>
          </w:tcPr>
          <w:p>
            <w:pPr>
              <w:ind w:left="20"/>
              <w:spacing w:after="0"/>
              <w:rPr>
                <w:sz w:val="20"/>
                <w:szCs w:val="20"/>
                <w:color w:val="auto"/>
              </w:rPr>
            </w:pPr>
            <w:r>
              <w:rPr>
                <w:rFonts w:ascii="Arial" w:cs="Arial" w:eastAsia="Arial" w:hAnsi="Arial"/>
                <w:sz w:val="14"/>
                <w:szCs w:val="14"/>
                <w:color w:val="auto"/>
              </w:rPr>
              <w:t>•</w:t>
            </w:r>
          </w:p>
        </w:tc>
        <w:tc>
          <w:tcPr>
            <w:tcW w:w="2240" w:type="dxa"/>
            <w:vAlign w:val="bottom"/>
            <w:tcBorders>
              <w:right w:val="single" w:sz="8" w:color="auto"/>
            </w:tcBorders>
          </w:tcPr>
          <w:p>
            <w:pPr>
              <w:ind w:left="80"/>
              <w:spacing w:after="0"/>
              <w:rPr>
                <w:sz w:val="20"/>
                <w:szCs w:val="20"/>
                <w:color w:val="auto"/>
              </w:rPr>
            </w:pPr>
            <w:r>
              <w:rPr>
                <w:rFonts w:ascii="Arial" w:cs="Arial" w:eastAsia="Arial" w:hAnsi="Arial"/>
                <w:sz w:val="14"/>
                <w:szCs w:val="14"/>
                <w:color w:val="auto"/>
              </w:rPr>
              <w:t>basis curves</w:t>
            </w:r>
          </w:p>
        </w:tc>
        <w:tc>
          <w:tcPr>
            <w:tcW w:w="160" w:type="dxa"/>
            <w:vAlign w:val="bottom"/>
          </w:tcPr>
          <w:p>
            <w:pPr>
              <w:ind w:left="20"/>
              <w:spacing w:after="0"/>
              <w:rPr>
                <w:sz w:val="20"/>
                <w:szCs w:val="20"/>
                <w:color w:val="auto"/>
              </w:rPr>
            </w:pPr>
            <w:r>
              <w:rPr>
                <w:rFonts w:ascii="Arial" w:cs="Arial" w:eastAsia="Arial" w:hAnsi="Arial"/>
                <w:sz w:val="14"/>
                <w:szCs w:val="14"/>
                <w:color w:val="auto"/>
              </w:rPr>
              <w:t>•</w:t>
            </w:r>
          </w:p>
        </w:tc>
        <w:tc>
          <w:tcPr>
            <w:tcW w:w="2260" w:type="dxa"/>
            <w:vAlign w:val="bottom"/>
            <w:tcBorders>
              <w:right w:val="single" w:sz="8" w:color="auto"/>
            </w:tcBorders>
          </w:tcPr>
          <w:p>
            <w:pPr>
              <w:ind w:left="80"/>
              <w:spacing w:after="0"/>
              <w:rPr>
                <w:sz w:val="20"/>
                <w:szCs w:val="20"/>
                <w:color w:val="auto"/>
              </w:rPr>
            </w:pPr>
            <w:r>
              <w:rPr>
                <w:rFonts w:ascii="Arial" w:cs="Arial" w:eastAsia="Arial" w:hAnsi="Arial"/>
                <w:sz w:val="14"/>
                <w:szCs w:val="14"/>
                <w:color w:val="auto"/>
              </w:rPr>
              <w:t>basis curves</w:t>
            </w:r>
          </w:p>
        </w:tc>
        <w:tc>
          <w:tcPr>
            <w:tcW w:w="140" w:type="dxa"/>
            <w:vAlign w:val="bottom"/>
          </w:tcPr>
          <w:p>
            <w:pPr>
              <w:ind w:left="20"/>
              <w:spacing w:after="0"/>
              <w:rPr>
                <w:sz w:val="20"/>
                <w:szCs w:val="20"/>
                <w:color w:val="auto"/>
              </w:rPr>
            </w:pPr>
            <w:r>
              <w:rPr>
                <w:rFonts w:ascii="Arial" w:cs="Arial" w:eastAsia="Arial" w:hAnsi="Arial"/>
                <w:sz w:val="14"/>
                <w:szCs w:val="14"/>
                <w:color w:val="auto"/>
              </w:rPr>
              <w:t>•</w:t>
            </w:r>
          </w:p>
        </w:tc>
        <w:tc>
          <w:tcPr>
            <w:tcW w:w="2240" w:type="dxa"/>
            <w:vAlign w:val="bottom"/>
            <w:tcBorders>
              <w:right w:val="single" w:sz="8" w:color="auto"/>
            </w:tcBorders>
          </w:tcPr>
          <w:p>
            <w:pPr>
              <w:ind w:left="80"/>
              <w:spacing w:after="0"/>
              <w:rPr>
                <w:sz w:val="20"/>
                <w:szCs w:val="20"/>
                <w:color w:val="auto"/>
              </w:rPr>
            </w:pPr>
            <w:r>
              <w:rPr>
                <w:rFonts w:ascii="Arial" w:cs="Arial" w:eastAsia="Arial" w:hAnsi="Arial"/>
                <w:sz w:val="14"/>
                <w:szCs w:val="14"/>
                <w:color w:val="auto"/>
              </w:rPr>
              <w:t>credit curves</w:t>
            </w:r>
          </w:p>
        </w:tc>
        <w:tc>
          <w:tcPr>
            <w:tcW w:w="160" w:type="dxa"/>
            <w:vAlign w:val="bottom"/>
          </w:tcPr>
          <w:p>
            <w:pPr>
              <w:ind w:left="20"/>
              <w:spacing w:after="0"/>
              <w:rPr>
                <w:sz w:val="20"/>
                <w:szCs w:val="20"/>
                <w:color w:val="auto"/>
              </w:rPr>
            </w:pPr>
            <w:r>
              <w:rPr>
                <w:rFonts w:ascii="Arial" w:cs="Arial" w:eastAsia="Arial" w:hAnsi="Arial"/>
                <w:sz w:val="14"/>
                <w:szCs w:val="14"/>
                <w:color w:val="auto"/>
              </w:rPr>
              <w:t>•</w:t>
            </w:r>
          </w:p>
        </w:tc>
        <w:tc>
          <w:tcPr>
            <w:tcW w:w="2220" w:type="dxa"/>
            <w:vAlign w:val="bottom"/>
            <w:tcBorders>
              <w:right w:val="single" w:sz="8" w:color="auto"/>
            </w:tcBorders>
          </w:tcPr>
          <w:p>
            <w:pPr>
              <w:ind w:left="60"/>
              <w:spacing w:after="0"/>
              <w:rPr>
                <w:sz w:val="20"/>
                <w:szCs w:val="20"/>
                <w:color w:val="auto"/>
              </w:rPr>
            </w:pPr>
            <w:r>
              <w:rPr>
                <w:rFonts w:ascii="Arial" w:cs="Arial" w:eastAsia="Arial" w:hAnsi="Arial"/>
                <w:sz w:val="14"/>
                <w:szCs w:val="14"/>
                <w:color w:val="auto"/>
              </w:rPr>
              <w:t>spot equity index levels</w:t>
            </w:r>
          </w:p>
        </w:tc>
      </w:tr>
      <w:tr>
        <w:trPr>
          <w:trHeight w:val="203"/>
        </w:trPr>
        <w:tc>
          <w:tcPr>
            <w:tcW w:w="1860" w:type="dxa"/>
            <w:vAlign w:val="bottom"/>
            <w:tcBorders>
              <w:left w:val="single" w:sz="8" w:color="auto"/>
              <w:right w:val="single" w:sz="8" w:color="auto"/>
            </w:tcBorders>
          </w:tcPr>
          <w:p>
            <w:pPr>
              <w:spacing w:after="0"/>
              <w:rPr>
                <w:sz w:val="17"/>
                <w:szCs w:val="17"/>
                <w:color w:val="auto"/>
              </w:rPr>
            </w:pPr>
          </w:p>
        </w:tc>
        <w:tc>
          <w:tcPr>
            <w:tcW w:w="2400" w:type="dxa"/>
            <w:vAlign w:val="bottom"/>
            <w:tcBorders>
              <w:right w:val="single" w:sz="8" w:color="auto"/>
            </w:tcBorders>
            <w:gridSpan w:val="2"/>
          </w:tcPr>
          <w:p>
            <w:pPr>
              <w:ind w:left="20"/>
              <w:spacing w:after="0"/>
              <w:rPr>
                <w:sz w:val="20"/>
                <w:szCs w:val="20"/>
                <w:color w:val="auto"/>
              </w:rPr>
            </w:pPr>
            <w:r>
              <w:rPr>
                <w:rFonts w:ascii="Arial" w:cs="Arial" w:eastAsia="Arial" w:hAnsi="Arial"/>
                <w:sz w:val="14"/>
                <w:szCs w:val="14"/>
                <w:color w:val="auto"/>
              </w:rPr>
              <w:t>•   interest rate volatility (1)</w:t>
            </w:r>
          </w:p>
        </w:tc>
        <w:tc>
          <w:tcPr>
            <w:tcW w:w="160" w:type="dxa"/>
            <w:vAlign w:val="bottom"/>
          </w:tcPr>
          <w:p>
            <w:pPr>
              <w:ind w:left="20"/>
              <w:spacing w:after="0"/>
              <w:rPr>
                <w:sz w:val="20"/>
                <w:szCs w:val="20"/>
                <w:color w:val="auto"/>
              </w:rPr>
            </w:pPr>
            <w:r>
              <w:rPr>
                <w:rFonts w:ascii="Arial" w:cs="Arial" w:eastAsia="Arial" w:hAnsi="Arial"/>
                <w:sz w:val="14"/>
                <w:szCs w:val="14"/>
                <w:color w:val="auto"/>
              </w:rPr>
              <w:t>•</w:t>
            </w:r>
          </w:p>
        </w:tc>
        <w:tc>
          <w:tcPr>
            <w:tcW w:w="2260" w:type="dxa"/>
            <w:vAlign w:val="bottom"/>
            <w:tcBorders>
              <w:right w:val="single" w:sz="8" w:color="auto"/>
            </w:tcBorders>
          </w:tcPr>
          <w:p>
            <w:pPr>
              <w:ind w:left="80"/>
              <w:spacing w:after="0"/>
              <w:rPr>
                <w:sz w:val="20"/>
                <w:szCs w:val="20"/>
                <w:color w:val="auto"/>
              </w:rPr>
            </w:pPr>
            <w:r>
              <w:rPr>
                <w:rFonts w:ascii="Arial" w:cs="Arial" w:eastAsia="Arial" w:hAnsi="Arial"/>
                <w:sz w:val="14"/>
                <w:szCs w:val="14"/>
                <w:color w:val="auto"/>
              </w:rPr>
              <w:t>currency spot rates</w:t>
            </w:r>
          </w:p>
        </w:tc>
        <w:tc>
          <w:tcPr>
            <w:tcW w:w="140" w:type="dxa"/>
            <w:vAlign w:val="bottom"/>
          </w:tcPr>
          <w:p>
            <w:pPr>
              <w:ind w:left="20"/>
              <w:spacing w:after="0"/>
              <w:rPr>
                <w:sz w:val="20"/>
                <w:szCs w:val="20"/>
                <w:color w:val="auto"/>
              </w:rPr>
            </w:pPr>
            <w:r>
              <w:rPr>
                <w:rFonts w:ascii="Arial" w:cs="Arial" w:eastAsia="Arial" w:hAnsi="Arial"/>
                <w:sz w:val="14"/>
                <w:szCs w:val="14"/>
                <w:color w:val="auto"/>
              </w:rPr>
              <w:t>•</w:t>
            </w:r>
          </w:p>
        </w:tc>
        <w:tc>
          <w:tcPr>
            <w:tcW w:w="2240" w:type="dxa"/>
            <w:vAlign w:val="bottom"/>
            <w:tcBorders>
              <w:right w:val="single" w:sz="8" w:color="auto"/>
            </w:tcBorders>
          </w:tcPr>
          <w:p>
            <w:pPr>
              <w:ind w:left="80"/>
              <w:spacing w:after="0"/>
              <w:rPr>
                <w:sz w:val="20"/>
                <w:szCs w:val="20"/>
                <w:color w:val="auto"/>
              </w:rPr>
            </w:pPr>
            <w:r>
              <w:rPr>
                <w:rFonts w:ascii="Arial" w:cs="Arial" w:eastAsia="Arial" w:hAnsi="Arial"/>
                <w:sz w:val="14"/>
                <w:szCs w:val="14"/>
                <w:color w:val="auto"/>
              </w:rPr>
              <w:t>recovery rates</w:t>
            </w:r>
          </w:p>
        </w:tc>
        <w:tc>
          <w:tcPr>
            <w:tcW w:w="160" w:type="dxa"/>
            <w:vAlign w:val="bottom"/>
          </w:tcPr>
          <w:p>
            <w:pPr>
              <w:ind w:left="20"/>
              <w:spacing w:after="0"/>
              <w:rPr>
                <w:sz w:val="20"/>
                <w:szCs w:val="20"/>
                <w:color w:val="auto"/>
              </w:rPr>
            </w:pPr>
            <w:r>
              <w:rPr>
                <w:rFonts w:ascii="Arial" w:cs="Arial" w:eastAsia="Arial" w:hAnsi="Arial"/>
                <w:sz w:val="14"/>
                <w:szCs w:val="14"/>
                <w:color w:val="auto"/>
              </w:rPr>
              <w:t>•</w:t>
            </w:r>
          </w:p>
        </w:tc>
        <w:tc>
          <w:tcPr>
            <w:tcW w:w="2220" w:type="dxa"/>
            <w:vAlign w:val="bottom"/>
            <w:tcBorders>
              <w:right w:val="single" w:sz="8" w:color="auto"/>
            </w:tcBorders>
          </w:tcPr>
          <w:p>
            <w:pPr>
              <w:ind w:left="60"/>
              <w:spacing w:after="0"/>
              <w:rPr>
                <w:sz w:val="20"/>
                <w:szCs w:val="20"/>
                <w:color w:val="auto"/>
              </w:rPr>
            </w:pPr>
            <w:r>
              <w:rPr>
                <w:rFonts w:ascii="Arial" w:cs="Arial" w:eastAsia="Arial" w:hAnsi="Arial"/>
                <w:sz w:val="14"/>
                <w:szCs w:val="14"/>
                <w:color w:val="auto"/>
              </w:rPr>
              <w:t>dividend yield curves</w:t>
            </w:r>
          </w:p>
        </w:tc>
      </w:tr>
      <w:tr>
        <w:trPr>
          <w:trHeight w:val="203"/>
        </w:trPr>
        <w:tc>
          <w:tcPr>
            <w:tcW w:w="1860" w:type="dxa"/>
            <w:vAlign w:val="bottom"/>
            <w:tcBorders>
              <w:left w:val="single" w:sz="8" w:color="auto"/>
              <w:right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2240" w:type="dxa"/>
            <w:vAlign w:val="bottom"/>
            <w:tcBorders>
              <w:right w:val="single" w:sz="8" w:color="auto"/>
            </w:tcBorders>
          </w:tcPr>
          <w:p>
            <w:pPr>
              <w:spacing w:after="0"/>
              <w:rPr>
                <w:sz w:val="17"/>
                <w:szCs w:val="17"/>
                <w:color w:val="auto"/>
              </w:rPr>
            </w:pPr>
          </w:p>
        </w:tc>
        <w:tc>
          <w:tcPr>
            <w:tcW w:w="2420" w:type="dxa"/>
            <w:vAlign w:val="bottom"/>
            <w:tcBorders>
              <w:right w:val="single" w:sz="8" w:color="auto"/>
            </w:tcBorders>
            <w:gridSpan w:val="2"/>
          </w:tcPr>
          <w:p>
            <w:pPr>
              <w:ind w:left="20"/>
              <w:spacing w:after="0"/>
              <w:rPr>
                <w:sz w:val="20"/>
                <w:szCs w:val="20"/>
                <w:color w:val="auto"/>
              </w:rPr>
            </w:pPr>
            <w:r>
              <w:rPr>
                <w:rFonts w:ascii="Arial" w:cs="Arial" w:eastAsia="Arial" w:hAnsi="Arial"/>
                <w:sz w:val="14"/>
                <w:szCs w:val="14"/>
                <w:color w:val="auto"/>
              </w:rPr>
              <w:t>•   cross currency basis curves</w:t>
            </w:r>
          </w:p>
        </w:tc>
        <w:tc>
          <w:tcPr>
            <w:tcW w:w="140" w:type="dxa"/>
            <w:vAlign w:val="bottom"/>
          </w:tcPr>
          <w:p>
            <w:pPr>
              <w:spacing w:after="0"/>
              <w:rPr>
                <w:sz w:val="17"/>
                <w:szCs w:val="17"/>
                <w:color w:val="auto"/>
              </w:rPr>
            </w:pPr>
          </w:p>
        </w:tc>
        <w:tc>
          <w:tcPr>
            <w:tcW w:w="2240" w:type="dxa"/>
            <w:vAlign w:val="bottom"/>
            <w:tcBorders>
              <w:right w:val="single" w:sz="8" w:color="auto"/>
            </w:tcBorders>
          </w:tcPr>
          <w:p>
            <w:pPr>
              <w:spacing w:after="0"/>
              <w:rPr>
                <w:sz w:val="17"/>
                <w:szCs w:val="17"/>
                <w:color w:val="auto"/>
              </w:rPr>
            </w:pPr>
          </w:p>
        </w:tc>
        <w:tc>
          <w:tcPr>
            <w:tcW w:w="160" w:type="dxa"/>
            <w:vAlign w:val="bottom"/>
          </w:tcPr>
          <w:p>
            <w:pPr>
              <w:ind w:left="20"/>
              <w:spacing w:after="0"/>
              <w:rPr>
                <w:sz w:val="20"/>
                <w:szCs w:val="20"/>
                <w:color w:val="auto"/>
              </w:rPr>
            </w:pPr>
            <w:r>
              <w:rPr>
                <w:rFonts w:ascii="Arial" w:cs="Arial" w:eastAsia="Arial" w:hAnsi="Arial"/>
                <w:sz w:val="14"/>
                <w:szCs w:val="14"/>
                <w:color w:val="auto"/>
              </w:rPr>
              <w:t>•</w:t>
            </w:r>
          </w:p>
        </w:tc>
        <w:tc>
          <w:tcPr>
            <w:tcW w:w="2220" w:type="dxa"/>
            <w:vAlign w:val="bottom"/>
            <w:tcBorders>
              <w:right w:val="single" w:sz="8" w:color="auto"/>
            </w:tcBorders>
          </w:tcPr>
          <w:p>
            <w:pPr>
              <w:ind w:left="60"/>
              <w:spacing w:after="0"/>
              <w:rPr>
                <w:sz w:val="20"/>
                <w:szCs w:val="20"/>
                <w:color w:val="auto"/>
              </w:rPr>
            </w:pPr>
            <w:r>
              <w:rPr>
                <w:rFonts w:ascii="Arial" w:cs="Arial" w:eastAsia="Arial" w:hAnsi="Arial"/>
                <w:sz w:val="14"/>
                <w:szCs w:val="14"/>
                <w:color w:val="auto"/>
              </w:rPr>
              <w:t>equity volatility (1)</w:t>
            </w:r>
          </w:p>
        </w:tc>
      </w:tr>
      <w:tr>
        <w:trPr>
          <w:trHeight w:val="161"/>
        </w:trPr>
        <w:tc>
          <w:tcPr>
            <w:tcW w:w="1860" w:type="dxa"/>
            <w:vAlign w:val="bottom"/>
            <w:tcBorders>
              <w:left w:val="single" w:sz="8" w:color="auto"/>
              <w:bottom w:val="single" w:sz="8" w:color="auto"/>
              <w:right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2240" w:type="dxa"/>
            <w:vAlign w:val="bottom"/>
            <w:tcBorders>
              <w:bottom w:val="single" w:sz="8" w:color="auto"/>
              <w:right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2260" w:type="dxa"/>
            <w:vAlign w:val="bottom"/>
            <w:tcBorders>
              <w:bottom w:val="single" w:sz="8" w:color="auto"/>
              <w:right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2240" w:type="dxa"/>
            <w:vAlign w:val="bottom"/>
            <w:tcBorders>
              <w:bottom w:val="single" w:sz="8" w:color="auto"/>
              <w:right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2220" w:type="dxa"/>
            <w:vAlign w:val="bottom"/>
            <w:tcBorders>
              <w:bottom w:val="single" w:sz="8" w:color="auto"/>
              <w:right w:val="single" w:sz="8" w:color="auto"/>
            </w:tcBorders>
          </w:tcPr>
          <w:p>
            <w:pPr>
              <w:spacing w:after="0"/>
              <w:rPr>
                <w:sz w:val="13"/>
                <w:szCs w:val="13"/>
                <w:color w:val="auto"/>
              </w:rPr>
            </w:pPr>
          </w:p>
        </w:tc>
      </w:tr>
      <w:tr>
        <w:trPr>
          <w:trHeight w:val="184"/>
        </w:trPr>
        <w:tc>
          <w:tcPr>
            <w:tcW w:w="18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Level 3</w:t>
            </w:r>
          </w:p>
        </w:tc>
        <w:tc>
          <w:tcPr>
            <w:tcW w:w="160" w:type="dxa"/>
            <w:vAlign w:val="bottom"/>
          </w:tcPr>
          <w:p>
            <w:pPr>
              <w:ind w:left="20"/>
              <w:spacing w:after="0"/>
              <w:rPr>
                <w:sz w:val="20"/>
                <w:szCs w:val="20"/>
                <w:color w:val="auto"/>
              </w:rPr>
            </w:pPr>
            <w:r>
              <w:rPr>
                <w:rFonts w:ascii="Arial" w:cs="Arial" w:eastAsia="Arial" w:hAnsi="Arial"/>
                <w:sz w:val="14"/>
                <w:szCs w:val="14"/>
                <w:color w:val="auto"/>
              </w:rPr>
              <w:t>•</w:t>
            </w:r>
          </w:p>
        </w:tc>
        <w:tc>
          <w:tcPr>
            <w:tcW w:w="2240" w:type="dxa"/>
            <w:vAlign w:val="bottom"/>
            <w:tcBorders>
              <w:right w:val="single" w:sz="8" w:color="auto"/>
            </w:tcBorders>
          </w:tcPr>
          <w:p>
            <w:pPr>
              <w:ind w:left="80"/>
              <w:spacing w:after="0"/>
              <w:rPr>
                <w:sz w:val="20"/>
                <w:szCs w:val="20"/>
                <w:color w:val="auto"/>
              </w:rPr>
            </w:pPr>
            <w:r>
              <w:rPr>
                <w:rFonts w:ascii="Arial" w:cs="Arial" w:eastAsia="Arial" w:hAnsi="Arial"/>
                <w:sz w:val="14"/>
                <w:szCs w:val="14"/>
                <w:color w:val="auto"/>
              </w:rPr>
              <w:t>swap yield curves (2)</w:t>
            </w:r>
          </w:p>
        </w:tc>
        <w:tc>
          <w:tcPr>
            <w:tcW w:w="160" w:type="dxa"/>
            <w:vAlign w:val="bottom"/>
          </w:tcPr>
          <w:p>
            <w:pPr>
              <w:ind w:left="20"/>
              <w:spacing w:after="0"/>
              <w:rPr>
                <w:sz w:val="20"/>
                <w:szCs w:val="20"/>
                <w:color w:val="auto"/>
              </w:rPr>
            </w:pPr>
            <w:r>
              <w:rPr>
                <w:rFonts w:ascii="Arial" w:cs="Arial" w:eastAsia="Arial" w:hAnsi="Arial"/>
                <w:sz w:val="13"/>
                <w:szCs w:val="13"/>
                <w:color w:val="auto"/>
              </w:rPr>
              <w:t>•</w:t>
            </w:r>
          </w:p>
        </w:tc>
        <w:tc>
          <w:tcPr>
            <w:tcW w:w="2260" w:type="dxa"/>
            <w:vAlign w:val="bottom"/>
            <w:tcBorders>
              <w:right w:val="single" w:sz="8" w:color="auto"/>
            </w:tcBorders>
          </w:tcPr>
          <w:p>
            <w:pPr>
              <w:ind w:left="80"/>
              <w:spacing w:after="0"/>
              <w:rPr>
                <w:sz w:val="20"/>
                <w:szCs w:val="20"/>
                <w:color w:val="auto"/>
              </w:rPr>
            </w:pPr>
            <w:r>
              <w:rPr>
                <w:rFonts w:ascii="Arial" w:cs="Arial" w:eastAsia="Arial" w:hAnsi="Arial"/>
                <w:sz w:val="13"/>
                <w:szCs w:val="13"/>
                <w:color w:val="auto"/>
              </w:rPr>
              <w:t>N/A</w:t>
            </w:r>
          </w:p>
        </w:tc>
        <w:tc>
          <w:tcPr>
            <w:tcW w:w="140" w:type="dxa"/>
            <w:vAlign w:val="bottom"/>
          </w:tcPr>
          <w:p>
            <w:pPr>
              <w:ind w:left="20"/>
              <w:spacing w:after="0"/>
              <w:rPr>
                <w:sz w:val="20"/>
                <w:szCs w:val="20"/>
                <w:color w:val="auto"/>
              </w:rPr>
            </w:pPr>
            <w:r>
              <w:rPr>
                <w:rFonts w:ascii="Arial" w:cs="Arial" w:eastAsia="Arial" w:hAnsi="Arial"/>
                <w:sz w:val="14"/>
                <w:szCs w:val="14"/>
                <w:color w:val="auto"/>
              </w:rPr>
              <w:t>•</w:t>
            </w:r>
          </w:p>
        </w:tc>
        <w:tc>
          <w:tcPr>
            <w:tcW w:w="2240" w:type="dxa"/>
            <w:vAlign w:val="bottom"/>
            <w:tcBorders>
              <w:right w:val="single" w:sz="8" w:color="auto"/>
            </w:tcBorders>
          </w:tcPr>
          <w:p>
            <w:pPr>
              <w:ind w:left="80"/>
              <w:spacing w:after="0"/>
              <w:rPr>
                <w:sz w:val="20"/>
                <w:szCs w:val="20"/>
                <w:color w:val="auto"/>
              </w:rPr>
            </w:pPr>
            <w:r>
              <w:rPr>
                <w:rFonts w:ascii="Arial" w:cs="Arial" w:eastAsia="Arial" w:hAnsi="Arial"/>
                <w:sz w:val="14"/>
                <w:szCs w:val="14"/>
                <w:color w:val="auto"/>
              </w:rPr>
              <w:t>swap yield curves (2)</w:t>
            </w:r>
          </w:p>
        </w:tc>
        <w:tc>
          <w:tcPr>
            <w:tcW w:w="160" w:type="dxa"/>
            <w:vAlign w:val="bottom"/>
          </w:tcPr>
          <w:p>
            <w:pPr>
              <w:ind w:left="20"/>
              <w:spacing w:after="0"/>
              <w:rPr>
                <w:sz w:val="20"/>
                <w:szCs w:val="20"/>
                <w:color w:val="auto"/>
              </w:rPr>
            </w:pPr>
            <w:r>
              <w:rPr>
                <w:rFonts w:ascii="Arial" w:cs="Arial" w:eastAsia="Arial" w:hAnsi="Arial"/>
                <w:sz w:val="14"/>
                <w:szCs w:val="14"/>
                <w:color w:val="auto"/>
              </w:rPr>
              <w:t>•</w:t>
            </w:r>
          </w:p>
        </w:tc>
        <w:tc>
          <w:tcPr>
            <w:tcW w:w="2220" w:type="dxa"/>
            <w:vAlign w:val="bottom"/>
            <w:tcBorders>
              <w:right w:val="single" w:sz="8" w:color="auto"/>
            </w:tcBorders>
          </w:tcPr>
          <w:p>
            <w:pPr>
              <w:ind w:left="60"/>
              <w:spacing w:after="0"/>
              <w:rPr>
                <w:sz w:val="20"/>
                <w:szCs w:val="20"/>
                <w:color w:val="auto"/>
              </w:rPr>
            </w:pPr>
            <w:r>
              <w:rPr>
                <w:rFonts w:ascii="Arial" w:cs="Arial" w:eastAsia="Arial" w:hAnsi="Arial"/>
                <w:sz w:val="14"/>
                <w:szCs w:val="14"/>
                <w:color w:val="auto"/>
              </w:rPr>
              <w:t>dividend yield curves (2)</w:t>
            </w:r>
          </w:p>
        </w:tc>
      </w:tr>
      <w:tr>
        <w:trPr>
          <w:trHeight w:val="324"/>
        </w:trPr>
        <w:tc>
          <w:tcPr>
            <w:tcW w:w="1860" w:type="dxa"/>
            <w:vAlign w:val="bottom"/>
            <w:tcBorders>
              <w:left w:val="single" w:sz="8" w:color="auto"/>
              <w:right w:val="single" w:sz="8" w:color="auto"/>
            </w:tcBorders>
          </w:tcPr>
          <w:p>
            <w:pPr>
              <w:spacing w:after="0"/>
              <w:rPr>
                <w:sz w:val="24"/>
                <w:szCs w:val="24"/>
                <w:color w:val="auto"/>
              </w:rPr>
            </w:pPr>
          </w:p>
        </w:tc>
        <w:tc>
          <w:tcPr>
            <w:tcW w:w="160" w:type="dxa"/>
            <w:vAlign w:val="bottom"/>
          </w:tcPr>
          <w:p>
            <w:pPr>
              <w:ind w:left="20"/>
              <w:spacing w:after="0"/>
              <w:rPr>
                <w:sz w:val="20"/>
                <w:szCs w:val="20"/>
                <w:color w:val="auto"/>
              </w:rPr>
            </w:pPr>
            <w:r>
              <w:rPr>
                <w:rFonts w:ascii="Arial" w:cs="Arial" w:eastAsia="Arial" w:hAnsi="Arial"/>
                <w:sz w:val="14"/>
                <w:szCs w:val="14"/>
                <w:color w:val="auto"/>
              </w:rPr>
              <w:t>•</w:t>
            </w:r>
          </w:p>
        </w:tc>
        <w:tc>
          <w:tcPr>
            <w:tcW w:w="2240" w:type="dxa"/>
            <w:vAlign w:val="bottom"/>
            <w:tcBorders>
              <w:right w:val="single" w:sz="8" w:color="auto"/>
            </w:tcBorders>
          </w:tcPr>
          <w:p>
            <w:pPr>
              <w:ind w:left="80"/>
              <w:spacing w:after="0"/>
              <w:rPr>
                <w:sz w:val="20"/>
                <w:szCs w:val="20"/>
                <w:color w:val="auto"/>
              </w:rPr>
            </w:pPr>
            <w:r>
              <w:rPr>
                <w:rFonts w:ascii="Arial" w:cs="Arial" w:eastAsia="Arial" w:hAnsi="Arial"/>
                <w:sz w:val="14"/>
                <w:szCs w:val="14"/>
                <w:color w:val="auto"/>
              </w:rPr>
              <w:t>basis curves (2)</w:t>
            </w:r>
          </w:p>
        </w:tc>
        <w:tc>
          <w:tcPr>
            <w:tcW w:w="160" w:type="dxa"/>
            <w:vAlign w:val="bottom"/>
          </w:tcPr>
          <w:p>
            <w:pPr>
              <w:spacing w:after="0"/>
              <w:rPr>
                <w:sz w:val="24"/>
                <w:szCs w:val="24"/>
                <w:color w:val="auto"/>
              </w:rPr>
            </w:pPr>
          </w:p>
        </w:tc>
        <w:tc>
          <w:tcPr>
            <w:tcW w:w="2260" w:type="dxa"/>
            <w:vAlign w:val="bottom"/>
            <w:tcBorders>
              <w:right w:val="single" w:sz="8" w:color="auto"/>
            </w:tcBorders>
          </w:tcPr>
          <w:p>
            <w:pPr>
              <w:spacing w:after="0"/>
              <w:rPr>
                <w:sz w:val="24"/>
                <w:szCs w:val="24"/>
                <w:color w:val="auto"/>
              </w:rPr>
            </w:pPr>
          </w:p>
        </w:tc>
        <w:tc>
          <w:tcPr>
            <w:tcW w:w="140" w:type="dxa"/>
            <w:vAlign w:val="bottom"/>
          </w:tcPr>
          <w:p>
            <w:pPr>
              <w:ind w:left="20"/>
              <w:spacing w:after="0"/>
              <w:rPr>
                <w:sz w:val="20"/>
                <w:szCs w:val="20"/>
                <w:color w:val="auto"/>
              </w:rPr>
            </w:pPr>
            <w:r>
              <w:rPr>
                <w:rFonts w:ascii="Arial" w:cs="Arial" w:eastAsia="Arial" w:hAnsi="Arial"/>
                <w:sz w:val="14"/>
                <w:szCs w:val="14"/>
                <w:color w:val="auto"/>
              </w:rPr>
              <w:t>•</w:t>
            </w:r>
          </w:p>
        </w:tc>
        <w:tc>
          <w:tcPr>
            <w:tcW w:w="2240" w:type="dxa"/>
            <w:vAlign w:val="bottom"/>
            <w:tcBorders>
              <w:right w:val="single" w:sz="8" w:color="auto"/>
            </w:tcBorders>
          </w:tcPr>
          <w:p>
            <w:pPr>
              <w:ind w:left="80"/>
              <w:spacing w:after="0"/>
              <w:rPr>
                <w:sz w:val="20"/>
                <w:szCs w:val="20"/>
                <w:color w:val="auto"/>
              </w:rPr>
            </w:pPr>
            <w:r>
              <w:rPr>
                <w:rFonts w:ascii="Arial" w:cs="Arial" w:eastAsia="Arial" w:hAnsi="Arial"/>
                <w:sz w:val="14"/>
                <w:szCs w:val="14"/>
                <w:color w:val="auto"/>
              </w:rPr>
              <w:t>credit curves (2)</w:t>
            </w:r>
          </w:p>
        </w:tc>
        <w:tc>
          <w:tcPr>
            <w:tcW w:w="160" w:type="dxa"/>
            <w:vAlign w:val="bottom"/>
          </w:tcPr>
          <w:p>
            <w:pPr>
              <w:ind w:left="20"/>
              <w:spacing w:after="0"/>
              <w:rPr>
                <w:sz w:val="20"/>
                <w:szCs w:val="20"/>
                <w:color w:val="auto"/>
              </w:rPr>
            </w:pPr>
            <w:r>
              <w:rPr>
                <w:rFonts w:ascii="Arial" w:cs="Arial" w:eastAsia="Arial" w:hAnsi="Arial"/>
                <w:sz w:val="14"/>
                <w:szCs w:val="14"/>
                <w:color w:val="auto"/>
              </w:rPr>
              <w:t>•</w:t>
            </w:r>
          </w:p>
        </w:tc>
        <w:tc>
          <w:tcPr>
            <w:tcW w:w="2220" w:type="dxa"/>
            <w:vAlign w:val="bottom"/>
            <w:tcBorders>
              <w:right w:val="single" w:sz="8" w:color="auto"/>
            </w:tcBorders>
          </w:tcPr>
          <w:p>
            <w:pPr>
              <w:ind w:left="60"/>
              <w:spacing w:after="0"/>
              <w:rPr>
                <w:sz w:val="20"/>
                <w:szCs w:val="20"/>
                <w:color w:val="auto"/>
              </w:rPr>
            </w:pPr>
            <w:r>
              <w:rPr>
                <w:rFonts w:ascii="Arial" w:cs="Arial" w:eastAsia="Arial" w:hAnsi="Arial"/>
                <w:sz w:val="14"/>
                <w:szCs w:val="14"/>
                <w:color w:val="auto"/>
              </w:rPr>
              <w:t>equity volatility (1), (2)</w:t>
            </w:r>
          </w:p>
        </w:tc>
      </w:tr>
      <w:tr>
        <w:trPr>
          <w:trHeight w:val="317"/>
        </w:trPr>
        <w:tc>
          <w:tcPr>
            <w:tcW w:w="1860" w:type="dxa"/>
            <w:vAlign w:val="bottom"/>
            <w:tcBorders>
              <w:left w:val="single" w:sz="8" w:color="auto"/>
              <w:right w:val="single" w:sz="8" w:color="auto"/>
            </w:tcBorders>
          </w:tcPr>
          <w:p>
            <w:pPr>
              <w:spacing w:after="0"/>
              <w:rPr>
                <w:sz w:val="24"/>
                <w:szCs w:val="24"/>
                <w:color w:val="auto"/>
              </w:rPr>
            </w:pPr>
          </w:p>
        </w:tc>
        <w:tc>
          <w:tcPr>
            <w:tcW w:w="160" w:type="dxa"/>
            <w:vAlign w:val="bottom"/>
          </w:tcPr>
          <w:p>
            <w:pPr>
              <w:ind w:left="20"/>
              <w:spacing w:after="0"/>
              <w:rPr>
                <w:sz w:val="20"/>
                <w:szCs w:val="20"/>
                <w:color w:val="auto"/>
              </w:rPr>
            </w:pPr>
            <w:r>
              <w:rPr>
                <w:rFonts w:ascii="Arial" w:cs="Arial" w:eastAsia="Arial" w:hAnsi="Arial"/>
                <w:sz w:val="14"/>
                <w:szCs w:val="14"/>
                <w:b w:val="1"/>
                <w:bCs w:val="1"/>
                <w:color w:val="auto"/>
              </w:rPr>
              <w:t>•</w:t>
            </w:r>
          </w:p>
        </w:tc>
        <w:tc>
          <w:tcPr>
            <w:tcW w:w="2240" w:type="dxa"/>
            <w:vAlign w:val="bottom"/>
            <w:tcBorders>
              <w:right w:val="single" w:sz="8" w:color="auto"/>
            </w:tcBorders>
          </w:tcPr>
          <w:p>
            <w:pPr>
              <w:ind w:left="80"/>
              <w:spacing w:after="0"/>
              <w:rPr>
                <w:sz w:val="20"/>
                <w:szCs w:val="20"/>
                <w:color w:val="auto"/>
              </w:rPr>
            </w:pPr>
            <w:r>
              <w:rPr>
                <w:rFonts w:ascii="Arial" w:cs="Arial" w:eastAsia="Arial" w:hAnsi="Arial"/>
                <w:sz w:val="14"/>
                <w:szCs w:val="14"/>
                <w:color w:val="auto"/>
              </w:rPr>
              <w:t>repurchase rates</w:t>
            </w:r>
          </w:p>
        </w:tc>
        <w:tc>
          <w:tcPr>
            <w:tcW w:w="160" w:type="dxa"/>
            <w:vAlign w:val="bottom"/>
          </w:tcPr>
          <w:p>
            <w:pPr>
              <w:spacing w:after="0"/>
              <w:rPr>
                <w:sz w:val="24"/>
                <w:szCs w:val="24"/>
                <w:color w:val="auto"/>
              </w:rPr>
            </w:pPr>
          </w:p>
        </w:tc>
        <w:tc>
          <w:tcPr>
            <w:tcW w:w="2260" w:type="dxa"/>
            <w:vAlign w:val="bottom"/>
            <w:tcBorders>
              <w:right w:val="single" w:sz="8" w:color="auto"/>
            </w:tcBorders>
          </w:tcPr>
          <w:p>
            <w:pPr>
              <w:spacing w:after="0"/>
              <w:rPr>
                <w:sz w:val="24"/>
                <w:szCs w:val="24"/>
                <w:color w:val="auto"/>
              </w:rPr>
            </w:pPr>
          </w:p>
        </w:tc>
        <w:tc>
          <w:tcPr>
            <w:tcW w:w="140" w:type="dxa"/>
            <w:vAlign w:val="bottom"/>
          </w:tcPr>
          <w:p>
            <w:pPr>
              <w:ind w:left="20"/>
              <w:spacing w:after="0"/>
              <w:rPr>
                <w:sz w:val="20"/>
                <w:szCs w:val="20"/>
                <w:color w:val="auto"/>
              </w:rPr>
            </w:pPr>
            <w:r>
              <w:rPr>
                <w:rFonts w:ascii="Arial" w:cs="Arial" w:eastAsia="Arial" w:hAnsi="Arial"/>
                <w:sz w:val="14"/>
                <w:szCs w:val="14"/>
                <w:color w:val="auto"/>
              </w:rPr>
              <w:t>•</w:t>
            </w:r>
          </w:p>
        </w:tc>
        <w:tc>
          <w:tcPr>
            <w:tcW w:w="2240" w:type="dxa"/>
            <w:vAlign w:val="bottom"/>
            <w:tcBorders>
              <w:right w:val="single" w:sz="8" w:color="auto"/>
            </w:tcBorders>
          </w:tcPr>
          <w:p>
            <w:pPr>
              <w:ind w:left="80"/>
              <w:spacing w:after="0"/>
              <w:rPr>
                <w:sz w:val="20"/>
                <w:szCs w:val="20"/>
                <w:color w:val="auto"/>
              </w:rPr>
            </w:pPr>
            <w:r>
              <w:rPr>
                <w:rFonts w:ascii="Arial" w:cs="Arial" w:eastAsia="Arial" w:hAnsi="Arial"/>
                <w:sz w:val="14"/>
                <w:szCs w:val="14"/>
                <w:color w:val="auto"/>
              </w:rPr>
              <w:t>credit spreads</w:t>
            </w:r>
          </w:p>
        </w:tc>
        <w:tc>
          <w:tcPr>
            <w:tcW w:w="160" w:type="dxa"/>
            <w:vAlign w:val="bottom"/>
          </w:tcPr>
          <w:p>
            <w:pPr>
              <w:ind w:left="20"/>
              <w:spacing w:after="0"/>
              <w:rPr>
                <w:sz w:val="20"/>
                <w:szCs w:val="20"/>
                <w:color w:val="auto"/>
              </w:rPr>
            </w:pPr>
            <w:r>
              <w:rPr>
                <w:rFonts w:ascii="Arial" w:cs="Arial" w:eastAsia="Arial" w:hAnsi="Arial"/>
                <w:sz w:val="14"/>
                <w:szCs w:val="14"/>
                <w:color w:val="auto"/>
              </w:rPr>
              <w:t>•</w:t>
            </w:r>
          </w:p>
        </w:tc>
        <w:tc>
          <w:tcPr>
            <w:tcW w:w="2220" w:type="dxa"/>
            <w:vAlign w:val="bottom"/>
            <w:tcBorders>
              <w:right w:val="single" w:sz="8" w:color="auto"/>
            </w:tcBorders>
          </w:tcPr>
          <w:p>
            <w:pPr>
              <w:ind w:left="60"/>
              <w:spacing w:after="0"/>
              <w:rPr>
                <w:sz w:val="20"/>
                <w:szCs w:val="20"/>
                <w:color w:val="auto"/>
              </w:rPr>
            </w:pPr>
            <w:r>
              <w:rPr>
                <w:rFonts w:ascii="Arial" w:cs="Arial" w:eastAsia="Arial" w:hAnsi="Arial"/>
                <w:sz w:val="14"/>
                <w:szCs w:val="14"/>
                <w:color w:val="auto"/>
              </w:rPr>
              <w:t>correlation between model inputs</w:t>
            </w:r>
          </w:p>
        </w:tc>
      </w:tr>
      <w:tr>
        <w:trPr>
          <w:trHeight w:val="182"/>
        </w:trPr>
        <w:tc>
          <w:tcPr>
            <w:tcW w:w="1860" w:type="dxa"/>
            <w:vAlign w:val="bottom"/>
            <w:tcBorders>
              <w:left w:val="single" w:sz="8" w:color="auto"/>
              <w:right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2240" w:type="dxa"/>
            <w:vAlign w:val="bottom"/>
            <w:tcBorders>
              <w:right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2260" w:type="dxa"/>
            <w:vAlign w:val="bottom"/>
            <w:tcBorders>
              <w:right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2240" w:type="dxa"/>
            <w:vAlign w:val="bottom"/>
            <w:tcBorders>
              <w:right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2220" w:type="dxa"/>
            <w:vAlign w:val="bottom"/>
            <w:tcBorders>
              <w:right w:val="single" w:sz="8" w:color="auto"/>
            </w:tcBorders>
          </w:tcPr>
          <w:p>
            <w:pPr>
              <w:ind w:left="220"/>
              <w:spacing w:after="0"/>
              <w:rPr>
                <w:sz w:val="20"/>
                <w:szCs w:val="20"/>
                <w:color w:val="auto"/>
              </w:rPr>
            </w:pPr>
            <w:r>
              <w:rPr>
                <w:rFonts w:ascii="Arial" w:cs="Arial" w:eastAsia="Arial" w:hAnsi="Arial"/>
                <w:sz w:val="14"/>
                <w:szCs w:val="14"/>
                <w:color w:val="auto"/>
              </w:rPr>
              <w:t>(1)</w:t>
            </w:r>
          </w:p>
        </w:tc>
      </w:tr>
      <w:tr>
        <w:trPr>
          <w:trHeight w:val="203"/>
        </w:trPr>
        <w:tc>
          <w:tcPr>
            <w:tcW w:w="1860" w:type="dxa"/>
            <w:vAlign w:val="bottom"/>
            <w:tcBorders>
              <w:left w:val="single" w:sz="8" w:color="auto"/>
              <w:right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2240" w:type="dxa"/>
            <w:vAlign w:val="bottom"/>
            <w:tcBorders>
              <w:right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2260" w:type="dxa"/>
            <w:vAlign w:val="bottom"/>
            <w:tcBorders>
              <w:right w:val="single" w:sz="8" w:color="auto"/>
            </w:tcBorders>
          </w:tcPr>
          <w:p>
            <w:pPr>
              <w:spacing w:after="0"/>
              <w:rPr>
                <w:sz w:val="17"/>
                <w:szCs w:val="17"/>
                <w:color w:val="auto"/>
              </w:rPr>
            </w:pPr>
          </w:p>
        </w:tc>
        <w:tc>
          <w:tcPr>
            <w:tcW w:w="140" w:type="dxa"/>
            <w:vAlign w:val="bottom"/>
          </w:tcPr>
          <w:p>
            <w:pPr>
              <w:ind w:left="20"/>
              <w:spacing w:after="0"/>
              <w:rPr>
                <w:sz w:val="20"/>
                <w:szCs w:val="20"/>
                <w:color w:val="auto"/>
              </w:rPr>
            </w:pPr>
            <w:r>
              <w:rPr>
                <w:rFonts w:ascii="Arial" w:cs="Arial" w:eastAsia="Arial" w:hAnsi="Arial"/>
                <w:sz w:val="14"/>
                <w:szCs w:val="14"/>
                <w:b w:val="1"/>
                <w:bCs w:val="1"/>
                <w:color w:val="auto"/>
              </w:rPr>
              <w:t>•</w:t>
            </w:r>
          </w:p>
        </w:tc>
        <w:tc>
          <w:tcPr>
            <w:tcW w:w="2240" w:type="dxa"/>
            <w:vAlign w:val="bottom"/>
            <w:tcBorders>
              <w:right w:val="single" w:sz="8" w:color="auto"/>
            </w:tcBorders>
          </w:tcPr>
          <w:p>
            <w:pPr>
              <w:ind w:left="80"/>
              <w:spacing w:after="0"/>
              <w:rPr>
                <w:sz w:val="20"/>
                <w:szCs w:val="20"/>
                <w:color w:val="auto"/>
              </w:rPr>
            </w:pPr>
            <w:r>
              <w:rPr>
                <w:rFonts w:ascii="Arial" w:cs="Arial" w:eastAsia="Arial" w:hAnsi="Arial"/>
                <w:sz w:val="14"/>
                <w:szCs w:val="14"/>
                <w:color w:val="auto"/>
              </w:rPr>
              <w:t>repurchase rates</w:t>
            </w:r>
          </w:p>
        </w:tc>
        <w:tc>
          <w:tcPr>
            <w:tcW w:w="160" w:type="dxa"/>
            <w:vAlign w:val="bottom"/>
          </w:tcPr>
          <w:p>
            <w:pPr>
              <w:spacing w:after="0"/>
              <w:rPr>
                <w:sz w:val="17"/>
                <w:szCs w:val="17"/>
                <w:color w:val="auto"/>
              </w:rPr>
            </w:pPr>
          </w:p>
        </w:tc>
        <w:tc>
          <w:tcPr>
            <w:tcW w:w="2220" w:type="dxa"/>
            <w:vAlign w:val="bottom"/>
            <w:tcBorders>
              <w:right w:val="single" w:sz="8" w:color="auto"/>
            </w:tcBorders>
          </w:tcPr>
          <w:p>
            <w:pPr>
              <w:spacing w:after="0"/>
              <w:rPr>
                <w:sz w:val="17"/>
                <w:szCs w:val="17"/>
                <w:color w:val="auto"/>
              </w:rPr>
            </w:pPr>
          </w:p>
        </w:tc>
      </w:tr>
      <w:tr>
        <w:trPr>
          <w:trHeight w:val="317"/>
        </w:trPr>
        <w:tc>
          <w:tcPr>
            <w:tcW w:w="1860" w:type="dxa"/>
            <w:vAlign w:val="bottom"/>
            <w:tcBorders>
              <w:left w:val="single" w:sz="8" w:color="auto"/>
              <w:right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2240" w:type="dxa"/>
            <w:vAlign w:val="bottom"/>
            <w:tcBorders>
              <w:right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2260" w:type="dxa"/>
            <w:vAlign w:val="bottom"/>
            <w:tcBorders>
              <w:right w:val="single" w:sz="8" w:color="auto"/>
            </w:tcBorders>
          </w:tcPr>
          <w:p>
            <w:pPr>
              <w:spacing w:after="0"/>
              <w:rPr>
                <w:sz w:val="24"/>
                <w:szCs w:val="24"/>
                <w:color w:val="auto"/>
              </w:rPr>
            </w:pPr>
          </w:p>
        </w:tc>
        <w:tc>
          <w:tcPr>
            <w:tcW w:w="2380" w:type="dxa"/>
            <w:vAlign w:val="bottom"/>
            <w:tcBorders>
              <w:right w:val="single" w:sz="8" w:color="auto"/>
            </w:tcBorders>
            <w:gridSpan w:val="2"/>
          </w:tcPr>
          <w:p>
            <w:pPr>
              <w:ind w:left="20"/>
              <w:spacing w:after="0"/>
              <w:rPr>
                <w:sz w:val="20"/>
                <w:szCs w:val="20"/>
                <w:color w:val="auto"/>
              </w:rPr>
            </w:pPr>
            <w:r>
              <w:rPr>
                <w:rFonts w:ascii="Arial" w:cs="Arial" w:eastAsia="Arial" w:hAnsi="Arial"/>
                <w:sz w:val="14"/>
                <w:szCs w:val="14"/>
                <w:color w:val="auto"/>
              </w:rPr>
              <w:t>•   independent non-binding broker</w:t>
            </w:r>
          </w:p>
        </w:tc>
        <w:tc>
          <w:tcPr>
            <w:tcW w:w="160" w:type="dxa"/>
            <w:vAlign w:val="bottom"/>
          </w:tcPr>
          <w:p>
            <w:pPr>
              <w:spacing w:after="0"/>
              <w:rPr>
                <w:sz w:val="24"/>
                <w:szCs w:val="24"/>
                <w:color w:val="auto"/>
              </w:rPr>
            </w:pPr>
          </w:p>
        </w:tc>
        <w:tc>
          <w:tcPr>
            <w:tcW w:w="2220" w:type="dxa"/>
            <w:vAlign w:val="bottom"/>
            <w:tcBorders>
              <w:right w:val="single" w:sz="8" w:color="auto"/>
            </w:tcBorders>
          </w:tcPr>
          <w:p>
            <w:pPr>
              <w:spacing w:after="0"/>
              <w:rPr>
                <w:sz w:val="24"/>
                <w:szCs w:val="24"/>
                <w:color w:val="auto"/>
              </w:rPr>
            </w:pPr>
          </w:p>
        </w:tc>
      </w:tr>
      <w:tr>
        <w:trPr>
          <w:trHeight w:val="188"/>
        </w:trPr>
        <w:tc>
          <w:tcPr>
            <w:tcW w:w="1860" w:type="dxa"/>
            <w:vAlign w:val="bottom"/>
            <w:tcBorders>
              <w:left w:val="single" w:sz="8" w:color="auto"/>
              <w:bottom w:val="single" w:sz="8" w:color="auto"/>
              <w:right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240" w:type="dxa"/>
            <w:vAlign w:val="bottom"/>
            <w:tcBorders>
              <w:bottom w:val="single" w:sz="8" w:color="auto"/>
              <w:right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260" w:type="dxa"/>
            <w:vAlign w:val="bottom"/>
            <w:tcBorders>
              <w:bottom w:val="single" w:sz="8" w:color="auto"/>
              <w:right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240" w:type="dxa"/>
            <w:vAlign w:val="bottom"/>
            <w:tcBorders>
              <w:bottom w:val="single" w:sz="8" w:color="auto"/>
              <w:right w:val="single" w:sz="8" w:color="auto"/>
            </w:tcBorders>
          </w:tcPr>
          <w:p>
            <w:pPr>
              <w:ind w:left="260"/>
              <w:spacing w:after="0"/>
              <w:rPr>
                <w:sz w:val="20"/>
                <w:szCs w:val="20"/>
                <w:color w:val="auto"/>
              </w:rPr>
            </w:pPr>
            <w:r>
              <w:rPr>
                <w:rFonts w:ascii="Arial" w:cs="Arial" w:eastAsia="Arial" w:hAnsi="Arial"/>
                <w:sz w:val="14"/>
                <w:szCs w:val="14"/>
                <w:color w:val="auto"/>
              </w:rPr>
              <w:t>quotations</w:t>
            </w:r>
          </w:p>
        </w:tc>
        <w:tc>
          <w:tcPr>
            <w:tcW w:w="160" w:type="dxa"/>
            <w:vAlign w:val="bottom"/>
            <w:tcBorders>
              <w:bottom w:val="single" w:sz="8" w:color="auto"/>
            </w:tcBorders>
          </w:tcPr>
          <w:p>
            <w:pPr>
              <w:spacing w:after="0"/>
              <w:rPr>
                <w:sz w:val="16"/>
                <w:szCs w:val="16"/>
                <w:color w:val="auto"/>
              </w:rPr>
            </w:pPr>
          </w:p>
        </w:tc>
        <w:tc>
          <w:tcPr>
            <w:tcW w:w="2220" w:type="dxa"/>
            <w:vAlign w:val="bottom"/>
            <w:tcBorders>
              <w:bottom w:val="single" w:sz="8" w:color="auto"/>
              <w:right w:val="single" w:sz="8" w:color="auto"/>
            </w:tcBorders>
          </w:tcPr>
          <w:p>
            <w:pPr>
              <w:spacing w:after="0"/>
              <w:rPr>
                <w:sz w:val="16"/>
                <w:szCs w:val="16"/>
                <w:color w:val="auto"/>
              </w:rPr>
            </w:pPr>
          </w:p>
        </w:tc>
      </w:tr>
      <w:tr>
        <w:trPr>
          <w:trHeight w:val="190"/>
        </w:trPr>
        <w:tc>
          <w:tcPr>
            <w:tcW w:w="1860" w:type="dxa"/>
            <w:vAlign w:val="bottom"/>
          </w:tcPr>
          <w:p>
            <w:pPr>
              <w:spacing w:after="0"/>
              <w:rPr>
                <w:sz w:val="20"/>
                <w:szCs w:val="20"/>
                <w:color w:val="auto"/>
              </w:rPr>
            </w:pPr>
            <w:r>
              <w:rPr>
                <w:rFonts w:ascii="Arial" w:cs="Arial" w:eastAsia="Arial" w:hAnsi="Arial"/>
                <w:sz w:val="14"/>
                <w:szCs w:val="14"/>
                <w:color w:val="auto"/>
              </w:rPr>
              <w:t>______________</w:t>
            </w:r>
          </w:p>
        </w:tc>
        <w:tc>
          <w:tcPr>
            <w:tcW w:w="16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20" w:type="dxa"/>
            <w:vAlign w:val="bottom"/>
          </w:tcPr>
          <w:p>
            <w:pPr>
              <w:spacing w:after="0"/>
              <w:rPr>
                <w:sz w:val="16"/>
                <w:szCs w:val="16"/>
                <w:color w:val="auto"/>
              </w:rPr>
            </w:pPr>
          </w:p>
        </w:tc>
      </w:tr>
    </w:tbl>
    <w:p>
      <w:pPr>
        <w:spacing w:after="0" w:line="119" w:lineRule="exact"/>
        <w:rPr>
          <w:sz w:val="20"/>
          <w:szCs w:val="20"/>
          <w:color w:val="auto"/>
        </w:rPr>
      </w:pPr>
    </w:p>
    <w:p>
      <w:pPr>
        <w:ind w:left="500" w:hanging="492"/>
        <w:spacing w:after="0"/>
        <w:tabs>
          <w:tab w:leader="none" w:pos="5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Option-based only.</w:t>
      </w:r>
    </w:p>
    <w:p>
      <w:pPr>
        <w:spacing w:after="0" w:line="117" w:lineRule="exact"/>
        <w:rPr>
          <w:rFonts w:ascii="Arial" w:cs="Arial" w:eastAsia="Arial" w:hAnsi="Arial"/>
          <w:sz w:val="18"/>
          <w:szCs w:val="18"/>
          <w:color w:val="auto"/>
        </w:rPr>
      </w:pPr>
    </w:p>
    <w:p>
      <w:pPr>
        <w:ind w:left="500" w:hanging="492"/>
        <w:spacing w:after="0"/>
        <w:tabs>
          <w:tab w:leader="none" w:pos="5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Extrapolation beyond the observable limits of the curve(s).</w:t>
      </w:r>
    </w:p>
    <w:p>
      <w:pPr>
        <w:spacing w:after="0" w:line="11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Embedded Derivatives</w:t>
      </w:r>
    </w:p>
    <w:p>
      <w:pPr>
        <w:spacing w:after="0" w:line="117" w:lineRule="exact"/>
        <w:rPr>
          <w:sz w:val="20"/>
          <w:szCs w:val="20"/>
          <w:color w:val="auto"/>
        </w:rPr>
      </w:pPr>
    </w:p>
    <w:p>
      <w:pPr>
        <w:jc w:val="both"/>
        <w:ind w:left="180" w:right="20" w:firstLine="324"/>
        <w:spacing w:after="0" w:line="264" w:lineRule="auto"/>
        <w:rPr>
          <w:sz w:val="20"/>
          <w:szCs w:val="20"/>
          <w:color w:val="auto"/>
        </w:rPr>
      </w:pPr>
      <w:r>
        <w:rPr>
          <w:rFonts w:ascii="Arial" w:cs="Arial" w:eastAsia="Arial" w:hAnsi="Arial"/>
          <w:sz w:val="18"/>
          <w:szCs w:val="18"/>
          <w:color w:val="auto"/>
        </w:rPr>
        <w:t>Embedded derivatives principally include certain direct, assumed and ceded variable annuity guarantees, equity or bond indexed crediting rates within certain annuity contracts, and those related to funds withheld on ceded reinsurance agreements. Embedded derivatives are recorded at estimated fair value with changes in estimated fair value reported in net income.</w:t>
      </w:r>
    </w:p>
    <w:p>
      <w:pPr>
        <w:spacing w:after="0" w:line="20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40"/>
          </w:cols>
          <w:pgMar w:left="240" w:top="288" w:right="219" w:bottom="1440" w:gutter="0" w:footer="0" w:header="0"/>
        </w:sectPr>
      </w:pPr>
    </w:p>
    <w:bookmarkStart w:id="50" w:name="page51"/>
    <w:bookmarkEnd w:id="50"/>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109" w:lineRule="exact"/>
        <w:rPr>
          <w:sz w:val="20"/>
          <w:szCs w:val="20"/>
          <w:color w:val="auto"/>
        </w:rPr>
      </w:pPr>
    </w:p>
    <w:p>
      <w:pPr>
        <w:ind w:left="4660"/>
        <w:spacing w:after="0"/>
        <w:rPr>
          <w:sz w:val="20"/>
          <w:szCs w:val="20"/>
          <w:color w:val="auto"/>
        </w:rPr>
      </w:pPr>
      <w:r>
        <w:rPr>
          <w:rFonts w:ascii="Arial" w:cs="Arial" w:eastAsia="Arial" w:hAnsi="Arial"/>
          <w:sz w:val="18"/>
          <w:szCs w:val="18"/>
          <w:b w:val="1"/>
          <w:bCs w:val="1"/>
          <w:color w:val="auto"/>
        </w:rPr>
        <w:t>Brighthouse Financial, Inc.</w:t>
      </w:r>
    </w:p>
    <w:p>
      <w:pPr>
        <w:spacing w:after="0" w:line="117" w:lineRule="exact"/>
        <w:rPr>
          <w:sz w:val="20"/>
          <w:szCs w:val="20"/>
          <w:color w:val="auto"/>
        </w:rPr>
      </w:pPr>
    </w:p>
    <w:p>
      <w:pPr>
        <w:ind w:left="1480"/>
        <w:spacing w:after="0"/>
        <w:rPr>
          <w:sz w:val="20"/>
          <w:szCs w:val="20"/>
          <w:color w:val="auto"/>
        </w:rPr>
      </w:pPr>
      <w:r>
        <w:rPr>
          <w:rFonts w:ascii="Arial" w:cs="Arial" w:eastAsia="Arial" w:hAnsi="Arial"/>
          <w:sz w:val="18"/>
          <w:szCs w:val="18"/>
          <w:b w:val="1"/>
          <w:bCs w:val="1"/>
          <w:color w:val="auto"/>
        </w:rPr>
        <w:t>Notes to the Interim Condensed Consolidated and Combined Financial Statements (Unaudited) — (continued)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Fair Value (continued)</w:t>
      </w:r>
    </w:p>
    <w:p>
      <w:pPr>
        <w:spacing w:after="0" w:line="364" w:lineRule="exact"/>
        <w:rPr>
          <w:sz w:val="20"/>
          <w:szCs w:val="20"/>
          <w:color w:val="auto"/>
        </w:rPr>
      </w:pPr>
    </w:p>
    <w:p>
      <w:pPr>
        <w:jc w:val="both"/>
        <w:ind w:left="180" w:firstLine="324"/>
        <w:spacing w:after="0" w:line="259" w:lineRule="auto"/>
        <w:rPr>
          <w:sz w:val="20"/>
          <w:szCs w:val="20"/>
          <w:color w:val="auto"/>
        </w:rPr>
      </w:pPr>
      <w:r>
        <w:rPr>
          <w:rFonts w:ascii="Arial" w:cs="Arial" w:eastAsia="Arial" w:hAnsi="Arial"/>
          <w:sz w:val="18"/>
          <w:szCs w:val="18"/>
          <w:color w:val="auto"/>
        </w:rPr>
        <w:t>The Company issues certain variable annuity products with guaranteed minimum benefits. GMWBs, GMABs and certain GMIBs contain embedded derivatives, which are measured at estimated fair value separately from the host variable annuity contract, with changes in estimated fair value reported in net derivative gains (losses). These embedded derivatives are classified within policyholder account balances on the consolidated and combined balance sheets.</w:t>
      </w:r>
    </w:p>
    <w:p>
      <w:pPr>
        <w:spacing w:after="0" w:line="79" w:lineRule="exact"/>
        <w:rPr>
          <w:sz w:val="20"/>
          <w:szCs w:val="20"/>
          <w:color w:val="auto"/>
        </w:rPr>
      </w:pPr>
    </w:p>
    <w:p>
      <w:pPr>
        <w:jc w:val="both"/>
        <w:ind w:left="180" w:firstLine="324"/>
        <w:spacing w:after="0" w:line="279" w:lineRule="auto"/>
        <w:rPr>
          <w:sz w:val="20"/>
          <w:szCs w:val="20"/>
          <w:color w:val="auto"/>
        </w:rPr>
      </w:pPr>
      <w:r>
        <w:rPr>
          <w:rFonts w:ascii="Arial" w:cs="Arial" w:eastAsia="Arial" w:hAnsi="Arial"/>
          <w:sz w:val="17"/>
          <w:szCs w:val="17"/>
          <w:color w:val="auto"/>
        </w:rPr>
        <w:t>The Company’s actuarial department calculates the fair value of these embedded derivatives, which are estimated as the present value of projected future benefits minus the present value of projected future fees using actuarial and capital market assumptions including expectations concerning policyholder behavior. The calculation is based on in-force business, and is performed using standard actuarial valuation software which projects future cash flows from the embedded derivative over multiple risk neutral stochastic scenarios using observable risk-free rates.</w:t>
      </w:r>
    </w:p>
    <w:p>
      <w:pPr>
        <w:spacing w:after="0" w:line="63" w:lineRule="exact"/>
        <w:rPr>
          <w:sz w:val="20"/>
          <w:szCs w:val="20"/>
          <w:color w:val="auto"/>
        </w:rPr>
      </w:pPr>
    </w:p>
    <w:p>
      <w:pPr>
        <w:jc w:val="both"/>
        <w:ind w:left="180" w:firstLine="324"/>
        <w:spacing w:after="0" w:line="259" w:lineRule="auto"/>
        <w:rPr>
          <w:sz w:val="20"/>
          <w:szCs w:val="20"/>
          <w:color w:val="auto"/>
        </w:rPr>
      </w:pPr>
      <w:r>
        <w:rPr>
          <w:rFonts w:ascii="Arial" w:cs="Arial" w:eastAsia="Arial" w:hAnsi="Arial"/>
          <w:sz w:val="18"/>
          <w:szCs w:val="18"/>
          <w:color w:val="auto"/>
        </w:rPr>
        <w:t>Capital market assumptions, such as risk-free rates and implied volatilities, are based on market prices for publicly traded instruments to the extent that prices for such instruments are observable. Implied volatilities beyond the observable period are extrapolated based on observable implied volatilities and historical volatilities. Actuarial assumptions, including mortality, lapse, withdrawal and utilization, are unobservable and are reviewed at least annually based on actuarial studies of historical experience.</w:t>
      </w:r>
    </w:p>
    <w:p>
      <w:pPr>
        <w:spacing w:after="0" w:line="79" w:lineRule="exact"/>
        <w:rPr>
          <w:sz w:val="20"/>
          <w:szCs w:val="20"/>
          <w:color w:val="auto"/>
        </w:rPr>
      </w:pPr>
    </w:p>
    <w:p>
      <w:pPr>
        <w:jc w:val="both"/>
        <w:ind w:left="180" w:firstLine="324"/>
        <w:spacing w:after="0" w:line="279" w:lineRule="auto"/>
        <w:rPr>
          <w:sz w:val="20"/>
          <w:szCs w:val="20"/>
          <w:color w:val="auto"/>
        </w:rPr>
      </w:pPr>
      <w:r>
        <w:rPr>
          <w:rFonts w:ascii="Arial" w:cs="Arial" w:eastAsia="Arial" w:hAnsi="Arial"/>
          <w:sz w:val="17"/>
          <w:szCs w:val="17"/>
          <w:color w:val="auto"/>
        </w:rPr>
        <w:t>The valuation of these guarantee liabilities includes nonperformance risk adjustments and adjustments for a risk margin related to non-capital market inputs. The nonperformance adjustment is determined by taking into consideration publicly available information relating to spreads in the secondary market for Brighthouse Financial, Inc.’s debt. These observable spreads are then adjusted to reflect the priority of these liabilities and claims paying ability of the issuing insurance subsidiaries as compared to Brighthouse Financial, Inc.’s overall financial strength.</w:t>
      </w:r>
    </w:p>
    <w:p>
      <w:pPr>
        <w:spacing w:after="0" w:line="63" w:lineRule="exact"/>
        <w:rPr>
          <w:sz w:val="20"/>
          <w:szCs w:val="20"/>
          <w:color w:val="auto"/>
        </w:rPr>
      </w:pPr>
    </w:p>
    <w:p>
      <w:pPr>
        <w:jc w:val="both"/>
        <w:ind w:left="180" w:firstLine="324"/>
        <w:spacing w:after="0" w:line="272" w:lineRule="auto"/>
        <w:rPr>
          <w:sz w:val="20"/>
          <w:szCs w:val="20"/>
          <w:color w:val="auto"/>
        </w:rPr>
      </w:pPr>
      <w:r>
        <w:rPr>
          <w:rFonts w:ascii="Arial" w:cs="Arial" w:eastAsia="Arial" w:hAnsi="Arial"/>
          <w:sz w:val="17"/>
          <w:szCs w:val="17"/>
          <w:color w:val="auto"/>
        </w:rPr>
        <w:t>Risk margins are established to capture the non-capital market risks of the instrument which represent the additional compensation a market participant would require to assume the risks related to the uncertainties of such actuarial assumptions as annuitization, premium persistency, partial withdrawal and surrenders. The establishment of risk margins requires the use of significant management judgment, including assumptions of the amount and cost of capital needed to cover the guarantees. These guarantees may be more costly than expected in volatile or declining equity markets. Market conditions including, but not limited to, changes in interest rates, equity indices, market volatility and foreign currency exchange rates; changes in nonperformance risk; and variations in actuarial assumptions regarding policyholder behavior, mortality and risk margins related to non-capital market inputs, may result in significant fluctuations in the estimated fair value of the guarantees that could materially affect net income.</w:t>
      </w:r>
    </w:p>
    <w:p>
      <w:pPr>
        <w:spacing w:after="0" w:line="70" w:lineRule="exact"/>
        <w:rPr>
          <w:sz w:val="20"/>
          <w:szCs w:val="20"/>
          <w:color w:val="auto"/>
        </w:rPr>
      </w:pPr>
    </w:p>
    <w:p>
      <w:pPr>
        <w:jc w:val="both"/>
        <w:ind w:left="180" w:firstLine="324"/>
        <w:spacing w:after="0" w:line="259" w:lineRule="auto"/>
        <w:rPr>
          <w:sz w:val="20"/>
          <w:szCs w:val="20"/>
          <w:color w:val="auto"/>
        </w:rPr>
      </w:pPr>
      <w:r>
        <w:rPr>
          <w:rFonts w:ascii="Arial" w:cs="Arial" w:eastAsia="Arial" w:hAnsi="Arial"/>
          <w:sz w:val="18"/>
          <w:szCs w:val="18"/>
          <w:color w:val="auto"/>
        </w:rPr>
        <w:t>The Company recaptured from a former affiliate the risk associated with certain GMIBs. These embedded derivatives are included in policyholder account balances on the consolidated and combined balance sheets with changes in estimated fair value reported in net derivative gains (losses). The value of the embedded derivatives on these recaptured risks is determined using a methodology consistent with that described previously for the guarantees directly written by the Company.</w:t>
      </w:r>
    </w:p>
    <w:p>
      <w:pPr>
        <w:spacing w:after="0" w:line="79" w:lineRule="exact"/>
        <w:rPr>
          <w:sz w:val="20"/>
          <w:szCs w:val="20"/>
          <w:color w:val="auto"/>
        </w:rPr>
      </w:pPr>
    </w:p>
    <w:p>
      <w:pPr>
        <w:jc w:val="both"/>
        <w:ind w:left="180" w:firstLine="324"/>
        <w:spacing w:after="0" w:line="272" w:lineRule="auto"/>
        <w:rPr>
          <w:sz w:val="20"/>
          <w:szCs w:val="20"/>
          <w:color w:val="auto"/>
        </w:rPr>
      </w:pPr>
      <w:r>
        <w:rPr>
          <w:rFonts w:ascii="Arial" w:cs="Arial" w:eastAsia="Arial" w:hAnsi="Arial"/>
          <w:sz w:val="17"/>
          <w:szCs w:val="17"/>
          <w:color w:val="auto"/>
        </w:rPr>
        <w:t>The Company ceded to a former affiliate the risk associated with certain of the GMIBs, GMABs and GMWBs described above that are also accounted for as embedded derivatives. In addition to ceding risks associated with guarantees that are accounted for as embedded derivatives, the Company also cedes, to a former affiliate, certain directly written GMIBs that are accounted for as insurance (i.e., not as embedded derivatives), but where the reinsurance agreement contains an embedded derivative. These embedded derivatives are included within premiums, reinsurance and other receivables on the consolidated and combined balance sheets with changes in estimated fair value reported in net derivative gains (losses). The value of the embedded derivatives on the ceded risk is determined using a methodology consistent with that described previously for the guarantees directly written by the Company with the exception of the input for nonperformance risk that reflects the credit of the reinsurer.</w:t>
      </w:r>
    </w:p>
    <w:p>
      <w:pPr>
        <w:spacing w:after="0" w:line="70" w:lineRule="exact"/>
        <w:rPr>
          <w:sz w:val="20"/>
          <w:szCs w:val="20"/>
          <w:color w:val="auto"/>
        </w:rPr>
      </w:pPr>
    </w:p>
    <w:p>
      <w:pPr>
        <w:jc w:val="both"/>
        <w:ind w:left="180" w:firstLine="324"/>
        <w:spacing w:after="0" w:line="288" w:lineRule="auto"/>
        <w:rPr>
          <w:sz w:val="20"/>
          <w:szCs w:val="20"/>
          <w:color w:val="auto"/>
        </w:rPr>
      </w:pPr>
      <w:r>
        <w:rPr>
          <w:rFonts w:ascii="Arial" w:cs="Arial" w:eastAsia="Arial" w:hAnsi="Arial"/>
          <w:sz w:val="16"/>
          <w:szCs w:val="16"/>
          <w:color w:val="auto"/>
        </w:rPr>
        <w:t>The estimated fair value of the embedded derivatives within funds withheld related to certain ceded reinsurance is determined based on the change in estimated fair value of the underlying assets held by the Company in a reference portfolio backing the funds withheld liability. The estimated fair value of the underlying assets is determined as previously described in “— Securities, Short-term Investments, Loans to MetLife, Inc., and Long-term Debt of CSEs</w:t>
      </w:r>
    </w:p>
    <w:p>
      <w:pPr>
        <w:jc w:val="both"/>
        <w:ind w:left="180"/>
        <w:spacing w:after="0" w:line="254" w:lineRule="auto"/>
        <w:rPr>
          <w:sz w:val="20"/>
          <w:szCs w:val="20"/>
          <w:color w:val="auto"/>
        </w:rPr>
      </w:pPr>
      <w:r>
        <w:rPr>
          <w:rFonts w:ascii="Arial" w:cs="Arial" w:eastAsia="Arial" w:hAnsi="Arial"/>
          <w:sz w:val="18"/>
          <w:szCs w:val="18"/>
          <w:color w:val="auto"/>
        </w:rPr>
        <w:t>— FVO.” The estimated fair value of these embedded derivatives is included, along with their funds withheld hosts, in other liabilities on the consolidated and combined balance sheets with changes in estimated fair value recorded in net derivative gains (losses). Changes in the credit spreads on the underlying assets, interest rates and market volatility may result in significant fluctuations in the estimated fair value of these embedded derivatives that could materially affect net income.</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288" w:right="239" w:bottom="1440" w:gutter="0" w:footer="0" w:header="0"/>
        </w:sectPr>
      </w:pPr>
    </w:p>
    <w:bookmarkStart w:id="51" w:name="page52"/>
    <w:bookmarkEnd w:id="51"/>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109" w:lineRule="exact"/>
        <w:rPr>
          <w:sz w:val="20"/>
          <w:szCs w:val="20"/>
          <w:color w:val="auto"/>
        </w:rPr>
      </w:pPr>
    </w:p>
    <w:p>
      <w:pPr>
        <w:ind w:left="4660"/>
        <w:spacing w:after="0"/>
        <w:rPr>
          <w:sz w:val="20"/>
          <w:szCs w:val="20"/>
          <w:color w:val="auto"/>
        </w:rPr>
      </w:pPr>
      <w:r>
        <w:rPr>
          <w:rFonts w:ascii="Arial" w:cs="Arial" w:eastAsia="Arial" w:hAnsi="Arial"/>
          <w:sz w:val="18"/>
          <w:szCs w:val="18"/>
          <w:b w:val="1"/>
          <w:bCs w:val="1"/>
          <w:color w:val="auto"/>
        </w:rPr>
        <w:t>Brighthouse Financial, Inc.</w:t>
      </w:r>
    </w:p>
    <w:p>
      <w:pPr>
        <w:spacing w:after="0" w:line="117" w:lineRule="exact"/>
        <w:rPr>
          <w:sz w:val="20"/>
          <w:szCs w:val="20"/>
          <w:color w:val="auto"/>
        </w:rPr>
      </w:pPr>
    </w:p>
    <w:p>
      <w:pPr>
        <w:ind w:left="1480"/>
        <w:spacing w:after="0"/>
        <w:rPr>
          <w:sz w:val="20"/>
          <w:szCs w:val="20"/>
          <w:color w:val="auto"/>
        </w:rPr>
      </w:pPr>
      <w:r>
        <w:rPr>
          <w:rFonts w:ascii="Arial" w:cs="Arial" w:eastAsia="Arial" w:hAnsi="Arial"/>
          <w:sz w:val="18"/>
          <w:szCs w:val="18"/>
          <w:b w:val="1"/>
          <w:bCs w:val="1"/>
          <w:color w:val="auto"/>
        </w:rPr>
        <w:t>Notes to the Interim Condensed Consolidated and Combined Financial Statements (Unaudited) — (continued)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Fair Value (continued)</w:t>
      </w:r>
    </w:p>
    <w:p>
      <w:pPr>
        <w:spacing w:after="0" w:line="364" w:lineRule="exact"/>
        <w:rPr>
          <w:sz w:val="20"/>
          <w:szCs w:val="20"/>
          <w:color w:val="auto"/>
        </w:rPr>
      </w:pPr>
    </w:p>
    <w:p>
      <w:pPr>
        <w:jc w:val="both"/>
        <w:ind w:left="180" w:firstLine="324"/>
        <w:spacing w:after="0" w:line="259" w:lineRule="auto"/>
        <w:rPr>
          <w:sz w:val="20"/>
          <w:szCs w:val="20"/>
          <w:color w:val="auto"/>
        </w:rPr>
      </w:pPr>
      <w:r>
        <w:rPr>
          <w:rFonts w:ascii="Arial" w:cs="Arial" w:eastAsia="Arial" w:hAnsi="Arial"/>
          <w:sz w:val="18"/>
          <w:szCs w:val="18"/>
          <w:color w:val="auto"/>
        </w:rPr>
        <w:t>The Company issues certain annuity contracts which allow the policyholder to participate in returns from equity indices. These equity indexed features are embedded derivatives which are measured at estimated fair value separately from the host fixed annuity contract, with changes in estimated fair value reported in net derivative gains (losses). These embedded derivatives are classified within policyholder account balances on the consolidated and combined balance sheets.</w:t>
      </w:r>
    </w:p>
    <w:p>
      <w:pPr>
        <w:spacing w:after="0" w:line="79" w:lineRule="exact"/>
        <w:rPr>
          <w:sz w:val="20"/>
          <w:szCs w:val="20"/>
          <w:color w:val="auto"/>
        </w:rPr>
      </w:pPr>
    </w:p>
    <w:p>
      <w:pPr>
        <w:jc w:val="both"/>
        <w:ind w:left="180" w:firstLine="324"/>
        <w:spacing w:after="0" w:line="273" w:lineRule="auto"/>
        <w:rPr>
          <w:sz w:val="20"/>
          <w:szCs w:val="20"/>
          <w:color w:val="auto"/>
        </w:rPr>
      </w:pPr>
      <w:r>
        <w:rPr>
          <w:rFonts w:ascii="Arial" w:cs="Arial" w:eastAsia="Arial" w:hAnsi="Arial"/>
          <w:sz w:val="17"/>
          <w:szCs w:val="17"/>
          <w:color w:val="auto"/>
        </w:rPr>
        <w:t>The estimated fair value of the embedded equity indexed derivatives, based on the present value of future equity returns to the policyholder using actuarial and present value assumptions including expectations concerning policyholder behavior, is calculated by the Company’s actuarial department. The calculation is based on in-force business and uses standard capital market techniques, such as Black-Scholes, to calculate the value of the portion of the embedded derivative for which the terms are set. The portion of the embedded derivative covering the period beyond where terms are set is calculated as the present value of amounts expected to be spent to provide equity indexed returns in those periods. The valuation of these embedded derivatives also includes the establishment of a risk margin, as well as changes in nonperformance risk.</w:t>
      </w:r>
    </w:p>
    <w:p>
      <w:pPr>
        <w:spacing w:after="0" w:line="70" w:lineRule="exact"/>
        <w:rPr>
          <w:sz w:val="20"/>
          <w:szCs w:val="20"/>
          <w:color w:val="auto"/>
        </w:rPr>
      </w:pPr>
    </w:p>
    <w:p>
      <w:pPr>
        <w:ind w:left="340"/>
        <w:spacing w:after="0"/>
        <w:rPr>
          <w:sz w:val="20"/>
          <w:szCs w:val="20"/>
          <w:color w:val="auto"/>
        </w:rPr>
      </w:pPr>
      <w:r>
        <w:rPr>
          <w:rFonts w:ascii="Arial" w:cs="Arial" w:eastAsia="Arial" w:hAnsi="Arial"/>
          <w:sz w:val="18"/>
          <w:szCs w:val="18"/>
          <w:i w:val="1"/>
          <w:iCs w:val="1"/>
          <w:u w:val="single" w:color="auto"/>
          <w:color w:val="auto"/>
        </w:rPr>
        <w:t>Embedded Derivatives Within Asset and Liability Host Contracts</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8"/>
          <w:szCs w:val="18"/>
          <w:u w:val="single" w:color="auto"/>
          <w:color w:val="auto"/>
        </w:rPr>
        <w:t>Level 3 Valuation Approaches and Key Inputs:</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Direct and assumed guaranteed minimum benefits</w:t>
      </w:r>
    </w:p>
    <w:p>
      <w:pPr>
        <w:spacing w:after="0" w:line="117" w:lineRule="exact"/>
        <w:rPr>
          <w:sz w:val="20"/>
          <w:szCs w:val="20"/>
          <w:color w:val="auto"/>
        </w:rPr>
      </w:pPr>
    </w:p>
    <w:p>
      <w:pPr>
        <w:jc w:val="both"/>
        <w:ind w:left="500" w:firstLine="324"/>
        <w:spacing w:after="0" w:line="273" w:lineRule="auto"/>
        <w:rPr>
          <w:sz w:val="20"/>
          <w:szCs w:val="20"/>
          <w:color w:val="auto"/>
        </w:rPr>
      </w:pPr>
      <w:r>
        <w:rPr>
          <w:rFonts w:ascii="Arial" w:cs="Arial" w:eastAsia="Arial" w:hAnsi="Arial"/>
          <w:sz w:val="17"/>
          <w:szCs w:val="17"/>
          <w:color w:val="auto"/>
        </w:rPr>
        <w:t>These embedded derivatives are principally valued using the income approach. Valuations are based on option pricing techniques, which utilize significant inputs that may include swap yield curves, currency exchange rates and implied volatilities. These embedded derivatives result in Level 3 classification because one or more of the significant inputs are not observable in the market or cannot be derived principally from, or corroborated by, observable market data. Significant unobservable inputs generally include: the extrapolation beyond observable limits of the swap yield curves and implied volatilities, actuarial assumptions for policyholder behavior and mortality and the potential variability in policyholder behavior and mortality, nonperformance risk and cost of capital for purposes of calculating the risk margin.</w:t>
      </w:r>
    </w:p>
    <w:p>
      <w:pPr>
        <w:spacing w:after="0" w:line="7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Reinsurance ceded on certain guaranteed minimum benefits</w:t>
      </w:r>
    </w:p>
    <w:p>
      <w:pPr>
        <w:spacing w:after="0" w:line="117" w:lineRule="exact"/>
        <w:rPr>
          <w:sz w:val="20"/>
          <w:szCs w:val="20"/>
          <w:color w:val="auto"/>
        </w:rPr>
      </w:pPr>
    </w:p>
    <w:p>
      <w:pPr>
        <w:jc w:val="both"/>
        <w:ind w:left="500" w:firstLine="324"/>
        <w:spacing w:after="0" w:line="264" w:lineRule="auto"/>
        <w:rPr>
          <w:sz w:val="20"/>
          <w:szCs w:val="20"/>
          <w:color w:val="auto"/>
        </w:rPr>
      </w:pPr>
      <w:r>
        <w:rPr>
          <w:rFonts w:ascii="Arial" w:cs="Arial" w:eastAsia="Arial" w:hAnsi="Arial"/>
          <w:sz w:val="18"/>
          <w:szCs w:val="18"/>
          <w:color w:val="auto"/>
        </w:rPr>
        <w:t>These embedded derivatives are principally valued using the income approach. The valuation techniques and significant market standard unobservable inputs used in their valuation are similar to those described above in “— Direct and assumed guaranteed minimum benefits” and also include counterparty credit spreads.</w:t>
      </w:r>
    </w:p>
    <w:p>
      <w:pPr>
        <w:spacing w:after="0" w:line="73"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Transfers between Levels</w:t>
      </w:r>
    </w:p>
    <w:p>
      <w:pPr>
        <w:spacing w:after="0" w:line="117" w:lineRule="exact"/>
        <w:rPr>
          <w:sz w:val="20"/>
          <w:szCs w:val="20"/>
          <w:color w:val="auto"/>
        </w:rPr>
      </w:pPr>
    </w:p>
    <w:p>
      <w:pPr>
        <w:ind w:left="180" w:firstLine="324"/>
        <w:spacing w:after="0" w:line="277" w:lineRule="auto"/>
        <w:rPr>
          <w:sz w:val="20"/>
          <w:szCs w:val="20"/>
          <w:color w:val="auto"/>
        </w:rPr>
      </w:pPr>
      <w:r>
        <w:rPr>
          <w:rFonts w:ascii="Arial" w:cs="Arial" w:eastAsia="Arial" w:hAnsi="Arial"/>
          <w:sz w:val="18"/>
          <w:szCs w:val="18"/>
          <w:color w:val="auto"/>
        </w:rPr>
        <w:t>Overall, transfers between levels occur when there are changes in the observability of inputs and market activity. Transfers into or out of any level are assumed to occur at the beginning of the period.</w:t>
      </w:r>
    </w:p>
    <w:p>
      <w:pPr>
        <w:spacing w:after="0" w:line="62" w:lineRule="exact"/>
        <w:rPr>
          <w:sz w:val="20"/>
          <w:szCs w:val="20"/>
          <w:color w:val="auto"/>
        </w:rPr>
      </w:pPr>
    </w:p>
    <w:p>
      <w:pPr>
        <w:ind w:left="340"/>
        <w:spacing w:after="0"/>
        <w:rPr>
          <w:sz w:val="20"/>
          <w:szCs w:val="20"/>
          <w:color w:val="auto"/>
        </w:rPr>
      </w:pPr>
      <w:r>
        <w:rPr>
          <w:rFonts w:ascii="Arial" w:cs="Arial" w:eastAsia="Arial" w:hAnsi="Arial"/>
          <w:sz w:val="18"/>
          <w:szCs w:val="18"/>
          <w:i w:val="1"/>
          <w:iCs w:val="1"/>
          <w:u w:val="single" w:color="auto"/>
          <w:color w:val="auto"/>
        </w:rPr>
        <w:t>Transfers between Levels 1 and 2:</w:t>
      </w:r>
    </w:p>
    <w:p>
      <w:pPr>
        <w:spacing w:after="0" w:line="117" w:lineRule="exact"/>
        <w:rPr>
          <w:sz w:val="20"/>
          <w:szCs w:val="20"/>
          <w:color w:val="auto"/>
        </w:rPr>
      </w:pPr>
    </w:p>
    <w:p>
      <w:pPr>
        <w:jc w:val="both"/>
        <w:ind w:left="340" w:firstLine="324"/>
        <w:spacing w:after="0" w:line="342" w:lineRule="auto"/>
        <w:rPr>
          <w:sz w:val="20"/>
          <w:szCs w:val="20"/>
          <w:color w:val="auto"/>
        </w:rPr>
      </w:pPr>
      <w:r>
        <w:rPr>
          <w:rFonts w:ascii="Arial" w:cs="Arial" w:eastAsia="Arial" w:hAnsi="Arial"/>
          <w:sz w:val="16"/>
          <w:szCs w:val="16"/>
          <w:color w:val="auto"/>
        </w:rPr>
        <w:t>For assets and liabilities measured at estimated fair value and still held at September 30, 2017, there were no transfers between Levels 1 and 2. For assets and liabilities measured at estimated fair value and still held at December 31, 2016, transfers between Levels 1 and 2 were not significant.</w:t>
      </w:r>
    </w:p>
    <w:p>
      <w:pPr>
        <w:spacing w:after="0" w:line="16" w:lineRule="exact"/>
        <w:rPr>
          <w:sz w:val="20"/>
          <w:szCs w:val="20"/>
          <w:color w:val="auto"/>
        </w:rPr>
      </w:pPr>
    </w:p>
    <w:p>
      <w:pPr>
        <w:ind w:left="340"/>
        <w:spacing w:after="0"/>
        <w:rPr>
          <w:sz w:val="20"/>
          <w:szCs w:val="20"/>
          <w:color w:val="auto"/>
        </w:rPr>
      </w:pPr>
      <w:r>
        <w:rPr>
          <w:rFonts w:ascii="Arial" w:cs="Arial" w:eastAsia="Arial" w:hAnsi="Arial"/>
          <w:sz w:val="18"/>
          <w:szCs w:val="18"/>
          <w:i w:val="1"/>
          <w:iCs w:val="1"/>
          <w:u w:val="single" w:color="auto"/>
          <w:color w:val="auto"/>
        </w:rPr>
        <w:t>Transfers into or out of Level 3:</w:t>
      </w:r>
    </w:p>
    <w:p>
      <w:pPr>
        <w:spacing w:after="0" w:line="117" w:lineRule="exact"/>
        <w:rPr>
          <w:sz w:val="20"/>
          <w:szCs w:val="20"/>
          <w:color w:val="auto"/>
        </w:rPr>
      </w:pPr>
    </w:p>
    <w:p>
      <w:pPr>
        <w:jc w:val="both"/>
        <w:ind w:left="340" w:firstLine="324"/>
        <w:spacing w:after="0" w:line="257" w:lineRule="auto"/>
        <w:rPr>
          <w:sz w:val="20"/>
          <w:szCs w:val="20"/>
          <w:color w:val="auto"/>
        </w:rPr>
      </w:pPr>
      <w:r>
        <w:rPr>
          <w:rFonts w:ascii="Arial" w:cs="Arial" w:eastAsia="Arial" w:hAnsi="Arial"/>
          <w:sz w:val="18"/>
          <w:szCs w:val="18"/>
          <w:color w:val="auto"/>
        </w:rPr>
        <w:t>Assets and liabilities are transferred into Level 3 when a significant input cannot be corroborated with market observable data. This occurs when market activity decreases significantly and underlying inputs cannot be observed, current prices are not available, and/or when there are significant variances in quoted prices, thereby affecting transparency. Assets and liabilities are transferred out of Level 3 when circumstances change such that a significant input can be corroborated with market observable data. This may be due to a significant increase in market activity, a specific event, or one or more significant input(s) becoming observable.</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288" w:right="239" w:bottom="1440" w:gutter="0" w:footer="0" w:header="0"/>
        </w:sectPr>
      </w:pPr>
    </w:p>
    <w:bookmarkStart w:id="52" w:name="page53"/>
    <w:bookmarkEnd w:id="52"/>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Brighthouse Financial, Inc.</w:t>
      </w:r>
    </w:p>
    <w:p>
      <w:pPr>
        <w:spacing w:after="0" w:line="117" w:lineRule="exact"/>
        <w:rPr>
          <w:sz w:val="20"/>
          <w:szCs w:val="20"/>
          <w:color w:val="auto"/>
        </w:rPr>
      </w:pPr>
    </w:p>
    <w:p>
      <w:pPr>
        <w:ind w:left="1480"/>
        <w:spacing w:after="0"/>
        <w:rPr>
          <w:sz w:val="20"/>
          <w:szCs w:val="20"/>
          <w:color w:val="auto"/>
        </w:rPr>
      </w:pPr>
      <w:r>
        <w:rPr>
          <w:rFonts w:ascii="Arial" w:cs="Arial" w:eastAsia="Arial" w:hAnsi="Arial"/>
          <w:sz w:val="18"/>
          <w:szCs w:val="18"/>
          <w:b w:val="1"/>
          <w:bCs w:val="1"/>
          <w:color w:val="auto"/>
        </w:rPr>
        <w:t>Notes to the Interim Condensed Consolidated and Combined Financial Statements (Unaudited) — (continued)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Fair Value (continued)</w:t>
      </w:r>
    </w:p>
    <w:p>
      <w:pPr>
        <w:spacing w:after="0" w:line="364"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Assets and Liabilities Measured at Fair Value Using Significant Unobservable Inputs (Level 3)</w:t>
      </w:r>
    </w:p>
    <w:p>
      <w:pPr>
        <w:spacing w:after="0" w:line="117" w:lineRule="exact"/>
        <w:rPr>
          <w:sz w:val="20"/>
          <w:szCs w:val="20"/>
          <w:color w:val="auto"/>
        </w:rPr>
      </w:pPr>
    </w:p>
    <w:p>
      <w:pPr>
        <w:jc w:val="both"/>
        <w:ind w:left="180" w:firstLine="324"/>
        <w:spacing w:after="0" w:line="264" w:lineRule="auto"/>
        <w:rPr>
          <w:sz w:val="20"/>
          <w:szCs w:val="20"/>
          <w:color w:val="auto"/>
        </w:rPr>
      </w:pPr>
      <w:r>
        <w:rPr>
          <w:rFonts w:ascii="Arial" w:cs="Arial" w:eastAsia="Arial" w:hAnsi="Arial"/>
          <w:sz w:val="18"/>
          <w:szCs w:val="18"/>
          <w:color w:val="auto"/>
        </w:rPr>
        <w:t>The following table presents certain quantitative information about the significant unobservable inputs used in the fair value measurement, and the sensitivity of the estimated fair value to changes in those inputs, for the more significant asset and liability classes measured at fair value on a recurring basis using significant unobservable inputs (Level 3) at:</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22"/>
        </w:trPr>
        <w:tc>
          <w:tcPr>
            <w:tcW w:w="2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100" w:type="dxa"/>
            <w:vAlign w:val="bottom"/>
            <w:gridSpan w:val="4"/>
            <w:vMerge w:val="restart"/>
          </w:tcPr>
          <w:p>
            <w:pPr>
              <w:ind w:left="240"/>
              <w:spacing w:after="0"/>
              <w:rPr>
                <w:sz w:val="20"/>
                <w:szCs w:val="20"/>
                <w:color w:val="auto"/>
              </w:rPr>
            </w:pPr>
            <w:r>
              <w:rPr>
                <w:rFonts w:ascii="Arial" w:cs="Arial" w:eastAsia="Arial" w:hAnsi="Arial"/>
                <w:sz w:val="10"/>
                <w:szCs w:val="10"/>
                <w:b w:val="1"/>
                <w:bCs w:val="1"/>
                <w:color w:val="auto"/>
                <w:w w:val="89"/>
              </w:rPr>
              <w:t>September 30, 2017</w:t>
            </w: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100" w:type="dxa"/>
            <w:vAlign w:val="bottom"/>
            <w:gridSpan w:val="4"/>
            <w:vMerge w:val="restart"/>
          </w:tcPr>
          <w:p>
            <w:pPr>
              <w:ind w:left="260"/>
              <w:spacing w:after="0"/>
              <w:rPr>
                <w:sz w:val="20"/>
                <w:szCs w:val="20"/>
                <w:color w:val="auto"/>
              </w:rPr>
            </w:pPr>
            <w:r>
              <w:rPr>
                <w:rFonts w:ascii="Arial" w:cs="Arial" w:eastAsia="Arial" w:hAnsi="Arial"/>
                <w:sz w:val="10"/>
                <w:szCs w:val="10"/>
                <w:b w:val="1"/>
                <w:bCs w:val="1"/>
                <w:color w:val="auto"/>
                <w:w w:val="91"/>
              </w:rPr>
              <w:t>December 31, 2016</w:t>
            </w: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20" w:type="dxa"/>
            <w:vAlign w:val="bottom"/>
          </w:tcPr>
          <w:p>
            <w:pPr>
              <w:jc w:val="center"/>
              <w:spacing w:after="0"/>
              <w:rPr>
                <w:sz w:val="20"/>
                <w:szCs w:val="20"/>
                <w:color w:val="auto"/>
              </w:rPr>
            </w:pPr>
            <w:r>
              <w:rPr>
                <w:rFonts w:ascii="Arial" w:cs="Arial" w:eastAsia="Arial" w:hAnsi="Arial"/>
                <w:sz w:val="10"/>
                <w:szCs w:val="10"/>
                <w:b w:val="1"/>
                <w:bCs w:val="1"/>
                <w:color w:val="auto"/>
                <w:w w:val="94"/>
              </w:rPr>
              <w:t>Impact of</w:t>
            </w:r>
          </w:p>
        </w:tc>
        <w:tc>
          <w:tcPr>
            <w:tcW w:w="0" w:type="dxa"/>
            <w:vAlign w:val="bottom"/>
          </w:tcPr>
          <w:p>
            <w:pPr>
              <w:spacing w:after="0"/>
              <w:rPr>
                <w:sz w:val="1"/>
                <w:szCs w:val="1"/>
                <w:color w:val="auto"/>
              </w:rPr>
            </w:pPr>
          </w:p>
        </w:tc>
      </w:tr>
      <w:tr>
        <w:trPr>
          <w:trHeight w:val="59"/>
        </w:trPr>
        <w:tc>
          <w:tcPr>
            <w:tcW w:w="21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4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80" w:type="dxa"/>
            <w:vAlign w:val="bottom"/>
          </w:tcPr>
          <w:p>
            <w:pPr>
              <w:spacing w:after="0"/>
              <w:rPr>
                <w:sz w:val="5"/>
                <w:szCs w:val="5"/>
                <w:color w:val="auto"/>
              </w:rPr>
            </w:pPr>
          </w:p>
        </w:tc>
        <w:tc>
          <w:tcPr>
            <w:tcW w:w="1500" w:type="dxa"/>
            <w:vAlign w:val="bottom"/>
          </w:tcPr>
          <w:p>
            <w:pPr>
              <w:spacing w:after="0"/>
              <w:rPr>
                <w:sz w:val="5"/>
                <w:szCs w:val="5"/>
                <w:color w:val="auto"/>
              </w:rPr>
            </w:pPr>
          </w:p>
        </w:tc>
        <w:tc>
          <w:tcPr>
            <w:tcW w:w="100" w:type="dxa"/>
            <w:vAlign w:val="bottom"/>
          </w:tcPr>
          <w:p>
            <w:pPr>
              <w:spacing w:after="0"/>
              <w:rPr>
                <w:sz w:val="5"/>
                <w:szCs w:val="5"/>
                <w:color w:val="auto"/>
              </w:rPr>
            </w:pPr>
          </w:p>
        </w:tc>
        <w:tc>
          <w:tcPr>
            <w:tcW w:w="480" w:type="dxa"/>
            <w:vAlign w:val="bottom"/>
          </w:tcPr>
          <w:p>
            <w:pPr>
              <w:spacing w:after="0"/>
              <w:rPr>
                <w:sz w:val="5"/>
                <w:szCs w:val="5"/>
                <w:color w:val="auto"/>
              </w:rPr>
            </w:pPr>
          </w:p>
        </w:tc>
        <w:tc>
          <w:tcPr>
            <w:tcW w:w="1100" w:type="dxa"/>
            <w:vAlign w:val="bottom"/>
            <w:gridSpan w:val="4"/>
            <w:vMerge w:val="continue"/>
          </w:tcPr>
          <w:p>
            <w:pPr>
              <w:spacing w:after="0"/>
              <w:rPr>
                <w:sz w:val="5"/>
                <w:szCs w:val="5"/>
                <w:color w:val="auto"/>
              </w:rPr>
            </w:pPr>
          </w:p>
        </w:tc>
        <w:tc>
          <w:tcPr>
            <w:tcW w:w="680" w:type="dxa"/>
            <w:vAlign w:val="bottom"/>
          </w:tcPr>
          <w:p>
            <w:pPr>
              <w:spacing w:after="0"/>
              <w:rPr>
                <w:sz w:val="5"/>
                <w:szCs w:val="5"/>
                <w:color w:val="auto"/>
              </w:rPr>
            </w:pPr>
          </w:p>
        </w:tc>
        <w:tc>
          <w:tcPr>
            <w:tcW w:w="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1100" w:type="dxa"/>
            <w:vAlign w:val="bottom"/>
            <w:gridSpan w:val="4"/>
            <w:vMerge w:val="continue"/>
          </w:tcPr>
          <w:p>
            <w:pPr>
              <w:spacing w:after="0"/>
              <w:rPr>
                <w:sz w:val="5"/>
                <w:szCs w:val="5"/>
                <w:color w:val="auto"/>
              </w:rPr>
            </w:pPr>
          </w:p>
        </w:tc>
        <w:tc>
          <w:tcPr>
            <w:tcW w:w="6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20" w:type="dxa"/>
            <w:vAlign w:val="bottom"/>
            <w:vMerge w:val="restart"/>
          </w:tcPr>
          <w:p>
            <w:pPr>
              <w:jc w:val="center"/>
              <w:spacing w:after="0" w:line="79" w:lineRule="exact"/>
              <w:rPr>
                <w:sz w:val="20"/>
                <w:szCs w:val="20"/>
                <w:color w:val="auto"/>
              </w:rPr>
            </w:pPr>
            <w:r>
              <w:rPr>
                <w:rFonts w:ascii="Arial" w:cs="Arial" w:eastAsia="Arial" w:hAnsi="Arial"/>
                <w:sz w:val="9"/>
                <w:szCs w:val="9"/>
                <w:b w:val="1"/>
                <w:bCs w:val="1"/>
                <w:color w:val="auto"/>
              </w:rPr>
              <w:t>Increase in Input</w:t>
            </w:r>
          </w:p>
        </w:tc>
        <w:tc>
          <w:tcPr>
            <w:tcW w:w="0" w:type="dxa"/>
            <w:vAlign w:val="bottom"/>
          </w:tcPr>
          <w:p>
            <w:pPr>
              <w:spacing w:after="0"/>
              <w:rPr>
                <w:sz w:val="1"/>
                <w:szCs w:val="1"/>
                <w:color w:val="auto"/>
              </w:rPr>
            </w:pPr>
          </w:p>
        </w:tc>
      </w:tr>
      <w:tr>
        <w:trPr>
          <w:trHeight w:val="26"/>
        </w:trPr>
        <w:tc>
          <w:tcPr>
            <w:tcW w:w="2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38"/>
        </w:trPr>
        <w:tc>
          <w:tcPr>
            <w:tcW w:w="2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80" w:type="dxa"/>
            <w:vAlign w:val="bottom"/>
            <w:gridSpan w:val="2"/>
          </w:tcPr>
          <w:p>
            <w:pPr>
              <w:ind w:left="440"/>
              <w:spacing w:after="0"/>
              <w:rPr>
                <w:sz w:val="20"/>
                <w:szCs w:val="20"/>
                <w:color w:val="auto"/>
              </w:rPr>
            </w:pPr>
            <w:r>
              <w:rPr>
                <w:rFonts w:ascii="Arial" w:cs="Arial" w:eastAsia="Arial" w:hAnsi="Arial"/>
                <w:sz w:val="10"/>
                <w:szCs w:val="10"/>
                <w:b w:val="1"/>
                <w:bCs w:val="1"/>
                <w:color w:val="auto"/>
              </w:rPr>
              <w:t>Valuation</w:t>
            </w:r>
          </w:p>
        </w:tc>
        <w:tc>
          <w:tcPr>
            <w:tcW w:w="180" w:type="dxa"/>
            <w:vAlign w:val="bottom"/>
          </w:tcPr>
          <w:p>
            <w:pPr>
              <w:spacing w:after="0"/>
              <w:rPr>
                <w:sz w:val="12"/>
                <w:szCs w:val="12"/>
                <w:color w:val="auto"/>
              </w:rPr>
            </w:pPr>
          </w:p>
        </w:tc>
        <w:tc>
          <w:tcPr>
            <w:tcW w:w="1600" w:type="dxa"/>
            <w:vAlign w:val="bottom"/>
            <w:gridSpan w:val="2"/>
          </w:tcPr>
          <w:p>
            <w:pPr>
              <w:ind w:left="440"/>
              <w:spacing w:after="0"/>
              <w:rPr>
                <w:sz w:val="20"/>
                <w:szCs w:val="20"/>
                <w:color w:val="auto"/>
              </w:rPr>
            </w:pPr>
            <w:r>
              <w:rPr>
                <w:rFonts w:ascii="Arial" w:cs="Arial" w:eastAsia="Arial" w:hAnsi="Arial"/>
                <w:sz w:val="10"/>
                <w:szCs w:val="10"/>
                <w:b w:val="1"/>
                <w:bCs w:val="1"/>
                <w:color w:val="auto"/>
              </w:rPr>
              <w:t>Significant</w:t>
            </w:r>
          </w:p>
        </w:tc>
        <w:tc>
          <w:tcPr>
            <w:tcW w:w="4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tcPr>
          <w:p>
            <w:pPr>
              <w:jc w:val="center"/>
              <w:ind w:right="240"/>
              <w:spacing w:after="0"/>
              <w:rPr>
                <w:sz w:val="20"/>
                <w:szCs w:val="20"/>
                <w:color w:val="auto"/>
              </w:rPr>
            </w:pPr>
            <w:r>
              <w:rPr>
                <w:rFonts w:ascii="Arial" w:cs="Arial" w:eastAsia="Arial" w:hAnsi="Arial"/>
                <w:sz w:val="10"/>
                <w:szCs w:val="10"/>
                <w:b w:val="1"/>
                <w:bCs w:val="1"/>
                <w:color w:val="auto"/>
                <w:w w:val="88"/>
              </w:rPr>
              <w:t>Weighted</w:t>
            </w:r>
          </w:p>
        </w:tc>
        <w:tc>
          <w:tcPr>
            <w:tcW w:w="4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jc w:val="center"/>
              <w:ind w:right="64"/>
              <w:spacing w:after="0"/>
              <w:rPr>
                <w:sz w:val="20"/>
                <w:szCs w:val="20"/>
                <w:color w:val="auto"/>
              </w:rPr>
            </w:pPr>
            <w:r>
              <w:rPr>
                <w:rFonts w:ascii="Arial" w:cs="Arial" w:eastAsia="Arial" w:hAnsi="Arial"/>
                <w:sz w:val="10"/>
                <w:szCs w:val="10"/>
                <w:b w:val="1"/>
                <w:bCs w:val="1"/>
                <w:color w:val="auto"/>
                <w:w w:val="88"/>
              </w:rPr>
              <w:t>Weighted</w:t>
            </w:r>
          </w:p>
        </w:tc>
        <w:tc>
          <w:tcPr>
            <w:tcW w:w="120" w:type="dxa"/>
            <w:vAlign w:val="bottom"/>
          </w:tcPr>
          <w:p>
            <w:pPr>
              <w:spacing w:after="0"/>
              <w:rPr>
                <w:sz w:val="12"/>
                <w:szCs w:val="12"/>
                <w:color w:val="auto"/>
              </w:rPr>
            </w:pPr>
          </w:p>
        </w:tc>
        <w:tc>
          <w:tcPr>
            <w:tcW w:w="1020" w:type="dxa"/>
            <w:vAlign w:val="bottom"/>
          </w:tcPr>
          <w:p>
            <w:pPr>
              <w:jc w:val="center"/>
              <w:spacing w:after="0"/>
              <w:rPr>
                <w:sz w:val="20"/>
                <w:szCs w:val="20"/>
                <w:color w:val="auto"/>
              </w:rPr>
            </w:pPr>
            <w:r>
              <w:rPr>
                <w:rFonts w:ascii="Arial" w:cs="Arial" w:eastAsia="Arial" w:hAnsi="Arial"/>
                <w:sz w:val="10"/>
                <w:szCs w:val="10"/>
                <w:b w:val="1"/>
                <w:bCs w:val="1"/>
                <w:color w:val="auto"/>
                <w:w w:val="89"/>
              </w:rPr>
              <w:t>on Estimated</w:t>
            </w:r>
          </w:p>
        </w:tc>
        <w:tc>
          <w:tcPr>
            <w:tcW w:w="0" w:type="dxa"/>
            <w:vAlign w:val="bottom"/>
          </w:tcPr>
          <w:p>
            <w:pPr>
              <w:spacing w:after="0"/>
              <w:rPr>
                <w:sz w:val="1"/>
                <w:szCs w:val="1"/>
                <w:color w:val="auto"/>
              </w:rPr>
            </w:pPr>
          </w:p>
        </w:tc>
      </w:tr>
      <w:tr>
        <w:trPr>
          <w:trHeight w:val="126"/>
        </w:trPr>
        <w:tc>
          <w:tcPr>
            <w:tcW w:w="2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580" w:type="dxa"/>
            <w:vAlign w:val="bottom"/>
            <w:gridSpan w:val="2"/>
          </w:tcPr>
          <w:p>
            <w:pPr>
              <w:ind w:left="400"/>
              <w:spacing w:after="0"/>
              <w:rPr>
                <w:sz w:val="20"/>
                <w:szCs w:val="20"/>
                <w:color w:val="auto"/>
              </w:rPr>
            </w:pPr>
            <w:r>
              <w:rPr>
                <w:rFonts w:ascii="Arial" w:cs="Arial" w:eastAsia="Arial" w:hAnsi="Arial"/>
                <w:sz w:val="10"/>
                <w:szCs w:val="10"/>
                <w:b w:val="1"/>
                <w:bCs w:val="1"/>
                <w:color w:val="auto"/>
              </w:rPr>
              <w:t>Techniques</w:t>
            </w:r>
          </w:p>
        </w:tc>
        <w:tc>
          <w:tcPr>
            <w:tcW w:w="180" w:type="dxa"/>
            <w:vAlign w:val="bottom"/>
          </w:tcPr>
          <w:p>
            <w:pPr>
              <w:spacing w:after="0"/>
              <w:rPr>
                <w:sz w:val="10"/>
                <w:szCs w:val="10"/>
                <w:color w:val="auto"/>
              </w:rPr>
            </w:pPr>
          </w:p>
        </w:tc>
        <w:tc>
          <w:tcPr>
            <w:tcW w:w="1600" w:type="dxa"/>
            <w:vAlign w:val="bottom"/>
            <w:gridSpan w:val="2"/>
          </w:tcPr>
          <w:p>
            <w:pPr>
              <w:ind w:left="220"/>
              <w:spacing w:after="0"/>
              <w:rPr>
                <w:sz w:val="20"/>
                <w:szCs w:val="20"/>
                <w:color w:val="auto"/>
              </w:rPr>
            </w:pPr>
            <w:r>
              <w:rPr>
                <w:rFonts w:ascii="Arial" w:cs="Arial" w:eastAsia="Arial" w:hAnsi="Arial"/>
                <w:sz w:val="10"/>
                <w:szCs w:val="10"/>
                <w:b w:val="1"/>
                <w:bCs w:val="1"/>
                <w:color w:val="auto"/>
              </w:rPr>
              <w:t>Unobservable Inputs</w:t>
            </w:r>
          </w:p>
        </w:tc>
        <w:tc>
          <w:tcPr>
            <w:tcW w:w="480" w:type="dxa"/>
            <w:vAlign w:val="bottom"/>
          </w:tcPr>
          <w:p>
            <w:pPr>
              <w:spacing w:after="0"/>
              <w:rPr>
                <w:sz w:val="10"/>
                <w:szCs w:val="10"/>
                <w:color w:val="auto"/>
              </w:rPr>
            </w:pPr>
          </w:p>
        </w:tc>
        <w:tc>
          <w:tcPr>
            <w:tcW w:w="420" w:type="dxa"/>
            <w:vAlign w:val="bottom"/>
          </w:tcPr>
          <w:p>
            <w:pPr>
              <w:ind w:left="60"/>
              <w:spacing w:after="0"/>
              <w:rPr>
                <w:sz w:val="20"/>
                <w:szCs w:val="20"/>
                <w:color w:val="auto"/>
              </w:rPr>
            </w:pPr>
            <w:r>
              <w:rPr>
                <w:rFonts w:ascii="Arial" w:cs="Arial" w:eastAsia="Arial" w:hAnsi="Arial"/>
                <w:sz w:val="10"/>
                <w:szCs w:val="10"/>
                <w:b w:val="1"/>
                <w:bCs w:val="1"/>
                <w:color w:val="auto"/>
              </w:rPr>
              <w:t>Range</w:t>
            </w: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gridSpan w:val="2"/>
          </w:tcPr>
          <w:p>
            <w:pPr>
              <w:jc w:val="center"/>
              <w:ind w:right="240"/>
              <w:spacing w:after="0"/>
              <w:rPr>
                <w:sz w:val="20"/>
                <w:szCs w:val="20"/>
                <w:color w:val="auto"/>
              </w:rPr>
            </w:pPr>
            <w:r>
              <w:rPr>
                <w:rFonts w:ascii="Arial" w:cs="Arial" w:eastAsia="Arial" w:hAnsi="Arial"/>
                <w:sz w:val="10"/>
                <w:szCs w:val="10"/>
                <w:b w:val="1"/>
                <w:bCs w:val="1"/>
                <w:color w:val="auto"/>
                <w:w w:val="88"/>
              </w:rPr>
              <w:t>Average (1)</w:t>
            </w:r>
          </w:p>
        </w:tc>
        <w:tc>
          <w:tcPr>
            <w:tcW w:w="460" w:type="dxa"/>
            <w:vAlign w:val="bottom"/>
          </w:tcPr>
          <w:p>
            <w:pPr>
              <w:spacing w:after="0"/>
              <w:rPr>
                <w:sz w:val="10"/>
                <w:szCs w:val="10"/>
                <w:color w:val="auto"/>
              </w:rPr>
            </w:pPr>
          </w:p>
        </w:tc>
        <w:tc>
          <w:tcPr>
            <w:tcW w:w="420" w:type="dxa"/>
            <w:vAlign w:val="bottom"/>
          </w:tcPr>
          <w:p>
            <w:pPr>
              <w:jc w:val="right"/>
              <w:ind w:right="24"/>
              <w:spacing w:after="0"/>
              <w:rPr>
                <w:sz w:val="20"/>
                <w:szCs w:val="20"/>
                <w:color w:val="auto"/>
              </w:rPr>
            </w:pPr>
            <w:r>
              <w:rPr>
                <w:rFonts w:ascii="Arial" w:cs="Arial" w:eastAsia="Arial" w:hAnsi="Arial"/>
                <w:sz w:val="10"/>
                <w:szCs w:val="10"/>
                <w:b w:val="1"/>
                <w:bCs w:val="1"/>
                <w:color w:val="auto"/>
              </w:rPr>
              <w:t>Range</w:t>
            </w: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jc w:val="center"/>
              <w:ind w:right="64"/>
              <w:spacing w:after="0"/>
              <w:rPr>
                <w:sz w:val="20"/>
                <w:szCs w:val="20"/>
                <w:color w:val="auto"/>
              </w:rPr>
            </w:pPr>
            <w:r>
              <w:rPr>
                <w:rFonts w:ascii="Arial" w:cs="Arial" w:eastAsia="Arial" w:hAnsi="Arial"/>
                <w:sz w:val="10"/>
                <w:szCs w:val="10"/>
                <w:b w:val="1"/>
                <w:bCs w:val="1"/>
                <w:color w:val="auto"/>
                <w:w w:val="88"/>
              </w:rPr>
              <w:t>Average (1)</w:t>
            </w:r>
          </w:p>
        </w:tc>
        <w:tc>
          <w:tcPr>
            <w:tcW w:w="120" w:type="dxa"/>
            <w:vAlign w:val="bottom"/>
          </w:tcPr>
          <w:p>
            <w:pPr>
              <w:spacing w:after="0"/>
              <w:rPr>
                <w:sz w:val="10"/>
                <w:szCs w:val="10"/>
                <w:color w:val="auto"/>
              </w:rPr>
            </w:pPr>
          </w:p>
        </w:tc>
        <w:tc>
          <w:tcPr>
            <w:tcW w:w="1020" w:type="dxa"/>
            <w:vAlign w:val="bottom"/>
          </w:tcPr>
          <w:p>
            <w:pPr>
              <w:jc w:val="center"/>
              <w:spacing w:after="0"/>
              <w:rPr>
                <w:sz w:val="20"/>
                <w:szCs w:val="20"/>
                <w:color w:val="auto"/>
              </w:rPr>
            </w:pPr>
            <w:r>
              <w:rPr>
                <w:rFonts w:ascii="Arial" w:cs="Arial" w:eastAsia="Arial" w:hAnsi="Arial"/>
                <w:sz w:val="10"/>
                <w:szCs w:val="10"/>
                <w:b w:val="1"/>
                <w:bCs w:val="1"/>
                <w:color w:val="auto"/>
                <w:w w:val="92"/>
              </w:rPr>
              <w:t>Fair Value (2)</w:t>
            </w:r>
          </w:p>
        </w:tc>
        <w:tc>
          <w:tcPr>
            <w:tcW w:w="0" w:type="dxa"/>
            <w:vAlign w:val="bottom"/>
          </w:tcPr>
          <w:p>
            <w:pPr>
              <w:spacing w:after="0"/>
              <w:rPr>
                <w:sz w:val="1"/>
                <w:szCs w:val="1"/>
                <w:color w:val="auto"/>
              </w:rPr>
            </w:pPr>
          </w:p>
        </w:tc>
      </w:tr>
      <w:tr>
        <w:trPr>
          <w:trHeight w:val="26"/>
        </w:trPr>
        <w:tc>
          <w:tcPr>
            <w:tcW w:w="2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9"/>
        </w:trPr>
        <w:tc>
          <w:tcPr>
            <w:tcW w:w="2120" w:type="dxa"/>
            <w:vAlign w:val="bottom"/>
            <w:shd w:val="clear" w:color="auto" w:fill="CCEEFF"/>
          </w:tcPr>
          <w:p>
            <w:pPr>
              <w:ind w:left="40"/>
              <w:spacing w:after="0"/>
              <w:rPr>
                <w:sz w:val="20"/>
                <w:szCs w:val="20"/>
                <w:color w:val="auto"/>
              </w:rPr>
            </w:pPr>
            <w:r>
              <w:rPr>
                <w:rFonts w:ascii="Arial" w:cs="Arial" w:eastAsia="Arial" w:hAnsi="Arial"/>
                <w:sz w:val="12"/>
                <w:szCs w:val="12"/>
                <w:b w:val="1"/>
                <w:bCs w:val="1"/>
                <w:color w:val="auto"/>
              </w:rPr>
              <w:t>Fixed maturity securities (3)</w:t>
            </w:r>
          </w:p>
        </w:tc>
        <w:tc>
          <w:tcPr>
            <w:tcW w:w="180" w:type="dxa"/>
            <w:vAlign w:val="bottom"/>
            <w:shd w:val="clear" w:color="auto" w:fill="CCEEFF"/>
          </w:tcPr>
          <w:p>
            <w:pPr>
              <w:spacing w:after="0"/>
              <w:rPr>
                <w:sz w:val="12"/>
                <w:szCs w:val="12"/>
                <w:color w:val="auto"/>
              </w:rPr>
            </w:pPr>
          </w:p>
        </w:tc>
        <w:tc>
          <w:tcPr>
            <w:tcW w:w="1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15"/>
        </w:trPr>
        <w:tc>
          <w:tcPr>
            <w:tcW w:w="212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14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15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02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69"/>
        </w:trPr>
        <w:tc>
          <w:tcPr>
            <w:tcW w:w="2120" w:type="dxa"/>
            <w:vAlign w:val="bottom"/>
          </w:tcPr>
          <w:p>
            <w:pPr>
              <w:ind w:left="40"/>
              <w:spacing w:after="0"/>
              <w:rPr>
                <w:sz w:val="20"/>
                <w:szCs w:val="20"/>
                <w:color w:val="auto"/>
              </w:rPr>
            </w:pPr>
            <w:r>
              <w:rPr>
                <w:rFonts w:ascii="Arial" w:cs="Arial" w:eastAsia="Arial" w:hAnsi="Arial"/>
                <w:sz w:val="12"/>
                <w:szCs w:val="12"/>
                <w:color w:val="auto"/>
              </w:rPr>
              <w:t>U.S. corporate and foreign corporate</w:t>
            </w:r>
          </w:p>
        </w:tc>
        <w:tc>
          <w:tcPr>
            <w:tcW w:w="180" w:type="dxa"/>
            <w:vAlign w:val="bottom"/>
          </w:tcPr>
          <w:p>
            <w:pPr>
              <w:ind w:left="80"/>
              <w:spacing w:after="0"/>
              <w:rPr>
                <w:sz w:val="20"/>
                <w:szCs w:val="20"/>
                <w:color w:val="auto"/>
              </w:rPr>
            </w:pPr>
            <w:r>
              <w:rPr>
                <w:rFonts w:ascii="Arial" w:cs="Arial" w:eastAsia="Arial" w:hAnsi="Arial"/>
                <w:sz w:val="12"/>
                <w:szCs w:val="12"/>
                <w:b w:val="1"/>
                <w:bCs w:val="1"/>
                <w:color w:val="auto"/>
              </w:rPr>
              <w:t>•</w:t>
            </w:r>
          </w:p>
        </w:tc>
        <w:tc>
          <w:tcPr>
            <w:tcW w:w="1580" w:type="dxa"/>
            <w:vAlign w:val="bottom"/>
            <w:gridSpan w:val="2"/>
          </w:tcPr>
          <w:p>
            <w:pPr>
              <w:ind w:left="60"/>
              <w:spacing w:after="0"/>
              <w:rPr>
                <w:sz w:val="20"/>
                <w:szCs w:val="20"/>
                <w:color w:val="auto"/>
              </w:rPr>
            </w:pPr>
            <w:r>
              <w:rPr>
                <w:rFonts w:ascii="Arial" w:cs="Arial" w:eastAsia="Arial" w:hAnsi="Arial"/>
                <w:sz w:val="12"/>
                <w:szCs w:val="12"/>
                <w:color w:val="auto"/>
              </w:rPr>
              <w:t>Matrix pricing</w:t>
            </w:r>
          </w:p>
        </w:tc>
        <w:tc>
          <w:tcPr>
            <w:tcW w:w="180" w:type="dxa"/>
            <w:vAlign w:val="bottom"/>
          </w:tcPr>
          <w:p>
            <w:pPr>
              <w:ind w:left="100"/>
              <w:spacing w:after="0"/>
              <w:rPr>
                <w:sz w:val="20"/>
                <w:szCs w:val="20"/>
                <w:color w:val="auto"/>
              </w:rPr>
            </w:pPr>
            <w:r>
              <w:rPr>
                <w:rFonts w:ascii="Arial" w:cs="Arial" w:eastAsia="Arial" w:hAnsi="Arial"/>
                <w:sz w:val="12"/>
                <w:szCs w:val="12"/>
                <w:b w:val="1"/>
                <w:bCs w:val="1"/>
                <w:color w:val="auto"/>
              </w:rPr>
              <w:t>•</w:t>
            </w:r>
          </w:p>
        </w:tc>
        <w:tc>
          <w:tcPr>
            <w:tcW w:w="1600" w:type="dxa"/>
            <w:vAlign w:val="bottom"/>
            <w:gridSpan w:val="2"/>
          </w:tcPr>
          <w:p>
            <w:pPr>
              <w:ind w:left="60"/>
              <w:spacing w:after="0"/>
              <w:rPr>
                <w:sz w:val="20"/>
                <w:szCs w:val="20"/>
                <w:color w:val="auto"/>
              </w:rPr>
            </w:pPr>
            <w:r>
              <w:rPr>
                <w:rFonts w:ascii="Arial" w:cs="Arial" w:eastAsia="Arial" w:hAnsi="Arial"/>
                <w:sz w:val="12"/>
                <w:szCs w:val="12"/>
                <w:color w:val="auto"/>
              </w:rPr>
              <w:t>Offered quotes (4)</w:t>
            </w:r>
          </w:p>
        </w:tc>
        <w:tc>
          <w:tcPr>
            <w:tcW w:w="480" w:type="dxa"/>
            <w:vAlign w:val="bottom"/>
          </w:tcPr>
          <w:p>
            <w:pPr>
              <w:jc w:val="center"/>
              <w:ind w:left="142"/>
              <w:spacing w:after="0"/>
              <w:rPr>
                <w:sz w:val="20"/>
                <w:szCs w:val="20"/>
                <w:color w:val="auto"/>
              </w:rPr>
            </w:pPr>
            <w:r>
              <w:rPr>
                <w:rFonts w:ascii="Arial" w:cs="Arial" w:eastAsia="Arial" w:hAnsi="Arial"/>
                <w:sz w:val="12"/>
                <w:szCs w:val="12"/>
                <w:color w:val="auto"/>
                <w:w w:val="89"/>
              </w:rPr>
              <w:t>21</w:t>
            </w:r>
          </w:p>
        </w:tc>
        <w:tc>
          <w:tcPr>
            <w:tcW w:w="420" w:type="dxa"/>
            <w:vAlign w:val="bottom"/>
          </w:tcPr>
          <w:p>
            <w:pPr>
              <w:ind w:left="240"/>
              <w:spacing w:after="0"/>
              <w:rPr>
                <w:sz w:val="20"/>
                <w:szCs w:val="20"/>
                <w:color w:val="auto"/>
              </w:rPr>
            </w:pPr>
            <w:r>
              <w:rPr>
                <w:rFonts w:ascii="Arial" w:cs="Arial" w:eastAsia="Arial" w:hAnsi="Arial"/>
                <w:sz w:val="12"/>
                <w:szCs w:val="12"/>
                <w:color w:val="auto"/>
              </w:rPr>
              <w:t>-</w:t>
            </w:r>
          </w:p>
        </w:tc>
        <w:tc>
          <w:tcPr>
            <w:tcW w:w="460" w:type="dxa"/>
            <w:vAlign w:val="bottom"/>
          </w:tcPr>
          <w:p>
            <w:pPr>
              <w:jc w:val="center"/>
              <w:ind w:right="62"/>
              <w:spacing w:after="0"/>
              <w:rPr>
                <w:sz w:val="20"/>
                <w:szCs w:val="20"/>
                <w:color w:val="auto"/>
              </w:rPr>
            </w:pPr>
            <w:r>
              <w:rPr>
                <w:rFonts w:ascii="Arial" w:cs="Arial" w:eastAsia="Arial" w:hAnsi="Arial"/>
                <w:sz w:val="12"/>
                <w:szCs w:val="12"/>
                <w:color w:val="auto"/>
                <w:w w:val="89"/>
              </w:rPr>
              <w:t>140</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jc w:val="center"/>
              <w:ind w:right="44"/>
              <w:spacing w:after="0"/>
              <w:rPr>
                <w:sz w:val="20"/>
                <w:szCs w:val="20"/>
                <w:color w:val="auto"/>
              </w:rPr>
            </w:pPr>
            <w:r>
              <w:rPr>
                <w:rFonts w:ascii="Arial" w:cs="Arial" w:eastAsia="Arial" w:hAnsi="Arial"/>
                <w:sz w:val="12"/>
                <w:szCs w:val="12"/>
                <w:color w:val="auto"/>
                <w:w w:val="89"/>
              </w:rPr>
              <w:t>107</w:t>
            </w:r>
          </w:p>
        </w:tc>
        <w:tc>
          <w:tcPr>
            <w:tcW w:w="120" w:type="dxa"/>
            <w:vAlign w:val="bottom"/>
          </w:tcPr>
          <w:p>
            <w:pPr>
              <w:spacing w:after="0"/>
              <w:rPr>
                <w:sz w:val="14"/>
                <w:szCs w:val="14"/>
                <w:color w:val="auto"/>
              </w:rPr>
            </w:pPr>
          </w:p>
        </w:tc>
        <w:tc>
          <w:tcPr>
            <w:tcW w:w="460" w:type="dxa"/>
            <w:vAlign w:val="bottom"/>
          </w:tcPr>
          <w:p>
            <w:pPr>
              <w:jc w:val="right"/>
              <w:ind w:right="22"/>
              <w:spacing w:after="0"/>
              <w:rPr>
                <w:sz w:val="20"/>
                <w:szCs w:val="20"/>
                <w:color w:val="auto"/>
              </w:rPr>
            </w:pPr>
            <w:r>
              <w:rPr>
                <w:rFonts w:ascii="Arial" w:cs="Arial" w:eastAsia="Arial" w:hAnsi="Arial"/>
                <w:sz w:val="12"/>
                <w:szCs w:val="12"/>
                <w:color w:val="auto"/>
              </w:rPr>
              <w:t>18</w:t>
            </w:r>
          </w:p>
        </w:tc>
        <w:tc>
          <w:tcPr>
            <w:tcW w:w="420" w:type="dxa"/>
            <w:vAlign w:val="bottom"/>
          </w:tcPr>
          <w:p>
            <w:pPr>
              <w:jc w:val="right"/>
              <w:ind w:right="84"/>
              <w:spacing w:after="0"/>
              <w:rPr>
                <w:sz w:val="20"/>
                <w:szCs w:val="20"/>
                <w:color w:val="auto"/>
              </w:rPr>
            </w:pPr>
            <w:r>
              <w:rPr>
                <w:rFonts w:ascii="Arial" w:cs="Arial" w:eastAsia="Arial" w:hAnsi="Arial"/>
                <w:sz w:val="12"/>
                <w:szCs w:val="12"/>
                <w:color w:val="auto"/>
              </w:rPr>
              <w:t>-</w:t>
            </w:r>
          </w:p>
        </w:tc>
        <w:tc>
          <w:tcPr>
            <w:tcW w:w="460" w:type="dxa"/>
            <w:vAlign w:val="bottom"/>
          </w:tcPr>
          <w:p>
            <w:pPr>
              <w:jc w:val="right"/>
              <w:ind w:right="142"/>
              <w:spacing w:after="0"/>
              <w:rPr>
                <w:sz w:val="20"/>
                <w:szCs w:val="20"/>
                <w:color w:val="auto"/>
              </w:rPr>
            </w:pPr>
            <w:r>
              <w:rPr>
                <w:rFonts w:ascii="Arial" w:cs="Arial" w:eastAsia="Arial" w:hAnsi="Arial"/>
                <w:sz w:val="12"/>
                <w:szCs w:val="12"/>
                <w:color w:val="auto"/>
              </w:rPr>
              <w:t>138</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jc w:val="center"/>
              <w:ind w:right="44"/>
              <w:spacing w:after="0"/>
              <w:rPr>
                <w:sz w:val="20"/>
                <w:szCs w:val="20"/>
                <w:color w:val="auto"/>
              </w:rPr>
            </w:pPr>
            <w:r>
              <w:rPr>
                <w:rFonts w:ascii="Arial" w:cs="Arial" w:eastAsia="Arial" w:hAnsi="Arial"/>
                <w:sz w:val="12"/>
                <w:szCs w:val="12"/>
                <w:color w:val="auto"/>
                <w:w w:val="89"/>
              </w:rPr>
              <w:t>104</w:t>
            </w:r>
          </w:p>
        </w:tc>
        <w:tc>
          <w:tcPr>
            <w:tcW w:w="120" w:type="dxa"/>
            <w:vAlign w:val="bottom"/>
          </w:tcPr>
          <w:p>
            <w:pPr>
              <w:spacing w:after="0"/>
              <w:rPr>
                <w:sz w:val="14"/>
                <w:szCs w:val="14"/>
                <w:color w:val="auto"/>
              </w:rPr>
            </w:pPr>
          </w:p>
        </w:tc>
        <w:tc>
          <w:tcPr>
            <w:tcW w:w="1020" w:type="dxa"/>
            <w:vAlign w:val="bottom"/>
          </w:tcPr>
          <w:p>
            <w:pPr>
              <w:jc w:val="center"/>
              <w:spacing w:after="0"/>
              <w:rPr>
                <w:sz w:val="20"/>
                <w:szCs w:val="20"/>
                <w:color w:val="auto"/>
              </w:rPr>
            </w:pPr>
            <w:r>
              <w:rPr>
                <w:rFonts w:ascii="Arial" w:cs="Arial" w:eastAsia="Arial" w:hAnsi="Arial"/>
                <w:sz w:val="12"/>
                <w:szCs w:val="12"/>
                <w:color w:val="auto"/>
                <w:w w:val="82"/>
              </w:rPr>
              <w:t>Increase</w:t>
            </w:r>
          </w:p>
        </w:tc>
        <w:tc>
          <w:tcPr>
            <w:tcW w:w="0" w:type="dxa"/>
            <w:vAlign w:val="bottom"/>
          </w:tcPr>
          <w:p>
            <w:pPr>
              <w:spacing w:after="0"/>
              <w:rPr>
                <w:sz w:val="1"/>
                <w:szCs w:val="1"/>
                <w:color w:val="auto"/>
              </w:rPr>
            </w:pPr>
          </w:p>
        </w:tc>
      </w:tr>
      <w:tr>
        <w:trPr>
          <w:trHeight w:val="101"/>
        </w:trPr>
        <w:tc>
          <w:tcPr>
            <w:tcW w:w="21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42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Pr>
          <w:p>
            <w:pPr>
              <w:spacing w:after="0"/>
              <w:rPr>
                <w:sz w:val="8"/>
                <w:szCs w:val="8"/>
                <w:color w:val="auto"/>
              </w:rPr>
            </w:pPr>
          </w:p>
        </w:tc>
        <w:tc>
          <w:tcPr>
            <w:tcW w:w="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9"/>
        </w:trPr>
        <w:tc>
          <w:tcPr>
            <w:tcW w:w="2120" w:type="dxa"/>
            <w:vAlign w:val="bottom"/>
            <w:shd w:val="clear" w:color="auto" w:fill="CCEEFF"/>
          </w:tcPr>
          <w:p>
            <w:pPr>
              <w:spacing w:after="0"/>
              <w:rPr>
                <w:sz w:val="14"/>
                <w:szCs w:val="14"/>
                <w:color w:val="auto"/>
              </w:rPr>
            </w:pPr>
          </w:p>
        </w:tc>
        <w:tc>
          <w:tcPr>
            <w:tcW w:w="180" w:type="dxa"/>
            <w:vAlign w:val="bottom"/>
            <w:shd w:val="clear" w:color="auto" w:fill="CCEEFF"/>
          </w:tcPr>
          <w:p>
            <w:pPr>
              <w:ind w:left="80"/>
              <w:spacing w:after="0"/>
              <w:rPr>
                <w:sz w:val="20"/>
                <w:szCs w:val="20"/>
                <w:color w:val="auto"/>
              </w:rPr>
            </w:pPr>
            <w:r>
              <w:rPr>
                <w:rFonts w:ascii="Arial" w:cs="Arial" w:eastAsia="Arial" w:hAnsi="Arial"/>
                <w:sz w:val="12"/>
                <w:szCs w:val="12"/>
                <w:b w:val="1"/>
                <w:bCs w:val="1"/>
                <w:color w:val="auto"/>
              </w:rPr>
              <w:t>•</w:t>
            </w:r>
          </w:p>
        </w:tc>
        <w:tc>
          <w:tcPr>
            <w:tcW w:w="1580" w:type="dxa"/>
            <w:vAlign w:val="bottom"/>
            <w:gridSpan w:val="2"/>
            <w:shd w:val="clear" w:color="auto" w:fill="CCEEFF"/>
          </w:tcPr>
          <w:p>
            <w:pPr>
              <w:ind w:left="60"/>
              <w:spacing w:after="0"/>
              <w:rPr>
                <w:sz w:val="20"/>
                <w:szCs w:val="20"/>
                <w:color w:val="auto"/>
              </w:rPr>
            </w:pPr>
            <w:r>
              <w:rPr>
                <w:rFonts w:ascii="Arial" w:cs="Arial" w:eastAsia="Arial" w:hAnsi="Arial"/>
                <w:sz w:val="12"/>
                <w:szCs w:val="12"/>
                <w:color w:val="auto"/>
              </w:rPr>
              <w:t>Market pricing</w:t>
            </w:r>
          </w:p>
        </w:tc>
        <w:tc>
          <w:tcPr>
            <w:tcW w:w="180" w:type="dxa"/>
            <w:vAlign w:val="bottom"/>
            <w:shd w:val="clear" w:color="auto" w:fill="CCEEFF"/>
          </w:tcPr>
          <w:p>
            <w:pPr>
              <w:ind w:left="100"/>
              <w:spacing w:after="0"/>
              <w:rPr>
                <w:sz w:val="20"/>
                <w:szCs w:val="20"/>
                <w:color w:val="auto"/>
              </w:rPr>
            </w:pPr>
            <w:r>
              <w:rPr>
                <w:rFonts w:ascii="Arial" w:cs="Arial" w:eastAsia="Arial" w:hAnsi="Arial"/>
                <w:sz w:val="12"/>
                <w:szCs w:val="12"/>
                <w:b w:val="1"/>
                <w:bCs w:val="1"/>
                <w:color w:val="auto"/>
              </w:rPr>
              <w:t>•</w:t>
            </w:r>
          </w:p>
        </w:tc>
        <w:tc>
          <w:tcPr>
            <w:tcW w:w="1600" w:type="dxa"/>
            <w:vAlign w:val="bottom"/>
            <w:gridSpan w:val="2"/>
            <w:shd w:val="clear" w:color="auto" w:fill="CCEEFF"/>
          </w:tcPr>
          <w:p>
            <w:pPr>
              <w:ind w:left="60"/>
              <w:spacing w:after="0"/>
              <w:rPr>
                <w:sz w:val="20"/>
                <w:szCs w:val="20"/>
                <w:color w:val="auto"/>
              </w:rPr>
            </w:pPr>
            <w:r>
              <w:rPr>
                <w:rFonts w:ascii="Arial" w:cs="Arial" w:eastAsia="Arial" w:hAnsi="Arial"/>
                <w:sz w:val="12"/>
                <w:szCs w:val="12"/>
                <w:color w:val="auto"/>
              </w:rPr>
              <w:t>Quoted prices (4)</w:t>
            </w:r>
          </w:p>
        </w:tc>
        <w:tc>
          <w:tcPr>
            <w:tcW w:w="480" w:type="dxa"/>
            <w:vAlign w:val="bottom"/>
            <w:shd w:val="clear" w:color="auto" w:fill="CCEEFF"/>
          </w:tcPr>
          <w:p>
            <w:pPr>
              <w:jc w:val="center"/>
              <w:ind w:left="142"/>
              <w:spacing w:after="0"/>
              <w:rPr>
                <w:sz w:val="20"/>
                <w:szCs w:val="20"/>
                <w:color w:val="auto"/>
              </w:rPr>
            </w:pPr>
            <w:r>
              <w:rPr>
                <w:rFonts w:ascii="Arial" w:cs="Arial" w:eastAsia="Arial" w:hAnsi="Arial"/>
                <w:sz w:val="12"/>
                <w:szCs w:val="12"/>
                <w:color w:val="auto"/>
                <w:w w:val="99"/>
              </w:rPr>
              <w:t>—</w:t>
            </w:r>
          </w:p>
        </w:tc>
        <w:tc>
          <w:tcPr>
            <w:tcW w:w="420" w:type="dxa"/>
            <w:vAlign w:val="bottom"/>
            <w:shd w:val="clear" w:color="auto" w:fill="CCEEFF"/>
          </w:tcPr>
          <w:p>
            <w:pPr>
              <w:ind w:left="240"/>
              <w:spacing w:after="0"/>
              <w:rPr>
                <w:sz w:val="20"/>
                <w:szCs w:val="20"/>
                <w:color w:val="auto"/>
              </w:rPr>
            </w:pPr>
            <w:r>
              <w:rPr>
                <w:rFonts w:ascii="Arial" w:cs="Arial" w:eastAsia="Arial" w:hAnsi="Arial"/>
                <w:sz w:val="12"/>
                <w:szCs w:val="12"/>
                <w:color w:val="auto"/>
              </w:rPr>
              <w:t>-</w:t>
            </w:r>
          </w:p>
        </w:tc>
        <w:tc>
          <w:tcPr>
            <w:tcW w:w="460" w:type="dxa"/>
            <w:vAlign w:val="bottom"/>
            <w:shd w:val="clear" w:color="auto" w:fill="CCEEFF"/>
          </w:tcPr>
          <w:p>
            <w:pPr>
              <w:jc w:val="center"/>
              <w:ind w:right="62"/>
              <w:spacing w:after="0"/>
              <w:rPr>
                <w:sz w:val="20"/>
                <w:szCs w:val="20"/>
                <w:color w:val="auto"/>
              </w:rPr>
            </w:pPr>
            <w:r>
              <w:rPr>
                <w:rFonts w:ascii="Arial" w:cs="Arial" w:eastAsia="Arial" w:hAnsi="Arial"/>
                <w:sz w:val="12"/>
                <w:szCs w:val="12"/>
                <w:color w:val="auto"/>
                <w:w w:val="89"/>
              </w:rPr>
              <w:t>498</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jc w:val="center"/>
              <w:ind w:right="64"/>
              <w:spacing w:after="0"/>
              <w:rPr>
                <w:sz w:val="20"/>
                <w:szCs w:val="20"/>
                <w:color w:val="auto"/>
              </w:rPr>
            </w:pPr>
            <w:r>
              <w:rPr>
                <w:rFonts w:ascii="Arial" w:cs="Arial" w:eastAsia="Arial" w:hAnsi="Arial"/>
                <w:sz w:val="12"/>
                <w:szCs w:val="12"/>
                <w:color w:val="auto"/>
                <w:w w:val="89"/>
              </w:rPr>
              <w:t>80</w:t>
            </w:r>
          </w:p>
        </w:tc>
        <w:tc>
          <w:tcPr>
            <w:tcW w:w="120" w:type="dxa"/>
            <w:vAlign w:val="bottom"/>
            <w:shd w:val="clear" w:color="auto" w:fill="CCEEFF"/>
          </w:tcPr>
          <w:p>
            <w:pPr>
              <w:spacing w:after="0"/>
              <w:rPr>
                <w:sz w:val="14"/>
                <w:szCs w:val="14"/>
                <w:color w:val="auto"/>
              </w:rPr>
            </w:pPr>
          </w:p>
        </w:tc>
        <w:tc>
          <w:tcPr>
            <w:tcW w:w="460" w:type="dxa"/>
            <w:vAlign w:val="bottom"/>
            <w:shd w:val="clear" w:color="auto" w:fill="CCEEFF"/>
          </w:tcPr>
          <w:p>
            <w:pPr>
              <w:jc w:val="right"/>
              <w:ind w:right="22"/>
              <w:spacing w:after="0"/>
              <w:rPr>
                <w:sz w:val="20"/>
                <w:szCs w:val="20"/>
                <w:color w:val="auto"/>
              </w:rPr>
            </w:pPr>
            <w:r>
              <w:rPr>
                <w:rFonts w:ascii="Arial" w:cs="Arial" w:eastAsia="Arial" w:hAnsi="Arial"/>
                <w:sz w:val="12"/>
                <w:szCs w:val="12"/>
                <w:color w:val="auto"/>
              </w:rPr>
              <w:t>13</w:t>
            </w:r>
          </w:p>
        </w:tc>
        <w:tc>
          <w:tcPr>
            <w:tcW w:w="420" w:type="dxa"/>
            <w:vAlign w:val="bottom"/>
            <w:shd w:val="clear" w:color="auto" w:fill="CCEEFF"/>
          </w:tcPr>
          <w:p>
            <w:pPr>
              <w:jc w:val="right"/>
              <w:ind w:right="84"/>
              <w:spacing w:after="0"/>
              <w:rPr>
                <w:sz w:val="20"/>
                <w:szCs w:val="20"/>
                <w:color w:val="auto"/>
              </w:rPr>
            </w:pPr>
            <w:r>
              <w:rPr>
                <w:rFonts w:ascii="Arial" w:cs="Arial" w:eastAsia="Arial" w:hAnsi="Arial"/>
                <w:sz w:val="12"/>
                <w:szCs w:val="12"/>
                <w:color w:val="auto"/>
              </w:rPr>
              <w:t>-</w:t>
            </w:r>
          </w:p>
        </w:tc>
        <w:tc>
          <w:tcPr>
            <w:tcW w:w="460" w:type="dxa"/>
            <w:vAlign w:val="bottom"/>
            <w:shd w:val="clear" w:color="auto" w:fill="CCEEFF"/>
          </w:tcPr>
          <w:p>
            <w:pPr>
              <w:jc w:val="right"/>
              <w:ind w:right="142"/>
              <w:spacing w:after="0"/>
              <w:rPr>
                <w:sz w:val="20"/>
                <w:szCs w:val="20"/>
                <w:color w:val="auto"/>
              </w:rPr>
            </w:pPr>
            <w:r>
              <w:rPr>
                <w:rFonts w:ascii="Arial" w:cs="Arial" w:eastAsia="Arial" w:hAnsi="Arial"/>
                <w:sz w:val="12"/>
                <w:szCs w:val="12"/>
                <w:color w:val="auto"/>
              </w:rPr>
              <w:t>700</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jc w:val="center"/>
              <w:ind w:right="64"/>
              <w:spacing w:after="0"/>
              <w:rPr>
                <w:sz w:val="20"/>
                <w:szCs w:val="20"/>
                <w:color w:val="auto"/>
              </w:rPr>
            </w:pPr>
            <w:r>
              <w:rPr>
                <w:rFonts w:ascii="Arial" w:cs="Arial" w:eastAsia="Arial" w:hAnsi="Arial"/>
                <w:sz w:val="12"/>
                <w:szCs w:val="12"/>
                <w:color w:val="auto"/>
                <w:w w:val="89"/>
              </w:rPr>
              <w:t>99</w:t>
            </w:r>
          </w:p>
        </w:tc>
        <w:tc>
          <w:tcPr>
            <w:tcW w:w="120" w:type="dxa"/>
            <w:vAlign w:val="bottom"/>
            <w:shd w:val="clear" w:color="auto" w:fill="CCEEFF"/>
          </w:tcPr>
          <w:p>
            <w:pPr>
              <w:spacing w:after="0"/>
              <w:rPr>
                <w:sz w:val="14"/>
                <w:szCs w:val="14"/>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82"/>
              </w:rPr>
              <w:t>Increase</w:t>
            </w:r>
          </w:p>
        </w:tc>
        <w:tc>
          <w:tcPr>
            <w:tcW w:w="0" w:type="dxa"/>
            <w:vAlign w:val="bottom"/>
          </w:tcPr>
          <w:p>
            <w:pPr>
              <w:spacing w:after="0"/>
              <w:rPr>
                <w:sz w:val="1"/>
                <w:szCs w:val="1"/>
                <w:color w:val="auto"/>
              </w:rPr>
            </w:pPr>
          </w:p>
        </w:tc>
      </w:tr>
      <w:tr>
        <w:trPr>
          <w:trHeight w:val="101"/>
        </w:trPr>
        <w:tc>
          <w:tcPr>
            <w:tcW w:w="212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14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15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02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69"/>
        </w:trPr>
        <w:tc>
          <w:tcPr>
            <w:tcW w:w="2120" w:type="dxa"/>
            <w:vAlign w:val="bottom"/>
          </w:tcPr>
          <w:p>
            <w:pPr>
              <w:spacing w:after="0"/>
              <w:rPr>
                <w:sz w:val="14"/>
                <w:szCs w:val="14"/>
                <w:color w:val="auto"/>
              </w:rPr>
            </w:pPr>
          </w:p>
        </w:tc>
        <w:tc>
          <w:tcPr>
            <w:tcW w:w="180" w:type="dxa"/>
            <w:vAlign w:val="bottom"/>
          </w:tcPr>
          <w:p>
            <w:pPr>
              <w:ind w:left="80"/>
              <w:spacing w:after="0"/>
              <w:rPr>
                <w:sz w:val="20"/>
                <w:szCs w:val="20"/>
                <w:color w:val="auto"/>
              </w:rPr>
            </w:pPr>
            <w:r>
              <w:rPr>
                <w:rFonts w:ascii="Arial" w:cs="Arial" w:eastAsia="Arial" w:hAnsi="Arial"/>
                <w:sz w:val="12"/>
                <w:szCs w:val="12"/>
                <w:b w:val="1"/>
                <w:bCs w:val="1"/>
                <w:color w:val="auto"/>
              </w:rPr>
              <w:t>•</w:t>
            </w:r>
          </w:p>
        </w:tc>
        <w:tc>
          <w:tcPr>
            <w:tcW w:w="1580" w:type="dxa"/>
            <w:vAlign w:val="bottom"/>
            <w:gridSpan w:val="2"/>
          </w:tcPr>
          <w:p>
            <w:pPr>
              <w:ind w:left="60"/>
              <w:spacing w:after="0"/>
              <w:rPr>
                <w:sz w:val="20"/>
                <w:szCs w:val="20"/>
                <w:color w:val="auto"/>
              </w:rPr>
            </w:pPr>
            <w:r>
              <w:rPr>
                <w:rFonts w:ascii="Arial" w:cs="Arial" w:eastAsia="Arial" w:hAnsi="Arial"/>
                <w:sz w:val="12"/>
                <w:szCs w:val="12"/>
                <w:color w:val="auto"/>
              </w:rPr>
              <w:t>Consensus pricing</w:t>
            </w:r>
          </w:p>
        </w:tc>
        <w:tc>
          <w:tcPr>
            <w:tcW w:w="180" w:type="dxa"/>
            <w:vAlign w:val="bottom"/>
          </w:tcPr>
          <w:p>
            <w:pPr>
              <w:ind w:left="100"/>
              <w:spacing w:after="0"/>
              <w:rPr>
                <w:sz w:val="20"/>
                <w:szCs w:val="20"/>
                <w:color w:val="auto"/>
              </w:rPr>
            </w:pPr>
            <w:r>
              <w:rPr>
                <w:rFonts w:ascii="Arial" w:cs="Arial" w:eastAsia="Arial" w:hAnsi="Arial"/>
                <w:sz w:val="12"/>
                <w:szCs w:val="12"/>
                <w:b w:val="1"/>
                <w:bCs w:val="1"/>
                <w:color w:val="auto"/>
              </w:rPr>
              <w:t>•</w:t>
            </w:r>
          </w:p>
        </w:tc>
        <w:tc>
          <w:tcPr>
            <w:tcW w:w="1600" w:type="dxa"/>
            <w:vAlign w:val="bottom"/>
            <w:gridSpan w:val="2"/>
          </w:tcPr>
          <w:p>
            <w:pPr>
              <w:ind w:left="60"/>
              <w:spacing w:after="0"/>
              <w:rPr>
                <w:sz w:val="20"/>
                <w:szCs w:val="20"/>
                <w:color w:val="auto"/>
              </w:rPr>
            </w:pPr>
            <w:r>
              <w:rPr>
                <w:rFonts w:ascii="Arial" w:cs="Arial" w:eastAsia="Arial" w:hAnsi="Arial"/>
                <w:sz w:val="12"/>
                <w:szCs w:val="12"/>
                <w:color w:val="auto"/>
              </w:rPr>
              <w:t>Offered quotes (4)</w:t>
            </w:r>
          </w:p>
        </w:tc>
        <w:tc>
          <w:tcPr>
            <w:tcW w:w="480" w:type="dxa"/>
            <w:vAlign w:val="bottom"/>
          </w:tcPr>
          <w:p>
            <w:pPr>
              <w:jc w:val="center"/>
              <w:ind w:left="142"/>
              <w:spacing w:after="0"/>
              <w:rPr>
                <w:sz w:val="20"/>
                <w:szCs w:val="20"/>
                <w:color w:val="auto"/>
              </w:rPr>
            </w:pPr>
            <w:r>
              <w:rPr>
                <w:rFonts w:ascii="Arial" w:cs="Arial" w:eastAsia="Arial" w:hAnsi="Arial"/>
                <w:sz w:val="12"/>
                <w:szCs w:val="12"/>
                <w:color w:val="auto"/>
                <w:w w:val="89"/>
              </w:rPr>
              <w:t>87</w:t>
            </w:r>
          </w:p>
        </w:tc>
        <w:tc>
          <w:tcPr>
            <w:tcW w:w="420" w:type="dxa"/>
            <w:vAlign w:val="bottom"/>
          </w:tcPr>
          <w:p>
            <w:pPr>
              <w:ind w:left="240"/>
              <w:spacing w:after="0"/>
              <w:rPr>
                <w:sz w:val="20"/>
                <w:szCs w:val="20"/>
                <w:color w:val="auto"/>
              </w:rPr>
            </w:pPr>
            <w:r>
              <w:rPr>
                <w:rFonts w:ascii="Arial" w:cs="Arial" w:eastAsia="Arial" w:hAnsi="Arial"/>
                <w:sz w:val="12"/>
                <w:szCs w:val="12"/>
                <w:color w:val="auto"/>
              </w:rPr>
              <w:t>-</w:t>
            </w:r>
          </w:p>
        </w:tc>
        <w:tc>
          <w:tcPr>
            <w:tcW w:w="460" w:type="dxa"/>
            <w:vAlign w:val="bottom"/>
          </w:tcPr>
          <w:p>
            <w:pPr>
              <w:jc w:val="center"/>
              <w:ind w:right="42"/>
              <w:spacing w:after="0"/>
              <w:rPr>
                <w:sz w:val="20"/>
                <w:szCs w:val="20"/>
                <w:color w:val="auto"/>
              </w:rPr>
            </w:pPr>
            <w:r>
              <w:rPr>
                <w:rFonts w:ascii="Arial" w:cs="Arial" w:eastAsia="Arial" w:hAnsi="Arial"/>
                <w:sz w:val="12"/>
                <w:szCs w:val="12"/>
                <w:color w:val="auto"/>
                <w:w w:val="89"/>
              </w:rPr>
              <w:t>87</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jc w:val="center"/>
              <w:ind w:right="64"/>
              <w:spacing w:after="0"/>
              <w:rPr>
                <w:sz w:val="20"/>
                <w:szCs w:val="20"/>
                <w:color w:val="auto"/>
              </w:rPr>
            </w:pPr>
            <w:r>
              <w:rPr>
                <w:rFonts w:ascii="Arial" w:cs="Arial" w:eastAsia="Arial" w:hAnsi="Arial"/>
                <w:sz w:val="12"/>
                <w:szCs w:val="12"/>
                <w:color w:val="auto"/>
                <w:w w:val="89"/>
              </w:rPr>
              <w:t>87</w:t>
            </w:r>
          </w:p>
        </w:tc>
        <w:tc>
          <w:tcPr>
            <w:tcW w:w="120" w:type="dxa"/>
            <w:vAlign w:val="bottom"/>
          </w:tcPr>
          <w:p>
            <w:pPr>
              <w:spacing w:after="0"/>
              <w:rPr>
                <w:sz w:val="14"/>
                <w:szCs w:val="14"/>
                <w:color w:val="auto"/>
              </w:rPr>
            </w:pPr>
          </w:p>
        </w:tc>
        <w:tc>
          <w:tcPr>
            <w:tcW w:w="460" w:type="dxa"/>
            <w:vAlign w:val="bottom"/>
          </w:tcPr>
          <w:p>
            <w:pPr>
              <w:jc w:val="right"/>
              <w:ind w:right="22"/>
              <w:spacing w:after="0"/>
              <w:rPr>
                <w:sz w:val="20"/>
                <w:szCs w:val="20"/>
                <w:color w:val="auto"/>
              </w:rPr>
            </w:pPr>
            <w:r>
              <w:rPr>
                <w:rFonts w:ascii="Arial" w:cs="Arial" w:eastAsia="Arial" w:hAnsi="Arial"/>
                <w:sz w:val="12"/>
                <w:szCs w:val="12"/>
                <w:color w:val="auto"/>
              </w:rPr>
              <w:t>37</w:t>
            </w:r>
          </w:p>
        </w:tc>
        <w:tc>
          <w:tcPr>
            <w:tcW w:w="420" w:type="dxa"/>
            <w:vAlign w:val="bottom"/>
          </w:tcPr>
          <w:p>
            <w:pPr>
              <w:jc w:val="right"/>
              <w:ind w:right="84"/>
              <w:spacing w:after="0"/>
              <w:rPr>
                <w:sz w:val="20"/>
                <w:szCs w:val="20"/>
                <w:color w:val="auto"/>
              </w:rPr>
            </w:pPr>
            <w:r>
              <w:rPr>
                <w:rFonts w:ascii="Arial" w:cs="Arial" w:eastAsia="Arial" w:hAnsi="Arial"/>
                <w:sz w:val="12"/>
                <w:szCs w:val="12"/>
                <w:color w:val="auto"/>
              </w:rPr>
              <w:t>-</w:t>
            </w:r>
          </w:p>
        </w:tc>
        <w:tc>
          <w:tcPr>
            <w:tcW w:w="460" w:type="dxa"/>
            <w:vAlign w:val="bottom"/>
          </w:tcPr>
          <w:p>
            <w:pPr>
              <w:jc w:val="right"/>
              <w:ind w:right="142"/>
              <w:spacing w:after="0"/>
              <w:rPr>
                <w:sz w:val="20"/>
                <w:szCs w:val="20"/>
                <w:color w:val="auto"/>
              </w:rPr>
            </w:pPr>
            <w:r>
              <w:rPr>
                <w:rFonts w:ascii="Arial" w:cs="Arial" w:eastAsia="Arial" w:hAnsi="Arial"/>
                <w:sz w:val="12"/>
                <w:szCs w:val="12"/>
                <w:color w:val="auto"/>
              </w:rPr>
              <w:t>109</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jc w:val="center"/>
              <w:ind w:right="64"/>
              <w:spacing w:after="0"/>
              <w:rPr>
                <w:sz w:val="20"/>
                <w:szCs w:val="20"/>
                <w:color w:val="auto"/>
              </w:rPr>
            </w:pPr>
            <w:r>
              <w:rPr>
                <w:rFonts w:ascii="Arial" w:cs="Arial" w:eastAsia="Arial" w:hAnsi="Arial"/>
                <w:sz w:val="12"/>
                <w:szCs w:val="12"/>
                <w:color w:val="auto"/>
                <w:w w:val="89"/>
              </w:rPr>
              <w:t>85</w:t>
            </w:r>
          </w:p>
        </w:tc>
        <w:tc>
          <w:tcPr>
            <w:tcW w:w="120" w:type="dxa"/>
            <w:vAlign w:val="bottom"/>
          </w:tcPr>
          <w:p>
            <w:pPr>
              <w:spacing w:after="0"/>
              <w:rPr>
                <w:sz w:val="14"/>
                <w:szCs w:val="14"/>
                <w:color w:val="auto"/>
              </w:rPr>
            </w:pPr>
          </w:p>
        </w:tc>
        <w:tc>
          <w:tcPr>
            <w:tcW w:w="1020" w:type="dxa"/>
            <w:vAlign w:val="bottom"/>
          </w:tcPr>
          <w:p>
            <w:pPr>
              <w:jc w:val="center"/>
              <w:spacing w:after="0"/>
              <w:rPr>
                <w:sz w:val="20"/>
                <w:szCs w:val="20"/>
                <w:color w:val="auto"/>
              </w:rPr>
            </w:pPr>
            <w:r>
              <w:rPr>
                <w:rFonts w:ascii="Arial" w:cs="Arial" w:eastAsia="Arial" w:hAnsi="Arial"/>
                <w:sz w:val="12"/>
                <w:szCs w:val="12"/>
                <w:color w:val="auto"/>
                <w:w w:val="82"/>
              </w:rPr>
              <w:t>Increase</w:t>
            </w:r>
          </w:p>
        </w:tc>
        <w:tc>
          <w:tcPr>
            <w:tcW w:w="0" w:type="dxa"/>
            <w:vAlign w:val="bottom"/>
          </w:tcPr>
          <w:p>
            <w:pPr>
              <w:spacing w:after="0"/>
              <w:rPr>
                <w:sz w:val="1"/>
                <w:szCs w:val="1"/>
                <w:color w:val="auto"/>
              </w:rPr>
            </w:pPr>
          </w:p>
        </w:tc>
      </w:tr>
      <w:tr>
        <w:trPr>
          <w:trHeight w:val="101"/>
        </w:trPr>
        <w:tc>
          <w:tcPr>
            <w:tcW w:w="2120" w:type="dxa"/>
            <w:vAlign w:val="bottom"/>
            <w:tcBorders>
              <w:bottom w:val="single" w:sz="8" w:color="CCEEFF"/>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148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15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0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63"/>
        </w:trPr>
        <w:tc>
          <w:tcPr>
            <w:tcW w:w="2120" w:type="dxa"/>
            <w:vAlign w:val="bottom"/>
            <w:shd w:val="clear" w:color="auto" w:fill="CCEEFF"/>
          </w:tcPr>
          <w:p>
            <w:pPr>
              <w:ind w:left="40"/>
              <w:spacing w:after="0"/>
              <w:rPr>
                <w:sz w:val="20"/>
                <w:szCs w:val="20"/>
                <w:color w:val="auto"/>
              </w:rPr>
            </w:pPr>
            <w:r>
              <w:rPr>
                <w:rFonts w:ascii="Arial" w:cs="Arial" w:eastAsia="Arial" w:hAnsi="Arial"/>
                <w:sz w:val="12"/>
                <w:szCs w:val="12"/>
                <w:color w:val="auto"/>
              </w:rPr>
              <w:t>RMBS</w:t>
            </w:r>
          </w:p>
        </w:tc>
        <w:tc>
          <w:tcPr>
            <w:tcW w:w="180" w:type="dxa"/>
            <w:vAlign w:val="bottom"/>
            <w:shd w:val="clear" w:color="auto" w:fill="CCEEFF"/>
          </w:tcPr>
          <w:p>
            <w:pPr>
              <w:ind w:left="80"/>
              <w:spacing w:after="0"/>
              <w:rPr>
                <w:sz w:val="20"/>
                <w:szCs w:val="20"/>
                <w:color w:val="auto"/>
              </w:rPr>
            </w:pPr>
            <w:r>
              <w:rPr>
                <w:rFonts w:ascii="Arial" w:cs="Arial" w:eastAsia="Arial" w:hAnsi="Arial"/>
                <w:sz w:val="12"/>
                <w:szCs w:val="12"/>
                <w:b w:val="1"/>
                <w:bCs w:val="1"/>
                <w:color w:val="auto"/>
              </w:rPr>
              <w:t>•</w:t>
            </w:r>
          </w:p>
        </w:tc>
        <w:tc>
          <w:tcPr>
            <w:tcW w:w="1580" w:type="dxa"/>
            <w:vAlign w:val="bottom"/>
            <w:gridSpan w:val="2"/>
            <w:shd w:val="clear" w:color="auto" w:fill="CCEEFF"/>
          </w:tcPr>
          <w:p>
            <w:pPr>
              <w:ind w:left="60"/>
              <w:spacing w:after="0"/>
              <w:rPr>
                <w:sz w:val="20"/>
                <w:szCs w:val="20"/>
                <w:color w:val="auto"/>
              </w:rPr>
            </w:pPr>
            <w:r>
              <w:rPr>
                <w:rFonts w:ascii="Arial" w:cs="Arial" w:eastAsia="Arial" w:hAnsi="Arial"/>
                <w:sz w:val="12"/>
                <w:szCs w:val="12"/>
                <w:color w:val="auto"/>
              </w:rPr>
              <w:t>Market pricing</w:t>
            </w:r>
          </w:p>
        </w:tc>
        <w:tc>
          <w:tcPr>
            <w:tcW w:w="180" w:type="dxa"/>
            <w:vAlign w:val="bottom"/>
            <w:shd w:val="clear" w:color="auto" w:fill="CCEEFF"/>
          </w:tcPr>
          <w:p>
            <w:pPr>
              <w:ind w:left="100"/>
              <w:spacing w:after="0"/>
              <w:rPr>
                <w:sz w:val="20"/>
                <w:szCs w:val="20"/>
                <w:color w:val="auto"/>
              </w:rPr>
            </w:pPr>
            <w:r>
              <w:rPr>
                <w:rFonts w:ascii="Arial" w:cs="Arial" w:eastAsia="Arial" w:hAnsi="Arial"/>
                <w:sz w:val="12"/>
                <w:szCs w:val="12"/>
                <w:b w:val="1"/>
                <w:bCs w:val="1"/>
                <w:color w:val="auto"/>
              </w:rPr>
              <w:t>•</w:t>
            </w:r>
          </w:p>
        </w:tc>
        <w:tc>
          <w:tcPr>
            <w:tcW w:w="1600" w:type="dxa"/>
            <w:vAlign w:val="bottom"/>
            <w:gridSpan w:val="2"/>
            <w:shd w:val="clear" w:color="auto" w:fill="CCEEFF"/>
          </w:tcPr>
          <w:p>
            <w:pPr>
              <w:ind w:left="60"/>
              <w:spacing w:after="0"/>
              <w:rPr>
                <w:sz w:val="20"/>
                <w:szCs w:val="20"/>
                <w:color w:val="auto"/>
              </w:rPr>
            </w:pPr>
            <w:r>
              <w:rPr>
                <w:rFonts w:ascii="Arial" w:cs="Arial" w:eastAsia="Arial" w:hAnsi="Arial"/>
                <w:sz w:val="12"/>
                <w:szCs w:val="12"/>
                <w:color w:val="auto"/>
              </w:rPr>
              <w:t>Quoted prices (4)</w:t>
            </w:r>
          </w:p>
        </w:tc>
        <w:tc>
          <w:tcPr>
            <w:tcW w:w="480" w:type="dxa"/>
            <w:vAlign w:val="bottom"/>
            <w:shd w:val="clear" w:color="auto" w:fill="CCEEFF"/>
          </w:tcPr>
          <w:p>
            <w:pPr>
              <w:jc w:val="center"/>
              <w:ind w:left="142"/>
              <w:spacing w:after="0"/>
              <w:rPr>
                <w:sz w:val="20"/>
                <w:szCs w:val="20"/>
                <w:color w:val="auto"/>
              </w:rPr>
            </w:pPr>
            <w:r>
              <w:rPr>
                <w:rFonts w:ascii="Arial" w:cs="Arial" w:eastAsia="Arial" w:hAnsi="Arial"/>
                <w:sz w:val="12"/>
                <w:szCs w:val="12"/>
                <w:color w:val="auto"/>
                <w:w w:val="89"/>
              </w:rPr>
              <w:t>48</w:t>
            </w:r>
          </w:p>
        </w:tc>
        <w:tc>
          <w:tcPr>
            <w:tcW w:w="420" w:type="dxa"/>
            <w:vAlign w:val="bottom"/>
            <w:shd w:val="clear" w:color="auto" w:fill="CCEEFF"/>
          </w:tcPr>
          <w:p>
            <w:pPr>
              <w:ind w:left="240"/>
              <w:spacing w:after="0"/>
              <w:rPr>
                <w:sz w:val="20"/>
                <w:szCs w:val="20"/>
                <w:color w:val="auto"/>
              </w:rPr>
            </w:pPr>
            <w:r>
              <w:rPr>
                <w:rFonts w:ascii="Arial" w:cs="Arial" w:eastAsia="Arial" w:hAnsi="Arial"/>
                <w:sz w:val="12"/>
                <w:szCs w:val="12"/>
                <w:color w:val="auto"/>
              </w:rPr>
              <w:t>-</w:t>
            </w:r>
          </w:p>
        </w:tc>
        <w:tc>
          <w:tcPr>
            <w:tcW w:w="460" w:type="dxa"/>
            <w:vAlign w:val="bottom"/>
            <w:shd w:val="clear" w:color="auto" w:fill="CCEEFF"/>
          </w:tcPr>
          <w:p>
            <w:pPr>
              <w:jc w:val="center"/>
              <w:ind w:right="62"/>
              <w:spacing w:after="0"/>
              <w:rPr>
                <w:sz w:val="20"/>
                <w:szCs w:val="20"/>
                <w:color w:val="auto"/>
              </w:rPr>
            </w:pPr>
            <w:r>
              <w:rPr>
                <w:rFonts w:ascii="Arial" w:cs="Arial" w:eastAsia="Arial" w:hAnsi="Arial"/>
                <w:sz w:val="12"/>
                <w:szCs w:val="12"/>
                <w:color w:val="auto"/>
                <w:w w:val="89"/>
              </w:rPr>
              <w:t>107</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jc w:val="center"/>
              <w:ind w:right="64"/>
              <w:spacing w:after="0"/>
              <w:rPr>
                <w:sz w:val="20"/>
                <w:szCs w:val="20"/>
                <w:color w:val="auto"/>
              </w:rPr>
            </w:pPr>
            <w:r>
              <w:rPr>
                <w:rFonts w:ascii="Arial" w:cs="Arial" w:eastAsia="Arial" w:hAnsi="Arial"/>
                <w:sz w:val="12"/>
                <w:szCs w:val="12"/>
                <w:color w:val="auto"/>
                <w:w w:val="89"/>
              </w:rPr>
              <w:t>95</w:t>
            </w:r>
          </w:p>
        </w:tc>
        <w:tc>
          <w:tcPr>
            <w:tcW w:w="120" w:type="dxa"/>
            <w:vAlign w:val="bottom"/>
            <w:shd w:val="clear" w:color="auto" w:fill="CCEEFF"/>
          </w:tcPr>
          <w:p>
            <w:pPr>
              <w:spacing w:after="0"/>
              <w:rPr>
                <w:sz w:val="14"/>
                <w:szCs w:val="14"/>
                <w:color w:val="auto"/>
              </w:rPr>
            </w:pPr>
          </w:p>
        </w:tc>
        <w:tc>
          <w:tcPr>
            <w:tcW w:w="460" w:type="dxa"/>
            <w:vAlign w:val="bottom"/>
            <w:shd w:val="clear" w:color="auto" w:fill="CCEEFF"/>
          </w:tcPr>
          <w:p>
            <w:pPr>
              <w:jc w:val="right"/>
              <w:ind w:right="22"/>
              <w:spacing w:after="0"/>
              <w:rPr>
                <w:sz w:val="20"/>
                <w:szCs w:val="20"/>
                <w:color w:val="auto"/>
              </w:rPr>
            </w:pPr>
            <w:r>
              <w:rPr>
                <w:rFonts w:ascii="Arial" w:cs="Arial" w:eastAsia="Arial" w:hAnsi="Arial"/>
                <w:sz w:val="12"/>
                <w:szCs w:val="12"/>
                <w:color w:val="auto"/>
              </w:rPr>
              <w:t>38</w:t>
            </w:r>
          </w:p>
        </w:tc>
        <w:tc>
          <w:tcPr>
            <w:tcW w:w="420" w:type="dxa"/>
            <w:vAlign w:val="bottom"/>
            <w:shd w:val="clear" w:color="auto" w:fill="CCEEFF"/>
          </w:tcPr>
          <w:p>
            <w:pPr>
              <w:jc w:val="right"/>
              <w:ind w:right="84"/>
              <w:spacing w:after="0"/>
              <w:rPr>
                <w:sz w:val="20"/>
                <w:szCs w:val="20"/>
                <w:color w:val="auto"/>
              </w:rPr>
            </w:pPr>
            <w:r>
              <w:rPr>
                <w:rFonts w:ascii="Arial" w:cs="Arial" w:eastAsia="Arial" w:hAnsi="Arial"/>
                <w:sz w:val="12"/>
                <w:szCs w:val="12"/>
                <w:color w:val="auto"/>
              </w:rPr>
              <w:t>-</w:t>
            </w:r>
          </w:p>
        </w:tc>
        <w:tc>
          <w:tcPr>
            <w:tcW w:w="460" w:type="dxa"/>
            <w:vAlign w:val="bottom"/>
            <w:shd w:val="clear" w:color="auto" w:fill="CCEEFF"/>
          </w:tcPr>
          <w:p>
            <w:pPr>
              <w:jc w:val="right"/>
              <w:ind w:right="142"/>
              <w:spacing w:after="0"/>
              <w:rPr>
                <w:sz w:val="20"/>
                <w:szCs w:val="20"/>
                <w:color w:val="auto"/>
              </w:rPr>
            </w:pPr>
            <w:r>
              <w:rPr>
                <w:rFonts w:ascii="Arial" w:cs="Arial" w:eastAsia="Arial" w:hAnsi="Arial"/>
                <w:sz w:val="12"/>
                <w:szCs w:val="12"/>
                <w:color w:val="auto"/>
              </w:rPr>
              <w:t>111</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jc w:val="center"/>
              <w:ind w:right="64"/>
              <w:spacing w:after="0"/>
              <w:rPr>
                <w:sz w:val="20"/>
                <w:szCs w:val="20"/>
                <w:color w:val="auto"/>
              </w:rPr>
            </w:pPr>
            <w:r>
              <w:rPr>
                <w:rFonts w:ascii="Arial" w:cs="Arial" w:eastAsia="Arial" w:hAnsi="Arial"/>
                <w:sz w:val="12"/>
                <w:szCs w:val="12"/>
                <w:color w:val="auto"/>
                <w:w w:val="89"/>
              </w:rPr>
              <w:t>91</w:t>
            </w:r>
          </w:p>
        </w:tc>
        <w:tc>
          <w:tcPr>
            <w:tcW w:w="120" w:type="dxa"/>
            <w:vAlign w:val="bottom"/>
            <w:shd w:val="clear" w:color="auto" w:fill="CCEEFF"/>
          </w:tcPr>
          <w:p>
            <w:pPr>
              <w:spacing w:after="0"/>
              <w:rPr>
                <w:sz w:val="14"/>
                <w:szCs w:val="14"/>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87"/>
              </w:rPr>
              <w:t>Increase (5)</w:t>
            </w:r>
          </w:p>
        </w:tc>
        <w:tc>
          <w:tcPr>
            <w:tcW w:w="0" w:type="dxa"/>
            <w:vAlign w:val="bottom"/>
          </w:tcPr>
          <w:p>
            <w:pPr>
              <w:spacing w:after="0"/>
              <w:rPr>
                <w:sz w:val="1"/>
                <w:szCs w:val="1"/>
                <w:color w:val="auto"/>
              </w:rPr>
            </w:pPr>
          </w:p>
        </w:tc>
      </w:tr>
      <w:tr>
        <w:trPr>
          <w:trHeight w:val="101"/>
        </w:trPr>
        <w:tc>
          <w:tcPr>
            <w:tcW w:w="2120" w:type="dxa"/>
            <w:vAlign w:val="bottom"/>
            <w:shd w:val="clear" w:color="auto" w:fill="CCEEFF"/>
          </w:tcPr>
          <w:p>
            <w:pPr>
              <w:spacing w:after="0"/>
              <w:rPr>
                <w:sz w:val="8"/>
                <w:szCs w:val="8"/>
                <w:color w:val="auto"/>
              </w:rPr>
            </w:pPr>
          </w:p>
        </w:tc>
        <w:tc>
          <w:tcPr>
            <w:tcW w:w="180" w:type="dxa"/>
            <w:vAlign w:val="bottom"/>
            <w:tcBorders>
              <w:bottom w:val="single" w:sz="8" w:color="auto"/>
            </w:tcBorders>
            <w:shd w:val="clear" w:color="auto" w:fill="CCEEFF"/>
          </w:tcPr>
          <w:p>
            <w:pPr>
              <w:spacing w:after="0"/>
              <w:rPr>
                <w:sz w:val="8"/>
                <w:szCs w:val="8"/>
                <w:color w:val="auto"/>
              </w:rPr>
            </w:pPr>
          </w:p>
        </w:tc>
        <w:tc>
          <w:tcPr>
            <w:tcW w:w="1480" w:type="dxa"/>
            <w:vAlign w:val="bottom"/>
            <w:tcBorders>
              <w:bottom w:val="single" w:sz="8" w:color="auto"/>
            </w:tcBorders>
            <w:shd w:val="clear" w:color="auto" w:fill="CCEEFF"/>
          </w:tcPr>
          <w:p>
            <w:pPr>
              <w:spacing w:after="0"/>
              <w:rPr>
                <w:sz w:val="8"/>
                <w:szCs w:val="8"/>
                <w:color w:val="auto"/>
              </w:rPr>
            </w:pPr>
          </w:p>
        </w:tc>
        <w:tc>
          <w:tcPr>
            <w:tcW w:w="100" w:type="dxa"/>
            <w:vAlign w:val="bottom"/>
            <w:tcBorders>
              <w:bottom w:val="single" w:sz="8" w:color="auto"/>
            </w:tcBorders>
            <w:shd w:val="clear" w:color="auto" w:fill="CCEEFF"/>
          </w:tcPr>
          <w:p>
            <w:pPr>
              <w:spacing w:after="0"/>
              <w:rPr>
                <w:sz w:val="8"/>
                <w:szCs w:val="8"/>
                <w:color w:val="auto"/>
              </w:rPr>
            </w:pPr>
          </w:p>
        </w:tc>
        <w:tc>
          <w:tcPr>
            <w:tcW w:w="180" w:type="dxa"/>
            <w:vAlign w:val="bottom"/>
            <w:tcBorders>
              <w:bottom w:val="single" w:sz="8" w:color="auto"/>
            </w:tcBorders>
            <w:shd w:val="clear" w:color="auto" w:fill="CCEEFF"/>
          </w:tcPr>
          <w:p>
            <w:pPr>
              <w:spacing w:after="0"/>
              <w:rPr>
                <w:sz w:val="8"/>
                <w:szCs w:val="8"/>
                <w:color w:val="auto"/>
              </w:rPr>
            </w:pPr>
          </w:p>
        </w:tc>
        <w:tc>
          <w:tcPr>
            <w:tcW w:w="1500" w:type="dxa"/>
            <w:vAlign w:val="bottom"/>
            <w:tcBorders>
              <w:bottom w:val="single" w:sz="8" w:color="auto"/>
            </w:tcBorders>
            <w:shd w:val="clear" w:color="auto" w:fill="CCEEFF"/>
          </w:tcPr>
          <w:p>
            <w:pPr>
              <w:spacing w:after="0"/>
              <w:rPr>
                <w:sz w:val="8"/>
                <w:szCs w:val="8"/>
                <w:color w:val="auto"/>
              </w:rPr>
            </w:pPr>
          </w:p>
        </w:tc>
        <w:tc>
          <w:tcPr>
            <w:tcW w:w="100" w:type="dxa"/>
            <w:vAlign w:val="bottom"/>
            <w:tcBorders>
              <w:bottom w:val="single" w:sz="8" w:color="auto"/>
            </w:tcBorders>
            <w:shd w:val="clear" w:color="auto" w:fill="CCEEFF"/>
          </w:tcPr>
          <w:p>
            <w:pPr>
              <w:spacing w:after="0"/>
              <w:rPr>
                <w:sz w:val="8"/>
                <w:szCs w:val="8"/>
                <w:color w:val="auto"/>
              </w:rPr>
            </w:pPr>
          </w:p>
        </w:tc>
        <w:tc>
          <w:tcPr>
            <w:tcW w:w="480" w:type="dxa"/>
            <w:vAlign w:val="bottom"/>
            <w:tcBorders>
              <w:bottom w:val="single" w:sz="8" w:color="auto"/>
            </w:tcBorders>
            <w:shd w:val="clear" w:color="auto" w:fill="CCEEFF"/>
          </w:tcPr>
          <w:p>
            <w:pPr>
              <w:spacing w:after="0"/>
              <w:rPr>
                <w:sz w:val="8"/>
                <w:szCs w:val="8"/>
                <w:color w:val="auto"/>
              </w:rPr>
            </w:pPr>
          </w:p>
        </w:tc>
        <w:tc>
          <w:tcPr>
            <w:tcW w:w="420" w:type="dxa"/>
            <w:vAlign w:val="bottom"/>
            <w:tcBorders>
              <w:bottom w:val="single" w:sz="8" w:color="auto"/>
            </w:tcBorders>
            <w:shd w:val="clear" w:color="auto" w:fill="CCEEFF"/>
          </w:tcPr>
          <w:p>
            <w:pPr>
              <w:spacing w:after="0"/>
              <w:rPr>
                <w:sz w:val="8"/>
                <w:szCs w:val="8"/>
                <w:color w:val="auto"/>
              </w:rPr>
            </w:pPr>
          </w:p>
        </w:tc>
        <w:tc>
          <w:tcPr>
            <w:tcW w:w="460" w:type="dxa"/>
            <w:vAlign w:val="bottom"/>
            <w:tcBorders>
              <w:bottom w:val="single" w:sz="8" w:color="auto"/>
            </w:tcBorders>
            <w:shd w:val="clear" w:color="auto" w:fill="CCEEFF"/>
          </w:tcPr>
          <w:p>
            <w:pPr>
              <w:spacing w:after="0"/>
              <w:rPr>
                <w:sz w:val="8"/>
                <w:szCs w:val="8"/>
                <w:color w:val="auto"/>
              </w:rPr>
            </w:pPr>
          </w:p>
        </w:tc>
        <w:tc>
          <w:tcPr>
            <w:tcW w:w="100" w:type="dxa"/>
            <w:vAlign w:val="bottom"/>
            <w:tcBorders>
              <w:bottom w:val="single" w:sz="8" w:color="auto"/>
            </w:tcBorders>
            <w:shd w:val="clear" w:color="auto" w:fill="CCEEFF"/>
          </w:tcPr>
          <w:p>
            <w:pPr>
              <w:spacing w:after="0"/>
              <w:rPr>
                <w:sz w:val="8"/>
                <w:szCs w:val="8"/>
                <w:color w:val="auto"/>
              </w:rPr>
            </w:pPr>
          </w:p>
        </w:tc>
        <w:tc>
          <w:tcPr>
            <w:tcW w:w="120" w:type="dxa"/>
            <w:vAlign w:val="bottom"/>
            <w:tcBorders>
              <w:bottom w:val="single" w:sz="8" w:color="auto"/>
            </w:tcBorders>
            <w:shd w:val="clear" w:color="auto" w:fill="CCEEFF"/>
          </w:tcPr>
          <w:p>
            <w:pPr>
              <w:spacing w:after="0"/>
              <w:rPr>
                <w:sz w:val="8"/>
                <w:szCs w:val="8"/>
                <w:color w:val="auto"/>
              </w:rPr>
            </w:pPr>
          </w:p>
        </w:tc>
        <w:tc>
          <w:tcPr>
            <w:tcW w:w="680" w:type="dxa"/>
            <w:vAlign w:val="bottom"/>
            <w:tcBorders>
              <w:bottom w:val="single" w:sz="8" w:color="auto"/>
            </w:tcBorders>
            <w:shd w:val="clear" w:color="auto" w:fill="CCEEFF"/>
          </w:tcPr>
          <w:p>
            <w:pPr>
              <w:spacing w:after="0"/>
              <w:rPr>
                <w:sz w:val="8"/>
                <w:szCs w:val="8"/>
                <w:color w:val="auto"/>
              </w:rPr>
            </w:pPr>
          </w:p>
        </w:tc>
        <w:tc>
          <w:tcPr>
            <w:tcW w:w="120" w:type="dxa"/>
            <w:vAlign w:val="bottom"/>
            <w:tcBorders>
              <w:bottom w:val="single" w:sz="8" w:color="auto"/>
            </w:tcBorders>
            <w:shd w:val="clear" w:color="auto" w:fill="CCEEFF"/>
          </w:tcPr>
          <w:p>
            <w:pPr>
              <w:spacing w:after="0"/>
              <w:rPr>
                <w:sz w:val="8"/>
                <w:szCs w:val="8"/>
                <w:color w:val="auto"/>
              </w:rPr>
            </w:pPr>
          </w:p>
        </w:tc>
        <w:tc>
          <w:tcPr>
            <w:tcW w:w="460" w:type="dxa"/>
            <w:vAlign w:val="bottom"/>
            <w:tcBorders>
              <w:bottom w:val="single" w:sz="8" w:color="auto"/>
            </w:tcBorders>
            <w:shd w:val="clear" w:color="auto" w:fill="CCEEFF"/>
          </w:tcPr>
          <w:p>
            <w:pPr>
              <w:spacing w:after="0"/>
              <w:rPr>
                <w:sz w:val="8"/>
                <w:szCs w:val="8"/>
                <w:color w:val="auto"/>
              </w:rPr>
            </w:pPr>
          </w:p>
        </w:tc>
        <w:tc>
          <w:tcPr>
            <w:tcW w:w="420" w:type="dxa"/>
            <w:vAlign w:val="bottom"/>
            <w:tcBorders>
              <w:bottom w:val="single" w:sz="8" w:color="auto"/>
            </w:tcBorders>
            <w:shd w:val="clear" w:color="auto" w:fill="CCEEFF"/>
          </w:tcPr>
          <w:p>
            <w:pPr>
              <w:spacing w:after="0"/>
              <w:rPr>
                <w:sz w:val="8"/>
                <w:szCs w:val="8"/>
                <w:color w:val="auto"/>
              </w:rPr>
            </w:pPr>
          </w:p>
        </w:tc>
        <w:tc>
          <w:tcPr>
            <w:tcW w:w="460" w:type="dxa"/>
            <w:vAlign w:val="bottom"/>
            <w:tcBorders>
              <w:bottom w:val="single" w:sz="8" w:color="auto"/>
            </w:tcBorders>
            <w:shd w:val="clear" w:color="auto" w:fill="CCEEFF"/>
          </w:tcPr>
          <w:p>
            <w:pPr>
              <w:spacing w:after="0"/>
              <w:rPr>
                <w:sz w:val="8"/>
                <w:szCs w:val="8"/>
                <w:color w:val="auto"/>
              </w:rPr>
            </w:pPr>
          </w:p>
        </w:tc>
        <w:tc>
          <w:tcPr>
            <w:tcW w:w="100" w:type="dxa"/>
            <w:vAlign w:val="bottom"/>
            <w:tcBorders>
              <w:bottom w:val="single" w:sz="8" w:color="auto"/>
            </w:tcBorders>
            <w:shd w:val="clear" w:color="auto" w:fill="CCEEFF"/>
          </w:tcPr>
          <w:p>
            <w:pPr>
              <w:spacing w:after="0"/>
              <w:rPr>
                <w:sz w:val="8"/>
                <w:szCs w:val="8"/>
                <w:color w:val="auto"/>
              </w:rPr>
            </w:pPr>
          </w:p>
        </w:tc>
        <w:tc>
          <w:tcPr>
            <w:tcW w:w="120" w:type="dxa"/>
            <w:vAlign w:val="bottom"/>
            <w:tcBorders>
              <w:bottom w:val="single" w:sz="8" w:color="auto"/>
            </w:tcBorders>
            <w:shd w:val="clear" w:color="auto" w:fill="CCEEFF"/>
          </w:tcPr>
          <w:p>
            <w:pPr>
              <w:spacing w:after="0"/>
              <w:rPr>
                <w:sz w:val="8"/>
                <w:szCs w:val="8"/>
                <w:color w:val="auto"/>
              </w:rPr>
            </w:pPr>
          </w:p>
        </w:tc>
        <w:tc>
          <w:tcPr>
            <w:tcW w:w="680" w:type="dxa"/>
            <w:vAlign w:val="bottom"/>
            <w:tcBorders>
              <w:bottom w:val="single" w:sz="8" w:color="auto"/>
            </w:tcBorders>
            <w:shd w:val="clear" w:color="auto" w:fill="CCEEFF"/>
          </w:tcPr>
          <w:p>
            <w:pPr>
              <w:spacing w:after="0"/>
              <w:rPr>
                <w:sz w:val="8"/>
                <w:szCs w:val="8"/>
                <w:color w:val="auto"/>
              </w:rPr>
            </w:pPr>
          </w:p>
        </w:tc>
        <w:tc>
          <w:tcPr>
            <w:tcW w:w="120" w:type="dxa"/>
            <w:vAlign w:val="bottom"/>
            <w:tcBorders>
              <w:bottom w:val="single" w:sz="8" w:color="auto"/>
            </w:tcBorders>
            <w:shd w:val="clear" w:color="auto" w:fill="CCEEFF"/>
          </w:tcPr>
          <w:p>
            <w:pPr>
              <w:spacing w:after="0"/>
              <w:rPr>
                <w:sz w:val="8"/>
                <w:szCs w:val="8"/>
                <w:color w:val="auto"/>
              </w:rPr>
            </w:pPr>
          </w:p>
        </w:tc>
        <w:tc>
          <w:tcPr>
            <w:tcW w:w="1020" w:type="dxa"/>
            <w:vAlign w:val="bottom"/>
            <w:tcBorders>
              <w:bottom w:val="single" w:sz="8" w:color="auto"/>
            </w:tcBorders>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63"/>
        </w:trPr>
        <w:tc>
          <w:tcPr>
            <w:tcW w:w="2120" w:type="dxa"/>
            <w:vAlign w:val="bottom"/>
          </w:tcPr>
          <w:p>
            <w:pPr>
              <w:ind w:left="40"/>
              <w:spacing w:after="0"/>
              <w:rPr>
                <w:sz w:val="20"/>
                <w:szCs w:val="20"/>
                <w:color w:val="auto"/>
              </w:rPr>
            </w:pPr>
            <w:r>
              <w:rPr>
                <w:rFonts w:ascii="Arial" w:cs="Arial" w:eastAsia="Arial" w:hAnsi="Arial"/>
                <w:sz w:val="12"/>
                <w:szCs w:val="12"/>
                <w:color w:val="auto"/>
              </w:rPr>
              <w:t>ABS</w:t>
            </w:r>
          </w:p>
        </w:tc>
        <w:tc>
          <w:tcPr>
            <w:tcW w:w="180" w:type="dxa"/>
            <w:vAlign w:val="bottom"/>
          </w:tcPr>
          <w:p>
            <w:pPr>
              <w:ind w:left="80"/>
              <w:spacing w:after="0"/>
              <w:rPr>
                <w:sz w:val="20"/>
                <w:szCs w:val="20"/>
                <w:color w:val="auto"/>
              </w:rPr>
            </w:pPr>
            <w:r>
              <w:rPr>
                <w:rFonts w:ascii="Arial" w:cs="Arial" w:eastAsia="Arial" w:hAnsi="Arial"/>
                <w:sz w:val="12"/>
                <w:szCs w:val="12"/>
                <w:b w:val="1"/>
                <w:bCs w:val="1"/>
                <w:color w:val="auto"/>
              </w:rPr>
              <w:t>•</w:t>
            </w:r>
          </w:p>
        </w:tc>
        <w:tc>
          <w:tcPr>
            <w:tcW w:w="1580" w:type="dxa"/>
            <w:vAlign w:val="bottom"/>
            <w:gridSpan w:val="2"/>
          </w:tcPr>
          <w:p>
            <w:pPr>
              <w:ind w:left="60"/>
              <w:spacing w:after="0"/>
              <w:rPr>
                <w:sz w:val="20"/>
                <w:szCs w:val="20"/>
                <w:color w:val="auto"/>
              </w:rPr>
            </w:pPr>
            <w:r>
              <w:rPr>
                <w:rFonts w:ascii="Arial" w:cs="Arial" w:eastAsia="Arial" w:hAnsi="Arial"/>
                <w:sz w:val="12"/>
                <w:szCs w:val="12"/>
                <w:color w:val="auto"/>
              </w:rPr>
              <w:t>Market pricing</w:t>
            </w:r>
          </w:p>
        </w:tc>
        <w:tc>
          <w:tcPr>
            <w:tcW w:w="180" w:type="dxa"/>
            <w:vAlign w:val="bottom"/>
          </w:tcPr>
          <w:p>
            <w:pPr>
              <w:ind w:left="100"/>
              <w:spacing w:after="0"/>
              <w:rPr>
                <w:sz w:val="20"/>
                <w:szCs w:val="20"/>
                <w:color w:val="auto"/>
              </w:rPr>
            </w:pPr>
            <w:r>
              <w:rPr>
                <w:rFonts w:ascii="Arial" w:cs="Arial" w:eastAsia="Arial" w:hAnsi="Arial"/>
                <w:sz w:val="12"/>
                <w:szCs w:val="12"/>
                <w:b w:val="1"/>
                <w:bCs w:val="1"/>
                <w:color w:val="auto"/>
              </w:rPr>
              <w:t>•</w:t>
            </w:r>
          </w:p>
        </w:tc>
        <w:tc>
          <w:tcPr>
            <w:tcW w:w="1600" w:type="dxa"/>
            <w:vAlign w:val="bottom"/>
            <w:gridSpan w:val="2"/>
          </w:tcPr>
          <w:p>
            <w:pPr>
              <w:ind w:left="60"/>
              <w:spacing w:after="0"/>
              <w:rPr>
                <w:sz w:val="20"/>
                <w:szCs w:val="20"/>
                <w:color w:val="auto"/>
              </w:rPr>
            </w:pPr>
            <w:r>
              <w:rPr>
                <w:rFonts w:ascii="Arial" w:cs="Arial" w:eastAsia="Arial" w:hAnsi="Arial"/>
                <w:sz w:val="12"/>
                <w:szCs w:val="12"/>
                <w:color w:val="auto"/>
              </w:rPr>
              <w:t>Quoted prices (4)</w:t>
            </w:r>
          </w:p>
        </w:tc>
        <w:tc>
          <w:tcPr>
            <w:tcW w:w="480" w:type="dxa"/>
            <w:vAlign w:val="bottom"/>
          </w:tcPr>
          <w:p>
            <w:pPr>
              <w:jc w:val="center"/>
              <w:ind w:left="142"/>
              <w:spacing w:after="0"/>
              <w:rPr>
                <w:sz w:val="20"/>
                <w:szCs w:val="20"/>
                <w:color w:val="auto"/>
              </w:rPr>
            </w:pPr>
            <w:r>
              <w:rPr>
                <w:rFonts w:ascii="Arial" w:cs="Arial" w:eastAsia="Arial" w:hAnsi="Arial"/>
                <w:sz w:val="12"/>
                <w:szCs w:val="12"/>
                <w:color w:val="auto"/>
                <w:w w:val="89"/>
              </w:rPr>
              <w:t>99</w:t>
            </w:r>
          </w:p>
        </w:tc>
        <w:tc>
          <w:tcPr>
            <w:tcW w:w="420" w:type="dxa"/>
            <w:vAlign w:val="bottom"/>
          </w:tcPr>
          <w:p>
            <w:pPr>
              <w:ind w:left="240"/>
              <w:spacing w:after="0"/>
              <w:rPr>
                <w:sz w:val="20"/>
                <w:szCs w:val="20"/>
                <w:color w:val="auto"/>
              </w:rPr>
            </w:pPr>
            <w:r>
              <w:rPr>
                <w:rFonts w:ascii="Arial" w:cs="Arial" w:eastAsia="Arial" w:hAnsi="Arial"/>
                <w:sz w:val="12"/>
                <w:szCs w:val="12"/>
                <w:color w:val="auto"/>
              </w:rPr>
              <w:t>-</w:t>
            </w:r>
          </w:p>
        </w:tc>
        <w:tc>
          <w:tcPr>
            <w:tcW w:w="460" w:type="dxa"/>
            <w:vAlign w:val="bottom"/>
          </w:tcPr>
          <w:p>
            <w:pPr>
              <w:jc w:val="center"/>
              <w:ind w:right="62"/>
              <w:spacing w:after="0"/>
              <w:rPr>
                <w:sz w:val="20"/>
                <w:szCs w:val="20"/>
                <w:color w:val="auto"/>
              </w:rPr>
            </w:pPr>
            <w:r>
              <w:rPr>
                <w:rFonts w:ascii="Arial" w:cs="Arial" w:eastAsia="Arial" w:hAnsi="Arial"/>
                <w:sz w:val="12"/>
                <w:szCs w:val="12"/>
                <w:color w:val="auto"/>
                <w:w w:val="89"/>
              </w:rPr>
              <w:t>104</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jc w:val="center"/>
              <w:ind w:right="44"/>
              <w:spacing w:after="0"/>
              <w:rPr>
                <w:sz w:val="20"/>
                <w:szCs w:val="20"/>
                <w:color w:val="auto"/>
              </w:rPr>
            </w:pPr>
            <w:r>
              <w:rPr>
                <w:rFonts w:ascii="Arial" w:cs="Arial" w:eastAsia="Arial" w:hAnsi="Arial"/>
                <w:sz w:val="12"/>
                <w:szCs w:val="12"/>
                <w:color w:val="auto"/>
                <w:w w:val="89"/>
              </w:rPr>
              <w:t>101</w:t>
            </w:r>
          </w:p>
        </w:tc>
        <w:tc>
          <w:tcPr>
            <w:tcW w:w="120" w:type="dxa"/>
            <w:vAlign w:val="bottom"/>
          </w:tcPr>
          <w:p>
            <w:pPr>
              <w:spacing w:after="0"/>
              <w:rPr>
                <w:sz w:val="14"/>
                <w:szCs w:val="14"/>
                <w:color w:val="auto"/>
              </w:rPr>
            </w:pPr>
          </w:p>
        </w:tc>
        <w:tc>
          <w:tcPr>
            <w:tcW w:w="460" w:type="dxa"/>
            <w:vAlign w:val="bottom"/>
          </w:tcPr>
          <w:p>
            <w:pPr>
              <w:jc w:val="right"/>
              <w:ind w:right="22"/>
              <w:spacing w:after="0"/>
              <w:rPr>
                <w:sz w:val="20"/>
                <w:szCs w:val="20"/>
                <w:color w:val="auto"/>
              </w:rPr>
            </w:pPr>
            <w:r>
              <w:rPr>
                <w:rFonts w:ascii="Arial" w:cs="Arial" w:eastAsia="Arial" w:hAnsi="Arial"/>
                <w:sz w:val="12"/>
                <w:szCs w:val="12"/>
                <w:color w:val="auto"/>
              </w:rPr>
              <w:t>94</w:t>
            </w:r>
          </w:p>
        </w:tc>
        <w:tc>
          <w:tcPr>
            <w:tcW w:w="420" w:type="dxa"/>
            <w:vAlign w:val="bottom"/>
          </w:tcPr>
          <w:p>
            <w:pPr>
              <w:jc w:val="right"/>
              <w:ind w:right="84"/>
              <w:spacing w:after="0"/>
              <w:rPr>
                <w:sz w:val="20"/>
                <w:szCs w:val="20"/>
                <w:color w:val="auto"/>
              </w:rPr>
            </w:pPr>
            <w:r>
              <w:rPr>
                <w:rFonts w:ascii="Arial" w:cs="Arial" w:eastAsia="Arial" w:hAnsi="Arial"/>
                <w:sz w:val="12"/>
                <w:szCs w:val="12"/>
                <w:color w:val="auto"/>
              </w:rPr>
              <w:t>-</w:t>
            </w:r>
          </w:p>
        </w:tc>
        <w:tc>
          <w:tcPr>
            <w:tcW w:w="460" w:type="dxa"/>
            <w:vAlign w:val="bottom"/>
          </w:tcPr>
          <w:p>
            <w:pPr>
              <w:jc w:val="right"/>
              <w:ind w:right="142"/>
              <w:spacing w:after="0"/>
              <w:rPr>
                <w:sz w:val="20"/>
                <w:szCs w:val="20"/>
                <w:color w:val="auto"/>
              </w:rPr>
            </w:pPr>
            <w:r>
              <w:rPr>
                <w:rFonts w:ascii="Arial" w:cs="Arial" w:eastAsia="Arial" w:hAnsi="Arial"/>
                <w:sz w:val="12"/>
                <w:szCs w:val="12"/>
                <w:color w:val="auto"/>
              </w:rPr>
              <w:t>106</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jc w:val="center"/>
              <w:ind w:right="44"/>
              <w:spacing w:after="0"/>
              <w:rPr>
                <w:sz w:val="20"/>
                <w:szCs w:val="20"/>
                <w:color w:val="auto"/>
              </w:rPr>
            </w:pPr>
            <w:r>
              <w:rPr>
                <w:rFonts w:ascii="Arial" w:cs="Arial" w:eastAsia="Arial" w:hAnsi="Arial"/>
                <w:sz w:val="12"/>
                <w:szCs w:val="12"/>
                <w:color w:val="auto"/>
                <w:w w:val="89"/>
              </w:rPr>
              <w:t>100</w:t>
            </w:r>
          </w:p>
        </w:tc>
        <w:tc>
          <w:tcPr>
            <w:tcW w:w="120" w:type="dxa"/>
            <w:vAlign w:val="bottom"/>
          </w:tcPr>
          <w:p>
            <w:pPr>
              <w:spacing w:after="0"/>
              <w:rPr>
                <w:sz w:val="14"/>
                <w:szCs w:val="14"/>
                <w:color w:val="auto"/>
              </w:rPr>
            </w:pPr>
          </w:p>
        </w:tc>
        <w:tc>
          <w:tcPr>
            <w:tcW w:w="1020" w:type="dxa"/>
            <w:vAlign w:val="bottom"/>
          </w:tcPr>
          <w:p>
            <w:pPr>
              <w:jc w:val="center"/>
              <w:spacing w:after="0"/>
              <w:rPr>
                <w:sz w:val="20"/>
                <w:szCs w:val="20"/>
                <w:color w:val="auto"/>
              </w:rPr>
            </w:pPr>
            <w:r>
              <w:rPr>
                <w:rFonts w:ascii="Arial" w:cs="Arial" w:eastAsia="Arial" w:hAnsi="Arial"/>
                <w:sz w:val="12"/>
                <w:szCs w:val="12"/>
                <w:color w:val="auto"/>
                <w:w w:val="87"/>
              </w:rPr>
              <w:t>Increase (5)</w:t>
            </w:r>
          </w:p>
        </w:tc>
        <w:tc>
          <w:tcPr>
            <w:tcW w:w="0" w:type="dxa"/>
            <w:vAlign w:val="bottom"/>
          </w:tcPr>
          <w:p>
            <w:pPr>
              <w:spacing w:after="0"/>
              <w:rPr>
                <w:sz w:val="1"/>
                <w:szCs w:val="1"/>
                <w:color w:val="auto"/>
              </w:rPr>
            </w:pPr>
          </w:p>
        </w:tc>
      </w:tr>
      <w:tr>
        <w:trPr>
          <w:trHeight w:val="101"/>
        </w:trPr>
        <w:tc>
          <w:tcPr>
            <w:tcW w:w="21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42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Pr>
          <w:p>
            <w:pPr>
              <w:spacing w:after="0"/>
              <w:rPr>
                <w:sz w:val="8"/>
                <w:szCs w:val="8"/>
                <w:color w:val="auto"/>
              </w:rPr>
            </w:pPr>
          </w:p>
        </w:tc>
        <w:tc>
          <w:tcPr>
            <w:tcW w:w="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9"/>
        </w:trPr>
        <w:tc>
          <w:tcPr>
            <w:tcW w:w="2120" w:type="dxa"/>
            <w:vAlign w:val="bottom"/>
            <w:shd w:val="clear" w:color="auto" w:fill="CCEEFF"/>
          </w:tcPr>
          <w:p>
            <w:pPr>
              <w:spacing w:after="0"/>
              <w:rPr>
                <w:sz w:val="14"/>
                <w:szCs w:val="14"/>
                <w:color w:val="auto"/>
              </w:rPr>
            </w:pPr>
          </w:p>
        </w:tc>
        <w:tc>
          <w:tcPr>
            <w:tcW w:w="180" w:type="dxa"/>
            <w:vAlign w:val="bottom"/>
            <w:shd w:val="clear" w:color="auto" w:fill="CCEEFF"/>
          </w:tcPr>
          <w:p>
            <w:pPr>
              <w:ind w:left="80"/>
              <w:spacing w:after="0"/>
              <w:rPr>
                <w:sz w:val="20"/>
                <w:szCs w:val="20"/>
                <w:color w:val="auto"/>
              </w:rPr>
            </w:pPr>
            <w:r>
              <w:rPr>
                <w:rFonts w:ascii="Arial" w:cs="Arial" w:eastAsia="Arial" w:hAnsi="Arial"/>
                <w:sz w:val="12"/>
                <w:szCs w:val="12"/>
                <w:b w:val="1"/>
                <w:bCs w:val="1"/>
                <w:color w:val="auto"/>
              </w:rPr>
              <w:t>•</w:t>
            </w:r>
          </w:p>
        </w:tc>
        <w:tc>
          <w:tcPr>
            <w:tcW w:w="1580" w:type="dxa"/>
            <w:vAlign w:val="bottom"/>
            <w:gridSpan w:val="2"/>
            <w:shd w:val="clear" w:color="auto" w:fill="CCEEFF"/>
          </w:tcPr>
          <w:p>
            <w:pPr>
              <w:ind w:left="60"/>
              <w:spacing w:after="0"/>
              <w:rPr>
                <w:sz w:val="20"/>
                <w:szCs w:val="20"/>
                <w:color w:val="auto"/>
              </w:rPr>
            </w:pPr>
            <w:r>
              <w:rPr>
                <w:rFonts w:ascii="Arial" w:cs="Arial" w:eastAsia="Arial" w:hAnsi="Arial"/>
                <w:sz w:val="12"/>
                <w:szCs w:val="12"/>
                <w:color w:val="auto"/>
              </w:rPr>
              <w:t>Consensus pricing</w:t>
            </w:r>
          </w:p>
        </w:tc>
        <w:tc>
          <w:tcPr>
            <w:tcW w:w="180" w:type="dxa"/>
            <w:vAlign w:val="bottom"/>
            <w:shd w:val="clear" w:color="auto" w:fill="CCEEFF"/>
          </w:tcPr>
          <w:p>
            <w:pPr>
              <w:ind w:left="100"/>
              <w:spacing w:after="0"/>
              <w:rPr>
                <w:sz w:val="20"/>
                <w:szCs w:val="20"/>
                <w:color w:val="auto"/>
              </w:rPr>
            </w:pPr>
            <w:r>
              <w:rPr>
                <w:rFonts w:ascii="Arial" w:cs="Arial" w:eastAsia="Arial" w:hAnsi="Arial"/>
                <w:sz w:val="12"/>
                <w:szCs w:val="12"/>
                <w:b w:val="1"/>
                <w:bCs w:val="1"/>
                <w:color w:val="auto"/>
              </w:rPr>
              <w:t>•</w:t>
            </w:r>
          </w:p>
        </w:tc>
        <w:tc>
          <w:tcPr>
            <w:tcW w:w="1600" w:type="dxa"/>
            <w:vAlign w:val="bottom"/>
            <w:gridSpan w:val="2"/>
            <w:shd w:val="clear" w:color="auto" w:fill="CCEEFF"/>
          </w:tcPr>
          <w:p>
            <w:pPr>
              <w:ind w:left="60"/>
              <w:spacing w:after="0"/>
              <w:rPr>
                <w:sz w:val="20"/>
                <w:szCs w:val="20"/>
                <w:color w:val="auto"/>
              </w:rPr>
            </w:pPr>
            <w:r>
              <w:rPr>
                <w:rFonts w:ascii="Arial" w:cs="Arial" w:eastAsia="Arial" w:hAnsi="Arial"/>
                <w:sz w:val="12"/>
                <w:szCs w:val="12"/>
                <w:color w:val="auto"/>
              </w:rPr>
              <w:t>Offered quotes (4)</w:t>
            </w:r>
          </w:p>
        </w:tc>
        <w:tc>
          <w:tcPr>
            <w:tcW w:w="480" w:type="dxa"/>
            <w:vAlign w:val="bottom"/>
            <w:shd w:val="clear" w:color="auto" w:fill="CCEEFF"/>
          </w:tcPr>
          <w:p>
            <w:pPr>
              <w:jc w:val="center"/>
              <w:ind w:left="142"/>
              <w:spacing w:after="0"/>
              <w:rPr>
                <w:sz w:val="20"/>
                <w:szCs w:val="20"/>
                <w:color w:val="auto"/>
              </w:rPr>
            </w:pPr>
            <w:r>
              <w:rPr>
                <w:rFonts w:ascii="Arial" w:cs="Arial" w:eastAsia="Arial" w:hAnsi="Arial"/>
                <w:sz w:val="12"/>
                <w:szCs w:val="12"/>
                <w:color w:val="auto"/>
                <w:w w:val="89"/>
              </w:rPr>
              <w:t>99</w:t>
            </w:r>
          </w:p>
        </w:tc>
        <w:tc>
          <w:tcPr>
            <w:tcW w:w="420" w:type="dxa"/>
            <w:vAlign w:val="bottom"/>
            <w:shd w:val="clear" w:color="auto" w:fill="CCEEFF"/>
          </w:tcPr>
          <w:p>
            <w:pPr>
              <w:ind w:left="240"/>
              <w:spacing w:after="0"/>
              <w:rPr>
                <w:sz w:val="20"/>
                <w:szCs w:val="20"/>
                <w:color w:val="auto"/>
              </w:rPr>
            </w:pPr>
            <w:r>
              <w:rPr>
                <w:rFonts w:ascii="Arial" w:cs="Arial" w:eastAsia="Arial" w:hAnsi="Arial"/>
                <w:sz w:val="12"/>
                <w:szCs w:val="12"/>
                <w:color w:val="auto"/>
              </w:rPr>
              <w:t>-</w:t>
            </w:r>
          </w:p>
        </w:tc>
        <w:tc>
          <w:tcPr>
            <w:tcW w:w="460" w:type="dxa"/>
            <w:vAlign w:val="bottom"/>
            <w:shd w:val="clear" w:color="auto" w:fill="CCEEFF"/>
          </w:tcPr>
          <w:p>
            <w:pPr>
              <w:jc w:val="center"/>
              <w:ind w:right="62"/>
              <w:spacing w:after="0"/>
              <w:rPr>
                <w:sz w:val="20"/>
                <w:szCs w:val="20"/>
                <w:color w:val="auto"/>
              </w:rPr>
            </w:pPr>
            <w:r>
              <w:rPr>
                <w:rFonts w:ascii="Arial" w:cs="Arial" w:eastAsia="Arial" w:hAnsi="Arial"/>
                <w:sz w:val="12"/>
                <w:szCs w:val="12"/>
                <w:color w:val="auto"/>
                <w:w w:val="89"/>
              </w:rPr>
              <w:t>100</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jc w:val="center"/>
              <w:ind w:right="64"/>
              <w:spacing w:after="0"/>
              <w:rPr>
                <w:sz w:val="20"/>
                <w:szCs w:val="20"/>
                <w:color w:val="auto"/>
              </w:rPr>
            </w:pPr>
            <w:r>
              <w:rPr>
                <w:rFonts w:ascii="Arial" w:cs="Arial" w:eastAsia="Arial" w:hAnsi="Arial"/>
                <w:sz w:val="12"/>
                <w:szCs w:val="12"/>
                <w:color w:val="auto"/>
                <w:w w:val="89"/>
              </w:rPr>
              <w:t>99</w:t>
            </w:r>
          </w:p>
        </w:tc>
        <w:tc>
          <w:tcPr>
            <w:tcW w:w="120" w:type="dxa"/>
            <w:vAlign w:val="bottom"/>
            <w:shd w:val="clear" w:color="auto" w:fill="CCEEFF"/>
          </w:tcPr>
          <w:p>
            <w:pPr>
              <w:spacing w:after="0"/>
              <w:rPr>
                <w:sz w:val="14"/>
                <w:szCs w:val="14"/>
                <w:color w:val="auto"/>
              </w:rPr>
            </w:pPr>
          </w:p>
        </w:tc>
        <w:tc>
          <w:tcPr>
            <w:tcW w:w="460" w:type="dxa"/>
            <w:vAlign w:val="bottom"/>
            <w:shd w:val="clear" w:color="auto" w:fill="CCEEFF"/>
          </w:tcPr>
          <w:p>
            <w:pPr>
              <w:jc w:val="right"/>
              <w:ind w:right="22"/>
              <w:spacing w:after="0"/>
              <w:rPr>
                <w:sz w:val="20"/>
                <w:szCs w:val="20"/>
                <w:color w:val="auto"/>
              </w:rPr>
            </w:pPr>
            <w:r>
              <w:rPr>
                <w:rFonts w:ascii="Arial" w:cs="Arial" w:eastAsia="Arial" w:hAnsi="Arial"/>
                <w:sz w:val="12"/>
                <w:szCs w:val="12"/>
                <w:color w:val="auto"/>
              </w:rPr>
              <w:t>98</w:t>
            </w:r>
          </w:p>
        </w:tc>
        <w:tc>
          <w:tcPr>
            <w:tcW w:w="420" w:type="dxa"/>
            <w:vAlign w:val="bottom"/>
            <w:shd w:val="clear" w:color="auto" w:fill="CCEEFF"/>
          </w:tcPr>
          <w:p>
            <w:pPr>
              <w:jc w:val="right"/>
              <w:ind w:right="84"/>
              <w:spacing w:after="0"/>
              <w:rPr>
                <w:sz w:val="20"/>
                <w:szCs w:val="20"/>
                <w:color w:val="auto"/>
              </w:rPr>
            </w:pPr>
            <w:r>
              <w:rPr>
                <w:rFonts w:ascii="Arial" w:cs="Arial" w:eastAsia="Arial" w:hAnsi="Arial"/>
                <w:sz w:val="12"/>
                <w:szCs w:val="12"/>
                <w:color w:val="auto"/>
              </w:rPr>
              <w:t>-</w:t>
            </w:r>
          </w:p>
        </w:tc>
        <w:tc>
          <w:tcPr>
            <w:tcW w:w="460" w:type="dxa"/>
            <w:vAlign w:val="bottom"/>
            <w:shd w:val="clear" w:color="auto" w:fill="CCEEFF"/>
          </w:tcPr>
          <w:p>
            <w:pPr>
              <w:jc w:val="right"/>
              <w:ind w:right="142"/>
              <w:spacing w:after="0"/>
              <w:rPr>
                <w:sz w:val="20"/>
                <w:szCs w:val="20"/>
                <w:color w:val="auto"/>
              </w:rPr>
            </w:pPr>
            <w:r>
              <w:rPr>
                <w:rFonts w:ascii="Arial" w:cs="Arial" w:eastAsia="Arial" w:hAnsi="Arial"/>
                <w:sz w:val="12"/>
                <w:szCs w:val="12"/>
                <w:color w:val="auto"/>
              </w:rPr>
              <w:t>100</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jc w:val="center"/>
              <w:ind w:right="64"/>
              <w:spacing w:after="0"/>
              <w:rPr>
                <w:sz w:val="20"/>
                <w:szCs w:val="20"/>
                <w:color w:val="auto"/>
              </w:rPr>
            </w:pPr>
            <w:r>
              <w:rPr>
                <w:rFonts w:ascii="Arial" w:cs="Arial" w:eastAsia="Arial" w:hAnsi="Arial"/>
                <w:sz w:val="12"/>
                <w:szCs w:val="12"/>
                <w:color w:val="auto"/>
                <w:w w:val="89"/>
              </w:rPr>
              <w:t>99</w:t>
            </w:r>
          </w:p>
        </w:tc>
        <w:tc>
          <w:tcPr>
            <w:tcW w:w="120" w:type="dxa"/>
            <w:vAlign w:val="bottom"/>
            <w:shd w:val="clear" w:color="auto" w:fill="CCEEFF"/>
          </w:tcPr>
          <w:p>
            <w:pPr>
              <w:spacing w:after="0"/>
              <w:rPr>
                <w:sz w:val="14"/>
                <w:szCs w:val="14"/>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87"/>
              </w:rPr>
              <w:t>Increase (5)</w:t>
            </w:r>
          </w:p>
        </w:tc>
        <w:tc>
          <w:tcPr>
            <w:tcW w:w="0" w:type="dxa"/>
            <w:vAlign w:val="bottom"/>
          </w:tcPr>
          <w:p>
            <w:pPr>
              <w:spacing w:after="0"/>
              <w:rPr>
                <w:sz w:val="1"/>
                <w:szCs w:val="1"/>
                <w:color w:val="auto"/>
              </w:rPr>
            </w:pPr>
          </w:p>
        </w:tc>
      </w:tr>
      <w:tr>
        <w:trPr>
          <w:trHeight w:val="101"/>
        </w:trPr>
        <w:tc>
          <w:tcPr>
            <w:tcW w:w="2120" w:type="dxa"/>
            <w:vAlign w:val="bottom"/>
            <w:shd w:val="clear" w:color="auto" w:fill="CCEEFF"/>
          </w:tcPr>
          <w:p>
            <w:pPr>
              <w:spacing w:after="0"/>
              <w:rPr>
                <w:sz w:val="8"/>
                <w:szCs w:val="8"/>
                <w:color w:val="auto"/>
              </w:rPr>
            </w:pPr>
          </w:p>
        </w:tc>
        <w:tc>
          <w:tcPr>
            <w:tcW w:w="180" w:type="dxa"/>
            <w:vAlign w:val="bottom"/>
            <w:tcBorders>
              <w:bottom w:val="single" w:sz="8" w:color="auto"/>
            </w:tcBorders>
            <w:shd w:val="clear" w:color="auto" w:fill="CCEEFF"/>
          </w:tcPr>
          <w:p>
            <w:pPr>
              <w:spacing w:after="0"/>
              <w:rPr>
                <w:sz w:val="8"/>
                <w:szCs w:val="8"/>
                <w:color w:val="auto"/>
              </w:rPr>
            </w:pPr>
          </w:p>
        </w:tc>
        <w:tc>
          <w:tcPr>
            <w:tcW w:w="1480" w:type="dxa"/>
            <w:vAlign w:val="bottom"/>
            <w:tcBorders>
              <w:bottom w:val="single" w:sz="8" w:color="auto"/>
            </w:tcBorders>
            <w:shd w:val="clear" w:color="auto" w:fill="CCEEFF"/>
          </w:tcPr>
          <w:p>
            <w:pPr>
              <w:spacing w:after="0"/>
              <w:rPr>
                <w:sz w:val="8"/>
                <w:szCs w:val="8"/>
                <w:color w:val="auto"/>
              </w:rPr>
            </w:pPr>
          </w:p>
        </w:tc>
        <w:tc>
          <w:tcPr>
            <w:tcW w:w="100" w:type="dxa"/>
            <w:vAlign w:val="bottom"/>
            <w:tcBorders>
              <w:bottom w:val="single" w:sz="8" w:color="auto"/>
            </w:tcBorders>
            <w:shd w:val="clear" w:color="auto" w:fill="CCEEFF"/>
          </w:tcPr>
          <w:p>
            <w:pPr>
              <w:spacing w:after="0"/>
              <w:rPr>
                <w:sz w:val="8"/>
                <w:szCs w:val="8"/>
                <w:color w:val="auto"/>
              </w:rPr>
            </w:pPr>
          </w:p>
        </w:tc>
        <w:tc>
          <w:tcPr>
            <w:tcW w:w="180" w:type="dxa"/>
            <w:vAlign w:val="bottom"/>
            <w:tcBorders>
              <w:bottom w:val="single" w:sz="8" w:color="auto"/>
            </w:tcBorders>
            <w:shd w:val="clear" w:color="auto" w:fill="CCEEFF"/>
          </w:tcPr>
          <w:p>
            <w:pPr>
              <w:spacing w:after="0"/>
              <w:rPr>
                <w:sz w:val="8"/>
                <w:szCs w:val="8"/>
                <w:color w:val="auto"/>
              </w:rPr>
            </w:pPr>
          </w:p>
        </w:tc>
        <w:tc>
          <w:tcPr>
            <w:tcW w:w="1500" w:type="dxa"/>
            <w:vAlign w:val="bottom"/>
            <w:tcBorders>
              <w:bottom w:val="single" w:sz="8" w:color="auto"/>
            </w:tcBorders>
            <w:shd w:val="clear" w:color="auto" w:fill="CCEEFF"/>
          </w:tcPr>
          <w:p>
            <w:pPr>
              <w:spacing w:after="0"/>
              <w:rPr>
                <w:sz w:val="8"/>
                <w:szCs w:val="8"/>
                <w:color w:val="auto"/>
              </w:rPr>
            </w:pPr>
          </w:p>
        </w:tc>
        <w:tc>
          <w:tcPr>
            <w:tcW w:w="100" w:type="dxa"/>
            <w:vAlign w:val="bottom"/>
            <w:tcBorders>
              <w:bottom w:val="single" w:sz="8" w:color="auto"/>
            </w:tcBorders>
            <w:shd w:val="clear" w:color="auto" w:fill="CCEEFF"/>
          </w:tcPr>
          <w:p>
            <w:pPr>
              <w:spacing w:after="0"/>
              <w:rPr>
                <w:sz w:val="8"/>
                <w:szCs w:val="8"/>
                <w:color w:val="auto"/>
              </w:rPr>
            </w:pPr>
          </w:p>
        </w:tc>
        <w:tc>
          <w:tcPr>
            <w:tcW w:w="480" w:type="dxa"/>
            <w:vAlign w:val="bottom"/>
            <w:tcBorders>
              <w:bottom w:val="single" w:sz="8" w:color="auto"/>
            </w:tcBorders>
            <w:shd w:val="clear" w:color="auto" w:fill="CCEEFF"/>
          </w:tcPr>
          <w:p>
            <w:pPr>
              <w:spacing w:after="0"/>
              <w:rPr>
                <w:sz w:val="8"/>
                <w:szCs w:val="8"/>
                <w:color w:val="auto"/>
              </w:rPr>
            </w:pPr>
          </w:p>
        </w:tc>
        <w:tc>
          <w:tcPr>
            <w:tcW w:w="420" w:type="dxa"/>
            <w:vAlign w:val="bottom"/>
            <w:tcBorders>
              <w:bottom w:val="single" w:sz="8" w:color="auto"/>
            </w:tcBorders>
            <w:shd w:val="clear" w:color="auto" w:fill="CCEEFF"/>
          </w:tcPr>
          <w:p>
            <w:pPr>
              <w:spacing w:after="0"/>
              <w:rPr>
                <w:sz w:val="8"/>
                <w:szCs w:val="8"/>
                <w:color w:val="auto"/>
              </w:rPr>
            </w:pPr>
          </w:p>
        </w:tc>
        <w:tc>
          <w:tcPr>
            <w:tcW w:w="460" w:type="dxa"/>
            <w:vAlign w:val="bottom"/>
            <w:tcBorders>
              <w:bottom w:val="single" w:sz="8" w:color="auto"/>
            </w:tcBorders>
            <w:shd w:val="clear" w:color="auto" w:fill="CCEEFF"/>
          </w:tcPr>
          <w:p>
            <w:pPr>
              <w:spacing w:after="0"/>
              <w:rPr>
                <w:sz w:val="8"/>
                <w:szCs w:val="8"/>
                <w:color w:val="auto"/>
              </w:rPr>
            </w:pPr>
          </w:p>
        </w:tc>
        <w:tc>
          <w:tcPr>
            <w:tcW w:w="100" w:type="dxa"/>
            <w:vAlign w:val="bottom"/>
            <w:tcBorders>
              <w:bottom w:val="single" w:sz="8" w:color="auto"/>
            </w:tcBorders>
            <w:shd w:val="clear" w:color="auto" w:fill="CCEEFF"/>
          </w:tcPr>
          <w:p>
            <w:pPr>
              <w:spacing w:after="0"/>
              <w:rPr>
                <w:sz w:val="8"/>
                <w:szCs w:val="8"/>
                <w:color w:val="auto"/>
              </w:rPr>
            </w:pPr>
          </w:p>
        </w:tc>
        <w:tc>
          <w:tcPr>
            <w:tcW w:w="120" w:type="dxa"/>
            <w:vAlign w:val="bottom"/>
            <w:tcBorders>
              <w:bottom w:val="single" w:sz="8" w:color="auto"/>
            </w:tcBorders>
            <w:shd w:val="clear" w:color="auto" w:fill="CCEEFF"/>
          </w:tcPr>
          <w:p>
            <w:pPr>
              <w:spacing w:after="0"/>
              <w:rPr>
                <w:sz w:val="8"/>
                <w:szCs w:val="8"/>
                <w:color w:val="auto"/>
              </w:rPr>
            </w:pPr>
          </w:p>
        </w:tc>
        <w:tc>
          <w:tcPr>
            <w:tcW w:w="680" w:type="dxa"/>
            <w:vAlign w:val="bottom"/>
            <w:tcBorders>
              <w:bottom w:val="single" w:sz="8" w:color="auto"/>
            </w:tcBorders>
            <w:shd w:val="clear" w:color="auto" w:fill="CCEEFF"/>
          </w:tcPr>
          <w:p>
            <w:pPr>
              <w:spacing w:after="0"/>
              <w:rPr>
                <w:sz w:val="8"/>
                <w:szCs w:val="8"/>
                <w:color w:val="auto"/>
              </w:rPr>
            </w:pPr>
          </w:p>
        </w:tc>
        <w:tc>
          <w:tcPr>
            <w:tcW w:w="120" w:type="dxa"/>
            <w:vAlign w:val="bottom"/>
            <w:tcBorders>
              <w:bottom w:val="single" w:sz="8" w:color="auto"/>
            </w:tcBorders>
            <w:shd w:val="clear" w:color="auto" w:fill="CCEEFF"/>
          </w:tcPr>
          <w:p>
            <w:pPr>
              <w:spacing w:after="0"/>
              <w:rPr>
                <w:sz w:val="8"/>
                <w:szCs w:val="8"/>
                <w:color w:val="auto"/>
              </w:rPr>
            </w:pPr>
          </w:p>
        </w:tc>
        <w:tc>
          <w:tcPr>
            <w:tcW w:w="460" w:type="dxa"/>
            <w:vAlign w:val="bottom"/>
            <w:tcBorders>
              <w:bottom w:val="single" w:sz="8" w:color="auto"/>
            </w:tcBorders>
            <w:shd w:val="clear" w:color="auto" w:fill="CCEEFF"/>
          </w:tcPr>
          <w:p>
            <w:pPr>
              <w:spacing w:after="0"/>
              <w:rPr>
                <w:sz w:val="8"/>
                <w:szCs w:val="8"/>
                <w:color w:val="auto"/>
              </w:rPr>
            </w:pPr>
          </w:p>
        </w:tc>
        <w:tc>
          <w:tcPr>
            <w:tcW w:w="420" w:type="dxa"/>
            <w:vAlign w:val="bottom"/>
            <w:tcBorders>
              <w:bottom w:val="single" w:sz="8" w:color="auto"/>
            </w:tcBorders>
            <w:shd w:val="clear" w:color="auto" w:fill="CCEEFF"/>
          </w:tcPr>
          <w:p>
            <w:pPr>
              <w:spacing w:after="0"/>
              <w:rPr>
                <w:sz w:val="8"/>
                <w:szCs w:val="8"/>
                <w:color w:val="auto"/>
              </w:rPr>
            </w:pPr>
          </w:p>
        </w:tc>
        <w:tc>
          <w:tcPr>
            <w:tcW w:w="460" w:type="dxa"/>
            <w:vAlign w:val="bottom"/>
            <w:tcBorders>
              <w:bottom w:val="single" w:sz="8" w:color="auto"/>
            </w:tcBorders>
            <w:shd w:val="clear" w:color="auto" w:fill="CCEEFF"/>
          </w:tcPr>
          <w:p>
            <w:pPr>
              <w:spacing w:after="0"/>
              <w:rPr>
                <w:sz w:val="8"/>
                <w:szCs w:val="8"/>
                <w:color w:val="auto"/>
              </w:rPr>
            </w:pPr>
          </w:p>
        </w:tc>
        <w:tc>
          <w:tcPr>
            <w:tcW w:w="100" w:type="dxa"/>
            <w:vAlign w:val="bottom"/>
            <w:tcBorders>
              <w:bottom w:val="single" w:sz="8" w:color="auto"/>
            </w:tcBorders>
            <w:shd w:val="clear" w:color="auto" w:fill="CCEEFF"/>
          </w:tcPr>
          <w:p>
            <w:pPr>
              <w:spacing w:after="0"/>
              <w:rPr>
                <w:sz w:val="8"/>
                <w:szCs w:val="8"/>
                <w:color w:val="auto"/>
              </w:rPr>
            </w:pPr>
          </w:p>
        </w:tc>
        <w:tc>
          <w:tcPr>
            <w:tcW w:w="120" w:type="dxa"/>
            <w:vAlign w:val="bottom"/>
            <w:tcBorders>
              <w:bottom w:val="single" w:sz="8" w:color="auto"/>
            </w:tcBorders>
            <w:shd w:val="clear" w:color="auto" w:fill="CCEEFF"/>
          </w:tcPr>
          <w:p>
            <w:pPr>
              <w:spacing w:after="0"/>
              <w:rPr>
                <w:sz w:val="8"/>
                <w:szCs w:val="8"/>
                <w:color w:val="auto"/>
              </w:rPr>
            </w:pPr>
          </w:p>
        </w:tc>
        <w:tc>
          <w:tcPr>
            <w:tcW w:w="680" w:type="dxa"/>
            <w:vAlign w:val="bottom"/>
            <w:tcBorders>
              <w:bottom w:val="single" w:sz="8" w:color="auto"/>
            </w:tcBorders>
            <w:shd w:val="clear" w:color="auto" w:fill="CCEEFF"/>
          </w:tcPr>
          <w:p>
            <w:pPr>
              <w:spacing w:after="0"/>
              <w:rPr>
                <w:sz w:val="8"/>
                <w:szCs w:val="8"/>
                <w:color w:val="auto"/>
              </w:rPr>
            </w:pPr>
          </w:p>
        </w:tc>
        <w:tc>
          <w:tcPr>
            <w:tcW w:w="120" w:type="dxa"/>
            <w:vAlign w:val="bottom"/>
            <w:tcBorders>
              <w:bottom w:val="single" w:sz="8" w:color="auto"/>
            </w:tcBorders>
            <w:shd w:val="clear" w:color="auto" w:fill="CCEEFF"/>
          </w:tcPr>
          <w:p>
            <w:pPr>
              <w:spacing w:after="0"/>
              <w:rPr>
                <w:sz w:val="8"/>
                <w:szCs w:val="8"/>
                <w:color w:val="auto"/>
              </w:rPr>
            </w:pPr>
          </w:p>
        </w:tc>
        <w:tc>
          <w:tcPr>
            <w:tcW w:w="1020" w:type="dxa"/>
            <w:vAlign w:val="bottom"/>
            <w:tcBorders>
              <w:bottom w:val="single" w:sz="8" w:color="auto"/>
            </w:tcBorders>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63"/>
        </w:trPr>
        <w:tc>
          <w:tcPr>
            <w:tcW w:w="2120" w:type="dxa"/>
            <w:vAlign w:val="bottom"/>
          </w:tcPr>
          <w:p>
            <w:pPr>
              <w:ind w:left="40"/>
              <w:spacing w:after="0"/>
              <w:rPr>
                <w:sz w:val="20"/>
                <w:szCs w:val="20"/>
                <w:color w:val="auto"/>
              </w:rPr>
            </w:pPr>
            <w:r>
              <w:rPr>
                <w:rFonts w:ascii="Arial" w:cs="Arial" w:eastAsia="Arial" w:hAnsi="Arial"/>
                <w:sz w:val="12"/>
                <w:szCs w:val="12"/>
                <w:color w:val="auto"/>
              </w:rPr>
              <w:t>CMBS</w:t>
            </w:r>
          </w:p>
        </w:tc>
        <w:tc>
          <w:tcPr>
            <w:tcW w:w="180" w:type="dxa"/>
            <w:vAlign w:val="bottom"/>
          </w:tcPr>
          <w:p>
            <w:pPr>
              <w:ind w:left="80"/>
              <w:spacing w:after="0"/>
              <w:rPr>
                <w:sz w:val="20"/>
                <w:szCs w:val="20"/>
                <w:color w:val="auto"/>
              </w:rPr>
            </w:pPr>
            <w:r>
              <w:rPr>
                <w:rFonts w:ascii="Arial" w:cs="Arial" w:eastAsia="Arial" w:hAnsi="Arial"/>
                <w:sz w:val="12"/>
                <w:szCs w:val="12"/>
                <w:b w:val="1"/>
                <w:bCs w:val="1"/>
                <w:color w:val="auto"/>
              </w:rPr>
              <w:t>•</w:t>
            </w:r>
          </w:p>
        </w:tc>
        <w:tc>
          <w:tcPr>
            <w:tcW w:w="1580" w:type="dxa"/>
            <w:vAlign w:val="bottom"/>
            <w:gridSpan w:val="2"/>
          </w:tcPr>
          <w:p>
            <w:pPr>
              <w:ind w:left="60"/>
              <w:spacing w:after="0"/>
              <w:rPr>
                <w:sz w:val="20"/>
                <w:szCs w:val="20"/>
                <w:color w:val="auto"/>
              </w:rPr>
            </w:pPr>
            <w:r>
              <w:rPr>
                <w:rFonts w:ascii="Arial" w:cs="Arial" w:eastAsia="Arial" w:hAnsi="Arial"/>
                <w:sz w:val="12"/>
                <w:szCs w:val="12"/>
                <w:color w:val="auto"/>
              </w:rPr>
              <w:t>Market pricing</w:t>
            </w:r>
          </w:p>
        </w:tc>
        <w:tc>
          <w:tcPr>
            <w:tcW w:w="180" w:type="dxa"/>
            <w:vAlign w:val="bottom"/>
          </w:tcPr>
          <w:p>
            <w:pPr>
              <w:ind w:left="100"/>
              <w:spacing w:after="0"/>
              <w:rPr>
                <w:sz w:val="20"/>
                <w:szCs w:val="20"/>
                <w:color w:val="auto"/>
              </w:rPr>
            </w:pPr>
            <w:r>
              <w:rPr>
                <w:rFonts w:ascii="Arial" w:cs="Arial" w:eastAsia="Arial" w:hAnsi="Arial"/>
                <w:sz w:val="12"/>
                <w:szCs w:val="12"/>
                <w:b w:val="1"/>
                <w:bCs w:val="1"/>
                <w:color w:val="auto"/>
              </w:rPr>
              <w:t>•</w:t>
            </w:r>
          </w:p>
        </w:tc>
        <w:tc>
          <w:tcPr>
            <w:tcW w:w="1600" w:type="dxa"/>
            <w:vAlign w:val="bottom"/>
            <w:gridSpan w:val="2"/>
          </w:tcPr>
          <w:p>
            <w:pPr>
              <w:ind w:left="60"/>
              <w:spacing w:after="0"/>
              <w:rPr>
                <w:sz w:val="20"/>
                <w:szCs w:val="20"/>
                <w:color w:val="auto"/>
              </w:rPr>
            </w:pPr>
            <w:r>
              <w:rPr>
                <w:rFonts w:ascii="Arial" w:cs="Arial" w:eastAsia="Arial" w:hAnsi="Arial"/>
                <w:sz w:val="12"/>
                <w:szCs w:val="12"/>
                <w:color w:val="auto"/>
              </w:rPr>
              <w:t>Quoted prices (4)</w:t>
            </w:r>
          </w:p>
        </w:tc>
        <w:tc>
          <w:tcPr>
            <w:tcW w:w="480" w:type="dxa"/>
            <w:vAlign w:val="bottom"/>
          </w:tcPr>
          <w:p>
            <w:pPr>
              <w:jc w:val="center"/>
              <w:ind w:left="162"/>
              <w:spacing w:after="0"/>
              <w:rPr>
                <w:sz w:val="20"/>
                <w:szCs w:val="20"/>
                <w:color w:val="auto"/>
              </w:rPr>
            </w:pPr>
            <w:r>
              <w:rPr>
                <w:rFonts w:ascii="Arial" w:cs="Arial" w:eastAsia="Arial" w:hAnsi="Arial"/>
                <w:sz w:val="12"/>
                <w:szCs w:val="12"/>
                <w:color w:val="auto"/>
                <w:w w:val="89"/>
              </w:rPr>
              <w:t>8</w:t>
            </w:r>
          </w:p>
        </w:tc>
        <w:tc>
          <w:tcPr>
            <w:tcW w:w="420" w:type="dxa"/>
            <w:vAlign w:val="bottom"/>
          </w:tcPr>
          <w:p>
            <w:pPr>
              <w:ind w:left="240"/>
              <w:spacing w:after="0"/>
              <w:rPr>
                <w:sz w:val="20"/>
                <w:szCs w:val="20"/>
                <w:color w:val="auto"/>
              </w:rPr>
            </w:pPr>
            <w:r>
              <w:rPr>
                <w:rFonts w:ascii="Arial" w:cs="Arial" w:eastAsia="Arial" w:hAnsi="Arial"/>
                <w:sz w:val="12"/>
                <w:szCs w:val="12"/>
                <w:color w:val="auto"/>
              </w:rPr>
              <w:t>-</w:t>
            </w:r>
          </w:p>
        </w:tc>
        <w:tc>
          <w:tcPr>
            <w:tcW w:w="460" w:type="dxa"/>
            <w:vAlign w:val="bottom"/>
          </w:tcPr>
          <w:p>
            <w:pPr>
              <w:jc w:val="center"/>
              <w:ind w:right="62"/>
              <w:spacing w:after="0"/>
              <w:rPr>
                <w:sz w:val="20"/>
                <w:szCs w:val="20"/>
                <w:color w:val="auto"/>
              </w:rPr>
            </w:pPr>
            <w:r>
              <w:rPr>
                <w:rFonts w:ascii="Arial" w:cs="Arial" w:eastAsia="Arial" w:hAnsi="Arial"/>
                <w:sz w:val="12"/>
                <w:szCs w:val="12"/>
                <w:color w:val="auto"/>
                <w:w w:val="89"/>
              </w:rPr>
              <w:t>104</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jc w:val="center"/>
              <w:ind w:right="64"/>
              <w:spacing w:after="0"/>
              <w:rPr>
                <w:sz w:val="20"/>
                <w:szCs w:val="20"/>
                <w:color w:val="auto"/>
              </w:rPr>
            </w:pPr>
            <w:r>
              <w:rPr>
                <w:rFonts w:ascii="Arial" w:cs="Arial" w:eastAsia="Arial" w:hAnsi="Arial"/>
                <w:sz w:val="12"/>
                <w:szCs w:val="12"/>
                <w:color w:val="auto"/>
                <w:w w:val="89"/>
              </w:rPr>
              <w:t>91</w:t>
            </w:r>
          </w:p>
        </w:tc>
        <w:tc>
          <w:tcPr>
            <w:tcW w:w="120" w:type="dxa"/>
            <w:vAlign w:val="bottom"/>
          </w:tcPr>
          <w:p>
            <w:pPr>
              <w:spacing w:after="0"/>
              <w:rPr>
                <w:sz w:val="14"/>
                <w:szCs w:val="14"/>
                <w:color w:val="auto"/>
              </w:rPr>
            </w:pPr>
          </w:p>
        </w:tc>
        <w:tc>
          <w:tcPr>
            <w:tcW w:w="460" w:type="dxa"/>
            <w:vAlign w:val="bottom"/>
          </w:tcPr>
          <w:p>
            <w:pPr>
              <w:jc w:val="right"/>
              <w:ind w:right="22"/>
              <w:spacing w:after="0"/>
              <w:rPr>
                <w:sz w:val="20"/>
                <w:szCs w:val="20"/>
                <w:color w:val="auto"/>
              </w:rPr>
            </w:pPr>
            <w:r>
              <w:rPr>
                <w:rFonts w:ascii="Arial" w:cs="Arial" w:eastAsia="Arial" w:hAnsi="Arial"/>
                <w:sz w:val="12"/>
                <w:szCs w:val="12"/>
                <w:color w:val="auto"/>
              </w:rPr>
              <w:t>20</w:t>
            </w:r>
          </w:p>
        </w:tc>
        <w:tc>
          <w:tcPr>
            <w:tcW w:w="420" w:type="dxa"/>
            <w:vAlign w:val="bottom"/>
          </w:tcPr>
          <w:p>
            <w:pPr>
              <w:jc w:val="right"/>
              <w:ind w:right="84"/>
              <w:spacing w:after="0"/>
              <w:rPr>
                <w:sz w:val="20"/>
                <w:szCs w:val="20"/>
                <w:color w:val="auto"/>
              </w:rPr>
            </w:pPr>
            <w:r>
              <w:rPr>
                <w:rFonts w:ascii="Arial" w:cs="Arial" w:eastAsia="Arial" w:hAnsi="Arial"/>
                <w:sz w:val="12"/>
                <w:szCs w:val="12"/>
                <w:color w:val="auto"/>
              </w:rPr>
              <w:t>-</w:t>
            </w:r>
          </w:p>
        </w:tc>
        <w:tc>
          <w:tcPr>
            <w:tcW w:w="460" w:type="dxa"/>
            <w:vAlign w:val="bottom"/>
          </w:tcPr>
          <w:p>
            <w:pPr>
              <w:jc w:val="right"/>
              <w:ind w:right="142"/>
              <w:spacing w:after="0"/>
              <w:rPr>
                <w:sz w:val="20"/>
                <w:szCs w:val="20"/>
                <w:color w:val="auto"/>
              </w:rPr>
            </w:pPr>
            <w:r>
              <w:rPr>
                <w:rFonts w:ascii="Arial" w:cs="Arial" w:eastAsia="Arial" w:hAnsi="Arial"/>
                <w:sz w:val="12"/>
                <w:szCs w:val="12"/>
                <w:color w:val="auto"/>
              </w:rPr>
              <w:t>104</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jc w:val="center"/>
              <w:ind w:right="44"/>
              <w:spacing w:after="0"/>
              <w:rPr>
                <w:sz w:val="20"/>
                <w:szCs w:val="20"/>
                <w:color w:val="auto"/>
              </w:rPr>
            </w:pPr>
            <w:r>
              <w:rPr>
                <w:rFonts w:ascii="Arial" w:cs="Arial" w:eastAsia="Arial" w:hAnsi="Arial"/>
                <w:sz w:val="12"/>
                <w:szCs w:val="12"/>
                <w:color w:val="auto"/>
                <w:w w:val="89"/>
              </w:rPr>
              <w:t>104</w:t>
            </w:r>
          </w:p>
        </w:tc>
        <w:tc>
          <w:tcPr>
            <w:tcW w:w="120" w:type="dxa"/>
            <w:vAlign w:val="bottom"/>
          </w:tcPr>
          <w:p>
            <w:pPr>
              <w:spacing w:after="0"/>
              <w:rPr>
                <w:sz w:val="14"/>
                <w:szCs w:val="14"/>
                <w:color w:val="auto"/>
              </w:rPr>
            </w:pPr>
          </w:p>
        </w:tc>
        <w:tc>
          <w:tcPr>
            <w:tcW w:w="1020" w:type="dxa"/>
            <w:vAlign w:val="bottom"/>
          </w:tcPr>
          <w:p>
            <w:pPr>
              <w:jc w:val="center"/>
              <w:spacing w:after="0"/>
              <w:rPr>
                <w:sz w:val="20"/>
                <w:szCs w:val="20"/>
                <w:color w:val="auto"/>
              </w:rPr>
            </w:pPr>
            <w:r>
              <w:rPr>
                <w:rFonts w:ascii="Arial" w:cs="Arial" w:eastAsia="Arial" w:hAnsi="Arial"/>
                <w:sz w:val="12"/>
                <w:szCs w:val="12"/>
                <w:color w:val="auto"/>
                <w:w w:val="87"/>
              </w:rPr>
              <w:t>Increase (5)</w:t>
            </w:r>
          </w:p>
        </w:tc>
        <w:tc>
          <w:tcPr>
            <w:tcW w:w="0" w:type="dxa"/>
            <w:vAlign w:val="bottom"/>
          </w:tcPr>
          <w:p>
            <w:pPr>
              <w:spacing w:after="0"/>
              <w:rPr>
                <w:sz w:val="1"/>
                <w:szCs w:val="1"/>
                <w:color w:val="auto"/>
              </w:rPr>
            </w:pPr>
          </w:p>
        </w:tc>
      </w:tr>
      <w:tr>
        <w:trPr>
          <w:trHeight w:val="101"/>
        </w:trPr>
        <w:tc>
          <w:tcPr>
            <w:tcW w:w="2120" w:type="dxa"/>
            <w:vAlign w:val="bottom"/>
            <w:tcBorders>
              <w:bottom w:val="single" w:sz="8" w:color="CCEEFF"/>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148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15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0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120" w:type="dxa"/>
            <w:vAlign w:val="bottom"/>
            <w:shd w:val="clear" w:color="auto" w:fill="CCEEFF"/>
          </w:tcPr>
          <w:p>
            <w:pPr>
              <w:ind w:left="40"/>
              <w:spacing w:after="0"/>
              <w:rPr>
                <w:sz w:val="20"/>
                <w:szCs w:val="20"/>
                <w:color w:val="auto"/>
              </w:rPr>
            </w:pPr>
            <w:r>
              <w:rPr>
                <w:rFonts w:ascii="Arial" w:cs="Arial" w:eastAsia="Arial" w:hAnsi="Arial"/>
                <w:sz w:val="12"/>
                <w:szCs w:val="12"/>
                <w:b w:val="1"/>
                <w:bCs w:val="1"/>
                <w:color w:val="auto"/>
              </w:rPr>
              <w:t>Derivatives</w:t>
            </w:r>
          </w:p>
        </w:tc>
        <w:tc>
          <w:tcPr>
            <w:tcW w:w="180" w:type="dxa"/>
            <w:vAlign w:val="bottom"/>
            <w:shd w:val="clear" w:color="auto" w:fill="CCEEFF"/>
          </w:tcPr>
          <w:p>
            <w:pPr>
              <w:spacing w:after="0"/>
              <w:rPr>
                <w:sz w:val="12"/>
                <w:szCs w:val="12"/>
                <w:color w:val="auto"/>
              </w:rPr>
            </w:pPr>
          </w:p>
        </w:tc>
        <w:tc>
          <w:tcPr>
            <w:tcW w:w="1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15"/>
        </w:trPr>
        <w:tc>
          <w:tcPr>
            <w:tcW w:w="212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14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15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02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bl>
    <w:p>
      <w:pPr>
        <w:spacing w:after="0" w:line="21" w:lineRule="exact"/>
        <w:rPr>
          <w:sz w:val="20"/>
          <w:szCs w:val="20"/>
          <w:color w:val="auto"/>
        </w:rPr>
      </w:pPr>
    </w:p>
    <w:p>
      <w:pPr>
        <w:sectPr>
          <w:pgSz w:w="11900" w:h="16838" w:orient="portrait"/>
          <w:cols w:equalWidth="0" w:num="1">
            <w:col w:w="11420"/>
          </w:cols>
          <w:pgMar w:left="240" w:top="288" w:right="239" w:bottom="1440" w:gutter="0" w:footer="0" w:header="0"/>
        </w:sectPr>
      </w:pPr>
    </w:p>
    <w:p>
      <w:pPr>
        <w:ind w:left="40"/>
        <w:spacing w:after="0"/>
        <w:rPr>
          <w:sz w:val="20"/>
          <w:szCs w:val="20"/>
          <w:color w:val="auto"/>
        </w:rPr>
      </w:pPr>
      <w:r>
        <w:rPr>
          <w:rFonts w:ascii="Arial" w:cs="Arial" w:eastAsia="Arial" w:hAnsi="Arial"/>
          <w:sz w:val="12"/>
          <w:szCs w:val="12"/>
          <w:color w:val="auto"/>
        </w:rPr>
        <w:t>Interest rate</w:t>
      </w:r>
    </w:p>
    <w:p>
      <w:pPr>
        <w:spacing w:after="0" w:line="132" w:lineRule="exact"/>
        <w:rPr>
          <w:sz w:val="20"/>
          <w:szCs w:val="20"/>
          <w:color w:val="auto"/>
        </w:rPr>
      </w:pPr>
    </w:p>
    <w:p>
      <w:pPr>
        <w:ind w:left="40"/>
        <w:spacing w:after="0"/>
        <w:rPr>
          <w:sz w:val="20"/>
          <w:szCs w:val="20"/>
          <w:color w:val="auto"/>
        </w:rPr>
      </w:pPr>
      <w:r>
        <w:rPr>
          <w:rFonts w:ascii="Arial" w:cs="Arial" w:eastAsia="Arial" w:hAnsi="Arial"/>
          <w:sz w:val="12"/>
          <w:szCs w:val="12"/>
          <w:color w:val="auto"/>
        </w:rPr>
        <w:t>Credit</w:t>
      </w:r>
    </w:p>
    <w:p>
      <w:pPr>
        <w:spacing w:after="0" w:line="200" w:lineRule="exact"/>
        <w:rPr>
          <w:sz w:val="20"/>
          <w:szCs w:val="20"/>
          <w:color w:val="auto"/>
        </w:rPr>
      </w:pPr>
    </w:p>
    <w:p>
      <w:pPr>
        <w:spacing w:after="0" w:line="216" w:lineRule="exact"/>
        <w:rPr>
          <w:sz w:val="20"/>
          <w:szCs w:val="20"/>
          <w:color w:val="auto"/>
        </w:rPr>
      </w:pPr>
    </w:p>
    <w:p>
      <w:pPr>
        <w:ind w:left="40"/>
        <w:spacing w:after="0"/>
        <w:rPr>
          <w:sz w:val="20"/>
          <w:szCs w:val="20"/>
          <w:color w:val="auto"/>
        </w:rPr>
      </w:pPr>
      <w:r>
        <w:rPr>
          <w:rFonts w:ascii="Arial" w:cs="Arial" w:eastAsia="Arial" w:hAnsi="Arial"/>
          <w:sz w:val="12"/>
          <w:szCs w:val="12"/>
          <w:color w:val="auto"/>
        </w:rPr>
        <w:t>Equity market</w:t>
      </w:r>
    </w:p>
    <w:p>
      <w:pPr>
        <w:spacing w:after="0" w:line="200" w:lineRule="exact"/>
        <w:rPr>
          <w:sz w:val="20"/>
          <w:szCs w:val="20"/>
          <w:color w:val="auto"/>
        </w:rPr>
      </w:pPr>
    </w:p>
    <w:p>
      <w:pPr>
        <w:spacing w:after="0" w:line="268" w:lineRule="exact"/>
        <w:rPr>
          <w:sz w:val="20"/>
          <w:szCs w:val="20"/>
          <w:color w:val="auto"/>
        </w:rPr>
      </w:pPr>
    </w:p>
    <w:p>
      <w:pPr>
        <w:ind w:left="40"/>
        <w:spacing w:after="0"/>
        <w:rPr>
          <w:sz w:val="20"/>
          <w:szCs w:val="20"/>
          <w:color w:val="auto"/>
        </w:rPr>
      </w:pPr>
      <w:r>
        <w:rPr>
          <w:rFonts w:ascii="Arial" w:cs="Arial" w:eastAsia="Arial" w:hAnsi="Arial"/>
          <w:sz w:val="9"/>
          <w:szCs w:val="9"/>
          <w:b w:val="1"/>
          <w:bCs w:val="1"/>
          <w:color w:val="auto"/>
        </w:rPr>
        <w:t>Embedded derivatives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8"/>
        </w:trPr>
        <w:tc>
          <w:tcPr>
            <w:tcW w:w="140" w:type="dxa"/>
            <w:vAlign w:val="bottom"/>
          </w:tcPr>
          <w:p>
            <w:pPr>
              <w:spacing w:after="0"/>
              <w:rPr>
                <w:sz w:val="12"/>
                <w:szCs w:val="12"/>
                <w:color w:val="auto"/>
              </w:rPr>
            </w:pPr>
          </w:p>
        </w:tc>
        <w:tc>
          <w:tcPr>
            <w:tcW w:w="1540" w:type="dxa"/>
            <w:vAlign w:val="bottom"/>
          </w:tcPr>
          <w:p>
            <w:pPr>
              <w:jc w:val="right"/>
              <w:ind w:right="222"/>
              <w:spacing w:after="0"/>
              <w:rPr>
                <w:sz w:val="20"/>
                <w:szCs w:val="20"/>
                <w:color w:val="auto"/>
              </w:rPr>
            </w:pPr>
            <w:r>
              <w:rPr>
                <w:rFonts w:ascii="Arial" w:cs="Arial" w:eastAsia="Arial" w:hAnsi="Arial"/>
                <w:sz w:val="12"/>
                <w:szCs w:val="12"/>
                <w:color w:val="auto"/>
                <w:w w:val="87"/>
              </w:rPr>
              <w:t>• Present value techniques</w:t>
            </w:r>
          </w:p>
        </w:tc>
        <w:tc>
          <w:tcPr>
            <w:tcW w:w="220" w:type="dxa"/>
            <w:vAlign w:val="bottom"/>
          </w:tcPr>
          <w:p>
            <w:pPr>
              <w:spacing w:after="0"/>
              <w:rPr>
                <w:sz w:val="12"/>
                <w:szCs w:val="12"/>
                <w:color w:val="auto"/>
              </w:rPr>
            </w:pPr>
          </w:p>
        </w:tc>
        <w:tc>
          <w:tcPr>
            <w:tcW w:w="1480" w:type="dxa"/>
            <w:vAlign w:val="bottom"/>
          </w:tcPr>
          <w:p>
            <w:pPr>
              <w:ind w:left="20"/>
              <w:spacing w:after="0"/>
              <w:rPr>
                <w:sz w:val="20"/>
                <w:szCs w:val="20"/>
                <w:color w:val="auto"/>
              </w:rPr>
            </w:pPr>
            <w:r>
              <w:rPr>
                <w:rFonts w:ascii="Arial" w:cs="Arial" w:eastAsia="Arial" w:hAnsi="Arial"/>
                <w:sz w:val="12"/>
                <w:szCs w:val="12"/>
                <w:color w:val="auto"/>
              </w:rPr>
              <w:t>• Repurchase rates (7)</w:t>
            </w:r>
          </w:p>
        </w:tc>
        <w:tc>
          <w:tcPr>
            <w:tcW w:w="740" w:type="dxa"/>
            <w:vAlign w:val="bottom"/>
          </w:tcPr>
          <w:p>
            <w:pPr>
              <w:jc w:val="center"/>
              <w:ind w:left="202"/>
              <w:spacing w:after="0"/>
              <w:rPr>
                <w:sz w:val="20"/>
                <w:szCs w:val="20"/>
                <w:color w:val="auto"/>
              </w:rPr>
            </w:pPr>
            <w:r>
              <w:rPr>
                <w:rFonts w:ascii="Arial" w:cs="Arial" w:eastAsia="Arial" w:hAnsi="Arial"/>
                <w:sz w:val="12"/>
                <w:szCs w:val="12"/>
                <w:color w:val="auto"/>
                <w:w w:val="99"/>
              </w:rPr>
              <w:t>—</w:t>
            </w:r>
          </w:p>
        </w:tc>
        <w:tc>
          <w:tcPr>
            <w:tcW w:w="280" w:type="dxa"/>
            <w:vAlign w:val="bottom"/>
          </w:tcPr>
          <w:p>
            <w:pPr>
              <w:jc w:val="right"/>
              <w:ind w:right="42"/>
              <w:spacing w:after="0"/>
              <w:rPr>
                <w:sz w:val="20"/>
                <w:szCs w:val="20"/>
                <w:color w:val="auto"/>
              </w:rPr>
            </w:pPr>
            <w:r>
              <w:rPr>
                <w:rFonts w:ascii="Arial" w:cs="Arial" w:eastAsia="Arial" w:hAnsi="Arial"/>
                <w:sz w:val="12"/>
                <w:szCs w:val="12"/>
                <w:color w:val="auto"/>
              </w:rPr>
              <w:t>-</w:t>
            </w:r>
          </w:p>
        </w:tc>
        <w:tc>
          <w:tcPr>
            <w:tcW w:w="1040" w:type="dxa"/>
            <w:vAlign w:val="bottom"/>
          </w:tcPr>
          <w:p>
            <w:pPr>
              <w:jc w:val="center"/>
              <w:ind w:right="542"/>
              <w:spacing w:after="0"/>
              <w:rPr>
                <w:sz w:val="20"/>
                <w:szCs w:val="20"/>
                <w:color w:val="auto"/>
              </w:rPr>
            </w:pPr>
            <w:r>
              <w:rPr>
                <w:rFonts w:ascii="Arial" w:cs="Arial" w:eastAsia="Arial" w:hAnsi="Arial"/>
                <w:sz w:val="12"/>
                <w:szCs w:val="12"/>
                <w:color w:val="auto"/>
                <w:w w:val="99"/>
              </w:rPr>
              <w:t>—</w:t>
            </w:r>
          </w:p>
        </w:tc>
        <w:tc>
          <w:tcPr>
            <w:tcW w:w="1040" w:type="dxa"/>
            <w:vAlign w:val="bottom"/>
          </w:tcPr>
          <w:p>
            <w:pPr>
              <w:jc w:val="center"/>
              <w:ind w:left="522"/>
              <w:spacing w:after="0"/>
              <w:rPr>
                <w:sz w:val="20"/>
                <w:szCs w:val="20"/>
                <w:color w:val="auto"/>
              </w:rPr>
            </w:pPr>
            <w:r>
              <w:rPr>
                <w:rFonts w:ascii="Arial" w:cs="Arial" w:eastAsia="Arial" w:hAnsi="Arial"/>
                <w:sz w:val="12"/>
                <w:szCs w:val="12"/>
                <w:color w:val="auto"/>
                <w:w w:val="84"/>
              </w:rPr>
              <w:t>(44)</w:t>
            </w:r>
          </w:p>
        </w:tc>
        <w:tc>
          <w:tcPr>
            <w:tcW w:w="280" w:type="dxa"/>
            <w:vAlign w:val="bottom"/>
          </w:tcPr>
          <w:p>
            <w:pPr>
              <w:jc w:val="right"/>
              <w:ind w:right="42"/>
              <w:spacing w:after="0"/>
              <w:rPr>
                <w:sz w:val="20"/>
                <w:szCs w:val="20"/>
                <w:color w:val="auto"/>
              </w:rPr>
            </w:pPr>
            <w:r>
              <w:rPr>
                <w:rFonts w:ascii="Arial" w:cs="Arial" w:eastAsia="Arial" w:hAnsi="Arial"/>
                <w:sz w:val="12"/>
                <w:szCs w:val="12"/>
                <w:color w:val="auto"/>
              </w:rPr>
              <w:t>-</w:t>
            </w:r>
          </w:p>
        </w:tc>
        <w:tc>
          <w:tcPr>
            <w:tcW w:w="1020" w:type="dxa"/>
            <w:vAlign w:val="bottom"/>
          </w:tcPr>
          <w:p>
            <w:pPr>
              <w:jc w:val="center"/>
              <w:ind w:right="522"/>
              <w:spacing w:after="0"/>
              <w:rPr>
                <w:sz w:val="20"/>
                <w:szCs w:val="20"/>
                <w:color w:val="auto"/>
              </w:rPr>
            </w:pPr>
            <w:r>
              <w:rPr>
                <w:rFonts w:ascii="Arial" w:cs="Arial" w:eastAsia="Arial" w:hAnsi="Arial"/>
                <w:sz w:val="12"/>
                <w:szCs w:val="12"/>
                <w:color w:val="auto"/>
                <w:w w:val="89"/>
              </w:rPr>
              <w:t>18</w:t>
            </w:r>
          </w:p>
        </w:tc>
        <w:tc>
          <w:tcPr>
            <w:tcW w:w="1520" w:type="dxa"/>
            <w:vAlign w:val="bottom"/>
          </w:tcPr>
          <w:p>
            <w:pPr>
              <w:jc w:val="center"/>
              <w:ind w:left="422"/>
              <w:spacing w:after="0"/>
              <w:rPr>
                <w:sz w:val="20"/>
                <w:szCs w:val="20"/>
                <w:color w:val="auto"/>
              </w:rPr>
            </w:pPr>
            <w:r>
              <w:rPr>
                <w:rFonts w:ascii="Arial" w:cs="Arial" w:eastAsia="Arial" w:hAnsi="Arial"/>
                <w:sz w:val="12"/>
                <w:szCs w:val="12"/>
                <w:color w:val="auto"/>
                <w:w w:val="86"/>
              </w:rPr>
              <w:t>Decrease (6)</w:t>
            </w:r>
          </w:p>
        </w:tc>
      </w:tr>
      <w:tr>
        <w:trPr>
          <w:trHeight w:val="101"/>
        </w:trPr>
        <w:tc>
          <w:tcPr>
            <w:tcW w:w="140" w:type="dxa"/>
            <w:vAlign w:val="bottom"/>
            <w:tcBorders>
              <w:bottom w:val="single" w:sz="8" w:color="auto"/>
            </w:tcBorders>
          </w:tcPr>
          <w:p>
            <w:pPr>
              <w:spacing w:after="0"/>
              <w:rPr>
                <w:sz w:val="8"/>
                <w:szCs w:val="8"/>
                <w:color w:val="auto"/>
              </w:rPr>
            </w:pPr>
          </w:p>
        </w:tc>
        <w:tc>
          <w:tcPr>
            <w:tcW w:w="154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148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1040" w:type="dxa"/>
            <w:vAlign w:val="bottom"/>
            <w:tcBorders>
              <w:bottom w:val="single" w:sz="8" w:color="auto"/>
            </w:tcBorders>
          </w:tcPr>
          <w:p>
            <w:pPr>
              <w:spacing w:after="0"/>
              <w:rPr>
                <w:sz w:val="8"/>
                <w:szCs w:val="8"/>
                <w:color w:val="auto"/>
              </w:rPr>
            </w:pPr>
          </w:p>
        </w:tc>
        <w:tc>
          <w:tcPr>
            <w:tcW w:w="104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1020" w:type="dxa"/>
            <w:vAlign w:val="bottom"/>
            <w:tcBorders>
              <w:bottom w:val="single" w:sz="8" w:color="auto"/>
            </w:tcBorders>
          </w:tcPr>
          <w:p>
            <w:pPr>
              <w:spacing w:after="0"/>
              <w:rPr>
                <w:sz w:val="8"/>
                <w:szCs w:val="8"/>
                <w:color w:val="auto"/>
              </w:rPr>
            </w:pPr>
          </w:p>
        </w:tc>
        <w:tc>
          <w:tcPr>
            <w:tcW w:w="1520" w:type="dxa"/>
            <w:vAlign w:val="bottom"/>
            <w:tcBorders>
              <w:bottom w:val="single" w:sz="8" w:color="auto"/>
            </w:tcBorders>
          </w:tcPr>
          <w:p>
            <w:pPr>
              <w:spacing w:after="0"/>
              <w:rPr>
                <w:sz w:val="8"/>
                <w:szCs w:val="8"/>
                <w:color w:val="auto"/>
              </w:rPr>
            </w:pPr>
          </w:p>
        </w:tc>
      </w:tr>
      <w:tr>
        <w:trPr>
          <w:trHeight w:val="163"/>
        </w:trPr>
        <w:tc>
          <w:tcPr>
            <w:tcW w:w="140" w:type="dxa"/>
            <w:vAlign w:val="bottom"/>
          </w:tcPr>
          <w:p>
            <w:pPr>
              <w:ind w:left="80"/>
              <w:spacing w:after="0"/>
              <w:rPr>
                <w:sz w:val="20"/>
                <w:szCs w:val="20"/>
                <w:color w:val="auto"/>
              </w:rPr>
            </w:pPr>
            <w:r>
              <w:rPr>
                <w:rFonts w:ascii="Arial" w:cs="Arial" w:eastAsia="Arial" w:hAnsi="Arial"/>
                <w:sz w:val="12"/>
                <w:szCs w:val="12"/>
                <w:b w:val="1"/>
                <w:bCs w:val="1"/>
                <w:color w:val="auto"/>
                <w:w w:val="94"/>
              </w:rPr>
              <w:t>•</w:t>
            </w:r>
          </w:p>
        </w:tc>
        <w:tc>
          <w:tcPr>
            <w:tcW w:w="1540" w:type="dxa"/>
            <w:vAlign w:val="bottom"/>
          </w:tcPr>
          <w:p>
            <w:pPr>
              <w:jc w:val="right"/>
              <w:ind w:right="222"/>
              <w:spacing w:after="0"/>
              <w:rPr>
                <w:sz w:val="20"/>
                <w:szCs w:val="20"/>
                <w:color w:val="auto"/>
              </w:rPr>
            </w:pPr>
            <w:r>
              <w:rPr>
                <w:rFonts w:ascii="Arial" w:cs="Arial" w:eastAsia="Arial" w:hAnsi="Arial"/>
                <w:sz w:val="12"/>
                <w:szCs w:val="12"/>
                <w:color w:val="auto"/>
                <w:w w:val="91"/>
              </w:rPr>
              <w:t>Present value techniques</w:t>
            </w:r>
          </w:p>
        </w:tc>
        <w:tc>
          <w:tcPr>
            <w:tcW w:w="220" w:type="dxa"/>
            <w:vAlign w:val="bottom"/>
          </w:tcPr>
          <w:p>
            <w:pPr>
              <w:ind w:left="180"/>
              <w:spacing w:after="0"/>
              <w:rPr>
                <w:sz w:val="20"/>
                <w:szCs w:val="20"/>
                <w:color w:val="auto"/>
              </w:rPr>
            </w:pPr>
            <w:r>
              <w:rPr>
                <w:rFonts w:ascii="Arial" w:cs="Arial" w:eastAsia="Arial" w:hAnsi="Arial"/>
                <w:sz w:val="7"/>
                <w:szCs w:val="7"/>
                <w:b w:val="1"/>
                <w:bCs w:val="1"/>
                <w:color w:val="auto"/>
                <w:w w:val="79"/>
              </w:rPr>
              <w:t>•</w:t>
            </w:r>
          </w:p>
        </w:tc>
        <w:tc>
          <w:tcPr>
            <w:tcW w:w="1480" w:type="dxa"/>
            <w:vAlign w:val="bottom"/>
          </w:tcPr>
          <w:p>
            <w:pPr>
              <w:ind w:left="100"/>
              <w:spacing w:after="0"/>
              <w:rPr>
                <w:sz w:val="20"/>
                <w:szCs w:val="20"/>
                <w:color w:val="auto"/>
              </w:rPr>
            </w:pPr>
            <w:r>
              <w:rPr>
                <w:rFonts w:ascii="Arial" w:cs="Arial" w:eastAsia="Arial" w:hAnsi="Arial"/>
                <w:sz w:val="12"/>
                <w:szCs w:val="12"/>
                <w:color w:val="auto"/>
              </w:rPr>
              <w:t>Credit spreads (8)</w:t>
            </w:r>
          </w:p>
        </w:tc>
        <w:tc>
          <w:tcPr>
            <w:tcW w:w="740" w:type="dxa"/>
            <w:vAlign w:val="bottom"/>
          </w:tcPr>
          <w:p>
            <w:pPr>
              <w:jc w:val="center"/>
              <w:ind w:left="202"/>
              <w:spacing w:after="0"/>
              <w:rPr>
                <w:sz w:val="20"/>
                <w:szCs w:val="20"/>
                <w:color w:val="auto"/>
              </w:rPr>
            </w:pPr>
            <w:r>
              <w:rPr>
                <w:rFonts w:ascii="Arial" w:cs="Arial" w:eastAsia="Arial" w:hAnsi="Arial"/>
                <w:sz w:val="12"/>
                <w:szCs w:val="12"/>
                <w:color w:val="auto"/>
                <w:w w:val="89"/>
              </w:rPr>
              <w:t>97</w:t>
            </w:r>
          </w:p>
        </w:tc>
        <w:tc>
          <w:tcPr>
            <w:tcW w:w="280" w:type="dxa"/>
            <w:vAlign w:val="bottom"/>
          </w:tcPr>
          <w:p>
            <w:pPr>
              <w:jc w:val="right"/>
              <w:ind w:right="42"/>
              <w:spacing w:after="0"/>
              <w:rPr>
                <w:sz w:val="20"/>
                <w:szCs w:val="20"/>
                <w:color w:val="auto"/>
              </w:rPr>
            </w:pPr>
            <w:r>
              <w:rPr>
                <w:rFonts w:ascii="Arial" w:cs="Arial" w:eastAsia="Arial" w:hAnsi="Arial"/>
                <w:sz w:val="12"/>
                <w:szCs w:val="12"/>
                <w:color w:val="auto"/>
              </w:rPr>
              <w:t>-</w:t>
            </w:r>
          </w:p>
        </w:tc>
        <w:tc>
          <w:tcPr>
            <w:tcW w:w="1040" w:type="dxa"/>
            <w:vAlign w:val="bottom"/>
          </w:tcPr>
          <w:p>
            <w:pPr>
              <w:jc w:val="center"/>
              <w:ind w:right="542"/>
              <w:spacing w:after="0"/>
              <w:rPr>
                <w:sz w:val="20"/>
                <w:szCs w:val="20"/>
                <w:color w:val="auto"/>
              </w:rPr>
            </w:pPr>
            <w:r>
              <w:rPr>
                <w:rFonts w:ascii="Arial" w:cs="Arial" w:eastAsia="Arial" w:hAnsi="Arial"/>
                <w:sz w:val="12"/>
                <w:szCs w:val="12"/>
                <w:color w:val="auto"/>
                <w:w w:val="89"/>
              </w:rPr>
              <w:t>98</w:t>
            </w:r>
          </w:p>
        </w:tc>
        <w:tc>
          <w:tcPr>
            <w:tcW w:w="1040" w:type="dxa"/>
            <w:vAlign w:val="bottom"/>
          </w:tcPr>
          <w:p>
            <w:pPr>
              <w:jc w:val="center"/>
              <w:ind w:left="502"/>
              <w:spacing w:after="0"/>
              <w:rPr>
                <w:sz w:val="20"/>
                <w:szCs w:val="20"/>
                <w:color w:val="auto"/>
              </w:rPr>
            </w:pPr>
            <w:r>
              <w:rPr>
                <w:rFonts w:ascii="Arial" w:cs="Arial" w:eastAsia="Arial" w:hAnsi="Arial"/>
                <w:sz w:val="12"/>
                <w:szCs w:val="12"/>
                <w:color w:val="auto"/>
                <w:w w:val="89"/>
              </w:rPr>
              <w:t>97</w:t>
            </w:r>
          </w:p>
        </w:tc>
        <w:tc>
          <w:tcPr>
            <w:tcW w:w="280" w:type="dxa"/>
            <w:vAlign w:val="bottom"/>
          </w:tcPr>
          <w:p>
            <w:pPr>
              <w:jc w:val="right"/>
              <w:ind w:right="42"/>
              <w:spacing w:after="0"/>
              <w:rPr>
                <w:sz w:val="20"/>
                <w:szCs w:val="20"/>
                <w:color w:val="auto"/>
              </w:rPr>
            </w:pPr>
            <w:r>
              <w:rPr>
                <w:rFonts w:ascii="Arial" w:cs="Arial" w:eastAsia="Arial" w:hAnsi="Arial"/>
                <w:sz w:val="12"/>
                <w:szCs w:val="12"/>
                <w:color w:val="auto"/>
              </w:rPr>
              <w:t>-</w:t>
            </w:r>
          </w:p>
        </w:tc>
        <w:tc>
          <w:tcPr>
            <w:tcW w:w="1020" w:type="dxa"/>
            <w:vAlign w:val="bottom"/>
          </w:tcPr>
          <w:p>
            <w:pPr>
              <w:jc w:val="center"/>
              <w:ind w:right="522"/>
              <w:spacing w:after="0"/>
              <w:rPr>
                <w:sz w:val="20"/>
                <w:szCs w:val="20"/>
                <w:color w:val="auto"/>
              </w:rPr>
            </w:pPr>
            <w:r>
              <w:rPr>
                <w:rFonts w:ascii="Arial" w:cs="Arial" w:eastAsia="Arial" w:hAnsi="Arial"/>
                <w:sz w:val="12"/>
                <w:szCs w:val="12"/>
                <w:color w:val="auto"/>
                <w:w w:val="89"/>
              </w:rPr>
              <w:t>98</w:t>
            </w:r>
          </w:p>
        </w:tc>
        <w:tc>
          <w:tcPr>
            <w:tcW w:w="1520" w:type="dxa"/>
            <w:vAlign w:val="bottom"/>
          </w:tcPr>
          <w:p>
            <w:pPr>
              <w:jc w:val="center"/>
              <w:ind w:left="422"/>
              <w:spacing w:after="0"/>
              <w:rPr>
                <w:sz w:val="20"/>
                <w:szCs w:val="20"/>
                <w:color w:val="auto"/>
              </w:rPr>
            </w:pPr>
            <w:r>
              <w:rPr>
                <w:rFonts w:ascii="Arial" w:cs="Arial" w:eastAsia="Arial" w:hAnsi="Arial"/>
                <w:sz w:val="12"/>
                <w:szCs w:val="12"/>
                <w:color w:val="auto"/>
                <w:w w:val="86"/>
              </w:rPr>
              <w:t>Decrease (6)</w:t>
            </w:r>
          </w:p>
        </w:tc>
      </w:tr>
      <w:tr>
        <w:trPr>
          <w:trHeight w:val="270"/>
        </w:trPr>
        <w:tc>
          <w:tcPr>
            <w:tcW w:w="140" w:type="dxa"/>
            <w:vAlign w:val="bottom"/>
          </w:tcPr>
          <w:p>
            <w:pPr>
              <w:ind w:left="80"/>
              <w:spacing w:after="0"/>
              <w:rPr>
                <w:sz w:val="20"/>
                <w:szCs w:val="20"/>
                <w:color w:val="auto"/>
              </w:rPr>
            </w:pPr>
            <w:r>
              <w:rPr>
                <w:rFonts w:ascii="Arial" w:cs="Arial" w:eastAsia="Arial" w:hAnsi="Arial"/>
                <w:sz w:val="12"/>
                <w:szCs w:val="12"/>
                <w:b w:val="1"/>
                <w:bCs w:val="1"/>
                <w:color w:val="auto"/>
                <w:w w:val="94"/>
              </w:rPr>
              <w:t>•</w:t>
            </w:r>
          </w:p>
        </w:tc>
        <w:tc>
          <w:tcPr>
            <w:tcW w:w="1540" w:type="dxa"/>
            <w:vAlign w:val="bottom"/>
          </w:tcPr>
          <w:p>
            <w:pPr>
              <w:jc w:val="right"/>
              <w:ind w:right="522"/>
              <w:spacing w:after="0"/>
              <w:rPr>
                <w:sz w:val="20"/>
                <w:szCs w:val="20"/>
                <w:color w:val="auto"/>
              </w:rPr>
            </w:pPr>
            <w:r>
              <w:rPr>
                <w:rFonts w:ascii="Arial" w:cs="Arial" w:eastAsia="Arial" w:hAnsi="Arial"/>
                <w:sz w:val="12"/>
                <w:szCs w:val="12"/>
                <w:color w:val="auto"/>
                <w:w w:val="95"/>
              </w:rPr>
              <w:t>Consensus pricing</w:t>
            </w:r>
          </w:p>
        </w:tc>
        <w:tc>
          <w:tcPr>
            <w:tcW w:w="220" w:type="dxa"/>
            <w:vAlign w:val="bottom"/>
          </w:tcPr>
          <w:p>
            <w:pPr>
              <w:ind w:left="180"/>
              <w:spacing w:after="0"/>
              <w:rPr>
                <w:sz w:val="20"/>
                <w:szCs w:val="20"/>
                <w:color w:val="auto"/>
              </w:rPr>
            </w:pPr>
            <w:r>
              <w:rPr>
                <w:rFonts w:ascii="Arial" w:cs="Arial" w:eastAsia="Arial" w:hAnsi="Arial"/>
                <w:sz w:val="7"/>
                <w:szCs w:val="7"/>
                <w:b w:val="1"/>
                <w:bCs w:val="1"/>
                <w:color w:val="auto"/>
                <w:w w:val="79"/>
              </w:rPr>
              <w:t>•</w:t>
            </w:r>
          </w:p>
        </w:tc>
        <w:tc>
          <w:tcPr>
            <w:tcW w:w="1480" w:type="dxa"/>
            <w:vAlign w:val="bottom"/>
          </w:tcPr>
          <w:p>
            <w:pPr>
              <w:ind w:left="100"/>
              <w:spacing w:after="0"/>
              <w:rPr>
                <w:sz w:val="20"/>
                <w:szCs w:val="20"/>
                <w:color w:val="auto"/>
              </w:rPr>
            </w:pPr>
            <w:r>
              <w:rPr>
                <w:rFonts w:ascii="Arial" w:cs="Arial" w:eastAsia="Arial" w:hAnsi="Arial"/>
                <w:sz w:val="12"/>
                <w:szCs w:val="12"/>
                <w:color w:val="auto"/>
              </w:rPr>
              <w:t>Offered quotes (9)</w:t>
            </w:r>
          </w:p>
        </w:tc>
        <w:tc>
          <w:tcPr>
            <w:tcW w:w="7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520" w:type="dxa"/>
            <w:vAlign w:val="bottom"/>
          </w:tcPr>
          <w:p>
            <w:pPr>
              <w:spacing w:after="0"/>
              <w:rPr>
                <w:sz w:val="23"/>
                <w:szCs w:val="23"/>
                <w:color w:val="auto"/>
              </w:rPr>
            </w:pPr>
          </w:p>
        </w:tc>
      </w:tr>
      <w:tr>
        <w:trPr>
          <w:trHeight w:val="101"/>
        </w:trPr>
        <w:tc>
          <w:tcPr>
            <w:tcW w:w="1680" w:type="dxa"/>
            <w:vAlign w:val="bottom"/>
            <w:tcBorders>
              <w:bottom w:val="single" w:sz="8" w:color="auto"/>
            </w:tcBorders>
            <w:gridSpan w:val="2"/>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148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1040" w:type="dxa"/>
            <w:vAlign w:val="bottom"/>
            <w:tcBorders>
              <w:bottom w:val="single" w:sz="8" w:color="auto"/>
            </w:tcBorders>
          </w:tcPr>
          <w:p>
            <w:pPr>
              <w:spacing w:after="0"/>
              <w:rPr>
                <w:sz w:val="8"/>
                <w:szCs w:val="8"/>
                <w:color w:val="auto"/>
              </w:rPr>
            </w:pPr>
          </w:p>
        </w:tc>
        <w:tc>
          <w:tcPr>
            <w:tcW w:w="104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1020" w:type="dxa"/>
            <w:vAlign w:val="bottom"/>
            <w:tcBorders>
              <w:bottom w:val="single" w:sz="8" w:color="auto"/>
            </w:tcBorders>
          </w:tcPr>
          <w:p>
            <w:pPr>
              <w:spacing w:after="0"/>
              <w:rPr>
                <w:sz w:val="8"/>
                <w:szCs w:val="8"/>
                <w:color w:val="auto"/>
              </w:rPr>
            </w:pPr>
          </w:p>
        </w:tc>
        <w:tc>
          <w:tcPr>
            <w:tcW w:w="1520" w:type="dxa"/>
            <w:vAlign w:val="bottom"/>
            <w:tcBorders>
              <w:bottom w:val="single" w:sz="8" w:color="auto"/>
            </w:tcBorders>
          </w:tcPr>
          <w:p>
            <w:pPr>
              <w:spacing w:after="0"/>
              <w:rPr>
                <w:sz w:val="8"/>
                <w:szCs w:val="8"/>
                <w:color w:val="auto"/>
              </w:rPr>
            </w:pPr>
          </w:p>
        </w:tc>
      </w:tr>
      <w:tr>
        <w:trPr>
          <w:trHeight w:val="149"/>
        </w:trPr>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w w:val="98"/>
              </w:rPr>
              <w:t xml:space="preserve">•  </w:t>
            </w:r>
            <w:r>
              <w:rPr>
                <w:rFonts w:ascii="Arial" w:cs="Arial" w:eastAsia="Arial" w:hAnsi="Arial"/>
                <w:sz w:val="12"/>
                <w:szCs w:val="12"/>
                <w:color w:val="auto"/>
                <w:w w:val="98"/>
              </w:rPr>
              <w:t>Present value techniques or</w:t>
            </w:r>
          </w:p>
        </w:tc>
        <w:tc>
          <w:tcPr>
            <w:tcW w:w="220" w:type="dxa"/>
            <w:vAlign w:val="bottom"/>
          </w:tcPr>
          <w:p>
            <w:pPr>
              <w:ind w:left="180"/>
              <w:spacing w:after="0"/>
              <w:rPr>
                <w:sz w:val="20"/>
                <w:szCs w:val="20"/>
                <w:color w:val="auto"/>
              </w:rPr>
            </w:pPr>
            <w:r>
              <w:rPr>
                <w:rFonts w:ascii="Arial" w:cs="Arial" w:eastAsia="Arial" w:hAnsi="Arial"/>
                <w:sz w:val="7"/>
                <w:szCs w:val="7"/>
                <w:b w:val="1"/>
                <w:bCs w:val="1"/>
                <w:color w:val="auto"/>
                <w:w w:val="79"/>
              </w:rPr>
              <w:t>•</w:t>
            </w:r>
          </w:p>
        </w:tc>
        <w:tc>
          <w:tcPr>
            <w:tcW w:w="1480" w:type="dxa"/>
            <w:vAlign w:val="bottom"/>
          </w:tcPr>
          <w:p>
            <w:pPr>
              <w:ind w:left="100"/>
              <w:spacing w:after="0"/>
              <w:rPr>
                <w:sz w:val="20"/>
                <w:szCs w:val="20"/>
                <w:color w:val="auto"/>
              </w:rPr>
            </w:pPr>
            <w:r>
              <w:rPr>
                <w:rFonts w:ascii="Arial" w:cs="Arial" w:eastAsia="Arial" w:hAnsi="Arial"/>
                <w:sz w:val="12"/>
                <w:szCs w:val="12"/>
                <w:color w:val="auto"/>
              </w:rPr>
              <w:t>Volatility (10)</w:t>
            </w:r>
          </w:p>
        </w:tc>
        <w:tc>
          <w:tcPr>
            <w:tcW w:w="740" w:type="dxa"/>
            <w:vAlign w:val="bottom"/>
          </w:tcPr>
          <w:p>
            <w:pPr>
              <w:jc w:val="center"/>
              <w:ind w:left="202"/>
              <w:spacing w:after="0"/>
              <w:rPr>
                <w:sz w:val="20"/>
                <w:szCs w:val="20"/>
                <w:color w:val="auto"/>
              </w:rPr>
            </w:pPr>
            <w:r>
              <w:rPr>
                <w:rFonts w:ascii="Arial" w:cs="Arial" w:eastAsia="Arial" w:hAnsi="Arial"/>
                <w:sz w:val="12"/>
                <w:szCs w:val="12"/>
                <w:color w:val="auto"/>
                <w:w w:val="91"/>
              </w:rPr>
              <w:t>8%</w:t>
            </w:r>
          </w:p>
        </w:tc>
        <w:tc>
          <w:tcPr>
            <w:tcW w:w="280" w:type="dxa"/>
            <w:vAlign w:val="bottom"/>
          </w:tcPr>
          <w:p>
            <w:pPr>
              <w:jc w:val="right"/>
              <w:ind w:right="42"/>
              <w:spacing w:after="0"/>
              <w:rPr>
                <w:sz w:val="20"/>
                <w:szCs w:val="20"/>
                <w:color w:val="auto"/>
              </w:rPr>
            </w:pPr>
            <w:r>
              <w:rPr>
                <w:rFonts w:ascii="Arial" w:cs="Arial" w:eastAsia="Arial" w:hAnsi="Arial"/>
                <w:sz w:val="12"/>
                <w:szCs w:val="12"/>
                <w:color w:val="auto"/>
              </w:rPr>
              <w:t>-</w:t>
            </w:r>
          </w:p>
        </w:tc>
        <w:tc>
          <w:tcPr>
            <w:tcW w:w="1040" w:type="dxa"/>
            <w:vAlign w:val="bottom"/>
          </w:tcPr>
          <w:p>
            <w:pPr>
              <w:jc w:val="center"/>
              <w:ind w:right="562"/>
              <w:spacing w:after="0"/>
              <w:rPr>
                <w:sz w:val="20"/>
                <w:szCs w:val="20"/>
                <w:color w:val="auto"/>
              </w:rPr>
            </w:pPr>
            <w:r>
              <w:rPr>
                <w:rFonts w:ascii="Arial" w:cs="Arial" w:eastAsia="Arial" w:hAnsi="Arial"/>
                <w:sz w:val="12"/>
                <w:szCs w:val="12"/>
                <w:color w:val="auto"/>
                <w:w w:val="91"/>
              </w:rPr>
              <w:t>30%</w:t>
            </w:r>
          </w:p>
        </w:tc>
        <w:tc>
          <w:tcPr>
            <w:tcW w:w="1040" w:type="dxa"/>
            <w:vAlign w:val="bottom"/>
          </w:tcPr>
          <w:p>
            <w:pPr>
              <w:jc w:val="center"/>
              <w:ind w:left="522"/>
              <w:spacing w:after="0"/>
              <w:rPr>
                <w:sz w:val="20"/>
                <w:szCs w:val="20"/>
                <w:color w:val="auto"/>
              </w:rPr>
            </w:pPr>
            <w:r>
              <w:rPr>
                <w:rFonts w:ascii="Arial" w:cs="Arial" w:eastAsia="Arial" w:hAnsi="Arial"/>
                <w:sz w:val="12"/>
                <w:szCs w:val="12"/>
                <w:color w:val="auto"/>
                <w:w w:val="91"/>
              </w:rPr>
              <w:t>14%</w:t>
            </w:r>
          </w:p>
        </w:tc>
        <w:tc>
          <w:tcPr>
            <w:tcW w:w="280" w:type="dxa"/>
            <w:vAlign w:val="bottom"/>
          </w:tcPr>
          <w:p>
            <w:pPr>
              <w:jc w:val="right"/>
              <w:ind w:right="42"/>
              <w:spacing w:after="0"/>
              <w:rPr>
                <w:sz w:val="20"/>
                <w:szCs w:val="20"/>
                <w:color w:val="auto"/>
              </w:rPr>
            </w:pPr>
            <w:r>
              <w:rPr>
                <w:rFonts w:ascii="Arial" w:cs="Arial" w:eastAsia="Arial" w:hAnsi="Arial"/>
                <w:sz w:val="12"/>
                <w:szCs w:val="12"/>
                <w:color w:val="auto"/>
              </w:rPr>
              <w:t>-</w:t>
            </w:r>
          </w:p>
        </w:tc>
        <w:tc>
          <w:tcPr>
            <w:tcW w:w="1020" w:type="dxa"/>
            <w:vAlign w:val="bottom"/>
          </w:tcPr>
          <w:p>
            <w:pPr>
              <w:jc w:val="center"/>
              <w:ind w:right="542"/>
              <w:spacing w:after="0"/>
              <w:rPr>
                <w:sz w:val="20"/>
                <w:szCs w:val="20"/>
                <w:color w:val="auto"/>
              </w:rPr>
            </w:pPr>
            <w:r>
              <w:rPr>
                <w:rFonts w:ascii="Arial" w:cs="Arial" w:eastAsia="Arial" w:hAnsi="Arial"/>
                <w:sz w:val="12"/>
                <w:szCs w:val="12"/>
                <w:color w:val="auto"/>
                <w:w w:val="91"/>
              </w:rPr>
              <w:t>32%</w:t>
            </w:r>
          </w:p>
        </w:tc>
        <w:tc>
          <w:tcPr>
            <w:tcW w:w="1520" w:type="dxa"/>
            <w:vAlign w:val="bottom"/>
          </w:tcPr>
          <w:p>
            <w:pPr>
              <w:jc w:val="center"/>
              <w:ind w:left="422"/>
              <w:spacing w:after="0"/>
              <w:rPr>
                <w:sz w:val="20"/>
                <w:szCs w:val="20"/>
                <w:color w:val="auto"/>
              </w:rPr>
            </w:pPr>
            <w:r>
              <w:rPr>
                <w:rFonts w:ascii="Arial" w:cs="Arial" w:eastAsia="Arial" w:hAnsi="Arial"/>
                <w:sz w:val="12"/>
                <w:szCs w:val="12"/>
                <w:color w:val="auto"/>
                <w:w w:val="87"/>
              </w:rPr>
              <w:t>Increase (6)</w:t>
            </w:r>
          </w:p>
        </w:tc>
      </w:tr>
      <w:tr>
        <w:trPr>
          <w:trHeight w:val="148"/>
        </w:trPr>
        <w:tc>
          <w:tcPr>
            <w:tcW w:w="140" w:type="dxa"/>
            <w:vAlign w:val="bottom"/>
          </w:tcPr>
          <w:p>
            <w:pPr>
              <w:spacing w:after="0"/>
              <w:rPr>
                <w:sz w:val="12"/>
                <w:szCs w:val="12"/>
                <w:color w:val="auto"/>
              </w:rPr>
            </w:pPr>
          </w:p>
        </w:tc>
        <w:tc>
          <w:tcPr>
            <w:tcW w:w="1540" w:type="dxa"/>
            <w:vAlign w:val="bottom"/>
          </w:tcPr>
          <w:p>
            <w:pPr>
              <w:jc w:val="right"/>
              <w:ind w:right="202"/>
              <w:spacing w:after="0"/>
              <w:rPr>
                <w:sz w:val="20"/>
                <w:szCs w:val="20"/>
                <w:color w:val="auto"/>
              </w:rPr>
            </w:pPr>
            <w:r>
              <w:rPr>
                <w:rFonts w:ascii="Arial" w:cs="Arial" w:eastAsia="Arial" w:hAnsi="Arial"/>
                <w:sz w:val="12"/>
                <w:szCs w:val="12"/>
                <w:color w:val="auto"/>
              </w:rPr>
              <w:t>option pricing models</w:t>
            </w:r>
          </w:p>
        </w:tc>
        <w:tc>
          <w:tcPr>
            <w:tcW w:w="2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520" w:type="dxa"/>
            <w:vAlign w:val="bottom"/>
          </w:tcPr>
          <w:p>
            <w:pPr>
              <w:spacing w:after="0"/>
              <w:rPr>
                <w:sz w:val="12"/>
                <w:szCs w:val="12"/>
                <w:color w:val="auto"/>
              </w:rPr>
            </w:pPr>
          </w:p>
        </w:tc>
      </w:tr>
      <w:tr>
        <w:trPr>
          <w:trHeight w:val="189"/>
        </w:trPr>
        <w:tc>
          <w:tcPr>
            <w:tcW w:w="14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220" w:type="dxa"/>
            <w:vAlign w:val="bottom"/>
          </w:tcPr>
          <w:p>
            <w:pPr>
              <w:ind w:left="180"/>
              <w:spacing w:after="0"/>
              <w:rPr>
                <w:sz w:val="20"/>
                <w:szCs w:val="20"/>
                <w:color w:val="auto"/>
              </w:rPr>
            </w:pPr>
            <w:r>
              <w:rPr>
                <w:rFonts w:ascii="Arial" w:cs="Arial" w:eastAsia="Arial" w:hAnsi="Arial"/>
                <w:sz w:val="7"/>
                <w:szCs w:val="7"/>
                <w:b w:val="1"/>
                <w:bCs w:val="1"/>
                <w:color w:val="auto"/>
                <w:w w:val="79"/>
              </w:rPr>
              <w:t>•</w:t>
            </w:r>
          </w:p>
        </w:tc>
        <w:tc>
          <w:tcPr>
            <w:tcW w:w="1480" w:type="dxa"/>
            <w:vAlign w:val="bottom"/>
          </w:tcPr>
          <w:p>
            <w:pPr>
              <w:ind w:left="100"/>
              <w:spacing w:after="0"/>
              <w:rPr>
                <w:sz w:val="20"/>
                <w:szCs w:val="20"/>
                <w:color w:val="auto"/>
              </w:rPr>
            </w:pPr>
            <w:r>
              <w:rPr>
                <w:rFonts w:ascii="Arial" w:cs="Arial" w:eastAsia="Arial" w:hAnsi="Arial"/>
                <w:sz w:val="12"/>
                <w:szCs w:val="12"/>
                <w:color w:val="auto"/>
              </w:rPr>
              <w:t>Correlation (11)</w:t>
            </w:r>
          </w:p>
        </w:tc>
        <w:tc>
          <w:tcPr>
            <w:tcW w:w="740" w:type="dxa"/>
            <w:vAlign w:val="bottom"/>
          </w:tcPr>
          <w:p>
            <w:pPr>
              <w:jc w:val="center"/>
              <w:ind w:left="222"/>
              <w:spacing w:after="0"/>
              <w:rPr>
                <w:sz w:val="20"/>
                <w:szCs w:val="20"/>
                <w:color w:val="auto"/>
              </w:rPr>
            </w:pPr>
            <w:r>
              <w:rPr>
                <w:rFonts w:ascii="Arial" w:cs="Arial" w:eastAsia="Arial" w:hAnsi="Arial"/>
                <w:sz w:val="12"/>
                <w:szCs w:val="12"/>
                <w:color w:val="auto"/>
                <w:w w:val="91"/>
              </w:rPr>
              <w:t>10%</w:t>
            </w:r>
          </w:p>
        </w:tc>
        <w:tc>
          <w:tcPr>
            <w:tcW w:w="280" w:type="dxa"/>
            <w:vAlign w:val="bottom"/>
          </w:tcPr>
          <w:p>
            <w:pPr>
              <w:jc w:val="right"/>
              <w:ind w:right="42"/>
              <w:spacing w:after="0"/>
              <w:rPr>
                <w:sz w:val="20"/>
                <w:szCs w:val="20"/>
                <w:color w:val="auto"/>
              </w:rPr>
            </w:pPr>
            <w:r>
              <w:rPr>
                <w:rFonts w:ascii="Arial" w:cs="Arial" w:eastAsia="Arial" w:hAnsi="Arial"/>
                <w:sz w:val="12"/>
                <w:szCs w:val="12"/>
                <w:color w:val="auto"/>
              </w:rPr>
              <w:t>-</w:t>
            </w:r>
          </w:p>
        </w:tc>
        <w:tc>
          <w:tcPr>
            <w:tcW w:w="1040" w:type="dxa"/>
            <w:vAlign w:val="bottom"/>
          </w:tcPr>
          <w:p>
            <w:pPr>
              <w:jc w:val="center"/>
              <w:ind w:right="562"/>
              <w:spacing w:after="0"/>
              <w:rPr>
                <w:sz w:val="20"/>
                <w:szCs w:val="20"/>
                <w:color w:val="auto"/>
              </w:rPr>
            </w:pPr>
            <w:r>
              <w:rPr>
                <w:rFonts w:ascii="Arial" w:cs="Arial" w:eastAsia="Arial" w:hAnsi="Arial"/>
                <w:sz w:val="12"/>
                <w:szCs w:val="12"/>
                <w:color w:val="auto"/>
                <w:w w:val="91"/>
              </w:rPr>
              <w:t>30%</w:t>
            </w:r>
          </w:p>
        </w:tc>
        <w:tc>
          <w:tcPr>
            <w:tcW w:w="1040" w:type="dxa"/>
            <w:vAlign w:val="bottom"/>
          </w:tcPr>
          <w:p>
            <w:pPr>
              <w:jc w:val="center"/>
              <w:ind w:left="522"/>
              <w:spacing w:after="0"/>
              <w:rPr>
                <w:sz w:val="20"/>
                <w:szCs w:val="20"/>
                <w:color w:val="auto"/>
              </w:rPr>
            </w:pPr>
            <w:r>
              <w:rPr>
                <w:rFonts w:ascii="Arial" w:cs="Arial" w:eastAsia="Arial" w:hAnsi="Arial"/>
                <w:sz w:val="12"/>
                <w:szCs w:val="12"/>
                <w:color w:val="auto"/>
                <w:w w:val="91"/>
              </w:rPr>
              <w:t>40%</w:t>
            </w:r>
          </w:p>
        </w:tc>
        <w:tc>
          <w:tcPr>
            <w:tcW w:w="280" w:type="dxa"/>
            <w:vAlign w:val="bottom"/>
          </w:tcPr>
          <w:p>
            <w:pPr>
              <w:jc w:val="right"/>
              <w:ind w:right="42"/>
              <w:spacing w:after="0"/>
              <w:rPr>
                <w:sz w:val="20"/>
                <w:szCs w:val="20"/>
                <w:color w:val="auto"/>
              </w:rPr>
            </w:pPr>
            <w:r>
              <w:rPr>
                <w:rFonts w:ascii="Arial" w:cs="Arial" w:eastAsia="Arial" w:hAnsi="Arial"/>
                <w:sz w:val="12"/>
                <w:szCs w:val="12"/>
                <w:color w:val="auto"/>
              </w:rPr>
              <w:t>-</w:t>
            </w:r>
          </w:p>
        </w:tc>
        <w:tc>
          <w:tcPr>
            <w:tcW w:w="1020" w:type="dxa"/>
            <w:vAlign w:val="bottom"/>
          </w:tcPr>
          <w:p>
            <w:pPr>
              <w:jc w:val="center"/>
              <w:ind w:right="542"/>
              <w:spacing w:after="0"/>
              <w:rPr>
                <w:sz w:val="20"/>
                <w:szCs w:val="20"/>
                <w:color w:val="auto"/>
              </w:rPr>
            </w:pPr>
            <w:r>
              <w:rPr>
                <w:rFonts w:ascii="Arial" w:cs="Arial" w:eastAsia="Arial" w:hAnsi="Arial"/>
                <w:sz w:val="12"/>
                <w:szCs w:val="12"/>
                <w:color w:val="auto"/>
                <w:w w:val="91"/>
              </w:rPr>
              <w:t>40%</w:t>
            </w:r>
          </w:p>
        </w:tc>
        <w:tc>
          <w:tcPr>
            <w:tcW w:w="1520" w:type="dxa"/>
            <w:vAlign w:val="bottom"/>
          </w:tcPr>
          <w:p>
            <w:pPr>
              <w:spacing w:after="0"/>
              <w:rPr>
                <w:sz w:val="16"/>
                <w:szCs w:val="16"/>
                <w:color w:val="auto"/>
              </w:rPr>
            </w:pPr>
          </w:p>
        </w:tc>
      </w:tr>
      <w:tr>
        <w:trPr>
          <w:trHeight w:val="101"/>
        </w:trPr>
        <w:tc>
          <w:tcPr>
            <w:tcW w:w="140" w:type="dxa"/>
            <w:vAlign w:val="bottom"/>
            <w:tcBorders>
              <w:bottom w:val="single" w:sz="8" w:color="auto"/>
            </w:tcBorders>
          </w:tcPr>
          <w:p>
            <w:pPr>
              <w:spacing w:after="0"/>
              <w:rPr>
                <w:sz w:val="8"/>
                <w:szCs w:val="8"/>
                <w:color w:val="auto"/>
              </w:rPr>
            </w:pPr>
          </w:p>
        </w:tc>
        <w:tc>
          <w:tcPr>
            <w:tcW w:w="154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148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1040" w:type="dxa"/>
            <w:vAlign w:val="bottom"/>
            <w:tcBorders>
              <w:bottom w:val="single" w:sz="8" w:color="auto"/>
            </w:tcBorders>
          </w:tcPr>
          <w:p>
            <w:pPr>
              <w:spacing w:after="0"/>
              <w:rPr>
                <w:sz w:val="8"/>
                <w:szCs w:val="8"/>
                <w:color w:val="auto"/>
              </w:rPr>
            </w:pPr>
          </w:p>
        </w:tc>
        <w:tc>
          <w:tcPr>
            <w:tcW w:w="104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1020" w:type="dxa"/>
            <w:vAlign w:val="bottom"/>
            <w:tcBorders>
              <w:bottom w:val="single" w:sz="8" w:color="auto"/>
            </w:tcBorders>
          </w:tcPr>
          <w:p>
            <w:pPr>
              <w:spacing w:after="0"/>
              <w:rPr>
                <w:sz w:val="8"/>
                <w:szCs w:val="8"/>
                <w:color w:val="auto"/>
              </w:rPr>
            </w:pPr>
          </w:p>
        </w:tc>
        <w:tc>
          <w:tcPr>
            <w:tcW w:w="1520" w:type="dxa"/>
            <w:vAlign w:val="bottom"/>
            <w:tcBorders>
              <w:bottom w:val="single" w:sz="8" w:color="auto"/>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-1340485</wp:posOffset>
            </wp:positionH>
            <wp:positionV relativeFrom="paragraph">
              <wp:posOffset>-745490</wp:posOffset>
            </wp:positionV>
            <wp:extent cx="7246620" cy="1803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180340"/>
                    </a:xfrm>
                    <a:prstGeom prst="rect">
                      <a:avLst/>
                    </a:prstGeom>
                    <a:noFill/>
                  </pic:spPr>
                </pic:pic>
              </a:graphicData>
            </a:graphic>
          </wp:anchor>
        </w:drawing>
        <w:drawing>
          <wp:anchor simplePos="0" relativeHeight="251657728" behindDoc="1" locked="0" layoutInCell="0" allowOverlap="1">
            <wp:simplePos x="0" y="0"/>
            <wp:positionH relativeFrom="column">
              <wp:posOffset>-1340485</wp:posOffset>
            </wp:positionH>
            <wp:positionV relativeFrom="paragraph">
              <wp:posOffset>-393700</wp:posOffset>
            </wp:positionV>
            <wp:extent cx="7246620" cy="21463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214630"/>
                    </a:xfrm>
                    <a:prstGeom prst="rect">
                      <a:avLst/>
                    </a:prstGeom>
                    <a:noFill/>
                  </pic:spPr>
                </pic:pic>
              </a:graphicData>
            </a:graphic>
          </wp:anchor>
        </w:drawing>
        <w:drawing>
          <wp:anchor simplePos="0" relativeHeight="251657728" behindDoc="1" locked="0" layoutInCell="0" allowOverlap="1">
            <wp:simplePos x="0" y="0"/>
            <wp:positionH relativeFrom="column">
              <wp:posOffset>-1340485</wp:posOffset>
            </wp:positionH>
            <wp:positionV relativeFrom="paragraph">
              <wp:posOffset>-8255</wp:posOffset>
            </wp:positionV>
            <wp:extent cx="7246620" cy="1803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287" w:lineRule="exact"/>
        <w:rPr>
          <w:sz w:val="20"/>
          <w:szCs w:val="20"/>
          <w:color w:val="auto"/>
        </w:rPr>
      </w:pPr>
    </w:p>
    <w:p>
      <w:pPr>
        <w:sectPr>
          <w:pgSz w:w="11900" w:h="16838" w:orient="portrait"/>
          <w:cols w:equalWidth="0" w:num="2">
            <w:col w:w="1400" w:space="720"/>
            <w:col w:w="9300"/>
          </w:cols>
          <w:pgMar w:left="240" w:top="288" w:right="239" w:bottom="1440" w:gutter="0" w:footer="0" w:header="0"/>
          <w:type w:val="continuous"/>
        </w:sectPr>
      </w:pPr>
    </w:p>
    <w:tbl>
      <w:tblPr>
        <w:tblLayout w:type="fixed"/>
        <w:tblInd w:w="0" w:type="dxa"/>
        <w:tblCellMar>
          <w:top w:w="0" w:type="dxa"/>
          <w:left w:w="0" w:type="dxa"/>
          <w:bottom w:w="0" w:type="dxa"/>
          <w:right w:w="0" w:type="dxa"/>
        </w:tblCellMar>
      </w:tblPr>
      <w:tr>
        <w:trPr>
          <w:trHeight w:val="138"/>
        </w:trPr>
        <w:tc>
          <w:tcPr>
            <w:tcW w:w="2020" w:type="dxa"/>
            <w:vAlign w:val="bottom"/>
          </w:tcPr>
          <w:p>
            <w:pPr>
              <w:ind w:left="40"/>
              <w:spacing w:after="0"/>
              <w:rPr>
                <w:sz w:val="20"/>
                <w:szCs w:val="20"/>
                <w:color w:val="auto"/>
              </w:rPr>
            </w:pPr>
            <w:r>
              <w:rPr>
                <w:rFonts w:ascii="Arial" w:cs="Arial" w:eastAsia="Arial" w:hAnsi="Arial"/>
                <w:sz w:val="12"/>
                <w:szCs w:val="12"/>
                <w:color w:val="auto"/>
                <w:w w:val="93"/>
              </w:rPr>
              <w:t>Direct, assumed and ceded guaranteed</w:t>
            </w:r>
          </w:p>
        </w:tc>
        <w:tc>
          <w:tcPr>
            <w:tcW w:w="1760" w:type="dxa"/>
            <w:vAlign w:val="bottom"/>
          </w:tcPr>
          <w:p>
            <w:pPr>
              <w:ind w:left="180"/>
              <w:spacing w:after="0"/>
              <w:rPr>
                <w:sz w:val="20"/>
                <w:szCs w:val="20"/>
                <w:color w:val="auto"/>
              </w:rPr>
            </w:pPr>
            <w:r>
              <w:rPr>
                <w:rFonts w:ascii="Arial" w:cs="Arial" w:eastAsia="Arial" w:hAnsi="Arial"/>
                <w:sz w:val="12"/>
                <w:szCs w:val="12"/>
                <w:b w:val="1"/>
                <w:bCs w:val="1"/>
                <w:color w:val="auto"/>
              </w:rPr>
              <w:t xml:space="preserve">•  </w:t>
            </w:r>
            <w:r>
              <w:rPr>
                <w:rFonts w:ascii="Arial" w:cs="Arial" w:eastAsia="Arial" w:hAnsi="Arial"/>
                <w:sz w:val="12"/>
                <w:szCs w:val="12"/>
                <w:color w:val="auto"/>
              </w:rPr>
              <w:t>Option pricing techniques</w:t>
            </w:r>
          </w:p>
        </w:tc>
        <w:tc>
          <w:tcPr>
            <w:tcW w:w="1600" w:type="dxa"/>
            <w:vAlign w:val="bottom"/>
            <w:gridSpan w:val="2"/>
          </w:tcPr>
          <w:p>
            <w:pPr>
              <w:ind w:left="200"/>
              <w:spacing w:after="0"/>
              <w:rPr>
                <w:sz w:val="20"/>
                <w:szCs w:val="20"/>
                <w:color w:val="auto"/>
              </w:rPr>
            </w:pPr>
            <w:r>
              <w:rPr>
                <w:rFonts w:ascii="Arial" w:cs="Arial" w:eastAsia="Arial" w:hAnsi="Arial"/>
                <w:sz w:val="12"/>
                <w:szCs w:val="12"/>
                <w:b w:val="1"/>
                <w:bCs w:val="1"/>
                <w:color w:val="auto"/>
              </w:rPr>
              <w:t xml:space="preserve">•  </w:t>
            </w:r>
            <w:r>
              <w:rPr>
                <w:rFonts w:ascii="Arial" w:cs="Arial" w:eastAsia="Arial" w:hAnsi="Arial"/>
                <w:sz w:val="12"/>
                <w:szCs w:val="12"/>
                <w:color w:val="auto"/>
              </w:rPr>
              <w:t>Mortality rates:</w:t>
            </w: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500" w:type="dxa"/>
            <w:vAlign w:val="bottom"/>
          </w:tcPr>
          <w:p>
            <w:pPr>
              <w:spacing w:after="0"/>
              <w:rPr>
                <w:sz w:val="12"/>
                <w:szCs w:val="12"/>
                <w:color w:val="auto"/>
              </w:rPr>
            </w:pPr>
          </w:p>
        </w:tc>
      </w:tr>
      <w:tr>
        <w:trPr>
          <w:trHeight w:val="148"/>
        </w:trPr>
        <w:tc>
          <w:tcPr>
            <w:tcW w:w="2020" w:type="dxa"/>
            <w:vAlign w:val="bottom"/>
          </w:tcPr>
          <w:p>
            <w:pPr>
              <w:ind w:left="200"/>
              <w:spacing w:after="0"/>
              <w:rPr>
                <w:sz w:val="20"/>
                <w:szCs w:val="20"/>
                <w:color w:val="auto"/>
              </w:rPr>
            </w:pPr>
            <w:r>
              <w:rPr>
                <w:rFonts w:ascii="Arial" w:cs="Arial" w:eastAsia="Arial" w:hAnsi="Arial"/>
                <w:sz w:val="12"/>
                <w:szCs w:val="12"/>
                <w:color w:val="auto"/>
              </w:rPr>
              <w:t>minimum benefits</w:t>
            </w:r>
          </w:p>
        </w:tc>
        <w:tc>
          <w:tcPr>
            <w:tcW w:w="17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500" w:type="dxa"/>
            <w:vAlign w:val="bottom"/>
          </w:tcPr>
          <w:p>
            <w:pPr>
              <w:spacing w:after="0"/>
              <w:rPr>
                <w:sz w:val="12"/>
                <w:szCs w:val="12"/>
                <w:color w:val="auto"/>
              </w:rPr>
            </w:pPr>
          </w:p>
        </w:tc>
      </w:tr>
      <w:tr>
        <w:trPr>
          <w:trHeight w:val="20"/>
        </w:trPr>
        <w:tc>
          <w:tcPr>
            <w:tcW w:w="20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60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r>
      <w:tr>
        <w:trPr>
          <w:trHeight w:val="169"/>
        </w:trPr>
        <w:tc>
          <w:tcPr>
            <w:tcW w:w="2020" w:type="dxa"/>
            <w:vAlign w:val="bottom"/>
            <w:shd w:val="clear" w:color="auto" w:fill="CCEEFF"/>
          </w:tcPr>
          <w:p>
            <w:pPr>
              <w:spacing w:after="0"/>
              <w:rPr>
                <w:sz w:val="14"/>
                <w:szCs w:val="14"/>
                <w:color w:val="auto"/>
              </w:rPr>
            </w:pPr>
          </w:p>
        </w:tc>
        <w:tc>
          <w:tcPr>
            <w:tcW w:w="1760" w:type="dxa"/>
            <w:vAlign w:val="bottom"/>
            <w:shd w:val="clear" w:color="auto" w:fill="CCEEFF"/>
          </w:tcPr>
          <w:p>
            <w:pPr>
              <w:spacing w:after="0"/>
              <w:rPr>
                <w:sz w:val="14"/>
                <w:szCs w:val="14"/>
                <w:color w:val="auto"/>
              </w:rPr>
            </w:pPr>
          </w:p>
        </w:tc>
        <w:tc>
          <w:tcPr>
            <w:tcW w:w="1600" w:type="dxa"/>
            <w:vAlign w:val="bottom"/>
            <w:gridSpan w:val="2"/>
            <w:shd w:val="clear" w:color="auto" w:fill="CCEEFF"/>
          </w:tcPr>
          <w:p>
            <w:pPr>
              <w:ind w:left="480"/>
              <w:spacing w:after="0"/>
              <w:rPr>
                <w:sz w:val="20"/>
                <w:szCs w:val="20"/>
                <w:color w:val="auto"/>
              </w:rPr>
            </w:pPr>
            <w:r>
              <w:rPr>
                <w:rFonts w:ascii="Arial" w:cs="Arial" w:eastAsia="Arial" w:hAnsi="Arial"/>
                <w:sz w:val="12"/>
                <w:szCs w:val="12"/>
                <w:color w:val="auto"/>
              </w:rPr>
              <w:t>Ages 0 - 40</w:t>
            </w:r>
          </w:p>
        </w:tc>
        <w:tc>
          <w:tcPr>
            <w:tcW w:w="880" w:type="dxa"/>
            <w:vAlign w:val="bottom"/>
            <w:shd w:val="clear" w:color="auto" w:fill="CCEEFF"/>
          </w:tcPr>
          <w:p>
            <w:pPr>
              <w:jc w:val="center"/>
              <w:ind w:left="302"/>
              <w:spacing w:after="0"/>
              <w:rPr>
                <w:sz w:val="20"/>
                <w:szCs w:val="20"/>
                <w:color w:val="auto"/>
              </w:rPr>
            </w:pPr>
            <w:r>
              <w:rPr>
                <w:rFonts w:ascii="Arial" w:cs="Arial" w:eastAsia="Arial" w:hAnsi="Arial"/>
                <w:sz w:val="12"/>
                <w:szCs w:val="12"/>
                <w:color w:val="auto"/>
                <w:w w:val="91"/>
              </w:rPr>
              <w:t>0%</w:t>
            </w:r>
          </w:p>
        </w:tc>
        <w:tc>
          <w:tcPr>
            <w:tcW w:w="240" w:type="dxa"/>
            <w:vAlign w:val="bottom"/>
            <w:shd w:val="clear" w:color="auto" w:fill="CCEEFF"/>
          </w:tcPr>
          <w:p>
            <w:pPr>
              <w:jc w:val="right"/>
              <w:ind w:right="22"/>
              <w:spacing w:after="0"/>
              <w:rPr>
                <w:sz w:val="20"/>
                <w:szCs w:val="20"/>
                <w:color w:val="auto"/>
              </w:rPr>
            </w:pPr>
            <w:r>
              <w:rPr>
                <w:rFonts w:ascii="Arial" w:cs="Arial" w:eastAsia="Arial" w:hAnsi="Arial"/>
                <w:sz w:val="12"/>
                <w:szCs w:val="12"/>
                <w:color w:val="auto"/>
              </w:rPr>
              <w:t>-</w:t>
            </w:r>
          </w:p>
        </w:tc>
        <w:tc>
          <w:tcPr>
            <w:tcW w:w="1060" w:type="dxa"/>
            <w:vAlign w:val="bottom"/>
            <w:shd w:val="clear" w:color="auto" w:fill="CCEEFF"/>
          </w:tcPr>
          <w:p>
            <w:pPr>
              <w:jc w:val="center"/>
              <w:ind w:right="542"/>
              <w:spacing w:after="0"/>
              <w:rPr>
                <w:sz w:val="20"/>
                <w:szCs w:val="20"/>
                <w:color w:val="auto"/>
              </w:rPr>
            </w:pPr>
            <w:r>
              <w:rPr>
                <w:rFonts w:ascii="Arial" w:cs="Arial" w:eastAsia="Arial" w:hAnsi="Arial"/>
                <w:sz w:val="12"/>
                <w:szCs w:val="12"/>
                <w:color w:val="auto"/>
                <w:w w:val="88"/>
              </w:rPr>
              <w:t>0.09%</w:t>
            </w:r>
          </w:p>
        </w:tc>
        <w:tc>
          <w:tcPr>
            <w:tcW w:w="1060" w:type="dxa"/>
            <w:vAlign w:val="bottom"/>
            <w:shd w:val="clear" w:color="auto" w:fill="CCEEFF"/>
          </w:tcPr>
          <w:p>
            <w:pPr>
              <w:jc w:val="center"/>
              <w:ind w:left="502"/>
              <w:spacing w:after="0"/>
              <w:rPr>
                <w:sz w:val="20"/>
                <w:szCs w:val="20"/>
                <w:color w:val="auto"/>
              </w:rPr>
            </w:pPr>
            <w:r>
              <w:rPr>
                <w:rFonts w:ascii="Arial" w:cs="Arial" w:eastAsia="Arial" w:hAnsi="Arial"/>
                <w:sz w:val="12"/>
                <w:szCs w:val="12"/>
                <w:color w:val="auto"/>
                <w:w w:val="80"/>
              </w:rPr>
              <w:t>0%</w:t>
            </w:r>
          </w:p>
        </w:tc>
        <w:tc>
          <w:tcPr>
            <w:tcW w:w="240" w:type="dxa"/>
            <w:vAlign w:val="bottom"/>
            <w:shd w:val="clear" w:color="auto" w:fill="CCEEFF"/>
          </w:tcPr>
          <w:p>
            <w:pPr>
              <w:jc w:val="right"/>
              <w:ind w:right="22"/>
              <w:spacing w:after="0"/>
              <w:rPr>
                <w:sz w:val="20"/>
                <w:szCs w:val="20"/>
                <w:color w:val="auto"/>
              </w:rPr>
            </w:pPr>
            <w:r>
              <w:rPr>
                <w:rFonts w:ascii="Arial" w:cs="Arial" w:eastAsia="Arial" w:hAnsi="Arial"/>
                <w:sz w:val="12"/>
                <w:szCs w:val="12"/>
                <w:color w:val="auto"/>
              </w:rPr>
              <w:t>-</w:t>
            </w:r>
          </w:p>
        </w:tc>
        <w:tc>
          <w:tcPr>
            <w:tcW w:w="1060" w:type="dxa"/>
            <w:vAlign w:val="bottom"/>
            <w:shd w:val="clear" w:color="auto" w:fill="CCEEFF"/>
          </w:tcPr>
          <w:p>
            <w:pPr>
              <w:jc w:val="center"/>
              <w:ind w:right="542"/>
              <w:spacing w:after="0"/>
              <w:rPr>
                <w:sz w:val="20"/>
                <w:szCs w:val="20"/>
                <w:color w:val="auto"/>
              </w:rPr>
            </w:pPr>
            <w:r>
              <w:rPr>
                <w:rFonts w:ascii="Arial" w:cs="Arial" w:eastAsia="Arial" w:hAnsi="Arial"/>
                <w:sz w:val="12"/>
                <w:szCs w:val="12"/>
                <w:color w:val="auto"/>
                <w:w w:val="88"/>
              </w:rPr>
              <w:t>0.09%</w:t>
            </w:r>
          </w:p>
        </w:tc>
        <w:tc>
          <w:tcPr>
            <w:tcW w:w="1500" w:type="dxa"/>
            <w:vAlign w:val="bottom"/>
            <w:shd w:val="clear" w:color="auto" w:fill="CCEEFF"/>
          </w:tcPr>
          <w:p>
            <w:pPr>
              <w:ind w:left="660"/>
              <w:spacing w:after="0"/>
              <w:rPr>
                <w:sz w:val="20"/>
                <w:szCs w:val="20"/>
                <w:color w:val="auto"/>
              </w:rPr>
            </w:pPr>
            <w:r>
              <w:rPr>
                <w:rFonts w:ascii="Arial" w:cs="Arial" w:eastAsia="Arial" w:hAnsi="Arial"/>
                <w:sz w:val="12"/>
                <w:szCs w:val="12"/>
                <w:color w:val="auto"/>
              </w:rPr>
              <w:t>Decrease (12)</w:t>
            </w:r>
          </w:p>
        </w:tc>
      </w:tr>
      <w:tr>
        <w:trPr>
          <w:trHeight w:val="101"/>
        </w:trPr>
        <w:tc>
          <w:tcPr>
            <w:tcW w:w="2020" w:type="dxa"/>
            <w:vAlign w:val="bottom"/>
            <w:shd w:val="clear" w:color="auto" w:fill="CCEEFF"/>
          </w:tcPr>
          <w:p>
            <w:pPr>
              <w:spacing w:after="0"/>
              <w:rPr>
                <w:sz w:val="8"/>
                <w:szCs w:val="8"/>
                <w:color w:val="auto"/>
              </w:rPr>
            </w:pPr>
          </w:p>
        </w:tc>
        <w:tc>
          <w:tcPr>
            <w:tcW w:w="1760" w:type="dxa"/>
            <w:vAlign w:val="bottom"/>
            <w:shd w:val="clear" w:color="auto" w:fill="CCEEFF"/>
          </w:tcPr>
          <w:p>
            <w:pPr>
              <w:spacing w:after="0"/>
              <w:rPr>
                <w:sz w:val="8"/>
                <w:szCs w:val="8"/>
                <w:color w:val="auto"/>
              </w:rPr>
            </w:pPr>
          </w:p>
        </w:tc>
        <w:tc>
          <w:tcPr>
            <w:tcW w:w="880" w:type="dxa"/>
            <w:vAlign w:val="bottom"/>
            <w:shd w:val="clear" w:color="auto" w:fill="CCEEFF"/>
          </w:tcPr>
          <w:p>
            <w:pPr>
              <w:spacing w:after="0"/>
              <w:rPr>
                <w:sz w:val="8"/>
                <w:szCs w:val="8"/>
                <w:color w:val="auto"/>
              </w:rPr>
            </w:pPr>
          </w:p>
        </w:tc>
        <w:tc>
          <w:tcPr>
            <w:tcW w:w="720" w:type="dxa"/>
            <w:vAlign w:val="bottom"/>
            <w:shd w:val="clear" w:color="auto" w:fill="CCEEFF"/>
          </w:tcPr>
          <w:p>
            <w:pPr>
              <w:spacing w:after="0"/>
              <w:rPr>
                <w:sz w:val="8"/>
                <w:szCs w:val="8"/>
                <w:color w:val="auto"/>
              </w:rPr>
            </w:pPr>
          </w:p>
        </w:tc>
        <w:tc>
          <w:tcPr>
            <w:tcW w:w="88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1060" w:type="dxa"/>
            <w:vAlign w:val="bottom"/>
            <w:shd w:val="clear" w:color="auto" w:fill="CCEEFF"/>
          </w:tcPr>
          <w:p>
            <w:pPr>
              <w:spacing w:after="0"/>
              <w:rPr>
                <w:sz w:val="8"/>
                <w:szCs w:val="8"/>
                <w:color w:val="auto"/>
              </w:rPr>
            </w:pPr>
          </w:p>
        </w:tc>
        <w:tc>
          <w:tcPr>
            <w:tcW w:w="106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1060" w:type="dxa"/>
            <w:vAlign w:val="bottom"/>
            <w:shd w:val="clear" w:color="auto" w:fill="CCEEFF"/>
          </w:tcPr>
          <w:p>
            <w:pPr>
              <w:spacing w:after="0"/>
              <w:rPr>
                <w:sz w:val="8"/>
                <w:szCs w:val="8"/>
                <w:color w:val="auto"/>
              </w:rPr>
            </w:pPr>
          </w:p>
        </w:tc>
        <w:tc>
          <w:tcPr>
            <w:tcW w:w="1500" w:type="dxa"/>
            <w:vAlign w:val="bottom"/>
            <w:shd w:val="clear" w:color="auto" w:fill="CCEEFF"/>
          </w:tcPr>
          <w:p>
            <w:pPr>
              <w:spacing w:after="0"/>
              <w:rPr>
                <w:sz w:val="8"/>
                <w:szCs w:val="8"/>
                <w:color w:val="auto"/>
              </w:rPr>
            </w:pPr>
          </w:p>
        </w:tc>
      </w:tr>
      <w:tr>
        <w:trPr>
          <w:trHeight w:val="169"/>
        </w:trPr>
        <w:tc>
          <w:tcPr>
            <w:tcW w:w="202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880" w:type="dxa"/>
            <w:vAlign w:val="bottom"/>
          </w:tcPr>
          <w:p>
            <w:pPr>
              <w:ind w:left="480"/>
              <w:spacing w:after="0"/>
              <w:rPr>
                <w:sz w:val="20"/>
                <w:szCs w:val="20"/>
                <w:color w:val="auto"/>
              </w:rPr>
            </w:pPr>
            <w:r>
              <w:rPr>
                <w:rFonts w:ascii="Arial" w:cs="Arial" w:eastAsia="Arial" w:hAnsi="Arial"/>
                <w:sz w:val="12"/>
                <w:szCs w:val="12"/>
                <w:color w:val="auto"/>
                <w:w w:val="86"/>
              </w:rPr>
              <w:t>Ages 41</w:t>
            </w:r>
          </w:p>
        </w:tc>
        <w:tc>
          <w:tcPr>
            <w:tcW w:w="720" w:type="dxa"/>
            <w:vAlign w:val="bottom"/>
          </w:tcPr>
          <w:p>
            <w:pPr>
              <w:ind w:left="20"/>
              <w:spacing w:after="0"/>
              <w:rPr>
                <w:sz w:val="20"/>
                <w:szCs w:val="20"/>
                <w:color w:val="auto"/>
              </w:rPr>
            </w:pPr>
            <w:r>
              <w:rPr>
                <w:rFonts w:ascii="Arial" w:cs="Arial" w:eastAsia="Arial" w:hAnsi="Arial"/>
                <w:sz w:val="12"/>
                <w:szCs w:val="12"/>
                <w:color w:val="auto"/>
              </w:rPr>
              <w:t>- 60</w:t>
            </w:r>
          </w:p>
        </w:tc>
        <w:tc>
          <w:tcPr>
            <w:tcW w:w="880" w:type="dxa"/>
            <w:vAlign w:val="bottom"/>
          </w:tcPr>
          <w:p>
            <w:pPr>
              <w:jc w:val="center"/>
              <w:ind w:left="322"/>
              <w:spacing w:after="0"/>
              <w:rPr>
                <w:sz w:val="20"/>
                <w:szCs w:val="20"/>
                <w:color w:val="auto"/>
              </w:rPr>
            </w:pPr>
            <w:r>
              <w:rPr>
                <w:rFonts w:ascii="Arial" w:cs="Arial" w:eastAsia="Arial" w:hAnsi="Arial"/>
                <w:sz w:val="12"/>
                <w:szCs w:val="12"/>
                <w:color w:val="auto"/>
                <w:w w:val="88"/>
              </w:rPr>
              <w:t>0.04%</w:t>
            </w:r>
          </w:p>
        </w:tc>
        <w:tc>
          <w:tcPr>
            <w:tcW w:w="240" w:type="dxa"/>
            <w:vAlign w:val="bottom"/>
          </w:tcPr>
          <w:p>
            <w:pPr>
              <w:jc w:val="right"/>
              <w:ind w:right="22"/>
              <w:spacing w:after="0"/>
              <w:rPr>
                <w:sz w:val="20"/>
                <w:szCs w:val="20"/>
                <w:color w:val="auto"/>
              </w:rPr>
            </w:pPr>
            <w:r>
              <w:rPr>
                <w:rFonts w:ascii="Arial" w:cs="Arial" w:eastAsia="Arial" w:hAnsi="Arial"/>
                <w:sz w:val="12"/>
                <w:szCs w:val="12"/>
                <w:color w:val="auto"/>
              </w:rPr>
              <w:t>-</w:t>
            </w:r>
          </w:p>
        </w:tc>
        <w:tc>
          <w:tcPr>
            <w:tcW w:w="1060" w:type="dxa"/>
            <w:vAlign w:val="bottom"/>
          </w:tcPr>
          <w:p>
            <w:pPr>
              <w:jc w:val="center"/>
              <w:ind w:right="542"/>
              <w:spacing w:after="0"/>
              <w:rPr>
                <w:sz w:val="20"/>
                <w:szCs w:val="20"/>
                <w:color w:val="auto"/>
              </w:rPr>
            </w:pPr>
            <w:r>
              <w:rPr>
                <w:rFonts w:ascii="Arial" w:cs="Arial" w:eastAsia="Arial" w:hAnsi="Arial"/>
                <w:sz w:val="12"/>
                <w:szCs w:val="12"/>
                <w:color w:val="auto"/>
                <w:w w:val="88"/>
              </w:rPr>
              <w:t>0.65%</w:t>
            </w:r>
          </w:p>
        </w:tc>
        <w:tc>
          <w:tcPr>
            <w:tcW w:w="1060" w:type="dxa"/>
            <w:vAlign w:val="bottom"/>
          </w:tcPr>
          <w:p>
            <w:pPr>
              <w:jc w:val="center"/>
              <w:ind w:left="502"/>
              <w:spacing w:after="0"/>
              <w:rPr>
                <w:sz w:val="20"/>
                <w:szCs w:val="20"/>
                <w:color w:val="auto"/>
              </w:rPr>
            </w:pPr>
            <w:r>
              <w:rPr>
                <w:rFonts w:ascii="Arial" w:cs="Arial" w:eastAsia="Arial" w:hAnsi="Arial"/>
                <w:sz w:val="12"/>
                <w:szCs w:val="12"/>
                <w:color w:val="auto"/>
                <w:w w:val="88"/>
              </w:rPr>
              <w:t>0.04%</w:t>
            </w:r>
          </w:p>
        </w:tc>
        <w:tc>
          <w:tcPr>
            <w:tcW w:w="240" w:type="dxa"/>
            <w:vAlign w:val="bottom"/>
          </w:tcPr>
          <w:p>
            <w:pPr>
              <w:jc w:val="right"/>
              <w:ind w:right="22"/>
              <w:spacing w:after="0"/>
              <w:rPr>
                <w:sz w:val="20"/>
                <w:szCs w:val="20"/>
                <w:color w:val="auto"/>
              </w:rPr>
            </w:pPr>
            <w:r>
              <w:rPr>
                <w:rFonts w:ascii="Arial" w:cs="Arial" w:eastAsia="Arial" w:hAnsi="Arial"/>
                <w:sz w:val="12"/>
                <w:szCs w:val="12"/>
                <w:color w:val="auto"/>
              </w:rPr>
              <w:t>-</w:t>
            </w:r>
          </w:p>
        </w:tc>
        <w:tc>
          <w:tcPr>
            <w:tcW w:w="1060" w:type="dxa"/>
            <w:vAlign w:val="bottom"/>
          </w:tcPr>
          <w:p>
            <w:pPr>
              <w:jc w:val="center"/>
              <w:ind w:right="542"/>
              <w:spacing w:after="0"/>
              <w:rPr>
                <w:sz w:val="20"/>
                <w:szCs w:val="20"/>
                <w:color w:val="auto"/>
              </w:rPr>
            </w:pPr>
            <w:r>
              <w:rPr>
                <w:rFonts w:ascii="Arial" w:cs="Arial" w:eastAsia="Arial" w:hAnsi="Arial"/>
                <w:sz w:val="12"/>
                <w:szCs w:val="12"/>
                <w:color w:val="auto"/>
                <w:w w:val="88"/>
              </w:rPr>
              <w:t>0.65%</w:t>
            </w:r>
          </w:p>
        </w:tc>
        <w:tc>
          <w:tcPr>
            <w:tcW w:w="1500" w:type="dxa"/>
            <w:vAlign w:val="bottom"/>
          </w:tcPr>
          <w:p>
            <w:pPr>
              <w:ind w:left="660"/>
              <w:spacing w:after="0"/>
              <w:rPr>
                <w:sz w:val="20"/>
                <w:szCs w:val="20"/>
                <w:color w:val="auto"/>
              </w:rPr>
            </w:pPr>
            <w:r>
              <w:rPr>
                <w:rFonts w:ascii="Arial" w:cs="Arial" w:eastAsia="Arial" w:hAnsi="Arial"/>
                <w:sz w:val="12"/>
                <w:szCs w:val="12"/>
                <w:color w:val="auto"/>
              </w:rPr>
              <w:t>Decrease (12)</w:t>
            </w:r>
          </w:p>
        </w:tc>
      </w:tr>
      <w:tr>
        <w:trPr>
          <w:trHeight w:val="101"/>
        </w:trPr>
        <w:tc>
          <w:tcPr>
            <w:tcW w:w="2020" w:type="dxa"/>
            <w:vAlign w:val="bottom"/>
          </w:tcPr>
          <w:p>
            <w:pPr>
              <w:spacing w:after="0"/>
              <w:rPr>
                <w:sz w:val="8"/>
                <w:szCs w:val="8"/>
                <w:color w:val="auto"/>
              </w:rPr>
            </w:pPr>
          </w:p>
        </w:tc>
        <w:tc>
          <w:tcPr>
            <w:tcW w:w="1760" w:type="dxa"/>
            <w:vAlign w:val="bottom"/>
          </w:tcPr>
          <w:p>
            <w:pPr>
              <w:spacing w:after="0"/>
              <w:rPr>
                <w:sz w:val="8"/>
                <w:szCs w:val="8"/>
                <w:color w:val="auto"/>
              </w:rPr>
            </w:pPr>
          </w:p>
        </w:tc>
        <w:tc>
          <w:tcPr>
            <w:tcW w:w="880" w:type="dxa"/>
            <w:vAlign w:val="bottom"/>
          </w:tcPr>
          <w:p>
            <w:pPr>
              <w:spacing w:after="0"/>
              <w:rPr>
                <w:sz w:val="8"/>
                <w:szCs w:val="8"/>
                <w:color w:val="auto"/>
              </w:rPr>
            </w:pPr>
          </w:p>
        </w:tc>
        <w:tc>
          <w:tcPr>
            <w:tcW w:w="720" w:type="dxa"/>
            <w:vAlign w:val="bottom"/>
          </w:tcPr>
          <w:p>
            <w:pPr>
              <w:spacing w:after="0"/>
              <w:rPr>
                <w:sz w:val="8"/>
                <w:szCs w:val="8"/>
                <w:color w:val="auto"/>
              </w:rPr>
            </w:pPr>
          </w:p>
        </w:tc>
        <w:tc>
          <w:tcPr>
            <w:tcW w:w="8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500" w:type="dxa"/>
            <w:vAlign w:val="bottom"/>
          </w:tcPr>
          <w:p>
            <w:pPr>
              <w:spacing w:after="0"/>
              <w:rPr>
                <w:sz w:val="8"/>
                <w:szCs w:val="8"/>
                <w:color w:val="auto"/>
              </w:rPr>
            </w:pPr>
          </w:p>
        </w:tc>
      </w:tr>
      <w:tr>
        <w:trPr>
          <w:trHeight w:val="169"/>
        </w:trPr>
        <w:tc>
          <w:tcPr>
            <w:tcW w:w="2020" w:type="dxa"/>
            <w:vAlign w:val="bottom"/>
            <w:shd w:val="clear" w:color="auto" w:fill="CCEEFF"/>
          </w:tcPr>
          <w:p>
            <w:pPr>
              <w:spacing w:after="0"/>
              <w:rPr>
                <w:sz w:val="14"/>
                <w:szCs w:val="14"/>
                <w:color w:val="auto"/>
              </w:rPr>
            </w:pPr>
          </w:p>
        </w:tc>
        <w:tc>
          <w:tcPr>
            <w:tcW w:w="1760" w:type="dxa"/>
            <w:vAlign w:val="bottom"/>
            <w:shd w:val="clear" w:color="auto" w:fill="CCEEFF"/>
          </w:tcPr>
          <w:p>
            <w:pPr>
              <w:spacing w:after="0"/>
              <w:rPr>
                <w:sz w:val="14"/>
                <w:szCs w:val="14"/>
                <w:color w:val="auto"/>
              </w:rPr>
            </w:pPr>
          </w:p>
        </w:tc>
        <w:tc>
          <w:tcPr>
            <w:tcW w:w="880" w:type="dxa"/>
            <w:vAlign w:val="bottom"/>
            <w:shd w:val="clear" w:color="auto" w:fill="CCEEFF"/>
          </w:tcPr>
          <w:p>
            <w:pPr>
              <w:ind w:left="480"/>
              <w:spacing w:after="0"/>
              <w:rPr>
                <w:sz w:val="20"/>
                <w:szCs w:val="20"/>
                <w:color w:val="auto"/>
              </w:rPr>
            </w:pPr>
            <w:r>
              <w:rPr>
                <w:rFonts w:ascii="Arial" w:cs="Arial" w:eastAsia="Arial" w:hAnsi="Arial"/>
                <w:sz w:val="12"/>
                <w:szCs w:val="12"/>
                <w:color w:val="auto"/>
                <w:w w:val="86"/>
              </w:rPr>
              <w:t>Ages 61</w:t>
            </w:r>
          </w:p>
        </w:tc>
        <w:tc>
          <w:tcPr>
            <w:tcW w:w="720" w:type="dxa"/>
            <w:vAlign w:val="bottom"/>
            <w:shd w:val="clear" w:color="auto" w:fill="CCEEFF"/>
          </w:tcPr>
          <w:p>
            <w:pPr>
              <w:ind w:left="20"/>
              <w:spacing w:after="0"/>
              <w:rPr>
                <w:sz w:val="20"/>
                <w:szCs w:val="20"/>
                <w:color w:val="auto"/>
              </w:rPr>
            </w:pPr>
            <w:r>
              <w:rPr>
                <w:rFonts w:ascii="Arial" w:cs="Arial" w:eastAsia="Arial" w:hAnsi="Arial"/>
                <w:sz w:val="12"/>
                <w:szCs w:val="12"/>
                <w:color w:val="auto"/>
              </w:rPr>
              <w:t>- 115</w:t>
            </w:r>
          </w:p>
        </w:tc>
        <w:tc>
          <w:tcPr>
            <w:tcW w:w="880" w:type="dxa"/>
            <w:vAlign w:val="bottom"/>
            <w:shd w:val="clear" w:color="auto" w:fill="CCEEFF"/>
          </w:tcPr>
          <w:p>
            <w:pPr>
              <w:jc w:val="center"/>
              <w:ind w:left="322"/>
              <w:spacing w:after="0"/>
              <w:rPr>
                <w:sz w:val="20"/>
                <w:szCs w:val="20"/>
                <w:color w:val="auto"/>
              </w:rPr>
            </w:pPr>
            <w:r>
              <w:rPr>
                <w:rFonts w:ascii="Arial" w:cs="Arial" w:eastAsia="Arial" w:hAnsi="Arial"/>
                <w:sz w:val="12"/>
                <w:szCs w:val="12"/>
                <w:color w:val="auto"/>
                <w:w w:val="88"/>
              </w:rPr>
              <w:t>0.26%</w:t>
            </w:r>
          </w:p>
        </w:tc>
        <w:tc>
          <w:tcPr>
            <w:tcW w:w="240" w:type="dxa"/>
            <w:vAlign w:val="bottom"/>
            <w:shd w:val="clear" w:color="auto" w:fill="CCEEFF"/>
          </w:tcPr>
          <w:p>
            <w:pPr>
              <w:jc w:val="right"/>
              <w:ind w:right="22"/>
              <w:spacing w:after="0"/>
              <w:rPr>
                <w:sz w:val="20"/>
                <w:szCs w:val="20"/>
                <w:color w:val="auto"/>
              </w:rPr>
            </w:pPr>
            <w:r>
              <w:rPr>
                <w:rFonts w:ascii="Arial" w:cs="Arial" w:eastAsia="Arial" w:hAnsi="Arial"/>
                <w:sz w:val="12"/>
                <w:szCs w:val="12"/>
                <w:color w:val="auto"/>
              </w:rPr>
              <w:t>-</w:t>
            </w:r>
          </w:p>
        </w:tc>
        <w:tc>
          <w:tcPr>
            <w:tcW w:w="1060" w:type="dxa"/>
            <w:vAlign w:val="bottom"/>
            <w:shd w:val="clear" w:color="auto" w:fill="CCEEFF"/>
          </w:tcPr>
          <w:p>
            <w:pPr>
              <w:jc w:val="center"/>
              <w:ind w:right="522"/>
              <w:spacing w:after="0"/>
              <w:rPr>
                <w:sz w:val="20"/>
                <w:szCs w:val="20"/>
                <w:color w:val="auto"/>
              </w:rPr>
            </w:pPr>
            <w:r>
              <w:rPr>
                <w:rFonts w:ascii="Arial" w:cs="Arial" w:eastAsia="Arial" w:hAnsi="Arial"/>
                <w:sz w:val="12"/>
                <w:szCs w:val="12"/>
                <w:color w:val="auto"/>
                <w:w w:val="91"/>
              </w:rPr>
              <w:t>100%</w:t>
            </w:r>
          </w:p>
        </w:tc>
        <w:tc>
          <w:tcPr>
            <w:tcW w:w="1060" w:type="dxa"/>
            <w:vAlign w:val="bottom"/>
            <w:shd w:val="clear" w:color="auto" w:fill="CCEEFF"/>
          </w:tcPr>
          <w:p>
            <w:pPr>
              <w:jc w:val="center"/>
              <w:ind w:left="502"/>
              <w:spacing w:after="0"/>
              <w:rPr>
                <w:sz w:val="20"/>
                <w:szCs w:val="20"/>
                <w:color w:val="auto"/>
              </w:rPr>
            </w:pPr>
            <w:r>
              <w:rPr>
                <w:rFonts w:ascii="Arial" w:cs="Arial" w:eastAsia="Arial" w:hAnsi="Arial"/>
                <w:sz w:val="12"/>
                <w:szCs w:val="12"/>
                <w:color w:val="auto"/>
                <w:w w:val="88"/>
              </w:rPr>
              <w:t>0.26%</w:t>
            </w:r>
          </w:p>
        </w:tc>
        <w:tc>
          <w:tcPr>
            <w:tcW w:w="240" w:type="dxa"/>
            <w:vAlign w:val="bottom"/>
            <w:shd w:val="clear" w:color="auto" w:fill="CCEEFF"/>
          </w:tcPr>
          <w:p>
            <w:pPr>
              <w:jc w:val="right"/>
              <w:ind w:right="22"/>
              <w:spacing w:after="0"/>
              <w:rPr>
                <w:sz w:val="20"/>
                <w:szCs w:val="20"/>
                <w:color w:val="auto"/>
              </w:rPr>
            </w:pPr>
            <w:r>
              <w:rPr>
                <w:rFonts w:ascii="Arial" w:cs="Arial" w:eastAsia="Arial" w:hAnsi="Arial"/>
                <w:sz w:val="12"/>
                <w:szCs w:val="12"/>
                <w:color w:val="auto"/>
              </w:rPr>
              <w:t>-</w:t>
            </w:r>
          </w:p>
        </w:tc>
        <w:tc>
          <w:tcPr>
            <w:tcW w:w="1060" w:type="dxa"/>
            <w:vAlign w:val="bottom"/>
            <w:shd w:val="clear" w:color="auto" w:fill="CCEEFF"/>
          </w:tcPr>
          <w:p>
            <w:pPr>
              <w:jc w:val="center"/>
              <w:ind w:right="522"/>
              <w:spacing w:after="0"/>
              <w:rPr>
                <w:sz w:val="20"/>
                <w:szCs w:val="20"/>
                <w:color w:val="auto"/>
              </w:rPr>
            </w:pPr>
            <w:r>
              <w:rPr>
                <w:rFonts w:ascii="Arial" w:cs="Arial" w:eastAsia="Arial" w:hAnsi="Arial"/>
                <w:sz w:val="12"/>
                <w:szCs w:val="12"/>
                <w:color w:val="auto"/>
                <w:w w:val="91"/>
              </w:rPr>
              <w:t>100%</w:t>
            </w:r>
          </w:p>
        </w:tc>
        <w:tc>
          <w:tcPr>
            <w:tcW w:w="1500" w:type="dxa"/>
            <w:vAlign w:val="bottom"/>
            <w:shd w:val="clear" w:color="auto" w:fill="CCEEFF"/>
          </w:tcPr>
          <w:p>
            <w:pPr>
              <w:ind w:left="660"/>
              <w:spacing w:after="0"/>
              <w:rPr>
                <w:sz w:val="20"/>
                <w:szCs w:val="20"/>
                <w:color w:val="auto"/>
              </w:rPr>
            </w:pPr>
            <w:r>
              <w:rPr>
                <w:rFonts w:ascii="Arial" w:cs="Arial" w:eastAsia="Arial" w:hAnsi="Arial"/>
                <w:sz w:val="12"/>
                <w:szCs w:val="12"/>
                <w:color w:val="auto"/>
              </w:rPr>
              <w:t>Decrease (12)</w:t>
            </w:r>
          </w:p>
        </w:tc>
      </w:tr>
      <w:tr>
        <w:trPr>
          <w:trHeight w:val="101"/>
        </w:trPr>
        <w:tc>
          <w:tcPr>
            <w:tcW w:w="2020" w:type="dxa"/>
            <w:vAlign w:val="bottom"/>
            <w:shd w:val="clear" w:color="auto" w:fill="CCEEFF"/>
          </w:tcPr>
          <w:p>
            <w:pPr>
              <w:spacing w:after="0"/>
              <w:rPr>
                <w:sz w:val="8"/>
                <w:szCs w:val="8"/>
                <w:color w:val="auto"/>
              </w:rPr>
            </w:pPr>
          </w:p>
        </w:tc>
        <w:tc>
          <w:tcPr>
            <w:tcW w:w="1760" w:type="dxa"/>
            <w:vAlign w:val="bottom"/>
            <w:shd w:val="clear" w:color="auto" w:fill="CCEEFF"/>
          </w:tcPr>
          <w:p>
            <w:pPr>
              <w:spacing w:after="0"/>
              <w:rPr>
                <w:sz w:val="8"/>
                <w:szCs w:val="8"/>
                <w:color w:val="auto"/>
              </w:rPr>
            </w:pPr>
          </w:p>
        </w:tc>
        <w:tc>
          <w:tcPr>
            <w:tcW w:w="880" w:type="dxa"/>
            <w:vAlign w:val="bottom"/>
            <w:shd w:val="clear" w:color="auto" w:fill="CCEEFF"/>
          </w:tcPr>
          <w:p>
            <w:pPr>
              <w:spacing w:after="0"/>
              <w:rPr>
                <w:sz w:val="8"/>
                <w:szCs w:val="8"/>
                <w:color w:val="auto"/>
              </w:rPr>
            </w:pPr>
          </w:p>
        </w:tc>
        <w:tc>
          <w:tcPr>
            <w:tcW w:w="720" w:type="dxa"/>
            <w:vAlign w:val="bottom"/>
            <w:shd w:val="clear" w:color="auto" w:fill="CCEEFF"/>
          </w:tcPr>
          <w:p>
            <w:pPr>
              <w:spacing w:after="0"/>
              <w:rPr>
                <w:sz w:val="8"/>
                <w:szCs w:val="8"/>
                <w:color w:val="auto"/>
              </w:rPr>
            </w:pPr>
          </w:p>
        </w:tc>
        <w:tc>
          <w:tcPr>
            <w:tcW w:w="88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1060" w:type="dxa"/>
            <w:vAlign w:val="bottom"/>
            <w:shd w:val="clear" w:color="auto" w:fill="CCEEFF"/>
          </w:tcPr>
          <w:p>
            <w:pPr>
              <w:spacing w:after="0"/>
              <w:rPr>
                <w:sz w:val="8"/>
                <w:szCs w:val="8"/>
                <w:color w:val="auto"/>
              </w:rPr>
            </w:pPr>
          </w:p>
        </w:tc>
        <w:tc>
          <w:tcPr>
            <w:tcW w:w="106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1060" w:type="dxa"/>
            <w:vAlign w:val="bottom"/>
            <w:shd w:val="clear" w:color="auto" w:fill="CCEEFF"/>
          </w:tcPr>
          <w:p>
            <w:pPr>
              <w:spacing w:after="0"/>
              <w:rPr>
                <w:sz w:val="8"/>
                <w:szCs w:val="8"/>
                <w:color w:val="auto"/>
              </w:rPr>
            </w:pPr>
          </w:p>
        </w:tc>
        <w:tc>
          <w:tcPr>
            <w:tcW w:w="1500" w:type="dxa"/>
            <w:vAlign w:val="bottom"/>
            <w:shd w:val="clear" w:color="auto" w:fill="CCEEFF"/>
          </w:tcPr>
          <w:p>
            <w:pPr>
              <w:spacing w:after="0"/>
              <w:rPr>
                <w:sz w:val="8"/>
                <w:szCs w:val="8"/>
                <w:color w:val="auto"/>
              </w:rPr>
            </w:pPr>
          </w:p>
        </w:tc>
      </w:tr>
    </w:tbl>
    <w:p>
      <w:pPr>
        <w:spacing w:after="0" w:line="21" w:lineRule="exact"/>
        <w:rPr>
          <w:sz w:val="20"/>
          <w:szCs w:val="20"/>
          <w:color w:val="auto"/>
        </w:rPr>
      </w:pPr>
    </w:p>
    <w:p>
      <w:pPr>
        <w:ind w:left="4120" w:hanging="148"/>
        <w:spacing w:after="0"/>
        <w:tabs>
          <w:tab w:leader="none" w:pos="4120" w:val="left"/>
        </w:tabs>
        <w:numPr>
          <w:ilvl w:val="0"/>
          <w:numId w:val="34"/>
        </w:numPr>
        <w:rPr>
          <w:rFonts w:ascii="Arial" w:cs="Arial" w:eastAsia="Arial" w:hAnsi="Arial"/>
          <w:sz w:val="12"/>
          <w:szCs w:val="12"/>
          <w:b w:val="1"/>
          <w:bCs w:val="1"/>
          <w:color w:val="auto"/>
        </w:rPr>
      </w:pPr>
      <w:r>
        <w:rPr>
          <w:rFonts w:ascii="Arial" w:cs="Arial" w:eastAsia="Arial" w:hAnsi="Arial"/>
          <w:sz w:val="12"/>
          <w:szCs w:val="12"/>
          <w:color w:val="auto"/>
        </w:rPr>
        <w:t>Lapse rates:</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4060" w:type="dxa"/>
            <w:vAlign w:val="bottom"/>
            <w:shd w:val="clear" w:color="auto" w:fill="CCEEFF"/>
          </w:tcPr>
          <w:p>
            <w:pPr>
              <w:spacing w:after="0"/>
              <w:rPr>
                <w:sz w:val="14"/>
                <w:szCs w:val="14"/>
                <w:color w:val="auto"/>
              </w:rPr>
            </w:pPr>
          </w:p>
        </w:tc>
        <w:tc>
          <w:tcPr>
            <w:tcW w:w="1580" w:type="dxa"/>
            <w:vAlign w:val="bottom"/>
            <w:shd w:val="clear" w:color="auto" w:fill="CCEEFF"/>
          </w:tcPr>
          <w:p>
            <w:pPr>
              <w:ind w:left="200"/>
              <w:spacing w:after="0"/>
              <w:rPr>
                <w:sz w:val="20"/>
                <w:szCs w:val="20"/>
                <w:color w:val="auto"/>
              </w:rPr>
            </w:pPr>
            <w:r>
              <w:rPr>
                <w:rFonts w:ascii="Arial" w:cs="Arial" w:eastAsia="Arial" w:hAnsi="Arial"/>
                <w:sz w:val="12"/>
                <w:szCs w:val="12"/>
                <w:color w:val="auto"/>
              </w:rPr>
              <w:t>Durations 1 - 10</w:t>
            </w:r>
          </w:p>
        </w:tc>
        <w:tc>
          <w:tcPr>
            <w:tcW w:w="640" w:type="dxa"/>
            <w:vAlign w:val="bottom"/>
            <w:shd w:val="clear" w:color="auto" w:fill="CCEEFF"/>
          </w:tcPr>
          <w:p>
            <w:pPr>
              <w:jc w:val="center"/>
              <w:ind w:left="42"/>
              <w:spacing w:after="0"/>
              <w:rPr>
                <w:sz w:val="20"/>
                <w:szCs w:val="20"/>
                <w:color w:val="auto"/>
              </w:rPr>
            </w:pPr>
            <w:r>
              <w:rPr>
                <w:rFonts w:ascii="Arial" w:cs="Arial" w:eastAsia="Arial" w:hAnsi="Arial"/>
                <w:sz w:val="12"/>
                <w:szCs w:val="12"/>
                <w:color w:val="auto"/>
                <w:w w:val="88"/>
              </w:rPr>
              <w:t>0.25%</w:t>
            </w:r>
          </w:p>
        </w:tc>
        <w:tc>
          <w:tcPr>
            <w:tcW w:w="220" w:type="dxa"/>
            <w:vAlign w:val="bottom"/>
            <w:shd w:val="clear" w:color="auto" w:fill="CCEEFF"/>
          </w:tcPr>
          <w:p>
            <w:pPr>
              <w:jc w:val="right"/>
              <w:ind w:right="22"/>
              <w:spacing w:after="0"/>
              <w:rPr>
                <w:sz w:val="20"/>
                <w:szCs w:val="20"/>
                <w:color w:val="auto"/>
              </w:rPr>
            </w:pPr>
            <w:r>
              <w:rPr>
                <w:rFonts w:ascii="Arial" w:cs="Arial" w:eastAsia="Arial" w:hAnsi="Arial"/>
                <w:sz w:val="12"/>
                <w:szCs w:val="12"/>
                <w:color w:val="auto"/>
              </w:rPr>
              <w:t>-</w:t>
            </w:r>
          </w:p>
        </w:tc>
        <w:tc>
          <w:tcPr>
            <w:tcW w:w="1040" w:type="dxa"/>
            <w:vAlign w:val="bottom"/>
            <w:shd w:val="clear" w:color="auto" w:fill="CCEEFF"/>
          </w:tcPr>
          <w:p>
            <w:pPr>
              <w:jc w:val="center"/>
              <w:ind w:right="502"/>
              <w:spacing w:after="0"/>
              <w:rPr>
                <w:sz w:val="20"/>
                <w:szCs w:val="20"/>
                <w:color w:val="auto"/>
              </w:rPr>
            </w:pPr>
            <w:r>
              <w:rPr>
                <w:rFonts w:ascii="Arial" w:cs="Arial" w:eastAsia="Arial" w:hAnsi="Arial"/>
                <w:sz w:val="12"/>
                <w:szCs w:val="12"/>
                <w:color w:val="auto"/>
                <w:w w:val="91"/>
              </w:rPr>
              <w:t>100%</w:t>
            </w:r>
          </w:p>
        </w:tc>
        <w:tc>
          <w:tcPr>
            <w:tcW w:w="1100" w:type="dxa"/>
            <w:vAlign w:val="bottom"/>
            <w:shd w:val="clear" w:color="auto" w:fill="CCEEFF"/>
          </w:tcPr>
          <w:p>
            <w:pPr>
              <w:jc w:val="center"/>
              <w:ind w:left="502"/>
              <w:spacing w:after="0"/>
              <w:rPr>
                <w:sz w:val="20"/>
                <w:szCs w:val="20"/>
                <w:color w:val="auto"/>
              </w:rPr>
            </w:pPr>
            <w:r>
              <w:rPr>
                <w:rFonts w:ascii="Arial" w:cs="Arial" w:eastAsia="Arial" w:hAnsi="Arial"/>
                <w:sz w:val="12"/>
                <w:szCs w:val="12"/>
                <w:color w:val="auto"/>
                <w:w w:val="88"/>
              </w:rPr>
              <w:t>0.25%</w:t>
            </w:r>
          </w:p>
        </w:tc>
        <w:tc>
          <w:tcPr>
            <w:tcW w:w="220" w:type="dxa"/>
            <w:vAlign w:val="bottom"/>
            <w:shd w:val="clear" w:color="auto" w:fill="CCEEFF"/>
          </w:tcPr>
          <w:p>
            <w:pPr>
              <w:jc w:val="right"/>
              <w:ind w:right="22"/>
              <w:spacing w:after="0"/>
              <w:rPr>
                <w:sz w:val="20"/>
                <w:szCs w:val="20"/>
                <w:color w:val="auto"/>
              </w:rPr>
            </w:pPr>
            <w:r>
              <w:rPr>
                <w:rFonts w:ascii="Arial" w:cs="Arial" w:eastAsia="Arial" w:hAnsi="Arial"/>
                <w:sz w:val="12"/>
                <w:szCs w:val="12"/>
                <w:color w:val="auto"/>
              </w:rPr>
              <w:t>-</w:t>
            </w:r>
          </w:p>
        </w:tc>
        <w:tc>
          <w:tcPr>
            <w:tcW w:w="1060" w:type="dxa"/>
            <w:vAlign w:val="bottom"/>
            <w:shd w:val="clear" w:color="auto" w:fill="CCEEFF"/>
          </w:tcPr>
          <w:p>
            <w:pPr>
              <w:jc w:val="center"/>
              <w:ind w:right="522"/>
              <w:spacing w:after="0"/>
              <w:rPr>
                <w:sz w:val="20"/>
                <w:szCs w:val="20"/>
                <w:color w:val="auto"/>
              </w:rPr>
            </w:pPr>
            <w:r>
              <w:rPr>
                <w:rFonts w:ascii="Arial" w:cs="Arial" w:eastAsia="Arial" w:hAnsi="Arial"/>
                <w:sz w:val="12"/>
                <w:szCs w:val="12"/>
                <w:color w:val="auto"/>
                <w:w w:val="91"/>
              </w:rPr>
              <w:t>100%</w:t>
            </w:r>
          </w:p>
        </w:tc>
        <w:tc>
          <w:tcPr>
            <w:tcW w:w="1500" w:type="dxa"/>
            <w:vAlign w:val="bottom"/>
            <w:shd w:val="clear" w:color="auto" w:fill="CCEEFF"/>
          </w:tcPr>
          <w:p>
            <w:pPr>
              <w:jc w:val="center"/>
              <w:ind w:left="422"/>
              <w:spacing w:after="0"/>
              <w:rPr>
                <w:sz w:val="20"/>
                <w:szCs w:val="20"/>
                <w:color w:val="auto"/>
              </w:rPr>
            </w:pPr>
            <w:r>
              <w:rPr>
                <w:rFonts w:ascii="Arial" w:cs="Arial" w:eastAsia="Arial" w:hAnsi="Arial"/>
                <w:sz w:val="12"/>
                <w:szCs w:val="12"/>
                <w:color w:val="auto"/>
                <w:w w:val="86"/>
              </w:rPr>
              <w:t>Decrease (13)</w:t>
            </w:r>
          </w:p>
        </w:tc>
      </w:tr>
      <w:tr>
        <w:trPr>
          <w:trHeight w:val="101"/>
        </w:trPr>
        <w:tc>
          <w:tcPr>
            <w:tcW w:w="4060" w:type="dxa"/>
            <w:vAlign w:val="bottom"/>
            <w:shd w:val="clear" w:color="auto" w:fill="CCEEFF"/>
          </w:tcPr>
          <w:p>
            <w:pPr>
              <w:spacing w:after="0"/>
              <w:rPr>
                <w:sz w:val="8"/>
                <w:szCs w:val="8"/>
                <w:color w:val="auto"/>
              </w:rPr>
            </w:pPr>
          </w:p>
        </w:tc>
        <w:tc>
          <w:tcPr>
            <w:tcW w:w="158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1040" w:type="dxa"/>
            <w:vAlign w:val="bottom"/>
            <w:shd w:val="clear" w:color="auto" w:fill="CCEEFF"/>
          </w:tcPr>
          <w:p>
            <w:pPr>
              <w:spacing w:after="0"/>
              <w:rPr>
                <w:sz w:val="8"/>
                <w:szCs w:val="8"/>
                <w:color w:val="auto"/>
              </w:rPr>
            </w:pPr>
          </w:p>
        </w:tc>
        <w:tc>
          <w:tcPr>
            <w:tcW w:w="110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1060" w:type="dxa"/>
            <w:vAlign w:val="bottom"/>
            <w:shd w:val="clear" w:color="auto" w:fill="CCEEFF"/>
          </w:tcPr>
          <w:p>
            <w:pPr>
              <w:spacing w:after="0"/>
              <w:rPr>
                <w:sz w:val="8"/>
                <w:szCs w:val="8"/>
                <w:color w:val="auto"/>
              </w:rPr>
            </w:pPr>
          </w:p>
        </w:tc>
        <w:tc>
          <w:tcPr>
            <w:tcW w:w="1500" w:type="dxa"/>
            <w:vAlign w:val="bottom"/>
            <w:shd w:val="clear" w:color="auto" w:fill="CCEEFF"/>
          </w:tcPr>
          <w:p>
            <w:pPr>
              <w:spacing w:after="0"/>
              <w:rPr>
                <w:sz w:val="8"/>
                <w:szCs w:val="8"/>
                <w:color w:val="auto"/>
              </w:rPr>
            </w:pPr>
          </w:p>
        </w:tc>
      </w:tr>
      <w:tr>
        <w:trPr>
          <w:trHeight w:val="169"/>
        </w:trPr>
        <w:tc>
          <w:tcPr>
            <w:tcW w:w="4060" w:type="dxa"/>
            <w:vAlign w:val="bottom"/>
          </w:tcPr>
          <w:p>
            <w:pPr>
              <w:spacing w:after="0"/>
              <w:rPr>
                <w:sz w:val="14"/>
                <w:szCs w:val="14"/>
                <w:color w:val="auto"/>
              </w:rPr>
            </w:pPr>
          </w:p>
        </w:tc>
        <w:tc>
          <w:tcPr>
            <w:tcW w:w="1580" w:type="dxa"/>
            <w:vAlign w:val="bottom"/>
          </w:tcPr>
          <w:p>
            <w:pPr>
              <w:ind w:left="200"/>
              <w:spacing w:after="0"/>
              <w:rPr>
                <w:sz w:val="20"/>
                <w:szCs w:val="20"/>
                <w:color w:val="auto"/>
              </w:rPr>
            </w:pPr>
            <w:r>
              <w:rPr>
                <w:rFonts w:ascii="Arial" w:cs="Arial" w:eastAsia="Arial" w:hAnsi="Arial"/>
                <w:sz w:val="12"/>
                <w:szCs w:val="12"/>
                <w:color w:val="auto"/>
              </w:rPr>
              <w:t>Durations 11 - 20</w:t>
            </w:r>
          </w:p>
        </w:tc>
        <w:tc>
          <w:tcPr>
            <w:tcW w:w="640" w:type="dxa"/>
            <w:vAlign w:val="bottom"/>
          </w:tcPr>
          <w:p>
            <w:pPr>
              <w:jc w:val="center"/>
              <w:ind w:left="22"/>
              <w:spacing w:after="0"/>
              <w:rPr>
                <w:sz w:val="20"/>
                <w:szCs w:val="20"/>
                <w:color w:val="auto"/>
              </w:rPr>
            </w:pPr>
            <w:r>
              <w:rPr>
                <w:rFonts w:ascii="Arial" w:cs="Arial" w:eastAsia="Arial" w:hAnsi="Arial"/>
                <w:sz w:val="12"/>
                <w:szCs w:val="12"/>
                <w:color w:val="auto"/>
                <w:w w:val="91"/>
              </w:rPr>
              <w:t>2%</w:t>
            </w:r>
          </w:p>
        </w:tc>
        <w:tc>
          <w:tcPr>
            <w:tcW w:w="220" w:type="dxa"/>
            <w:vAlign w:val="bottom"/>
          </w:tcPr>
          <w:p>
            <w:pPr>
              <w:jc w:val="right"/>
              <w:ind w:right="22"/>
              <w:spacing w:after="0"/>
              <w:rPr>
                <w:sz w:val="20"/>
                <w:szCs w:val="20"/>
                <w:color w:val="auto"/>
              </w:rPr>
            </w:pPr>
            <w:r>
              <w:rPr>
                <w:rFonts w:ascii="Arial" w:cs="Arial" w:eastAsia="Arial" w:hAnsi="Arial"/>
                <w:sz w:val="12"/>
                <w:szCs w:val="12"/>
                <w:color w:val="auto"/>
              </w:rPr>
              <w:t>-</w:t>
            </w:r>
          </w:p>
        </w:tc>
        <w:tc>
          <w:tcPr>
            <w:tcW w:w="1040" w:type="dxa"/>
            <w:vAlign w:val="bottom"/>
          </w:tcPr>
          <w:p>
            <w:pPr>
              <w:jc w:val="center"/>
              <w:ind w:right="502"/>
              <w:spacing w:after="0"/>
              <w:rPr>
                <w:sz w:val="20"/>
                <w:szCs w:val="20"/>
                <w:color w:val="auto"/>
              </w:rPr>
            </w:pPr>
            <w:r>
              <w:rPr>
                <w:rFonts w:ascii="Arial" w:cs="Arial" w:eastAsia="Arial" w:hAnsi="Arial"/>
                <w:sz w:val="12"/>
                <w:szCs w:val="12"/>
                <w:color w:val="auto"/>
                <w:w w:val="91"/>
              </w:rPr>
              <w:t>100%</w:t>
            </w:r>
          </w:p>
        </w:tc>
        <w:tc>
          <w:tcPr>
            <w:tcW w:w="1100" w:type="dxa"/>
            <w:vAlign w:val="bottom"/>
          </w:tcPr>
          <w:p>
            <w:pPr>
              <w:jc w:val="center"/>
              <w:ind w:left="502"/>
              <w:spacing w:after="0"/>
              <w:rPr>
                <w:sz w:val="20"/>
                <w:szCs w:val="20"/>
                <w:color w:val="auto"/>
              </w:rPr>
            </w:pPr>
            <w:r>
              <w:rPr>
                <w:rFonts w:ascii="Arial" w:cs="Arial" w:eastAsia="Arial" w:hAnsi="Arial"/>
                <w:sz w:val="12"/>
                <w:szCs w:val="12"/>
                <w:color w:val="auto"/>
                <w:w w:val="80"/>
              </w:rPr>
              <w:t>2%</w:t>
            </w:r>
          </w:p>
        </w:tc>
        <w:tc>
          <w:tcPr>
            <w:tcW w:w="220" w:type="dxa"/>
            <w:vAlign w:val="bottom"/>
          </w:tcPr>
          <w:p>
            <w:pPr>
              <w:jc w:val="right"/>
              <w:ind w:right="22"/>
              <w:spacing w:after="0"/>
              <w:rPr>
                <w:sz w:val="20"/>
                <w:szCs w:val="20"/>
                <w:color w:val="auto"/>
              </w:rPr>
            </w:pPr>
            <w:r>
              <w:rPr>
                <w:rFonts w:ascii="Arial" w:cs="Arial" w:eastAsia="Arial" w:hAnsi="Arial"/>
                <w:sz w:val="12"/>
                <w:szCs w:val="12"/>
                <w:color w:val="auto"/>
              </w:rPr>
              <w:t>-</w:t>
            </w:r>
          </w:p>
        </w:tc>
        <w:tc>
          <w:tcPr>
            <w:tcW w:w="1060" w:type="dxa"/>
            <w:vAlign w:val="bottom"/>
          </w:tcPr>
          <w:p>
            <w:pPr>
              <w:jc w:val="center"/>
              <w:ind w:right="522"/>
              <w:spacing w:after="0"/>
              <w:rPr>
                <w:sz w:val="20"/>
                <w:szCs w:val="20"/>
                <w:color w:val="auto"/>
              </w:rPr>
            </w:pPr>
            <w:r>
              <w:rPr>
                <w:rFonts w:ascii="Arial" w:cs="Arial" w:eastAsia="Arial" w:hAnsi="Arial"/>
                <w:sz w:val="12"/>
                <w:szCs w:val="12"/>
                <w:color w:val="auto"/>
                <w:w w:val="91"/>
              </w:rPr>
              <w:t>100%</w:t>
            </w:r>
          </w:p>
        </w:tc>
        <w:tc>
          <w:tcPr>
            <w:tcW w:w="1500" w:type="dxa"/>
            <w:vAlign w:val="bottom"/>
          </w:tcPr>
          <w:p>
            <w:pPr>
              <w:jc w:val="center"/>
              <w:ind w:left="422"/>
              <w:spacing w:after="0"/>
              <w:rPr>
                <w:sz w:val="20"/>
                <w:szCs w:val="20"/>
                <w:color w:val="auto"/>
              </w:rPr>
            </w:pPr>
            <w:r>
              <w:rPr>
                <w:rFonts w:ascii="Arial" w:cs="Arial" w:eastAsia="Arial" w:hAnsi="Arial"/>
                <w:sz w:val="12"/>
                <w:szCs w:val="12"/>
                <w:color w:val="auto"/>
                <w:w w:val="86"/>
              </w:rPr>
              <w:t>Decrease (13)</w:t>
            </w:r>
          </w:p>
        </w:tc>
      </w:tr>
      <w:tr>
        <w:trPr>
          <w:trHeight w:val="101"/>
        </w:trPr>
        <w:tc>
          <w:tcPr>
            <w:tcW w:w="4060" w:type="dxa"/>
            <w:vAlign w:val="bottom"/>
          </w:tcPr>
          <w:p>
            <w:pPr>
              <w:spacing w:after="0"/>
              <w:rPr>
                <w:sz w:val="8"/>
                <w:szCs w:val="8"/>
                <w:color w:val="auto"/>
              </w:rPr>
            </w:pPr>
          </w:p>
        </w:tc>
        <w:tc>
          <w:tcPr>
            <w:tcW w:w="15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500" w:type="dxa"/>
            <w:vAlign w:val="bottom"/>
          </w:tcPr>
          <w:p>
            <w:pPr>
              <w:spacing w:after="0"/>
              <w:rPr>
                <w:sz w:val="8"/>
                <w:szCs w:val="8"/>
                <w:color w:val="auto"/>
              </w:rPr>
            </w:pPr>
          </w:p>
        </w:tc>
      </w:tr>
      <w:tr>
        <w:trPr>
          <w:trHeight w:val="169"/>
        </w:trPr>
        <w:tc>
          <w:tcPr>
            <w:tcW w:w="4060" w:type="dxa"/>
            <w:vAlign w:val="bottom"/>
            <w:shd w:val="clear" w:color="auto" w:fill="CCEEFF"/>
          </w:tcPr>
          <w:p>
            <w:pPr>
              <w:spacing w:after="0"/>
              <w:rPr>
                <w:sz w:val="14"/>
                <w:szCs w:val="14"/>
                <w:color w:val="auto"/>
              </w:rPr>
            </w:pPr>
          </w:p>
        </w:tc>
        <w:tc>
          <w:tcPr>
            <w:tcW w:w="1580" w:type="dxa"/>
            <w:vAlign w:val="bottom"/>
            <w:shd w:val="clear" w:color="auto" w:fill="CCEEFF"/>
          </w:tcPr>
          <w:p>
            <w:pPr>
              <w:ind w:left="200"/>
              <w:spacing w:after="0"/>
              <w:rPr>
                <w:sz w:val="20"/>
                <w:szCs w:val="20"/>
                <w:color w:val="auto"/>
              </w:rPr>
            </w:pPr>
            <w:r>
              <w:rPr>
                <w:rFonts w:ascii="Arial" w:cs="Arial" w:eastAsia="Arial" w:hAnsi="Arial"/>
                <w:sz w:val="12"/>
                <w:szCs w:val="12"/>
                <w:color w:val="auto"/>
              </w:rPr>
              <w:t>Durations 21 - 116</w:t>
            </w:r>
          </w:p>
        </w:tc>
        <w:tc>
          <w:tcPr>
            <w:tcW w:w="640" w:type="dxa"/>
            <w:vAlign w:val="bottom"/>
            <w:shd w:val="clear" w:color="auto" w:fill="CCEEFF"/>
          </w:tcPr>
          <w:p>
            <w:pPr>
              <w:jc w:val="center"/>
              <w:ind w:left="22"/>
              <w:spacing w:after="0"/>
              <w:rPr>
                <w:sz w:val="20"/>
                <w:szCs w:val="20"/>
                <w:color w:val="auto"/>
              </w:rPr>
            </w:pPr>
            <w:r>
              <w:rPr>
                <w:rFonts w:ascii="Arial" w:cs="Arial" w:eastAsia="Arial" w:hAnsi="Arial"/>
                <w:sz w:val="12"/>
                <w:szCs w:val="12"/>
                <w:color w:val="auto"/>
                <w:w w:val="91"/>
              </w:rPr>
              <w:t>2%</w:t>
            </w:r>
          </w:p>
        </w:tc>
        <w:tc>
          <w:tcPr>
            <w:tcW w:w="220" w:type="dxa"/>
            <w:vAlign w:val="bottom"/>
            <w:shd w:val="clear" w:color="auto" w:fill="CCEEFF"/>
          </w:tcPr>
          <w:p>
            <w:pPr>
              <w:jc w:val="right"/>
              <w:ind w:right="22"/>
              <w:spacing w:after="0"/>
              <w:rPr>
                <w:sz w:val="20"/>
                <w:szCs w:val="20"/>
                <w:color w:val="auto"/>
              </w:rPr>
            </w:pPr>
            <w:r>
              <w:rPr>
                <w:rFonts w:ascii="Arial" w:cs="Arial" w:eastAsia="Arial" w:hAnsi="Arial"/>
                <w:sz w:val="12"/>
                <w:szCs w:val="12"/>
                <w:color w:val="auto"/>
              </w:rPr>
              <w:t>-</w:t>
            </w:r>
          </w:p>
        </w:tc>
        <w:tc>
          <w:tcPr>
            <w:tcW w:w="1040" w:type="dxa"/>
            <w:vAlign w:val="bottom"/>
            <w:shd w:val="clear" w:color="auto" w:fill="CCEEFF"/>
          </w:tcPr>
          <w:p>
            <w:pPr>
              <w:jc w:val="center"/>
              <w:ind w:right="502"/>
              <w:spacing w:after="0"/>
              <w:rPr>
                <w:sz w:val="20"/>
                <w:szCs w:val="20"/>
                <w:color w:val="auto"/>
              </w:rPr>
            </w:pPr>
            <w:r>
              <w:rPr>
                <w:rFonts w:ascii="Arial" w:cs="Arial" w:eastAsia="Arial" w:hAnsi="Arial"/>
                <w:sz w:val="12"/>
                <w:szCs w:val="12"/>
                <w:color w:val="auto"/>
                <w:w w:val="91"/>
              </w:rPr>
              <w:t>100%</w:t>
            </w:r>
          </w:p>
        </w:tc>
        <w:tc>
          <w:tcPr>
            <w:tcW w:w="1100" w:type="dxa"/>
            <w:vAlign w:val="bottom"/>
            <w:shd w:val="clear" w:color="auto" w:fill="CCEEFF"/>
          </w:tcPr>
          <w:p>
            <w:pPr>
              <w:jc w:val="center"/>
              <w:ind w:left="502"/>
              <w:spacing w:after="0"/>
              <w:rPr>
                <w:sz w:val="20"/>
                <w:szCs w:val="20"/>
                <w:color w:val="auto"/>
              </w:rPr>
            </w:pPr>
            <w:r>
              <w:rPr>
                <w:rFonts w:ascii="Arial" w:cs="Arial" w:eastAsia="Arial" w:hAnsi="Arial"/>
                <w:sz w:val="12"/>
                <w:szCs w:val="12"/>
                <w:color w:val="auto"/>
                <w:w w:val="80"/>
              </w:rPr>
              <w:t>2%</w:t>
            </w:r>
          </w:p>
        </w:tc>
        <w:tc>
          <w:tcPr>
            <w:tcW w:w="220" w:type="dxa"/>
            <w:vAlign w:val="bottom"/>
            <w:shd w:val="clear" w:color="auto" w:fill="CCEEFF"/>
          </w:tcPr>
          <w:p>
            <w:pPr>
              <w:jc w:val="right"/>
              <w:ind w:right="22"/>
              <w:spacing w:after="0"/>
              <w:rPr>
                <w:sz w:val="20"/>
                <w:szCs w:val="20"/>
                <w:color w:val="auto"/>
              </w:rPr>
            </w:pPr>
            <w:r>
              <w:rPr>
                <w:rFonts w:ascii="Arial" w:cs="Arial" w:eastAsia="Arial" w:hAnsi="Arial"/>
                <w:sz w:val="12"/>
                <w:szCs w:val="12"/>
                <w:color w:val="auto"/>
              </w:rPr>
              <w:t>-</w:t>
            </w:r>
          </w:p>
        </w:tc>
        <w:tc>
          <w:tcPr>
            <w:tcW w:w="1060" w:type="dxa"/>
            <w:vAlign w:val="bottom"/>
            <w:shd w:val="clear" w:color="auto" w:fill="CCEEFF"/>
          </w:tcPr>
          <w:p>
            <w:pPr>
              <w:jc w:val="center"/>
              <w:ind w:right="522"/>
              <w:spacing w:after="0"/>
              <w:rPr>
                <w:sz w:val="20"/>
                <w:szCs w:val="20"/>
                <w:color w:val="auto"/>
              </w:rPr>
            </w:pPr>
            <w:r>
              <w:rPr>
                <w:rFonts w:ascii="Arial" w:cs="Arial" w:eastAsia="Arial" w:hAnsi="Arial"/>
                <w:sz w:val="12"/>
                <w:szCs w:val="12"/>
                <w:color w:val="auto"/>
                <w:w w:val="91"/>
              </w:rPr>
              <w:t>100%</w:t>
            </w:r>
          </w:p>
        </w:tc>
        <w:tc>
          <w:tcPr>
            <w:tcW w:w="1500" w:type="dxa"/>
            <w:vAlign w:val="bottom"/>
            <w:shd w:val="clear" w:color="auto" w:fill="CCEEFF"/>
          </w:tcPr>
          <w:p>
            <w:pPr>
              <w:jc w:val="center"/>
              <w:ind w:left="422"/>
              <w:spacing w:after="0"/>
              <w:rPr>
                <w:sz w:val="20"/>
                <w:szCs w:val="20"/>
                <w:color w:val="auto"/>
              </w:rPr>
            </w:pPr>
            <w:r>
              <w:rPr>
                <w:rFonts w:ascii="Arial" w:cs="Arial" w:eastAsia="Arial" w:hAnsi="Arial"/>
                <w:sz w:val="12"/>
                <w:szCs w:val="12"/>
                <w:color w:val="auto"/>
                <w:w w:val="86"/>
              </w:rPr>
              <w:t>Decrease (13)</w:t>
            </w:r>
          </w:p>
        </w:tc>
      </w:tr>
      <w:tr>
        <w:trPr>
          <w:trHeight w:val="101"/>
        </w:trPr>
        <w:tc>
          <w:tcPr>
            <w:tcW w:w="4060" w:type="dxa"/>
            <w:vAlign w:val="bottom"/>
            <w:shd w:val="clear" w:color="auto" w:fill="CCEEFF"/>
          </w:tcPr>
          <w:p>
            <w:pPr>
              <w:spacing w:after="0"/>
              <w:rPr>
                <w:sz w:val="8"/>
                <w:szCs w:val="8"/>
                <w:color w:val="auto"/>
              </w:rPr>
            </w:pPr>
          </w:p>
        </w:tc>
        <w:tc>
          <w:tcPr>
            <w:tcW w:w="158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1040" w:type="dxa"/>
            <w:vAlign w:val="bottom"/>
            <w:shd w:val="clear" w:color="auto" w:fill="CCEEFF"/>
          </w:tcPr>
          <w:p>
            <w:pPr>
              <w:spacing w:after="0"/>
              <w:rPr>
                <w:sz w:val="8"/>
                <w:szCs w:val="8"/>
                <w:color w:val="auto"/>
              </w:rPr>
            </w:pPr>
          </w:p>
        </w:tc>
        <w:tc>
          <w:tcPr>
            <w:tcW w:w="110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1060" w:type="dxa"/>
            <w:vAlign w:val="bottom"/>
            <w:shd w:val="clear" w:color="auto" w:fill="CCEEFF"/>
          </w:tcPr>
          <w:p>
            <w:pPr>
              <w:spacing w:after="0"/>
              <w:rPr>
                <w:sz w:val="8"/>
                <w:szCs w:val="8"/>
                <w:color w:val="auto"/>
              </w:rPr>
            </w:pPr>
          </w:p>
        </w:tc>
        <w:tc>
          <w:tcPr>
            <w:tcW w:w="1500" w:type="dxa"/>
            <w:vAlign w:val="bottom"/>
            <w:shd w:val="clear" w:color="auto" w:fill="CCEEFF"/>
          </w:tcPr>
          <w:p>
            <w:pPr>
              <w:spacing w:after="0"/>
              <w:rPr>
                <w:sz w:val="8"/>
                <w:szCs w:val="8"/>
                <w:color w:val="auto"/>
              </w:rPr>
            </w:pPr>
          </w:p>
        </w:tc>
      </w:tr>
      <w:tr>
        <w:trPr>
          <w:trHeight w:val="169"/>
        </w:trPr>
        <w:tc>
          <w:tcPr>
            <w:tcW w:w="4060" w:type="dxa"/>
            <w:vAlign w:val="bottom"/>
          </w:tcPr>
          <w:p>
            <w:pPr>
              <w:ind w:left="3980"/>
              <w:spacing w:after="0"/>
              <w:rPr>
                <w:sz w:val="20"/>
                <w:szCs w:val="20"/>
                <w:color w:val="auto"/>
              </w:rPr>
            </w:pPr>
            <w:r>
              <w:rPr>
                <w:rFonts w:ascii="Arial" w:cs="Arial" w:eastAsia="Arial" w:hAnsi="Arial"/>
                <w:sz w:val="12"/>
                <w:szCs w:val="12"/>
                <w:b w:val="1"/>
                <w:bCs w:val="1"/>
                <w:color w:val="auto"/>
              </w:rPr>
              <w:t>•</w:t>
            </w:r>
          </w:p>
        </w:tc>
        <w:tc>
          <w:tcPr>
            <w:tcW w:w="1580" w:type="dxa"/>
            <w:vAlign w:val="bottom"/>
          </w:tcPr>
          <w:p>
            <w:pPr>
              <w:ind w:left="60"/>
              <w:spacing w:after="0"/>
              <w:rPr>
                <w:sz w:val="20"/>
                <w:szCs w:val="20"/>
                <w:color w:val="auto"/>
              </w:rPr>
            </w:pPr>
            <w:r>
              <w:rPr>
                <w:rFonts w:ascii="Arial" w:cs="Arial" w:eastAsia="Arial" w:hAnsi="Arial"/>
                <w:sz w:val="12"/>
                <w:szCs w:val="12"/>
                <w:color w:val="auto"/>
              </w:rPr>
              <w:t>Utilization rates</w:t>
            </w:r>
          </w:p>
        </w:tc>
        <w:tc>
          <w:tcPr>
            <w:tcW w:w="640" w:type="dxa"/>
            <w:vAlign w:val="bottom"/>
          </w:tcPr>
          <w:p>
            <w:pPr>
              <w:jc w:val="center"/>
              <w:ind w:left="22"/>
              <w:spacing w:after="0"/>
              <w:rPr>
                <w:sz w:val="20"/>
                <w:szCs w:val="20"/>
                <w:color w:val="auto"/>
              </w:rPr>
            </w:pPr>
            <w:r>
              <w:rPr>
                <w:rFonts w:ascii="Arial" w:cs="Arial" w:eastAsia="Arial" w:hAnsi="Arial"/>
                <w:sz w:val="12"/>
                <w:szCs w:val="12"/>
                <w:color w:val="auto"/>
                <w:w w:val="91"/>
              </w:rPr>
              <w:t>0%</w:t>
            </w:r>
          </w:p>
        </w:tc>
        <w:tc>
          <w:tcPr>
            <w:tcW w:w="220" w:type="dxa"/>
            <w:vAlign w:val="bottom"/>
          </w:tcPr>
          <w:p>
            <w:pPr>
              <w:jc w:val="right"/>
              <w:ind w:right="22"/>
              <w:spacing w:after="0"/>
              <w:rPr>
                <w:sz w:val="20"/>
                <w:szCs w:val="20"/>
                <w:color w:val="auto"/>
              </w:rPr>
            </w:pPr>
            <w:r>
              <w:rPr>
                <w:rFonts w:ascii="Arial" w:cs="Arial" w:eastAsia="Arial" w:hAnsi="Arial"/>
                <w:sz w:val="12"/>
                <w:szCs w:val="12"/>
                <w:color w:val="auto"/>
              </w:rPr>
              <w:t>-</w:t>
            </w:r>
          </w:p>
        </w:tc>
        <w:tc>
          <w:tcPr>
            <w:tcW w:w="1040" w:type="dxa"/>
            <w:vAlign w:val="bottom"/>
          </w:tcPr>
          <w:p>
            <w:pPr>
              <w:jc w:val="center"/>
              <w:ind w:right="522"/>
              <w:spacing w:after="0"/>
              <w:rPr>
                <w:sz w:val="20"/>
                <w:szCs w:val="20"/>
                <w:color w:val="auto"/>
              </w:rPr>
            </w:pPr>
            <w:r>
              <w:rPr>
                <w:rFonts w:ascii="Arial" w:cs="Arial" w:eastAsia="Arial" w:hAnsi="Arial"/>
                <w:sz w:val="12"/>
                <w:szCs w:val="12"/>
                <w:color w:val="auto"/>
                <w:w w:val="91"/>
              </w:rPr>
              <w:t>25%</w:t>
            </w:r>
          </w:p>
        </w:tc>
        <w:tc>
          <w:tcPr>
            <w:tcW w:w="1100" w:type="dxa"/>
            <w:vAlign w:val="bottom"/>
          </w:tcPr>
          <w:p>
            <w:pPr>
              <w:jc w:val="center"/>
              <w:ind w:left="502"/>
              <w:spacing w:after="0"/>
              <w:rPr>
                <w:sz w:val="20"/>
                <w:szCs w:val="20"/>
                <w:color w:val="auto"/>
              </w:rPr>
            </w:pPr>
            <w:r>
              <w:rPr>
                <w:rFonts w:ascii="Arial" w:cs="Arial" w:eastAsia="Arial" w:hAnsi="Arial"/>
                <w:sz w:val="12"/>
                <w:szCs w:val="12"/>
                <w:color w:val="auto"/>
                <w:w w:val="80"/>
              </w:rPr>
              <w:t>0%</w:t>
            </w:r>
          </w:p>
        </w:tc>
        <w:tc>
          <w:tcPr>
            <w:tcW w:w="220" w:type="dxa"/>
            <w:vAlign w:val="bottom"/>
          </w:tcPr>
          <w:p>
            <w:pPr>
              <w:jc w:val="right"/>
              <w:ind w:right="22"/>
              <w:spacing w:after="0"/>
              <w:rPr>
                <w:sz w:val="20"/>
                <w:szCs w:val="20"/>
                <w:color w:val="auto"/>
              </w:rPr>
            </w:pPr>
            <w:r>
              <w:rPr>
                <w:rFonts w:ascii="Arial" w:cs="Arial" w:eastAsia="Arial" w:hAnsi="Arial"/>
                <w:sz w:val="12"/>
                <w:szCs w:val="12"/>
                <w:color w:val="auto"/>
              </w:rPr>
              <w:t>-</w:t>
            </w:r>
          </w:p>
        </w:tc>
        <w:tc>
          <w:tcPr>
            <w:tcW w:w="1060" w:type="dxa"/>
            <w:vAlign w:val="bottom"/>
          </w:tcPr>
          <w:p>
            <w:pPr>
              <w:jc w:val="center"/>
              <w:ind w:right="542"/>
              <w:spacing w:after="0"/>
              <w:rPr>
                <w:sz w:val="20"/>
                <w:szCs w:val="20"/>
                <w:color w:val="auto"/>
              </w:rPr>
            </w:pPr>
            <w:r>
              <w:rPr>
                <w:rFonts w:ascii="Arial" w:cs="Arial" w:eastAsia="Arial" w:hAnsi="Arial"/>
                <w:sz w:val="12"/>
                <w:szCs w:val="12"/>
                <w:color w:val="auto"/>
                <w:w w:val="91"/>
              </w:rPr>
              <w:t>25%</w:t>
            </w:r>
          </w:p>
        </w:tc>
        <w:tc>
          <w:tcPr>
            <w:tcW w:w="1500" w:type="dxa"/>
            <w:vAlign w:val="bottom"/>
          </w:tcPr>
          <w:p>
            <w:pPr>
              <w:jc w:val="center"/>
              <w:ind w:left="422"/>
              <w:spacing w:after="0"/>
              <w:rPr>
                <w:sz w:val="20"/>
                <w:szCs w:val="20"/>
                <w:color w:val="auto"/>
              </w:rPr>
            </w:pPr>
            <w:r>
              <w:rPr>
                <w:rFonts w:ascii="Arial" w:cs="Arial" w:eastAsia="Arial" w:hAnsi="Arial"/>
                <w:sz w:val="12"/>
                <w:szCs w:val="12"/>
                <w:color w:val="auto"/>
                <w:w w:val="87"/>
              </w:rPr>
              <w:t>Increase (14)</w:t>
            </w:r>
          </w:p>
        </w:tc>
      </w:tr>
      <w:tr>
        <w:trPr>
          <w:trHeight w:val="101"/>
        </w:trPr>
        <w:tc>
          <w:tcPr>
            <w:tcW w:w="4060" w:type="dxa"/>
            <w:vAlign w:val="bottom"/>
          </w:tcPr>
          <w:p>
            <w:pPr>
              <w:spacing w:after="0"/>
              <w:rPr>
                <w:sz w:val="8"/>
                <w:szCs w:val="8"/>
                <w:color w:val="auto"/>
              </w:rPr>
            </w:pPr>
          </w:p>
        </w:tc>
        <w:tc>
          <w:tcPr>
            <w:tcW w:w="15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500" w:type="dxa"/>
            <w:vAlign w:val="bottom"/>
          </w:tcPr>
          <w:p>
            <w:pPr>
              <w:spacing w:after="0"/>
              <w:rPr>
                <w:sz w:val="8"/>
                <w:szCs w:val="8"/>
                <w:color w:val="auto"/>
              </w:rPr>
            </w:pPr>
          </w:p>
        </w:tc>
      </w:tr>
      <w:tr>
        <w:trPr>
          <w:trHeight w:val="169"/>
        </w:trPr>
        <w:tc>
          <w:tcPr>
            <w:tcW w:w="4060" w:type="dxa"/>
            <w:vAlign w:val="bottom"/>
            <w:shd w:val="clear" w:color="auto" w:fill="CCEEFF"/>
          </w:tcPr>
          <w:p>
            <w:pPr>
              <w:ind w:left="3980"/>
              <w:spacing w:after="0"/>
              <w:rPr>
                <w:sz w:val="20"/>
                <w:szCs w:val="20"/>
                <w:color w:val="auto"/>
              </w:rPr>
            </w:pPr>
            <w:r>
              <w:rPr>
                <w:rFonts w:ascii="Arial" w:cs="Arial" w:eastAsia="Arial" w:hAnsi="Arial"/>
                <w:sz w:val="12"/>
                <w:szCs w:val="12"/>
                <w:b w:val="1"/>
                <w:bCs w:val="1"/>
                <w:color w:val="auto"/>
              </w:rPr>
              <w:t>•</w:t>
            </w:r>
          </w:p>
        </w:tc>
        <w:tc>
          <w:tcPr>
            <w:tcW w:w="1580" w:type="dxa"/>
            <w:vAlign w:val="bottom"/>
            <w:shd w:val="clear" w:color="auto" w:fill="CCEEFF"/>
          </w:tcPr>
          <w:p>
            <w:pPr>
              <w:ind w:left="60"/>
              <w:spacing w:after="0"/>
              <w:rPr>
                <w:sz w:val="20"/>
                <w:szCs w:val="20"/>
                <w:color w:val="auto"/>
              </w:rPr>
            </w:pPr>
            <w:r>
              <w:rPr>
                <w:rFonts w:ascii="Arial" w:cs="Arial" w:eastAsia="Arial" w:hAnsi="Arial"/>
                <w:sz w:val="12"/>
                <w:szCs w:val="12"/>
                <w:color w:val="auto"/>
              </w:rPr>
              <w:t>Withdrawal rates</w:t>
            </w:r>
          </w:p>
        </w:tc>
        <w:tc>
          <w:tcPr>
            <w:tcW w:w="640" w:type="dxa"/>
            <w:vAlign w:val="bottom"/>
            <w:shd w:val="clear" w:color="auto" w:fill="CCEEFF"/>
          </w:tcPr>
          <w:p>
            <w:pPr>
              <w:jc w:val="center"/>
              <w:ind w:left="42"/>
              <w:spacing w:after="0"/>
              <w:rPr>
                <w:sz w:val="20"/>
                <w:szCs w:val="20"/>
                <w:color w:val="auto"/>
              </w:rPr>
            </w:pPr>
            <w:r>
              <w:rPr>
                <w:rFonts w:ascii="Arial" w:cs="Arial" w:eastAsia="Arial" w:hAnsi="Arial"/>
                <w:sz w:val="12"/>
                <w:szCs w:val="12"/>
                <w:color w:val="auto"/>
                <w:w w:val="88"/>
              </w:rPr>
              <w:t>0.25%</w:t>
            </w:r>
          </w:p>
        </w:tc>
        <w:tc>
          <w:tcPr>
            <w:tcW w:w="220" w:type="dxa"/>
            <w:vAlign w:val="bottom"/>
            <w:shd w:val="clear" w:color="auto" w:fill="CCEEFF"/>
          </w:tcPr>
          <w:p>
            <w:pPr>
              <w:jc w:val="right"/>
              <w:ind w:right="22"/>
              <w:spacing w:after="0"/>
              <w:rPr>
                <w:sz w:val="20"/>
                <w:szCs w:val="20"/>
                <w:color w:val="auto"/>
              </w:rPr>
            </w:pPr>
            <w:r>
              <w:rPr>
                <w:rFonts w:ascii="Arial" w:cs="Arial" w:eastAsia="Arial" w:hAnsi="Arial"/>
                <w:sz w:val="12"/>
                <w:szCs w:val="12"/>
                <w:color w:val="auto"/>
              </w:rPr>
              <w:t>-</w:t>
            </w:r>
          </w:p>
        </w:tc>
        <w:tc>
          <w:tcPr>
            <w:tcW w:w="1040" w:type="dxa"/>
            <w:vAlign w:val="bottom"/>
            <w:shd w:val="clear" w:color="auto" w:fill="CCEEFF"/>
          </w:tcPr>
          <w:p>
            <w:pPr>
              <w:jc w:val="center"/>
              <w:ind w:right="522"/>
              <w:spacing w:after="0"/>
              <w:rPr>
                <w:sz w:val="20"/>
                <w:szCs w:val="20"/>
                <w:color w:val="auto"/>
              </w:rPr>
            </w:pPr>
            <w:r>
              <w:rPr>
                <w:rFonts w:ascii="Arial" w:cs="Arial" w:eastAsia="Arial" w:hAnsi="Arial"/>
                <w:sz w:val="12"/>
                <w:szCs w:val="12"/>
                <w:color w:val="auto"/>
                <w:w w:val="91"/>
              </w:rPr>
              <w:t>10%</w:t>
            </w:r>
          </w:p>
        </w:tc>
        <w:tc>
          <w:tcPr>
            <w:tcW w:w="1100" w:type="dxa"/>
            <w:vAlign w:val="bottom"/>
            <w:shd w:val="clear" w:color="auto" w:fill="CCEEFF"/>
          </w:tcPr>
          <w:p>
            <w:pPr>
              <w:jc w:val="center"/>
              <w:ind w:left="502"/>
              <w:spacing w:after="0"/>
              <w:rPr>
                <w:sz w:val="20"/>
                <w:szCs w:val="20"/>
                <w:color w:val="auto"/>
              </w:rPr>
            </w:pPr>
            <w:r>
              <w:rPr>
                <w:rFonts w:ascii="Arial" w:cs="Arial" w:eastAsia="Arial" w:hAnsi="Arial"/>
                <w:sz w:val="12"/>
                <w:szCs w:val="12"/>
                <w:color w:val="auto"/>
                <w:w w:val="88"/>
              </w:rPr>
              <w:t>0.25%</w:t>
            </w:r>
          </w:p>
        </w:tc>
        <w:tc>
          <w:tcPr>
            <w:tcW w:w="220" w:type="dxa"/>
            <w:vAlign w:val="bottom"/>
            <w:shd w:val="clear" w:color="auto" w:fill="CCEEFF"/>
          </w:tcPr>
          <w:p>
            <w:pPr>
              <w:jc w:val="right"/>
              <w:ind w:right="22"/>
              <w:spacing w:after="0"/>
              <w:rPr>
                <w:sz w:val="20"/>
                <w:szCs w:val="20"/>
                <w:color w:val="auto"/>
              </w:rPr>
            </w:pPr>
            <w:r>
              <w:rPr>
                <w:rFonts w:ascii="Arial" w:cs="Arial" w:eastAsia="Arial" w:hAnsi="Arial"/>
                <w:sz w:val="12"/>
                <w:szCs w:val="12"/>
                <w:color w:val="auto"/>
              </w:rPr>
              <w:t>-</w:t>
            </w:r>
          </w:p>
        </w:tc>
        <w:tc>
          <w:tcPr>
            <w:tcW w:w="1060" w:type="dxa"/>
            <w:vAlign w:val="bottom"/>
            <w:shd w:val="clear" w:color="auto" w:fill="CCEEFF"/>
          </w:tcPr>
          <w:p>
            <w:pPr>
              <w:jc w:val="center"/>
              <w:ind w:right="542"/>
              <w:spacing w:after="0"/>
              <w:rPr>
                <w:sz w:val="20"/>
                <w:szCs w:val="20"/>
                <w:color w:val="auto"/>
              </w:rPr>
            </w:pPr>
            <w:r>
              <w:rPr>
                <w:rFonts w:ascii="Arial" w:cs="Arial" w:eastAsia="Arial" w:hAnsi="Arial"/>
                <w:sz w:val="12"/>
                <w:szCs w:val="12"/>
                <w:color w:val="auto"/>
                <w:w w:val="91"/>
              </w:rPr>
              <w:t>10%</w:t>
            </w:r>
          </w:p>
        </w:tc>
        <w:tc>
          <w:tcPr>
            <w:tcW w:w="1500" w:type="dxa"/>
            <w:vAlign w:val="bottom"/>
            <w:shd w:val="clear" w:color="auto" w:fill="CCEEFF"/>
          </w:tcPr>
          <w:p>
            <w:pPr>
              <w:jc w:val="center"/>
              <w:ind w:left="402"/>
              <w:spacing w:after="0"/>
              <w:rPr>
                <w:sz w:val="20"/>
                <w:szCs w:val="20"/>
                <w:color w:val="auto"/>
              </w:rPr>
            </w:pPr>
            <w:r>
              <w:rPr>
                <w:rFonts w:ascii="Arial" w:cs="Arial" w:eastAsia="Arial" w:hAnsi="Arial"/>
                <w:sz w:val="12"/>
                <w:szCs w:val="12"/>
                <w:color w:val="auto"/>
                <w:w w:val="93"/>
              </w:rPr>
              <w:t>(15)</w:t>
            </w:r>
          </w:p>
        </w:tc>
      </w:tr>
      <w:tr>
        <w:trPr>
          <w:trHeight w:val="101"/>
        </w:trPr>
        <w:tc>
          <w:tcPr>
            <w:tcW w:w="4060" w:type="dxa"/>
            <w:vAlign w:val="bottom"/>
            <w:shd w:val="clear" w:color="auto" w:fill="CCEEFF"/>
          </w:tcPr>
          <w:p>
            <w:pPr>
              <w:spacing w:after="0"/>
              <w:rPr>
                <w:sz w:val="8"/>
                <w:szCs w:val="8"/>
                <w:color w:val="auto"/>
              </w:rPr>
            </w:pPr>
          </w:p>
        </w:tc>
        <w:tc>
          <w:tcPr>
            <w:tcW w:w="158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1040" w:type="dxa"/>
            <w:vAlign w:val="bottom"/>
            <w:shd w:val="clear" w:color="auto" w:fill="CCEEFF"/>
          </w:tcPr>
          <w:p>
            <w:pPr>
              <w:spacing w:after="0"/>
              <w:rPr>
                <w:sz w:val="8"/>
                <w:szCs w:val="8"/>
                <w:color w:val="auto"/>
              </w:rPr>
            </w:pPr>
          </w:p>
        </w:tc>
        <w:tc>
          <w:tcPr>
            <w:tcW w:w="110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1060" w:type="dxa"/>
            <w:vAlign w:val="bottom"/>
            <w:shd w:val="clear" w:color="auto" w:fill="CCEEFF"/>
          </w:tcPr>
          <w:p>
            <w:pPr>
              <w:spacing w:after="0"/>
              <w:rPr>
                <w:sz w:val="8"/>
                <w:szCs w:val="8"/>
                <w:color w:val="auto"/>
              </w:rPr>
            </w:pPr>
          </w:p>
        </w:tc>
        <w:tc>
          <w:tcPr>
            <w:tcW w:w="1500" w:type="dxa"/>
            <w:vAlign w:val="bottom"/>
            <w:shd w:val="clear" w:color="auto" w:fill="CCEEFF"/>
          </w:tcPr>
          <w:p>
            <w:pPr>
              <w:spacing w:after="0"/>
              <w:rPr>
                <w:sz w:val="8"/>
                <w:szCs w:val="8"/>
                <w:color w:val="auto"/>
              </w:rPr>
            </w:pPr>
          </w:p>
        </w:tc>
      </w:tr>
      <w:tr>
        <w:trPr>
          <w:trHeight w:val="169"/>
        </w:trPr>
        <w:tc>
          <w:tcPr>
            <w:tcW w:w="4060" w:type="dxa"/>
            <w:vAlign w:val="bottom"/>
          </w:tcPr>
          <w:p>
            <w:pPr>
              <w:ind w:left="3980"/>
              <w:spacing w:after="0"/>
              <w:rPr>
                <w:sz w:val="20"/>
                <w:szCs w:val="20"/>
                <w:color w:val="auto"/>
              </w:rPr>
            </w:pPr>
            <w:r>
              <w:rPr>
                <w:rFonts w:ascii="Arial" w:cs="Arial" w:eastAsia="Arial" w:hAnsi="Arial"/>
                <w:sz w:val="12"/>
                <w:szCs w:val="12"/>
                <w:b w:val="1"/>
                <w:bCs w:val="1"/>
                <w:color w:val="auto"/>
              </w:rPr>
              <w:t>•</w:t>
            </w:r>
          </w:p>
        </w:tc>
        <w:tc>
          <w:tcPr>
            <w:tcW w:w="1580" w:type="dxa"/>
            <w:vAlign w:val="bottom"/>
          </w:tcPr>
          <w:p>
            <w:pPr>
              <w:ind w:left="60"/>
              <w:spacing w:after="0"/>
              <w:rPr>
                <w:sz w:val="20"/>
                <w:szCs w:val="20"/>
                <w:color w:val="auto"/>
              </w:rPr>
            </w:pPr>
            <w:r>
              <w:rPr>
                <w:rFonts w:ascii="Arial" w:cs="Arial" w:eastAsia="Arial" w:hAnsi="Arial"/>
                <w:sz w:val="12"/>
                <w:szCs w:val="12"/>
                <w:color w:val="auto"/>
              </w:rPr>
              <w:t>Long-term equity volatilities</w:t>
            </w:r>
          </w:p>
        </w:tc>
        <w:tc>
          <w:tcPr>
            <w:tcW w:w="640" w:type="dxa"/>
            <w:vAlign w:val="bottom"/>
          </w:tcPr>
          <w:p>
            <w:pPr>
              <w:jc w:val="center"/>
              <w:ind w:left="22"/>
              <w:spacing w:after="0"/>
              <w:rPr>
                <w:sz w:val="20"/>
                <w:szCs w:val="20"/>
                <w:color w:val="auto"/>
              </w:rPr>
            </w:pPr>
            <w:r>
              <w:rPr>
                <w:rFonts w:ascii="Arial" w:cs="Arial" w:eastAsia="Arial" w:hAnsi="Arial"/>
                <w:sz w:val="12"/>
                <w:szCs w:val="12"/>
                <w:color w:val="auto"/>
                <w:w w:val="88"/>
              </w:rPr>
              <w:t>17.40%</w:t>
            </w:r>
          </w:p>
        </w:tc>
        <w:tc>
          <w:tcPr>
            <w:tcW w:w="220" w:type="dxa"/>
            <w:vAlign w:val="bottom"/>
          </w:tcPr>
          <w:p>
            <w:pPr>
              <w:jc w:val="right"/>
              <w:ind w:right="22"/>
              <w:spacing w:after="0"/>
              <w:rPr>
                <w:sz w:val="20"/>
                <w:szCs w:val="20"/>
                <w:color w:val="auto"/>
              </w:rPr>
            </w:pPr>
            <w:r>
              <w:rPr>
                <w:rFonts w:ascii="Arial" w:cs="Arial" w:eastAsia="Arial" w:hAnsi="Arial"/>
                <w:sz w:val="12"/>
                <w:szCs w:val="12"/>
                <w:color w:val="auto"/>
              </w:rPr>
              <w:t>-</w:t>
            </w:r>
          </w:p>
        </w:tc>
        <w:tc>
          <w:tcPr>
            <w:tcW w:w="1040" w:type="dxa"/>
            <w:vAlign w:val="bottom"/>
          </w:tcPr>
          <w:p>
            <w:pPr>
              <w:jc w:val="center"/>
              <w:ind w:right="522"/>
              <w:spacing w:after="0"/>
              <w:rPr>
                <w:sz w:val="20"/>
                <w:szCs w:val="20"/>
                <w:color w:val="auto"/>
              </w:rPr>
            </w:pPr>
            <w:r>
              <w:rPr>
                <w:rFonts w:ascii="Arial" w:cs="Arial" w:eastAsia="Arial" w:hAnsi="Arial"/>
                <w:sz w:val="12"/>
                <w:szCs w:val="12"/>
                <w:color w:val="auto"/>
                <w:w w:val="91"/>
              </w:rPr>
              <w:t>25%</w:t>
            </w:r>
          </w:p>
        </w:tc>
        <w:tc>
          <w:tcPr>
            <w:tcW w:w="1100" w:type="dxa"/>
            <w:vAlign w:val="bottom"/>
          </w:tcPr>
          <w:p>
            <w:pPr>
              <w:jc w:val="center"/>
              <w:ind w:left="482"/>
              <w:spacing w:after="0"/>
              <w:rPr>
                <w:sz w:val="20"/>
                <w:szCs w:val="20"/>
                <w:color w:val="auto"/>
              </w:rPr>
            </w:pPr>
            <w:r>
              <w:rPr>
                <w:rFonts w:ascii="Arial" w:cs="Arial" w:eastAsia="Arial" w:hAnsi="Arial"/>
                <w:sz w:val="12"/>
                <w:szCs w:val="12"/>
                <w:color w:val="auto"/>
                <w:w w:val="88"/>
              </w:rPr>
              <w:t>17.40%</w:t>
            </w:r>
          </w:p>
        </w:tc>
        <w:tc>
          <w:tcPr>
            <w:tcW w:w="220" w:type="dxa"/>
            <w:vAlign w:val="bottom"/>
          </w:tcPr>
          <w:p>
            <w:pPr>
              <w:jc w:val="right"/>
              <w:ind w:right="22"/>
              <w:spacing w:after="0"/>
              <w:rPr>
                <w:sz w:val="20"/>
                <w:szCs w:val="20"/>
                <w:color w:val="auto"/>
              </w:rPr>
            </w:pPr>
            <w:r>
              <w:rPr>
                <w:rFonts w:ascii="Arial" w:cs="Arial" w:eastAsia="Arial" w:hAnsi="Arial"/>
                <w:sz w:val="12"/>
                <w:szCs w:val="12"/>
                <w:color w:val="auto"/>
              </w:rPr>
              <w:t>-</w:t>
            </w:r>
          </w:p>
        </w:tc>
        <w:tc>
          <w:tcPr>
            <w:tcW w:w="1060" w:type="dxa"/>
            <w:vAlign w:val="bottom"/>
          </w:tcPr>
          <w:p>
            <w:pPr>
              <w:jc w:val="center"/>
              <w:ind w:right="542"/>
              <w:spacing w:after="0"/>
              <w:rPr>
                <w:sz w:val="20"/>
                <w:szCs w:val="20"/>
                <w:color w:val="auto"/>
              </w:rPr>
            </w:pPr>
            <w:r>
              <w:rPr>
                <w:rFonts w:ascii="Arial" w:cs="Arial" w:eastAsia="Arial" w:hAnsi="Arial"/>
                <w:sz w:val="12"/>
                <w:szCs w:val="12"/>
                <w:color w:val="auto"/>
                <w:w w:val="91"/>
              </w:rPr>
              <w:t>25%</w:t>
            </w:r>
          </w:p>
        </w:tc>
        <w:tc>
          <w:tcPr>
            <w:tcW w:w="1500" w:type="dxa"/>
            <w:vAlign w:val="bottom"/>
          </w:tcPr>
          <w:p>
            <w:pPr>
              <w:jc w:val="center"/>
              <w:ind w:left="422"/>
              <w:spacing w:after="0"/>
              <w:rPr>
                <w:sz w:val="20"/>
                <w:szCs w:val="20"/>
                <w:color w:val="auto"/>
              </w:rPr>
            </w:pPr>
            <w:r>
              <w:rPr>
                <w:rFonts w:ascii="Arial" w:cs="Arial" w:eastAsia="Arial" w:hAnsi="Arial"/>
                <w:sz w:val="12"/>
                <w:szCs w:val="12"/>
                <w:color w:val="auto"/>
                <w:w w:val="87"/>
              </w:rPr>
              <w:t>Increase (16)</w:t>
            </w:r>
          </w:p>
        </w:tc>
      </w:tr>
      <w:tr>
        <w:trPr>
          <w:trHeight w:val="270"/>
        </w:trPr>
        <w:tc>
          <w:tcPr>
            <w:tcW w:w="4060" w:type="dxa"/>
            <w:vAlign w:val="bottom"/>
          </w:tcPr>
          <w:p>
            <w:pPr>
              <w:ind w:left="3980"/>
              <w:spacing w:after="0"/>
              <w:rPr>
                <w:sz w:val="20"/>
                <w:szCs w:val="20"/>
                <w:color w:val="auto"/>
              </w:rPr>
            </w:pPr>
            <w:r>
              <w:rPr>
                <w:rFonts w:ascii="Arial" w:cs="Arial" w:eastAsia="Arial" w:hAnsi="Arial"/>
                <w:sz w:val="12"/>
                <w:szCs w:val="12"/>
                <w:b w:val="1"/>
                <w:bCs w:val="1"/>
                <w:color w:val="auto"/>
              </w:rPr>
              <w:t>•</w:t>
            </w:r>
          </w:p>
        </w:tc>
        <w:tc>
          <w:tcPr>
            <w:tcW w:w="1580" w:type="dxa"/>
            <w:vAlign w:val="bottom"/>
          </w:tcPr>
          <w:p>
            <w:pPr>
              <w:ind w:left="60"/>
              <w:spacing w:after="0"/>
              <w:rPr>
                <w:sz w:val="20"/>
                <w:szCs w:val="20"/>
                <w:color w:val="auto"/>
              </w:rPr>
            </w:pPr>
            <w:r>
              <w:rPr>
                <w:rFonts w:ascii="Arial" w:cs="Arial" w:eastAsia="Arial" w:hAnsi="Arial"/>
                <w:sz w:val="12"/>
                <w:szCs w:val="12"/>
                <w:color w:val="auto"/>
                <w:w w:val="99"/>
              </w:rPr>
              <w:t>Nonperformance risk spread</w:t>
            </w:r>
          </w:p>
        </w:tc>
        <w:tc>
          <w:tcPr>
            <w:tcW w:w="640" w:type="dxa"/>
            <w:vAlign w:val="bottom"/>
          </w:tcPr>
          <w:p>
            <w:pPr>
              <w:jc w:val="center"/>
              <w:ind w:left="42"/>
              <w:spacing w:after="0"/>
              <w:rPr>
                <w:sz w:val="20"/>
                <w:szCs w:val="20"/>
                <w:color w:val="auto"/>
              </w:rPr>
            </w:pPr>
            <w:r>
              <w:rPr>
                <w:rFonts w:ascii="Arial" w:cs="Arial" w:eastAsia="Arial" w:hAnsi="Arial"/>
                <w:sz w:val="12"/>
                <w:szCs w:val="12"/>
                <w:color w:val="auto"/>
                <w:w w:val="88"/>
              </w:rPr>
              <w:t>0.66%</w:t>
            </w:r>
          </w:p>
        </w:tc>
        <w:tc>
          <w:tcPr>
            <w:tcW w:w="220" w:type="dxa"/>
            <w:vAlign w:val="bottom"/>
          </w:tcPr>
          <w:p>
            <w:pPr>
              <w:jc w:val="right"/>
              <w:ind w:right="22"/>
              <w:spacing w:after="0"/>
              <w:rPr>
                <w:sz w:val="20"/>
                <w:szCs w:val="20"/>
                <w:color w:val="auto"/>
              </w:rPr>
            </w:pPr>
            <w:r>
              <w:rPr>
                <w:rFonts w:ascii="Arial" w:cs="Arial" w:eastAsia="Arial" w:hAnsi="Arial"/>
                <w:sz w:val="12"/>
                <w:szCs w:val="12"/>
                <w:color w:val="auto"/>
              </w:rPr>
              <w:t>-</w:t>
            </w:r>
          </w:p>
        </w:tc>
        <w:tc>
          <w:tcPr>
            <w:tcW w:w="1040" w:type="dxa"/>
            <w:vAlign w:val="bottom"/>
          </w:tcPr>
          <w:p>
            <w:pPr>
              <w:jc w:val="center"/>
              <w:ind w:right="522"/>
              <w:spacing w:after="0"/>
              <w:rPr>
                <w:sz w:val="20"/>
                <w:szCs w:val="20"/>
                <w:color w:val="auto"/>
              </w:rPr>
            </w:pPr>
            <w:r>
              <w:rPr>
                <w:rFonts w:ascii="Arial" w:cs="Arial" w:eastAsia="Arial" w:hAnsi="Arial"/>
                <w:sz w:val="12"/>
                <w:szCs w:val="12"/>
                <w:color w:val="auto"/>
                <w:w w:val="88"/>
              </w:rPr>
              <w:t>1.59%</w:t>
            </w:r>
          </w:p>
        </w:tc>
        <w:tc>
          <w:tcPr>
            <w:tcW w:w="1100" w:type="dxa"/>
            <w:vAlign w:val="bottom"/>
          </w:tcPr>
          <w:p>
            <w:pPr>
              <w:jc w:val="center"/>
              <w:ind w:left="502"/>
              <w:spacing w:after="0"/>
              <w:rPr>
                <w:sz w:val="20"/>
                <w:szCs w:val="20"/>
                <w:color w:val="auto"/>
              </w:rPr>
            </w:pPr>
            <w:r>
              <w:rPr>
                <w:rFonts w:ascii="Arial" w:cs="Arial" w:eastAsia="Arial" w:hAnsi="Arial"/>
                <w:sz w:val="12"/>
                <w:szCs w:val="12"/>
                <w:color w:val="auto"/>
                <w:w w:val="88"/>
              </w:rPr>
              <w:t>0.04%</w:t>
            </w:r>
          </w:p>
        </w:tc>
        <w:tc>
          <w:tcPr>
            <w:tcW w:w="220" w:type="dxa"/>
            <w:vAlign w:val="bottom"/>
          </w:tcPr>
          <w:p>
            <w:pPr>
              <w:jc w:val="right"/>
              <w:ind w:right="22"/>
              <w:spacing w:after="0"/>
              <w:rPr>
                <w:sz w:val="20"/>
                <w:szCs w:val="20"/>
                <w:color w:val="auto"/>
              </w:rPr>
            </w:pPr>
            <w:r>
              <w:rPr>
                <w:rFonts w:ascii="Arial" w:cs="Arial" w:eastAsia="Arial" w:hAnsi="Arial"/>
                <w:sz w:val="12"/>
                <w:szCs w:val="12"/>
                <w:color w:val="auto"/>
              </w:rPr>
              <w:t>-</w:t>
            </w:r>
          </w:p>
        </w:tc>
        <w:tc>
          <w:tcPr>
            <w:tcW w:w="1060" w:type="dxa"/>
            <w:vAlign w:val="bottom"/>
          </w:tcPr>
          <w:p>
            <w:pPr>
              <w:jc w:val="center"/>
              <w:ind w:right="542"/>
              <w:spacing w:after="0"/>
              <w:rPr>
                <w:sz w:val="20"/>
                <w:szCs w:val="20"/>
                <w:color w:val="auto"/>
              </w:rPr>
            </w:pPr>
            <w:r>
              <w:rPr>
                <w:rFonts w:ascii="Arial" w:cs="Arial" w:eastAsia="Arial" w:hAnsi="Arial"/>
                <w:sz w:val="12"/>
                <w:szCs w:val="12"/>
                <w:color w:val="auto"/>
                <w:w w:val="88"/>
              </w:rPr>
              <w:t>0.57%</w:t>
            </w:r>
          </w:p>
        </w:tc>
        <w:tc>
          <w:tcPr>
            <w:tcW w:w="1500" w:type="dxa"/>
            <w:vAlign w:val="bottom"/>
          </w:tcPr>
          <w:p>
            <w:pPr>
              <w:jc w:val="center"/>
              <w:ind w:left="422"/>
              <w:spacing w:after="0"/>
              <w:rPr>
                <w:sz w:val="20"/>
                <w:szCs w:val="20"/>
                <w:color w:val="auto"/>
              </w:rPr>
            </w:pPr>
            <w:r>
              <w:rPr>
                <w:rFonts w:ascii="Arial" w:cs="Arial" w:eastAsia="Arial" w:hAnsi="Arial"/>
                <w:sz w:val="12"/>
                <w:szCs w:val="12"/>
                <w:color w:val="auto"/>
                <w:w w:val="86"/>
              </w:rPr>
              <w:t>Decrease (17)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-106680</wp:posOffset>
            </wp:positionV>
            <wp:extent cx="7246620" cy="1714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2"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w:t>
      </w:r>
    </w:p>
    <w:p>
      <w:pPr>
        <w:spacing w:after="0" w:line="113" w:lineRule="exact"/>
        <w:rPr>
          <w:sz w:val="20"/>
          <w:szCs w:val="20"/>
          <w:color w:val="auto"/>
        </w:rPr>
      </w:pPr>
    </w:p>
    <w:p>
      <w:pPr>
        <w:ind w:left="500" w:hanging="492"/>
        <w:spacing w:after="0"/>
        <w:tabs>
          <w:tab w:leader="none" w:pos="5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weighted average for fixed maturity securities is determined based on the estimated fair value of the securities.</w:t>
      </w:r>
    </w:p>
    <w:p>
      <w:pPr>
        <w:spacing w:after="0" w:line="117" w:lineRule="exact"/>
        <w:rPr>
          <w:rFonts w:ascii="Arial" w:cs="Arial" w:eastAsia="Arial" w:hAnsi="Arial"/>
          <w:sz w:val="18"/>
          <w:szCs w:val="18"/>
          <w:color w:val="auto"/>
        </w:rPr>
      </w:pPr>
    </w:p>
    <w:p>
      <w:pPr>
        <w:ind w:left="500" w:hanging="492"/>
        <w:spacing w:after="0" w:line="342" w:lineRule="auto"/>
        <w:tabs>
          <w:tab w:leader="none" w:pos="500" w:val="left"/>
        </w:tabs>
        <w:numPr>
          <w:ilvl w:val="0"/>
          <w:numId w:val="35"/>
        </w:numPr>
        <w:rPr>
          <w:rFonts w:ascii="Arial" w:cs="Arial" w:eastAsia="Arial" w:hAnsi="Arial"/>
          <w:sz w:val="16"/>
          <w:szCs w:val="16"/>
          <w:color w:val="auto"/>
        </w:rPr>
      </w:pPr>
      <w:r>
        <w:rPr>
          <w:rFonts w:ascii="Arial" w:cs="Arial" w:eastAsia="Arial" w:hAnsi="Arial"/>
          <w:sz w:val="16"/>
          <w:szCs w:val="16"/>
          <w:color w:val="auto"/>
        </w:rPr>
        <w:t>The impact of a decrease in input would have the opposite impact on estimated fair value. For embedded derivatives, changes to direct and assumed guaranteed minimum benefits are based on liability positions; changes to ceded guaranteed minimum benefits are based on asset positions.</w:t>
      </w:r>
    </w:p>
    <w:p>
      <w:pPr>
        <w:spacing w:after="0" w:line="15" w:lineRule="exact"/>
        <w:rPr>
          <w:rFonts w:ascii="Arial" w:cs="Arial" w:eastAsia="Arial" w:hAnsi="Arial"/>
          <w:sz w:val="16"/>
          <w:szCs w:val="16"/>
          <w:color w:val="auto"/>
        </w:rPr>
      </w:pPr>
    </w:p>
    <w:p>
      <w:pPr>
        <w:ind w:left="500" w:hanging="492"/>
        <w:spacing w:after="0"/>
        <w:tabs>
          <w:tab w:leader="none" w:pos="5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Significant increases (decreases) in expected default rates in isolation would result in substantially lower (higher) valuations.</w:t>
      </w:r>
    </w:p>
    <w:p>
      <w:pPr>
        <w:spacing w:after="0" w:line="117" w:lineRule="exact"/>
        <w:rPr>
          <w:rFonts w:ascii="Arial" w:cs="Arial" w:eastAsia="Arial" w:hAnsi="Arial"/>
          <w:sz w:val="18"/>
          <w:szCs w:val="18"/>
          <w:color w:val="auto"/>
        </w:rPr>
      </w:pPr>
    </w:p>
    <w:p>
      <w:pPr>
        <w:ind w:left="500" w:hanging="492"/>
        <w:spacing w:after="0"/>
        <w:tabs>
          <w:tab w:leader="none" w:pos="500" w:val="left"/>
        </w:tabs>
        <w:numPr>
          <w:ilvl w:val="0"/>
          <w:numId w:val="35"/>
        </w:numPr>
        <w:rPr>
          <w:rFonts w:ascii="Arial" w:cs="Arial" w:eastAsia="Arial" w:hAnsi="Arial"/>
          <w:sz w:val="16"/>
          <w:szCs w:val="16"/>
          <w:color w:val="auto"/>
        </w:rPr>
      </w:pPr>
      <w:r>
        <w:rPr>
          <w:rFonts w:ascii="Arial" w:cs="Arial" w:eastAsia="Arial" w:hAnsi="Arial"/>
          <w:sz w:val="16"/>
          <w:szCs w:val="16"/>
          <w:color w:val="auto"/>
        </w:rPr>
        <w:t>Range and weighted average are presented in accordance with the market convention for fixed maturity securities of dollars per hundred dollars of par.</w:t>
      </w:r>
    </w:p>
    <w:p>
      <w:pPr>
        <w:spacing w:after="0" w:line="140" w:lineRule="exact"/>
        <w:rPr>
          <w:rFonts w:ascii="Arial" w:cs="Arial" w:eastAsia="Arial" w:hAnsi="Arial"/>
          <w:sz w:val="16"/>
          <w:szCs w:val="16"/>
          <w:color w:val="auto"/>
        </w:rPr>
      </w:pPr>
    </w:p>
    <w:p>
      <w:pPr>
        <w:ind w:left="500" w:hanging="492"/>
        <w:spacing w:after="0" w:line="277" w:lineRule="auto"/>
        <w:tabs>
          <w:tab w:leader="none" w:pos="5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Changes in the assumptions used for the probability of default is accompanied by a directionally similar change in the assumption used for the loss severity and a directionally opposite change in the assumptions used for prepayment rates.</w:t>
      </w:r>
    </w:p>
    <w:p>
      <w:pPr>
        <w:spacing w:after="0" w:line="62" w:lineRule="exact"/>
        <w:rPr>
          <w:rFonts w:ascii="Arial" w:cs="Arial" w:eastAsia="Arial" w:hAnsi="Arial"/>
          <w:sz w:val="18"/>
          <w:szCs w:val="18"/>
          <w:color w:val="auto"/>
        </w:rPr>
      </w:pPr>
    </w:p>
    <w:p>
      <w:pPr>
        <w:ind w:left="500" w:hanging="492"/>
        <w:spacing w:after="0"/>
        <w:tabs>
          <w:tab w:leader="none" w:pos="500" w:val="left"/>
        </w:tabs>
        <w:numPr>
          <w:ilvl w:val="0"/>
          <w:numId w:val="35"/>
        </w:numPr>
        <w:rPr>
          <w:rFonts w:ascii="Arial" w:cs="Arial" w:eastAsia="Arial" w:hAnsi="Arial"/>
          <w:sz w:val="16"/>
          <w:szCs w:val="16"/>
          <w:color w:val="auto"/>
        </w:rPr>
      </w:pPr>
      <w:r>
        <w:rPr>
          <w:rFonts w:ascii="Arial" w:cs="Arial" w:eastAsia="Arial" w:hAnsi="Arial"/>
          <w:sz w:val="16"/>
          <w:szCs w:val="16"/>
          <w:color w:val="auto"/>
        </w:rPr>
        <w:t>Changes in estimated fair value are based on long U.S. dollar net asset positions and will be inversely impacted for short U.S. dollar net asset positions.</w:t>
      </w:r>
    </w:p>
    <w:p>
      <w:pPr>
        <w:sectPr>
          <w:pgSz w:w="11900" w:h="16838" w:orient="portrait"/>
          <w:cols w:equalWidth="0" w:num="1">
            <w:col w:w="11420"/>
          </w:cols>
          <w:pgMar w:left="240" w:top="288" w:right="239" w:bottom="1440" w:gutter="0" w:footer="0" w:header="0"/>
          <w:type w:val="continuous"/>
        </w:sect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51</w:t>
      </w:r>
    </w:p>
    <w:p>
      <w:pPr>
        <w:sectPr>
          <w:pgSz w:w="11900" w:h="16838" w:orient="portrait"/>
          <w:cols w:equalWidth="0" w:num="1">
            <w:col w:w="11420"/>
          </w:cols>
          <w:pgMar w:left="240" w:top="288" w:right="239" w:bottom="1440" w:gutter="0" w:footer="0" w:header="0"/>
          <w:type w:val="continuous"/>
        </w:sectPr>
      </w:pPr>
    </w:p>
    <w:bookmarkStart w:id="53" w:name="page54"/>
    <w:bookmarkEnd w:id="53"/>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109" w:lineRule="exact"/>
        <w:rPr>
          <w:sz w:val="20"/>
          <w:szCs w:val="20"/>
          <w:color w:val="auto"/>
        </w:rPr>
      </w:pPr>
    </w:p>
    <w:p>
      <w:pPr>
        <w:ind w:left="4660"/>
        <w:spacing w:after="0"/>
        <w:rPr>
          <w:sz w:val="20"/>
          <w:szCs w:val="20"/>
          <w:color w:val="auto"/>
        </w:rPr>
      </w:pPr>
      <w:r>
        <w:rPr>
          <w:rFonts w:ascii="Arial" w:cs="Arial" w:eastAsia="Arial" w:hAnsi="Arial"/>
          <w:sz w:val="18"/>
          <w:szCs w:val="18"/>
          <w:b w:val="1"/>
          <w:bCs w:val="1"/>
          <w:color w:val="auto"/>
        </w:rPr>
        <w:t>Brighthouse Financial, Inc.</w:t>
      </w:r>
    </w:p>
    <w:p>
      <w:pPr>
        <w:spacing w:after="0" w:line="117" w:lineRule="exact"/>
        <w:rPr>
          <w:sz w:val="20"/>
          <w:szCs w:val="20"/>
          <w:color w:val="auto"/>
        </w:rPr>
      </w:pPr>
    </w:p>
    <w:p>
      <w:pPr>
        <w:ind w:left="1480"/>
        <w:spacing w:after="0"/>
        <w:rPr>
          <w:sz w:val="20"/>
          <w:szCs w:val="20"/>
          <w:color w:val="auto"/>
        </w:rPr>
      </w:pPr>
      <w:r>
        <w:rPr>
          <w:rFonts w:ascii="Arial" w:cs="Arial" w:eastAsia="Arial" w:hAnsi="Arial"/>
          <w:sz w:val="18"/>
          <w:szCs w:val="18"/>
          <w:b w:val="1"/>
          <w:bCs w:val="1"/>
          <w:color w:val="auto"/>
        </w:rPr>
        <w:t>Notes to the Interim Condensed Consolidated and Combined Financial Statements (Unaudited) — (continued)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Fair Value (continued)</w:t>
      </w:r>
    </w:p>
    <w:p>
      <w:pPr>
        <w:spacing w:after="0" w:line="364" w:lineRule="exact"/>
        <w:rPr>
          <w:sz w:val="20"/>
          <w:szCs w:val="20"/>
          <w:color w:val="auto"/>
        </w:rPr>
      </w:pPr>
    </w:p>
    <w:p>
      <w:pPr>
        <w:ind w:left="500" w:hanging="492"/>
        <w:spacing w:after="0"/>
        <w:tabs>
          <w:tab w:leader="none" w:pos="5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Ranges represent different repurchase rates utilized as components within the valuation methodology and are presented in basis points.</w:t>
      </w:r>
    </w:p>
    <w:p>
      <w:pPr>
        <w:spacing w:after="0" w:line="117" w:lineRule="exact"/>
        <w:rPr>
          <w:rFonts w:ascii="Arial" w:cs="Arial" w:eastAsia="Arial" w:hAnsi="Arial"/>
          <w:sz w:val="18"/>
          <w:szCs w:val="18"/>
          <w:color w:val="auto"/>
        </w:rPr>
      </w:pPr>
    </w:p>
    <w:p>
      <w:pPr>
        <w:ind w:left="500" w:hanging="492"/>
        <w:spacing w:after="0" w:line="277" w:lineRule="auto"/>
        <w:tabs>
          <w:tab w:leader="none" w:pos="5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Represents the risk quoted in basis points of a credit default event on the underlying instrument. Credit derivatives with significant unobservable inputs are primarily comprised of written credit default swaps.</w:t>
      </w:r>
    </w:p>
    <w:p>
      <w:pPr>
        <w:spacing w:after="0" w:line="62" w:lineRule="exact"/>
        <w:rPr>
          <w:rFonts w:ascii="Arial" w:cs="Arial" w:eastAsia="Arial" w:hAnsi="Arial"/>
          <w:sz w:val="18"/>
          <w:szCs w:val="18"/>
          <w:color w:val="auto"/>
        </w:rPr>
      </w:pPr>
    </w:p>
    <w:p>
      <w:pPr>
        <w:ind w:left="500" w:hanging="492"/>
        <w:spacing w:after="0" w:line="277" w:lineRule="auto"/>
        <w:tabs>
          <w:tab w:leader="none" w:pos="5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At September 30, 2017 and December 31, 2016, independent non-binding broker quotations were used in the determination of 1% and 3%, respectively, of the total net derivative estimated fair value.</w:t>
      </w:r>
    </w:p>
    <w:p>
      <w:pPr>
        <w:spacing w:after="0" w:line="62" w:lineRule="exact"/>
        <w:rPr>
          <w:rFonts w:ascii="Arial" w:cs="Arial" w:eastAsia="Arial" w:hAnsi="Arial"/>
          <w:sz w:val="18"/>
          <w:szCs w:val="18"/>
          <w:color w:val="auto"/>
        </w:rPr>
      </w:pPr>
    </w:p>
    <w:p>
      <w:pPr>
        <w:ind w:left="500" w:right="20" w:hanging="492"/>
        <w:spacing w:after="0" w:line="308" w:lineRule="auto"/>
        <w:tabs>
          <w:tab w:leader="none" w:pos="500" w:val="left"/>
        </w:tabs>
        <w:numPr>
          <w:ilvl w:val="0"/>
          <w:numId w:val="36"/>
        </w:numPr>
        <w:rPr>
          <w:rFonts w:ascii="Arial" w:cs="Arial" w:eastAsia="Arial" w:hAnsi="Arial"/>
          <w:sz w:val="17"/>
          <w:szCs w:val="17"/>
          <w:color w:val="auto"/>
        </w:rPr>
      </w:pPr>
      <w:r>
        <w:rPr>
          <w:rFonts w:ascii="Arial" w:cs="Arial" w:eastAsia="Arial" w:hAnsi="Arial"/>
          <w:sz w:val="17"/>
          <w:szCs w:val="17"/>
          <w:color w:val="auto"/>
        </w:rPr>
        <w:t>Ranges represent the underlying equity volatility quoted in percentage points. Since this valuation methodology uses a range of inputs across multiple volatility surfaces to value the derivative, presenting a range is more representative of the unobservable input used in the valuation.</w:t>
      </w:r>
    </w:p>
    <w:p>
      <w:pPr>
        <w:spacing w:after="0" w:line="38" w:lineRule="exact"/>
        <w:rPr>
          <w:rFonts w:ascii="Arial" w:cs="Arial" w:eastAsia="Arial" w:hAnsi="Arial"/>
          <w:sz w:val="17"/>
          <w:szCs w:val="17"/>
          <w:color w:val="auto"/>
        </w:rPr>
      </w:pPr>
    </w:p>
    <w:p>
      <w:pPr>
        <w:jc w:val="both"/>
        <w:ind w:left="500" w:hanging="492"/>
        <w:spacing w:after="0" w:line="264" w:lineRule="auto"/>
        <w:tabs>
          <w:tab w:leader="none" w:pos="5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Ranges represent the different correlation factors utilized as components within the valuation methodology. Presenting a range of correlation factors is more representative of the unobservable input used in the valuation. Increases (decreases) in correlation in isolation will increase (decrease) the significance of the change in valuations.</w:t>
      </w:r>
    </w:p>
    <w:p>
      <w:pPr>
        <w:spacing w:after="0" w:line="73" w:lineRule="exact"/>
        <w:rPr>
          <w:rFonts w:ascii="Arial" w:cs="Arial" w:eastAsia="Arial" w:hAnsi="Arial"/>
          <w:sz w:val="18"/>
          <w:szCs w:val="18"/>
          <w:color w:val="auto"/>
        </w:rPr>
      </w:pPr>
    </w:p>
    <w:p>
      <w:pPr>
        <w:jc w:val="both"/>
        <w:ind w:left="500" w:right="20" w:hanging="492"/>
        <w:spacing w:after="0" w:line="264" w:lineRule="auto"/>
        <w:tabs>
          <w:tab w:leader="none" w:pos="5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Mortality rates vary by age and by demographic characteristics such as gender. Mortality rate assumptions are based on company experience. A mortality improvement assumption is also applied. For any given contract, mortality rates vary throughout the period over which cash flows are projected for purposes of valuing the embedded derivative.</w:t>
      </w:r>
    </w:p>
    <w:p>
      <w:pPr>
        <w:spacing w:after="0" w:line="73" w:lineRule="exact"/>
        <w:rPr>
          <w:rFonts w:ascii="Arial" w:cs="Arial" w:eastAsia="Arial" w:hAnsi="Arial"/>
          <w:sz w:val="18"/>
          <w:szCs w:val="18"/>
          <w:color w:val="auto"/>
        </w:rPr>
      </w:pPr>
    </w:p>
    <w:p>
      <w:pPr>
        <w:jc w:val="both"/>
        <w:ind w:left="500" w:hanging="492"/>
        <w:spacing w:after="0" w:line="257" w:lineRule="auto"/>
        <w:tabs>
          <w:tab w:leader="none" w:pos="5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Base lapse rates are adjusted at the contract level based on a comparison of the actuarially calculated guaranteed values and the current policyholder account value, as well as other factors, such as the applicability of any surrender charges. A dynamic lapse function reduces the base lapse rate when the guaranteed amount is greater than the account value as in the money contracts are less likely to lapse. Lapse rates are also generally assumed to be lower in periods when a surrender charge applies. For any given contract, lapse rates vary throughout the period over which cash flows are projected for purposes of valuing the embedded derivative.</w:t>
      </w:r>
    </w:p>
    <w:p>
      <w:pPr>
        <w:spacing w:after="0" w:line="80" w:lineRule="exact"/>
        <w:rPr>
          <w:rFonts w:ascii="Arial" w:cs="Arial" w:eastAsia="Arial" w:hAnsi="Arial"/>
          <w:sz w:val="18"/>
          <w:szCs w:val="18"/>
          <w:color w:val="auto"/>
        </w:rPr>
      </w:pPr>
    </w:p>
    <w:p>
      <w:pPr>
        <w:jc w:val="both"/>
        <w:ind w:left="500" w:hanging="492"/>
        <w:spacing w:after="0" w:line="259" w:lineRule="auto"/>
        <w:tabs>
          <w:tab w:leader="none" w:pos="5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utilization rate assumption estimates the percentage of contractholders with a GMIB or lifetime withdrawal benefit who will elect to utilize the benefit upon becoming eligible. The rates may vary by the type of guarantee, the amount by which the guaranteed amount is greater than the account value, the contract’s withdrawal history and by the age of the policyholder. For any given contract, utilization rates vary throughout the period over which cash flows are projected for purposes of valuing the embedded derivative.</w:t>
      </w:r>
    </w:p>
    <w:p>
      <w:pPr>
        <w:spacing w:after="0" w:line="78" w:lineRule="exact"/>
        <w:rPr>
          <w:rFonts w:ascii="Arial" w:cs="Arial" w:eastAsia="Arial" w:hAnsi="Arial"/>
          <w:sz w:val="18"/>
          <w:szCs w:val="18"/>
          <w:color w:val="auto"/>
        </w:rPr>
      </w:pPr>
    </w:p>
    <w:p>
      <w:pPr>
        <w:jc w:val="both"/>
        <w:ind w:left="500" w:hanging="492"/>
        <w:spacing w:after="0" w:line="276" w:lineRule="auto"/>
        <w:tabs>
          <w:tab w:leader="none" w:pos="500" w:val="left"/>
        </w:tabs>
        <w:numPr>
          <w:ilvl w:val="0"/>
          <w:numId w:val="36"/>
        </w:numPr>
        <w:rPr>
          <w:rFonts w:ascii="Arial" w:cs="Arial" w:eastAsia="Arial" w:hAnsi="Arial"/>
          <w:sz w:val="17"/>
          <w:szCs w:val="17"/>
          <w:color w:val="auto"/>
        </w:rPr>
      </w:pPr>
      <w:r>
        <w:rPr>
          <w:rFonts w:ascii="Arial" w:cs="Arial" w:eastAsia="Arial" w:hAnsi="Arial"/>
          <w:sz w:val="17"/>
          <w:szCs w:val="17"/>
          <w:color w:val="auto"/>
        </w:rPr>
        <w:t>The withdrawal rate represents the percentage of account balance that any given policyholder will elect to withdraw from the contract each year. The withdrawal rate assumption varies by age and duration of the contract, and also by other factors such as benefit type. For any given contract, withdrawal rates vary throughout the period over which cash flows are projected for purposes of valuing the embedded derivative. For GMWBs, any increase (decrease) in withdrawal rates results in an increase (decrease) in the estimated fair value of the guarantees. For GMABs and GMIBs, any increase (decrease) in withdrawal rates results in a decrease (increase) in the estimated fair value.</w:t>
      </w:r>
    </w:p>
    <w:p>
      <w:pPr>
        <w:spacing w:after="0" w:line="64" w:lineRule="exact"/>
        <w:rPr>
          <w:rFonts w:ascii="Arial" w:cs="Arial" w:eastAsia="Arial" w:hAnsi="Arial"/>
          <w:sz w:val="17"/>
          <w:szCs w:val="17"/>
          <w:color w:val="auto"/>
        </w:rPr>
      </w:pPr>
    </w:p>
    <w:p>
      <w:pPr>
        <w:ind w:left="500" w:hanging="492"/>
        <w:spacing w:after="0" w:line="342" w:lineRule="auto"/>
        <w:tabs>
          <w:tab w:leader="none" w:pos="500" w:val="left"/>
        </w:tabs>
        <w:numPr>
          <w:ilvl w:val="0"/>
          <w:numId w:val="36"/>
        </w:numPr>
        <w:rPr>
          <w:rFonts w:ascii="Arial" w:cs="Arial" w:eastAsia="Arial" w:hAnsi="Arial"/>
          <w:sz w:val="16"/>
          <w:szCs w:val="16"/>
          <w:color w:val="auto"/>
        </w:rPr>
      </w:pPr>
      <w:r>
        <w:rPr>
          <w:rFonts w:ascii="Arial" w:cs="Arial" w:eastAsia="Arial" w:hAnsi="Arial"/>
          <w:sz w:val="16"/>
          <w:szCs w:val="16"/>
          <w:color w:val="auto"/>
        </w:rPr>
        <w:t>Long-term equity volatilities represent equity volatility beyond the period for which observable equity volatilities are available. For any given contract, long-term equity volatility rates vary throughout the period over which cash flows are projected for purposes of valuing the embedded derivative.</w:t>
      </w:r>
    </w:p>
    <w:p>
      <w:pPr>
        <w:spacing w:after="0" w:line="15" w:lineRule="exact"/>
        <w:rPr>
          <w:rFonts w:ascii="Arial" w:cs="Arial" w:eastAsia="Arial" w:hAnsi="Arial"/>
          <w:sz w:val="16"/>
          <w:szCs w:val="16"/>
          <w:color w:val="auto"/>
        </w:rPr>
      </w:pPr>
    </w:p>
    <w:p>
      <w:pPr>
        <w:ind w:left="500" w:hanging="492"/>
        <w:spacing w:after="0" w:line="277" w:lineRule="auto"/>
        <w:tabs>
          <w:tab w:leader="none" w:pos="5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Nonperformance risk spread varies by duration and by currency. For any given contract, multiple nonperformance risk spreads will apply, depending on the duration of the cash flow being discounted for purposes of valuing the embedded derivative.</w:t>
      </w:r>
    </w:p>
    <w:p>
      <w:pPr>
        <w:spacing w:after="0" w:line="62" w:lineRule="exact"/>
        <w:rPr>
          <w:sz w:val="20"/>
          <w:szCs w:val="20"/>
          <w:color w:val="auto"/>
        </w:rPr>
      </w:pPr>
    </w:p>
    <w:p>
      <w:pPr>
        <w:jc w:val="both"/>
        <w:ind w:left="180" w:firstLine="324"/>
        <w:spacing w:after="0" w:line="255" w:lineRule="auto"/>
        <w:rPr>
          <w:sz w:val="20"/>
          <w:szCs w:val="20"/>
          <w:color w:val="auto"/>
        </w:rPr>
      </w:pPr>
      <w:r>
        <w:rPr>
          <w:rFonts w:ascii="Arial" w:cs="Arial" w:eastAsia="Arial" w:hAnsi="Arial"/>
          <w:sz w:val="18"/>
          <w:szCs w:val="18"/>
          <w:color w:val="auto"/>
        </w:rPr>
        <w:t>The following is a summary of the valuation techniques and significant unobservable inputs used in the fair value measurement of assets and liabilities classified within Level 3 that are not included in the preceding table. Generally, all other classes of securities classified within Level 3, including those within separate account assets use the same valuation techniques and significant unobservable inputs as previously described for Level 3 securities. This includes matrix pricing and discounted cash flow methodologies, inputs such as quoted prices for identical or similar securities that are less liquid and based on lower levels of trading activity than securities classified in Level 2, as well as independent non-binding broker quotations. The sensitivity of the estimated fair value to changes in the significant unobservable inputs for these other assets and liabilities is similar in nature to that described in the preceding table.</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288" w:right="239" w:bottom="1440" w:gutter="0" w:footer="0" w:header="0"/>
        </w:sectPr>
      </w:pPr>
    </w:p>
    <w:bookmarkStart w:id="54" w:name="page55"/>
    <w:bookmarkEnd w:id="54"/>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109" w:lineRule="exact"/>
        <w:rPr>
          <w:sz w:val="20"/>
          <w:szCs w:val="20"/>
          <w:color w:val="auto"/>
        </w:rPr>
      </w:pPr>
    </w:p>
    <w:p>
      <w:pPr>
        <w:ind w:left="4660"/>
        <w:spacing w:after="0"/>
        <w:rPr>
          <w:sz w:val="20"/>
          <w:szCs w:val="20"/>
          <w:color w:val="auto"/>
        </w:rPr>
      </w:pPr>
      <w:r>
        <w:rPr>
          <w:rFonts w:ascii="Arial" w:cs="Arial" w:eastAsia="Arial" w:hAnsi="Arial"/>
          <w:sz w:val="18"/>
          <w:szCs w:val="18"/>
          <w:b w:val="1"/>
          <w:bCs w:val="1"/>
          <w:color w:val="auto"/>
        </w:rPr>
        <w:t>Brighthouse Financial, Inc.</w:t>
      </w:r>
    </w:p>
    <w:p>
      <w:pPr>
        <w:spacing w:after="0" w:line="117" w:lineRule="exact"/>
        <w:rPr>
          <w:sz w:val="20"/>
          <w:szCs w:val="20"/>
          <w:color w:val="auto"/>
        </w:rPr>
      </w:pPr>
    </w:p>
    <w:p>
      <w:pPr>
        <w:ind w:left="1480"/>
        <w:spacing w:after="0"/>
        <w:rPr>
          <w:sz w:val="20"/>
          <w:szCs w:val="20"/>
          <w:color w:val="auto"/>
        </w:rPr>
      </w:pPr>
      <w:r>
        <w:rPr>
          <w:rFonts w:ascii="Arial" w:cs="Arial" w:eastAsia="Arial" w:hAnsi="Arial"/>
          <w:sz w:val="18"/>
          <w:szCs w:val="18"/>
          <w:b w:val="1"/>
          <w:bCs w:val="1"/>
          <w:color w:val="auto"/>
        </w:rPr>
        <w:t>Notes to the Interim Condensed Consolidated and Combined Financial Statements (Unaudited) — (continued)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Fair Value (continued)</w:t>
      </w:r>
    </w:p>
    <w:p>
      <w:pPr>
        <w:spacing w:after="0" w:line="364" w:lineRule="exact"/>
        <w:rPr>
          <w:sz w:val="20"/>
          <w:szCs w:val="20"/>
          <w:color w:val="auto"/>
        </w:rPr>
      </w:pPr>
    </w:p>
    <w:p>
      <w:pPr>
        <w:ind w:left="180" w:firstLine="324"/>
        <w:spacing w:after="0" w:line="277" w:lineRule="auto"/>
        <w:rPr>
          <w:sz w:val="20"/>
          <w:szCs w:val="20"/>
          <w:color w:val="auto"/>
        </w:rPr>
      </w:pPr>
      <w:r>
        <w:rPr>
          <w:rFonts w:ascii="Arial" w:cs="Arial" w:eastAsia="Arial" w:hAnsi="Arial"/>
          <w:sz w:val="18"/>
          <w:szCs w:val="18"/>
          <w:color w:val="auto"/>
        </w:rPr>
        <w:t>The following tables summarize the change of all assets and (liabilities) measured at estimated fair value on a recurring basis using significant unobservable inputs (Level 3):</w:t>
      </w:r>
    </w:p>
    <w:p>
      <w:pPr>
        <w:sectPr>
          <w:pgSz w:w="11900" w:h="16838" w:orient="portrait"/>
          <w:cols w:equalWidth="0" w:num="1">
            <w:col w:w="11420"/>
          </w:cols>
          <w:pgMar w:left="240" w:top="288"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40" w:right="1400"/>
        <w:spacing w:after="0" w:line="355" w:lineRule="auto"/>
        <w:rPr>
          <w:sz w:val="20"/>
          <w:szCs w:val="20"/>
          <w:color w:val="auto"/>
        </w:rPr>
      </w:pPr>
      <w:r>
        <w:rPr>
          <w:rFonts w:ascii="Arial" w:cs="Arial" w:eastAsia="Arial" w:hAnsi="Arial"/>
          <w:sz w:val="14"/>
          <w:szCs w:val="14"/>
          <w:b w:val="1"/>
          <w:bCs w:val="1"/>
          <w:color w:val="auto"/>
        </w:rPr>
        <w:t xml:space="preserve">Three Months Ended September 30, 2017 </w:t>
      </w:r>
      <w:r>
        <w:rPr>
          <w:rFonts w:ascii="Arial" w:cs="Arial" w:eastAsia="Arial" w:hAnsi="Arial"/>
          <w:sz w:val="14"/>
          <w:szCs w:val="14"/>
          <w:color w:val="auto"/>
        </w:rPr>
        <w:t>Balance, beginning of period</w:t>
      </w:r>
    </w:p>
    <w:p>
      <w:pPr>
        <w:jc w:val="right"/>
        <w:ind w:right="1700"/>
        <w:spacing w:after="0"/>
        <w:rPr>
          <w:sz w:val="20"/>
          <w:szCs w:val="20"/>
          <w:color w:val="auto"/>
        </w:rPr>
      </w:pPr>
      <w:r>
        <w:rPr>
          <w:rFonts w:ascii="Arial" w:cs="Arial" w:eastAsia="Arial" w:hAnsi="Arial"/>
          <w:sz w:val="12"/>
          <w:szCs w:val="12"/>
          <w:color w:val="auto"/>
        </w:rPr>
        <w:t>Total realized/unrealized gains (losses)</w:t>
      </w:r>
    </w:p>
    <w:p>
      <w:pPr>
        <w:spacing w:after="0" w:line="23" w:lineRule="exact"/>
        <w:rPr>
          <w:sz w:val="20"/>
          <w:szCs w:val="20"/>
          <w:color w:val="auto"/>
        </w:rPr>
      </w:pPr>
    </w:p>
    <w:p>
      <w:pPr>
        <w:jc w:val="right"/>
        <w:ind w:right="1700"/>
        <w:spacing w:after="0"/>
        <w:rPr>
          <w:sz w:val="20"/>
          <w:szCs w:val="20"/>
          <w:color w:val="auto"/>
        </w:rPr>
      </w:pPr>
      <w:r>
        <w:rPr>
          <w:rFonts w:ascii="Arial" w:cs="Arial" w:eastAsia="Arial" w:hAnsi="Arial"/>
          <w:sz w:val="14"/>
          <w:szCs w:val="14"/>
          <w:color w:val="auto"/>
        </w:rPr>
        <w:t>included in net income (loss) (5) (6)</w:t>
      </w:r>
    </w:p>
    <w:p>
      <w:pPr>
        <w:spacing w:after="0" w:line="29" w:lineRule="exact"/>
        <w:rPr>
          <w:sz w:val="20"/>
          <w:szCs w:val="20"/>
          <w:color w:val="auto"/>
        </w:rPr>
      </w:pPr>
    </w:p>
    <w:p>
      <w:pPr>
        <w:ind w:left="40"/>
        <w:spacing w:after="0"/>
        <w:rPr>
          <w:sz w:val="20"/>
          <w:szCs w:val="20"/>
          <w:color w:val="auto"/>
        </w:rPr>
      </w:pPr>
      <w:r>
        <w:rPr>
          <w:rFonts w:ascii="Arial" w:cs="Arial" w:eastAsia="Arial" w:hAnsi="Arial"/>
          <w:sz w:val="14"/>
          <w:szCs w:val="14"/>
          <w:color w:val="auto"/>
        </w:rPr>
        <w:t>Total realized/unrealized gains (losses)</w:t>
      </w:r>
    </w:p>
    <w:p>
      <w:pPr>
        <w:ind w:left="200"/>
        <w:spacing w:after="0"/>
        <w:rPr>
          <w:sz w:val="20"/>
          <w:szCs w:val="20"/>
          <w:color w:val="auto"/>
        </w:rPr>
      </w:pPr>
      <w:r>
        <w:rPr>
          <w:rFonts w:ascii="Arial" w:cs="Arial" w:eastAsia="Arial" w:hAnsi="Arial"/>
          <w:sz w:val="14"/>
          <w:szCs w:val="14"/>
          <w:color w:val="auto"/>
        </w:rPr>
        <w:t>included in AOCI</w:t>
      </w:r>
    </w:p>
    <w:p>
      <w:pPr>
        <w:spacing w:after="0" w:line="30" w:lineRule="exact"/>
        <w:rPr>
          <w:sz w:val="20"/>
          <w:szCs w:val="20"/>
          <w:color w:val="auto"/>
        </w:rPr>
      </w:pPr>
    </w:p>
    <w:p>
      <w:pPr>
        <w:ind w:left="40"/>
        <w:spacing w:after="0"/>
        <w:rPr>
          <w:sz w:val="20"/>
          <w:szCs w:val="20"/>
          <w:color w:val="auto"/>
        </w:rPr>
      </w:pPr>
      <w:r>
        <w:rPr>
          <w:rFonts w:ascii="Arial" w:cs="Arial" w:eastAsia="Arial" w:hAnsi="Arial"/>
          <w:sz w:val="14"/>
          <w:szCs w:val="14"/>
          <w:color w:val="auto"/>
        </w:rPr>
        <w:t>Purchases (7)</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Sales (7)</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Issuances (7)</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Settlements (7)</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Transfers into Level 3 (8)</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Transfers out of Level 3 (8)</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Balance, end of period</w:t>
      </w:r>
    </w:p>
    <w:p>
      <w:pPr>
        <w:spacing w:after="0" w:line="200" w:lineRule="exact"/>
        <w:rPr>
          <w:sz w:val="20"/>
          <w:szCs w:val="20"/>
          <w:color w:val="auto"/>
        </w:rPr>
      </w:pPr>
    </w:p>
    <w:p>
      <w:pPr>
        <w:ind w:left="40" w:right="1400"/>
        <w:spacing w:after="0" w:line="339" w:lineRule="auto"/>
        <w:rPr>
          <w:sz w:val="20"/>
          <w:szCs w:val="20"/>
          <w:color w:val="auto"/>
        </w:rPr>
      </w:pPr>
      <w:r>
        <w:rPr>
          <w:rFonts w:ascii="Arial" w:cs="Arial" w:eastAsia="Arial" w:hAnsi="Arial"/>
          <w:sz w:val="14"/>
          <w:szCs w:val="14"/>
          <w:b w:val="1"/>
          <w:bCs w:val="1"/>
          <w:color w:val="auto"/>
        </w:rPr>
        <w:t xml:space="preserve">Three Months Ended September 30, 2016 </w:t>
      </w:r>
      <w:r>
        <w:rPr>
          <w:rFonts w:ascii="Arial" w:cs="Arial" w:eastAsia="Arial" w:hAnsi="Arial"/>
          <w:sz w:val="14"/>
          <w:szCs w:val="14"/>
          <w:color w:val="auto"/>
        </w:rPr>
        <w:t>Balance, beginning of period</w:t>
      </w:r>
    </w:p>
    <w:p>
      <w:pPr>
        <w:spacing w:after="0" w:line="22" w:lineRule="exact"/>
        <w:rPr>
          <w:sz w:val="20"/>
          <w:szCs w:val="20"/>
          <w:color w:val="auto"/>
        </w:rPr>
      </w:pPr>
    </w:p>
    <w:p>
      <w:pPr>
        <w:jc w:val="right"/>
        <w:ind w:right="1700"/>
        <w:spacing w:after="0"/>
        <w:rPr>
          <w:sz w:val="20"/>
          <w:szCs w:val="20"/>
          <w:color w:val="auto"/>
        </w:rPr>
      </w:pPr>
      <w:r>
        <w:rPr>
          <w:rFonts w:ascii="Arial" w:cs="Arial" w:eastAsia="Arial" w:hAnsi="Arial"/>
          <w:sz w:val="12"/>
          <w:szCs w:val="12"/>
          <w:color w:val="auto"/>
        </w:rPr>
        <w:t>Total realized/unrealized gains (losses)</w:t>
      </w:r>
    </w:p>
    <w:p>
      <w:pPr>
        <w:spacing w:after="0" w:line="23" w:lineRule="exact"/>
        <w:rPr>
          <w:sz w:val="20"/>
          <w:szCs w:val="20"/>
          <w:color w:val="auto"/>
        </w:rPr>
      </w:pPr>
    </w:p>
    <w:p>
      <w:pPr>
        <w:jc w:val="right"/>
        <w:ind w:right="1700"/>
        <w:spacing w:after="0"/>
        <w:rPr>
          <w:sz w:val="20"/>
          <w:szCs w:val="20"/>
          <w:color w:val="auto"/>
        </w:rPr>
      </w:pPr>
      <w:r>
        <w:rPr>
          <w:rFonts w:ascii="Arial" w:cs="Arial" w:eastAsia="Arial" w:hAnsi="Arial"/>
          <w:sz w:val="14"/>
          <w:szCs w:val="14"/>
          <w:color w:val="auto"/>
        </w:rPr>
        <w:t>included in net income (loss) (5) (6)</w:t>
      </w:r>
    </w:p>
    <w:p>
      <w:pPr>
        <w:spacing w:after="0" w:line="29" w:lineRule="exact"/>
        <w:rPr>
          <w:sz w:val="20"/>
          <w:szCs w:val="20"/>
          <w:color w:val="auto"/>
        </w:rPr>
      </w:pPr>
    </w:p>
    <w:p>
      <w:pPr>
        <w:ind w:left="40"/>
        <w:spacing w:after="0"/>
        <w:rPr>
          <w:sz w:val="20"/>
          <w:szCs w:val="20"/>
          <w:color w:val="auto"/>
        </w:rPr>
      </w:pPr>
      <w:r>
        <w:rPr>
          <w:rFonts w:ascii="Arial" w:cs="Arial" w:eastAsia="Arial" w:hAnsi="Arial"/>
          <w:sz w:val="14"/>
          <w:szCs w:val="14"/>
          <w:color w:val="auto"/>
        </w:rPr>
        <w:t>Total realized/unrealized gains (losses)</w:t>
      </w:r>
    </w:p>
    <w:p>
      <w:pPr>
        <w:ind w:left="200"/>
        <w:spacing w:after="0"/>
        <w:rPr>
          <w:sz w:val="20"/>
          <w:szCs w:val="20"/>
          <w:color w:val="auto"/>
        </w:rPr>
      </w:pPr>
      <w:r>
        <w:rPr>
          <w:rFonts w:ascii="Arial" w:cs="Arial" w:eastAsia="Arial" w:hAnsi="Arial"/>
          <w:sz w:val="14"/>
          <w:szCs w:val="14"/>
          <w:color w:val="auto"/>
        </w:rPr>
        <w:t>included in AOCI</w:t>
      </w:r>
    </w:p>
    <w:p>
      <w:pPr>
        <w:spacing w:after="0" w:line="30" w:lineRule="exact"/>
        <w:rPr>
          <w:sz w:val="20"/>
          <w:szCs w:val="20"/>
          <w:color w:val="auto"/>
        </w:rPr>
      </w:pPr>
    </w:p>
    <w:p>
      <w:pPr>
        <w:ind w:left="40"/>
        <w:spacing w:after="0"/>
        <w:rPr>
          <w:sz w:val="20"/>
          <w:szCs w:val="20"/>
          <w:color w:val="auto"/>
        </w:rPr>
      </w:pPr>
      <w:r>
        <w:rPr>
          <w:rFonts w:ascii="Arial" w:cs="Arial" w:eastAsia="Arial" w:hAnsi="Arial"/>
          <w:sz w:val="14"/>
          <w:szCs w:val="14"/>
          <w:color w:val="auto"/>
        </w:rPr>
        <w:t>Purchases (7)</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Sales (7)</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Issuances (7)</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Settlements (7)</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Transfers into Level 3 (8)</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Transfers out of Level 3 (8)</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Balance, end of period</w:t>
      </w:r>
    </w:p>
    <w:p>
      <w:pPr>
        <w:spacing w:after="0" w:line="109" w:lineRule="exact"/>
        <w:rPr>
          <w:sz w:val="20"/>
          <w:szCs w:val="20"/>
          <w:color w:val="auto"/>
        </w:rPr>
      </w:pPr>
    </w:p>
    <w:p>
      <w:pPr>
        <w:jc w:val="both"/>
        <w:ind w:left="200" w:right="1260" w:hanging="161"/>
        <w:spacing w:after="0" w:line="264" w:lineRule="auto"/>
        <w:rPr>
          <w:sz w:val="20"/>
          <w:szCs w:val="20"/>
          <w:color w:val="auto"/>
        </w:rPr>
      </w:pPr>
      <w:r>
        <w:rPr>
          <w:rFonts w:ascii="Arial" w:cs="Arial" w:eastAsia="Arial" w:hAnsi="Arial"/>
          <w:sz w:val="13"/>
          <w:szCs w:val="13"/>
          <w:color w:val="auto"/>
        </w:rPr>
        <w:t>Changes in unrealized gains (losses) included in net income (loss) for the instruments still held at September 30, 2017 (9)</w:t>
      </w:r>
    </w:p>
    <w:p>
      <w:pPr>
        <w:spacing w:after="0" w:line="6" w:lineRule="exact"/>
        <w:rPr>
          <w:sz w:val="20"/>
          <w:szCs w:val="20"/>
          <w:color w:val="auto"/>
        </w:rPr>
      </w:pPr>
    </w:p>
    <w:p>
      <w:pPr>
        <w:jc w:val="both"/>
        <w:ind w:left="200" w:right="1260" w:hanging="161"/>
        <w:spacing w:after="0" w:line="264" w:lineRule="auto"/>
        <w:rPr>
          <w:sz w:val="20"/>
          <w:szCs w:val="20"/>
          <w:color w:val="auto"/>
        </w:rPr>
      </w:pPr>
      <w:r>
        <w:rPr>
          <w:rFonts w:ascii="Arial" w:cs="Arial" w:eastAsia="Arial" w:hAnsi="Arial"/>
          <w:sz w:val="13"/>
          <w:szCs w:val="13"/>
          <w:color w:val="auto"/>
        </w:rPr>
        <w:t>Changes in unrealized gains (losses) included in net income (loss) for the instruments still held at September 30, 2016 (9)</w:t>
      </w:r>
    </w:p>
    <w:p>
      <w:pPr>
        <w:spacing w:after="0" w:line="20" w:lineRule="exact"/>
        <w:rPr>
          <w:sz w:val="20"/>
          <w:szCs w:val="20"/>
          <w:color w:val="auto"/>
        </w:rPr>
      </w:pPr>
      <w:r>
        <w:rPr>
          <w:sz w:val="20"/>
          <w:szCs w:val="20"/>
          <w:color w:val="auto"/>
        </w:rPr>
        <w:br w:type="column"/>
      </w:r>
    </w:p>
    <w:p>
      <w:pPr>
        <w:spacing w:after="0" w:line="282" w:lineRule="exact"/>
        <w:rPr>
          <w:sz w:val="20"/>
          <w:szCs w:val="20"/>
          <w:color w:val="auto"/>
        </w:rPr>
      </w:pPr>
    </w:p>
    <w:p>
      <w:pPr>
        <w:jc w:val="center"/>
        <w:ind w:right="-39"/>
        <w:spacing w:after="0"/>
        <w:rPr>
          <w:sz w:val="20"/>
          <w:szCs w:val="20"/>
          <w:color w:val="auto"/>
        </w:rPr>
      </w:pPr>
      <w:r>
        <w:rPr>
          <w:rFonts w:ascii="Arial" w:cs="Arial" w:eastAsia="Arial" w:hAnsi="Arial"/>
          <w:sz w:val="13"/>
          <w:szCs w:val="13"/>
          <w:b w:val="1"/>
          <w:bCs w:val="1"/>
          <w:color w:val="auto"/>
        </w:rPr>
        <w:t>Fair Value Measurements Using Significant Unobservable Inputs (Level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42621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4262120" cy="8890"/>
                    </a:xfrm>
                    <a:prstGeom prst="rect">
                      <a:avLst/>
                    </a:prstGeom>
                    <a:noFill/>
                  </pic:spPr>
                </pic:pic>
              </a:graphicData>
            </a:graphic>
          </wp:anchor>
        </w:drawing>
      </w:r>
    </w:p>
    <w:p>
      <w:pPr>
        <w:spacing w:after="0" w:line="101" w:lineRule="exact"/>
        <w:rPr>
          <w:sz w:val="20"/>
          <w:szCs w:val="20"/>
          <w:color w:val="auto"/>
        </w:rPr>
      </w:pPr>
    </w:p>
    <w:p>
      <w:pPr>
        <w:jc w:val="center"/>
        <w:ind w:right="-39"/>
        <w:spacing w:after="0"/>
        <w:rPr>
          <w:sz w:val="20"/>
          <w:szCs w:val="20"/>
          <w:color w:val="auto"/>
        </w:rPr>
      </w:pPr>
      <w:r>
        <w:rPr>
          <w:rFonts w:ascii="Arial" w:cs="Arial" w:eastAsia="Arial" w:hAnsi="Arial"/>
          <w:sz w:val="13"/>
          <w:szCs w:val="13"/>
          <w:b w:val="1"/>
          <w:bCs w:val="1"/>
          <w:color w:val="auto"/>
        </w:rPr>
        <w:t>Fixed Maturity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42621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4262120" cy="8890"/>
                    </a:xfrm>
                    <a:prstGeom prst="rect">
                      <a:avLst/>
                    </a:prstGeom>
                    <a:noFill/>
                  </pic:spPr>
                </pic:pic>
              </a:graphicData>
            </a:graphic>
          </wp:anchor>
        </w:drawing>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60" w:type="dxa"/>
            <w:vAlign w:val="bottom"/>
            <w:gridSpan w:val="2"/>
          </w:tcPr>
          <w:p>
            <w:pPr>
              <w:jc w:val="center"/>
              <w:ind w:right="300"/>
              <w:spacing w:after="0"/>
              <w:rPr>
                <w:sz w:val="20"/>
                <w:szCs w:val="20"/>
                <w:color w:val="auto"/>
              </w:rPr>
            </w:pPr>
            <w:r>
              <w:rPr>
                <w:rFonts w:ascii="Arial" w:cs="Arial" w:eastAsia="Arial" w:hAnsi="Arial"/>
                <w:sz w:val="13"/>
                <w:szCs w:val="13"/>
                <w:b w:val="1"/>
                <w:bCs w:val="1"/>
                <w:color w:val="auto"/>
                <w:w w:val="85"/>
              </w:rPr>
              <w:t>State and</w:t>
            </w:r>
          </w:p>
        </w:tc>
        <w:tc>
          <w:tcPr>
            <w:tcW w:w="180" w:type="dxa"/>
            <w:vAlign w:val="bottom"/>
          </w:tcPr>
          <w:p>
            <w:pPr>
              <w:spacing w:after="0"/>
              <w:rPr>
                <w:sz w:val="13"/>
                <w:szCs w:val="13"/>
                <w:color w:val="auto"/>
              </w:rPr>
            </w:pPr>
          </w:p>
        </w:tc>
        <w:tc>
          <w:tcPr>
            <w:tcW w:w="1060" w:type="dxa"/>
            <w:vAlign w:val="bottom"/>
          </w:tcPr>
          <w:p>
            <w:pPr>
              <w:spacing w:after="0"/>
              <w:rPr>
                <w:sz w:val="13"/>
                <w:szCs w:val="13"/>
                <w:color w:val="auto"/>
              </w:rPr>
            </w:pPr>
          </w:p>
        </w:tc>
      </w:tr>
      <w:tr>
        <w:trPr>
          <w:trHeight w:val="135"/>
        </w:trPr>
        <w:tc>
          <w:tcPr>
            <w:tcW w:w="2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60" w:type="dxa"/>
            <w:vAlign w:val="bottom"/>
            <w:gridSpan w:val="3"/>
          </w:tcPr>
          <w:p>
            <w:pPr>
              <w:ind w:left="40"/>
              <w:spacing w:after="0" w:line="135" w:lineRule="exact"/>
              <w:rPr>
                <w:sz w:val="20"/>
                <w:szCs w:val="20"/>
                <w:color w:val="auto"/>
              </w:rPr>
            </w:pPr>
            <w:r>
              <w:rPr>
                <w:rFonts w:ascii="Arial" w:cs="Arial" w:eastAsia="Arial" w:hAnsi="Arial"/>
                <w:sz w:val="13"/>
                <w:szCs w:val="13"/>
                <w:b w:val="1"/>
                <w:bCs w:val="1"/>
                <w:color w:val="auto"/>
                <w:w w:val="98"/>
              </w:rPr>
              <w:t>U.S. Government and</w:t>
            </w:r>
          </w:p>
        </w:tc>
        <w:tc>
          <w:tcPr>
            <w:tcW w:w="1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60" w:type="dxa"/>
            <w:vAlign w:val="bottom"/>
            <w:gridSpan w:val="2"/>
          </w:tcPr>
          <w:p>
            <w:pPr>
              <w:jc w:val="center"/>
              <w:ind w:right="320"/>
              <w:spacing w:after="0" w:line="135" w:lineRule="exact"/>
              <w:rPr>
                <w:sz w:val="20"/>
                <w:szCs w:val="20"/>
                <w:color w:val="auto"/>
              </w:rPr>
            </w:pPr>
            <w:r>
              <w:rPr>
                <w:rFonts w:ascii="Arial" w:cs="Arial" w:eastAsia="Arial" w:hAnsi="Arial"/>
                <w:sz w:val="13"/>
                <w:szCs w:val="13"/>
                <w:b w:val="1"/>
                <w:bCs w:val="1"/>
                <w:color w:val="auto"/>
                <w:w w:val="88"/>
              </w:rPr>
              <w:t>Political</w:t>
            </w:r>
          </w:p>
        </w:tc>
        <w:tc>
          <w:tcPr>
            <w:tcW w:w="180" w:type="dxa"/>
            <w:vAlign w:val="bottom"/>
          </w:tcPr>
          <w:p>
            <w:pPr>
              <w:spacing w:after="0"/>
              <w:rPr>
                <w:sz w:val="11"/>
                <w:szCs w:val="11"/>
                <w:color w:val="auto"/>
              </w:rPr>
            </w:pPr>
          </w:p>
        </w:tc>
        <w:tc>
          <w:tcPr>
            <w:tcW w:w="1060" w:type="dxa"/>
            <w:vAlign w:val="bottom"/>
          </w:tcPr>
          <w:p>
            <w:pPr>
              <w:jc w:val="right"/>
              <w:ind w:right="349"/>
              <w:spacing w:after="0" w:line="135" w:lineRule="exact"/>
              <w:rPr>
                <w:sz w:val="20"/>
                <w:szCs w:val="20"/>
                <w:color w:val="auto"/>
              </w:rPr>
            </w:pPr>
            <w:r>
              <w:rPr>
                <w:rFonts w:ascii="Arial" w:cs="Arial" w:eastAsia="Arial" w:hAnsi="Arial"/>
                <w:sz w:val="13"/>
                <w:szCs w:val="13"/>
                <w:b w:val="1"/>
                <w:bCs w:val="1"/>
                <w:color w:val="auto"/>
              </w:rPr>
              <w:t>Foreign</w:t>
            </w:r>
          </w:p>
        </w:tc>
      </w:tr>
      <w:tr>
        <w:trPr>
          <w:trHeight w:val="174"/>
        </w:trPr>
        <w:tc>
          <w:tcPr>
            <w:tcW w:w="20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gridSpan w:val="2"/>
          </w:tcPr>
          <w:p>
            <w:pPr>
              <w:ind w:left="80"/>
              <w:spacing w:after="0"/>
              <w:rPr>
                <w:sz w:val="20"/>
                <w:szCs w:val="20"/>
                <w:color w:val="auto"/>
              </w:rPr>
            </w:pPr>
            <w:r>
              <w:rPr>
                <w:rFonts w:ascii="Arial" w:cs="Arial" w:eastAsia="Arial" w:hAnsi="Arial"/>
                <w:sz w:val="13"/>
                <w:szCs w:val="13"/>
                <w:b w:val="1"/>
                <w:bCs w:val="1"/>
                <w:color w:val="auto"/>
              </w:rPr>
              <w:t>Corporate (1)</w:t>
            </w:r>
          </w:p>
        </w:tc>
        <w:tc>
          <w:tcPr>
            <w:tcW w:w="26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gridSpan w:val="2"/>
          </w:tcPr>
          <w:p>
            <w:pPr>
              <w:ind w:left="160"/>
              <w:spacing w:after="0"/>
              <w:rPr>
                <w:sz w:val="20"/>
                <w:szCs w:val="20"/>
                <w:color w:val="auto"/>
              </w:rPr>
            </w:pPr>
            <w:r>
              <w:rPr>
                <w:rFonts w:ascii="Arial" w:cs="Arial" w:eastAsia="Arial" w:hAnsi="Arial"/>
                <w:sz w:val="13"/>
                <w:szCs w:val="13"/>
                <w:b w:val="1"/>
                <w:bCs w:val="1"/>
                <w:color w:val="auto"/>
              </w:rPr>
              <w:t>Agency</w:t>
            </w:r>
          </w:p>
        </w:tc>
        <w:tc>
          <w:tcPr>
            <w:tcW w:w="1340" w:type="dxa"/>
            <w:vAlign w:val="bottom"/>
            <w:tcBorders>
              <w:bottom w:val="single" w:sz="8" w:color="auto"/>
            </w:tcBorders>
            <w:gridSpan w:val="3"/>
          </w:tcPr>
          <w:p>
            <w:pPr>
              <w:ind w:left="40"/>
              <w:spacing w:after="0"/>
              <w:rPr>
                <w:sz w:val="20"/>
                <w:szCs w:val="20"/>
                <w:color w:val="auto"/>
              </w:rPr>
            </w:pPr>
            <w:r>
              <w:rPr>
                <w:rFonts w:ascii="Arial" w:cs="Arial" w:eastAsia="Arial" w:hAnsi="Arial"/>
                <w:sz w:val="13"/>
                <w:szCs w:val="13"/>
                <w:b w:val="1"/>
                <w:bCs w:val="1"/>
                <w:color w:val="auto"/>
                <w:w w:val="97"/>
              </w:rPr>
              <w:t>Structured Securities</w:t>
            </w:r>
          </w:p>
        </w:tc>
        <w:tc>
          <w:tcPr>
            <w:tcW w:w="20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3"/>
                <w:szCs w:val="13"/>
                <w:b w:val="1"/>
                <w:bCs w:val="1"/>
                <w:color w:val="auto"/>
                <w:w w:val="84"/>
              </w:rPr>
              <w:t>Subdivision</w:t>
            </w:r>
          </w:p>
        </w:tc>
        <w:tc>
          <w:tcPr>
            <w:tcW w:w="18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209"/>
              <w:spacing w:after="0"/>
              <w:rPr>
                <w:sz w:val="20"/>
                <w:szCs w:val="20"/>
                <w:color w:val="auto"/>
              </w:rPr>
            </w:pPr>
            <w:r>
              <w:rPr>
                <w:rFonts w:ascii="Arial" w:cs="Arial" w:eastAsia="Arial" w:hAnsi="Arial"/>
                <w:sz w:val="13"/>
                <w:szCs w:val="13"/>
                <w:b w:val="1"/>
                <w:bCs w:val="1"/>
                <w:color w:val="auto"/>
                <w:w w:val="99"/>
              </w:rPr>
              <w:t>Government</w:t>
            </w:r>
          </w:p>
        </w:tc>
      </w:tr>
      <w:tr>
        <w:trPr>
          <w:trHeight w:val="241"/>
        </w:trPr>
        <w:tc>
          <w:tcPr>
            <w:tcW w:w="2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gridSpan w:val="2"/>
          </w:tcPr>
          <w:p>
            <w:pPr>
              <w:ind w:left="80"/>
              <w:spacing w:after="0"/>
              <w:rPr>
                <w:sz w:val="20"/>
                <w:szCs w:val="20"/>
                <w:color w:val="auto"/>
              </w:rPr>
            </w:pPr>
            <w:r>
              <w:rPr>
                <w:rFonts w:ascii="Arial" w:cs="Arial" w:eastAsia="Arial" w:hAnsi="Arial"/>
                <w:sz w:val="13"/>
                <w:szCs w:val="13"/>
                <w:b w:val="1"/>
                <w:bCs w:val="1"/>
                <w:color w:val="auto"/>
              </w:rPr>
              <w:t>(In millions)</w:t>
            </w:r>
          </w:p>
        </w:tc>
        <w:tc>
          <w:tcPr>
            <w:tcW w:w="2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544"/>
        </w:trPr>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68"/>
              <w:spacing w:after="0"/>
              <w:rPr>
                <w:sz w:val="20"/>
                <w:szCs w:val="20"/>
                <w:color w:val="auto"/>
              </w:rPr>
            </w:pPr>
            <w:r>
              <w:rPr>
                <w:rFonts w:ascii="Arial" w:cs="Arial" w:eastAsia="Arial" w:hAnsi="Arial"/>
                <w:sz w:val="14"/>
                <w:szCs w:val="14"/>
                <w:color w:val="auto"/>
              </w:rPr>
              <w:t>2,356</w:t>
            </w:r>
          </w:p>
        </w:tc>
        <w:tc>
          <w:tcPr>
            <w:tcW w:w="120" w:type="dxa"/>
            <w:vAlign w:val="bottom"/>
          </w:tcPr>
          <w:p>
            <w:pPr>
              <w:spacing w:after="0"/>
              <w:rPr>
                <w:sz w:val="24"/>
                <w:szCs w:val="24"/>
                <w:color w:val="auto"/>
              </w:rPr>
            </w:pPr>
          </w:p>
        </w:tc>
        <w:tc>
          <w:tcPr>
            <w:tcW w:w="260" w:type="dxa"/>
            <w:vAlign w:val="bottom"/>
          </w:tcPr>
          <w:p>
            <w:pPr>
              <w:ind w:left="20"/>
              <w:spacing w:after="0"/>
              <w:rPr>
                <w:sz w:val="20"/>
                <w:szCs w:val="20"/>
                <w:color w:val="auto"/>
              </w:rPr>
            </w:pPr>
            <w:r>
              <w:rPr>
                <w:rFonts w:ascii="Arial" w:cs="Arial" w:eastAsia="Arial" w:hAnsi="Arial"/>
                <w:sz w:val="14"/>
                <w:szCs w:val="14"/>
                <w:color w:val="auto"/>
              </w:rPr>
              <w:t>$</w:t>
            </w:r>
          </w:p>
        </w:tc>
        <w:tc>
          <w:tcPr>
            <w:tcW w:w="11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ind w:left="20"/>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1,489</w:t>
            </w:r>
          </w:p>
        </w:tc>
        <w:tc>
          <w:tcPr>
            <w:tcW w:w="100" w:type="dxa"/>
            <w:vAlign w:val="bottom"/>
          </w:tcPr>
          <w:p>
            <w:pPr>
              <w:spacing w:after="0"/>
              <w:rPr>
                <w:sz w:val="24"/>
                <w:szCs w:val="24"/>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1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29"/>
              <w:spacing w:after="0"/>
              <w:rPr>
                <w:sz w:val="20"/>
                <w:szCs w:val="20"/>
                <w:color w:val="auto"/>
              </w:rPr>
            </w:pPr>
            <w:r>
              <w:rPr>
                <w:rFonts w:ascii="Arial" w:cs="Arial" w:eastAsia="Arial" w:hAnsi="Arial"/>
                <w:sz w:val="14"/>
                <w:szCs w:val="14"/>
                <w:color w:val="auto"/>
              </w:rPr>
              <w:t>—</w:t>
            </w:r>
          </w:p>
        </w:tc>
      </w:tr>
      <w:tr>
        <w:trPr>
          <w:trHeight w:val="351"/>
        </w:trPr>
        <w:tc>
          <w:tcPr>
            <w:tcW w:w="200" w:type="dxa"/>
            <w:vAlign w:val="bottom"/>
          </w:tcPr>
          <w:p>
            <w:pPr>
              <w:spacing w:after="0"/>
              <w:rPr>
                <w:sz w:val="24"/>
                <w:szCs w:val="24"/>
                <w:color w:val="auto"/>
              </w:rPr>
            </w:pPr>
          </w:p>
        </w:tc>
        <w:tc>
          <w:tcPr>
            <w:tcW w:w="1100" w:type="dxa"/>
            <w:vAlign w:val="bottom"/>
          </w:tcPr>
          <w:p>
            <w:pPr>
              <w:jc w:val="right"/>
              <w:ind w:right="68"/>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4"/>
                <w:szCs w:val="24"/>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13</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4"/>
                <w:szCs w:val="24"/>
                <w:color w:val="auto"/>
              </w:rPr>
            </w:pPr>
          </w:p>
        </w:tc>
        <w:tc>
          <w:tcPr>
            <w:tcW w:w="1060" w:type="dxa"/>
            <w:vAlign w:val="bottom"/>
          </w:tcPr>
          <w:p>
            <w:pPr>
              <w:jc w:val="right"/>
              <w:ind w:right="29"/>
              <w:spacing w:after="0"/>
              <w:rPr>
                <w:sz w:val="20"/>
                <w:szCs w:val="20"/>
                <w:color w:val="auto"/>
              </w:rPr>
            </w:pPr>
            <w:r>
              <w:rPr>
                <w:rFonts w:ascii="Arial" w:cs="Arial" w:eastAsia="Arial" w:hAnsi="Arial"/>
                <w:sz w:val="14"/>
                <w:szCs w:val="14"/>
                <w:color w:val="auto"/>
              </w:rPr>
              <w:t>—</w:t>
            </w:r>
          </w:p>
        </w:tc>
      </w:tr>
      <w:tr>
        <w:trPr>
          <w:trHeight w:val="351"/>
        </w:trPr>
        <w:tc>
          <w:tcPr>
            <w:tcW w:w="200" w:type="dxa"/>
            <w:vAlign w:val="bottom"/>
          </w:tcPr>
          <w:p>
            <w:pPr>
              <w:spacing w:after="0"/>
              <w:rPr>
                <w:sz w:val="24"/>
                <w:szCs w:val="24"/>
                <w:color w:val="auto"/>
              </w:rPr>
            </w:pPr>
          </w:p>
        </w:tc>
        <w:tc>
          <w:tcPr>
            <w:tcW w:w="1100" w:type="dxa"/>
            <w:vAlign w:val="bottom"/>
          </w:tcPr>
          <w:p>
            <w:pPr>
              <w:jc w:val="right"/>
              <w:ind w:right="68"/>
              <w:spacing w:after="0"/>
              <w:rPr>
                <w:sz w:val="20"/>
                <w:szCs w:val="20"/>
                <w:color w:val="auto"/>
              </w:rPr>
            </w:pPr>
            <w:r>
              <w:rPr>
                <w:rFonts w:ascii="Arial" w:cs="Arial" w:eastAsia="Arial" w:hAnsi="Arial"/>
                <w:sz w:val="14"/>
                <w:szCs w:val="14"/>
                <w:color w:val="auto"/>
              </w:rPr>
              <w:t>35</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4"/>
                <w:szCs w:val="24"/>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6</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4"/>
                <w:szCs w:val="24"/>
                <w:color w:val="auto"/>
              </w:rPr>
            </w:pPr>
          </w:p>
        </w:tc>
        <w:tc>
          <w:tcPr>
            <w:tcW w:w="1060" w:type="dxa"/>
            <w:vAlign w:val="bottom"/>
          </w:tcPr>
          <w:p>
            <w:pPr>
              <w:jc w:val="right"/>
              <w:ind w:right="29"/>
              <w:spacing w:after="0"/>
              <w:rPr>
                <w:sz w:val="20"/>
                <w:szCs w:val="20"/>
                <w:color w:val="auto"/>
              </w:rPr>
            </w:pPr>
            <w:r>
              <w:rPr>
                <w:rFonts w:ascii="Arial" w:cs="Arial" w:eastAsia="Arial" w:hAnsi="Arial"/>
                <w:sz w:val="14"/>
                <w:szCs w:val="14"/>
                <w:color w:val="auto"/>
              </w:rPr>
              <w:t>—</w:t>
            </w:r>
          </w:p>
        </w:tc>
      </w:tr>
      <w:tr>
        <w:trPr>
          <w:trHeight w:val="270"/>
        </w:trPr>
        <w:tc>
          <w:tcPr>
            <w:tcW w:w="200" w:type="dxa"/>
            <w:vAlign w:val="bottom"/>
          </w:tcPr>
          <w:p>
            <w:pPr>
              <w:spacing w:after="0"/>
              <w:rPr>
                <w:sz w:val="23"/>
                <w:szCs w:val="23"/>
                <w:color w:val="auto"/>
              </w:rPr>
            </w:pPr>
          </w:p>
        </w:tc>
        <w:tc>
          <w:tcPr>
            <w:tcW w:w="1100" w:type="dxa"/>
            <w:vAlign w:val="bottom"/>
          </w:tcPr>
          <w:p>
            <w:pPr>
              <w:jc w:val="right"/>
              <w:ind w:right="68"/>
              <w:spacing w:after="0"/>
              <w:rPr>
                <w:sz w:val="20"/>
                <w:szCs w:val="20"/>
                <w:color w:val="auto"/>
              </w:rPr>
            </w:pPr>
            <w:r>
              <w:rPr>
                <w:rFonts w:ascii="Arial" w:cs="Arial" w:eastAsia="Arial" w:hAnsi="Arial"/>
                <w:sz w:val="14"/>
                <w:szCs w:val="14"/>
                <w:color w:val="auto"/>
              </w:rPr>
              <w:t>92</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147</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1060" w:type="dxa"/>
            <w:vAlign w:val="bottom"/>
          </w:tcPr>
          <w:p>
            <w:pPr>
              <w:jc w:val="right"/>
              <w:ind w:right="29"/>
              <w:spacing w:after="0"/>
              <w:rPr>
                <w:sz w:val="20"/>
                <w:szCs w:val="20"/>
                <w:color w:val="auto"/>
              </w:rPr>
            </w:pPr>
            <w:r>
              <w:rPr>
                <w:rFonts w:ascii="Arial" w:cs="Arial" w:eastAsia="Arial" w:hAnsi="Arial"/>
                <w:sz w:val="14"/>
                <w:szCs w:val="14"/>
                <w:color w:val="auto"/>
              </w:rPr>
              <w:t>—</w:t>
            </w:r>
          </w:p>
        </w:tc>
      </w:tr>
      <w:tr>
        <w:trPr>
          <w:trHeight w:val="270"/>
        </w:trPr>
        <w:tc>
          <w:tcPr>
            <w:tcW w:w="200" w:type="dxa"/>
            <w:vAlign w:val="bottom"/>
          </w:tcPr>
          <w:p>
            <w:pPr>
              <w:spacing w:after="0"/>
              <w:rPr>
                <w:sz w:val="23"/>
                <w:szCs w:val="23"/>
                <w:color w:val="auto"/>
              </w:rPr>
            </w:pPr>
          </w:p>
        </w:tc>
        <w:tc>
          <w:tcPr>
            <w:tcW w:w="1100" w:type="dxa"/>
            <w:vAlign w:val="bottom"/>
          </w:tcPr>
          <w:p>
            <w:pPr>
              <w:jc w:val="right"/>
              <w:ind w:right="8"/>
              <w:spacing w:after="0"/>
              <w:rPr>
                <w:sz w:val="20"/>
                <w:szCs w:val="20"/>
                <w:color w:val="auto"/>
              </w:rPr>
            </w:pPr>
            <w:r>
              <w:rPr>
                <w:rFonts w:ascii="Arial" w:cs="Arial" w:eastAsia="Arial" w:hAnsi="Arial"/>
                <w:sz w:val="14"/>
                <w:szCs w:val="14"/>
                <w:color w:val="auto"/>
              </w:rPr>
              <w:t>(57)</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(230)</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ind w:right="29"/>
              <w:spacing w:after="0"/>
              <w:rPr>
                <w:sz w:val="20"/>
                <w:szCs w:val="20"/>
                <w:color w:val="auto"/>
              </w:rPr>
            </w:pPr>
            <w:r>
              <w:rPr>
                <w:rFonts w:ascii="Arial" w:cs="Arial" w:eastAsia="Arial" w:hAnsi="Arial"/>
                <w:sz w:val="14"/>
                <w:szCs w:val="14"/>
                <w:color w:val="auto"/>
              </w:rPr>
              <w:t>—</w:t>
            </w:r>
          </w:p>
        </w:tc>
      </w:tr>
      <w:tr>
        <w:trPr>
          <w:trHeight w:val="270"/>
        </w:trPr>
        <w:tc>
          <w:tcPr>
            <w:tcW w:w="200" w:type="dxa"/>
            <w:vAlign w:val="bottom"/>
          </w:tcPr>
          <w:p>
            <w:pPr>
              <w:spacing w:after="0"/>
              <w:rPr>
                <w:sz w:val="23"/>
                <w:szCs w:val="23"/>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3"/>
                <w:szCs w:val="23"/>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3"/>
                <w:szCs w:val="23"/>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1060" w:type="dxa"/>
            <w:vAlign w:val="bottom"/>
          </w:tcPr>
          <w:p>
            <w:pPr>
              <w:jc w:val="right"/>
              <w:ind w:right="29"/>
              <w:spacing w:after="0"/>
              <w:rPr>
                <w:sz w:val="20"/>
                <w:szCs w:val="20"/>
                <w:color w:val="auto"/>
              </w:rPr>
            </w:pPr>
            <w:r>
              <w:rPr>
                <w:rFonts w:ascii="Arial" w:cs="Arial" w:eastAsia="Arial" w:hAnsi="Arial"/>
                <w:sz w:val="14"/>
                <w:szCs w:val="14"/>
                <w:color w:val="auto"/>
              </w:rPr>
              <w:t>—</w:t>
            </w:r>
          </w:p>
        </w:tc>
      </w:tr>
      <w:tr>
        <w:trPr>
          <w:trHeight w:val="270"/>
        </w:trPr>
        <w:tc>
          <w:tcPr>
            <w:tcW w:w="200" w:type="dxa"/>
            <w:vAlign w:val="bottom"/>
          </w:tcPr>
          <w:p>
            <w:pPr>
              <w:spacing w:after="0"/>
              <w:rPr>
                <w:sz w:val="23"/>
                <w:szCs w:val="23"/>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3"/>
                <w:szCs w:val="23"/>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3"/>
                <w:szCs w:val="23"/>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1060" w:type="dxa"/>
            <w:vAlign w:val="bottom"/>
          </w:tcPr>
          <w:p>
            <w:pPr>
              <w:jc w:val="right"/>
              <w:ind w:right="29"/>
              <w:spacing w:after="0"/>
              <w:rPr>
                <w:sz w:val="20"/>
                <w:szCs w:val="20"/>
                <w:color w:val="auto"/>
              </w:rPr>
            </w:pPr>
            <w:r>
              <w:rPr>
                <w:rFonts w:ascii="Arial" w:cs="Arial" w:eastAsia="Arial" w:hAnsi="Arial"/>
                <w:sz w:val="14"/>
                <w:szCs w:val="14"/>
                <w:color w:val="auto"/>
              </w:rPr>
              <w:t>—</w:t>
            </w:r>
          </w:p>
        </w:tc>
      </w:tr>
      <w:tr>
        <w:trPr>
          <w:trHeight w:val="270"/>
        </w:trPr>
        <w:tc>
          <w:tcPr>
            <w:tcW w:w="200" w:type="dxa"/>
            <w:vAlign w:val="bottom"/>
          </w:tcPr>
          <w:p>
            <w:pPr>
              <w:spacing w:after="0"/>
              <w:rPr>
                <w:sz w:val="23"/>
                <w:szCs w:val="23"/>
                <w:color w:val="auto"/>
              </w:rPr>
            </w:pPr>
          </w:p>
        </w:tc>
        <w:tc>
          <w:tcPr>
            <w:tcW w:w="1100" w:type="dxa"/>
            <w:vAlign w:val="bottom"/>
          </w:tcPr>
          <w:p>
            <w:pPr>
              <w:jc w:val="right"/>
              <w:ind w:right="68"/>
              <w:spacing w:after="0"/>
              <w:rPr>
                <w:sz w:val="20"/>
                <w:szCs w:val="20"/>
                <w:color w:val="auto"/>
              </w:rPr>
            </w:pPr>
            <w:r>
              <w:rPr>
                <w:rFonts w:ascii="Arial" w:cs="Arial" w:eastAsia="Arial" w:hAnsi="Arial"/>
                <w:sz w:val="14"/>
                <w:szCs w:val="14"/>
                <w:color w:val="auto"/>
              </w:rPr>
              <w:t>191</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3"/>
                <w:szCs w:val="23"/>
                <w:color w:val="auto"/>
              </w:rPr>
            </w:pPr>
          </w:p>
        </w:tc>
        <w:tc>
          <w:tcPr>
            <w:tcW w:w="1040" w:type="dxa"/>
            <w:vAlign w:val="bottom"/>
          </w:tcPr>
          <w:p>
            <w:pPr>
              <w:jc w:val="right"/>
              <w:ind w:right="29"/>
              <w:spacing w:after="0"/>
              <w:rPr>
                <w:sz w:val="20"/>
                <w:szCs w:val="20"/>
                <w:color w:val="auto"/>
              </w:rPr>
            </w:pPr>
            <w:r>
              <w:rPr>
                <w:rFonts w:ascii="Arial" w:cs="Arial" w:eastAsia="Arial" w:hAnsi="Arial"/>
                <w:sz w:val="14"/>
                <w:szCs w:val="14"/>
                <w:color w:val="auto"/>
              </w:rPr>
              <w:t>10</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ind w:right="29"/>
              <w:spacing w:after="0"/>
              <w:rPr>
                <w:sz w:val="20"/>
                <w:szCs w:val="20"/>
                <w:color w:val="auto"/>
              </w:rPr>
            </w:pPr>
            <w:r>
              <w:rPr>
                <w:rFonts w:ascii="Arial" w:cs="Arial" w:eastAsia="Arial" w:hAnsi="Arial"/>
                <w:sz w:val="14"/>
                <w:szCs w:val="14"/>
                <w:color w:val="auto"/>
              </w:rPr>
              <w:t>—</w:t>
            </w:r>
          </w:p>
        </w:tc>
      </w:tr>
      <w:tr>
        <w:trPr>
          <w:trHeight w:val="276"/>
        </w:trPr>
        <w:tc>
          <w:tcPr>
            <w:tcW w:w="2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(19)</w:t>
            </w:r>
          </w:p>
        </w:tc>
        <w:tc>
          <w:tcPr>
            <w:tcW w:w="1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w:t>
            </w:r>
          </w:p>
        </w:tc>
        <w:tc>
          <w:tcPr>
            <w:tcW w:w="10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w:t>
            </w:r>
          </w:p>
        </w:tc>
      </w:tr>
      <w:tr>
        <w:trPr>
          <w:trHeight w:val="237"/>
        </w:trPr>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68"/>
              <w:spacing w:after="0"/>
              <w:rPr>
                <w:sz w:val="20"/>
                <w:szCs w:val="20"/>
                <w:color w:val="auto"/>
              </w:rPr>
            </w:pPr>
            <w:r>
              <w:rPr>
                <w:rFonts w:ascii="Arial" w:cs="Arial" w:eastAsia="Arial" w:hAnsi="Arial"/>
                <w:sz w:val="14"/>
                <w:szCs w:val="14"/>
                <w:color w:val="auto"/>
              </w:rPr>
              <w:t>2,599</w:t>
            </w:r>
          </w:p>
        </w:tc>
        <w:tc>
          <w:tcPr>
            <w:tcW w:w="120" w:type="dxa"/>
            <w:vAlign w:val="bottom"/>
          </w:tcPr>
          <w:p>
            <w:pPr>
              <w:spacing w:after="0"/>
              <w:rPr>
                <w:sz w:val="20"/>
                <w:szCs w:val="20"/>
                <w:color w:val="auto"/>
              </w:rPr>
            </w:pPr>
          </w:p>
        </w:tc>
        <w:tc>
          <w:tcPr>
            <w:tcW w:w="260" w:type="dxa"/>
            <w:vAlign w:val="bottom"/>
          </w:tcPr>
          <w:p>
            <w:pPr>
              <w:ind w:left="20"/>
              <w:spacing w:after="0"/>
              <w:rPr>
                <w:sz w:val="20"/>
                <w:szCs w:val="20"/>
                <w:color w:val="auto"/>
              </w:rPr>
            </w:pPr>
            <w:r>
              <w:rPr>
                <w:rFonts w:ascii="Arial" w:cs="Arial" w:eastAsia="Arial" w:hAnsi="Arial"/>
                <w:sz w:val="14"/>
                <w:szCs w:val="14"/>
                <w:color w:val="auto"/>
              </w:rPr>
              <w:t>$</w:t>
            </w:r>
          </w:p>
        </w:tc>
        <w:tc>
          <w:tcPr>
            <w:tcW w:w="11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ind w:left="20"/>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1,412</w:t>
            </w:r>
          </w:p>
        </w:tc>
        <w:tc>
          <w:tcPr>
            <w:tcW w:w="100" w:type="dxa"/>
            <w:vAlign w:val="bottom"/>
          </w:tcPr>
          <w:p>
            <w:pPr>
              <w:spacing w:after="0"/>
              <w:rPr>
                <w:sz w:val="20"/>
                <w:szCs w:val="20"/>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29"/>
              <w:spacing w:after="0"/>
              <w:rPr>
                <w:sz w:val="20"/>
                <w:szCs w:val="20"/>
                <w:color w:val="auto"/>
              </w:rPr>
            </w:pPr>
            <w:r>
              <w:rPr>
                <w:rFonts w:ascii="Arial" w:cs="Arial" w:eastAsia="Arial" w:hAnsi="Arial"/>
                <w:sz w:val="14"/>
                <w:szCs w:val="14"/>
                <w:color w:val="auto"/>
              </w:rPr>
              <w:t>9</w:t>
            </w:r>
          </w:p>
        </w:tc>
        <w:tc>
          <w:tcPr>
            <w:tcW w:w="120" w:type="dxa"/>
            <w:vAlign w:val="bottom"/>
          </w:tcPr>
          <w:p>
            <w:pPr>
              <w:spacing w:after="0"/>
              <w:rPr>
                <w:sz w:val="20"/>
                <w:szCs w:val="20"/>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29"/>
              <w:spacing w:after="0"/>
              <w:rPr>
                <w:sz w:val="20"/>
                <w:szCs w:val="20"/>
                <w:color w:val="auto"/>
              </w:rPr>
            </w:pPr>
            <w:r>
              <w:rPr>
                <w:rFonts w:ascii="Arial" w:cs="Arial" w:eastAsia="Arial" w:hAnsi="Arial"/>
                <w:sz w:val="14"/>
                <w:szCs w:val="14"/>
                <w:color w:val="auto"/>
              </w:rPr>
              <w:t>—</w:t>
            </w:r>
          </w:p>
        </w:tc>
      </w:tr>
      <w:tr>
        <w:trPr>
          <w:trHeight w:val="20"/>
        </w:trPr>
        <w:tc>
          <w:tcPr>
            <w:tcW w:w="2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r>
        <w:trPr>
          <w:trHeight w:val="515"/>
        </w:trPr>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68"/>
              <w:spacing w:after="0"/>
              <w:rPr>
                <w:sz w:val="20"/>
                <w:szCs w:val="20"/>
                <w:color w:val="auto"/>
              </w:rPr>
            </w:pPr>
            <w:r>
              <w:rPr>
                <w:rFonts w:ascii="Arial" w:cs="Arial" w:eastAsia="Arial" w:hAnsi="Arial"/>
                <w:sz w:val="14"/>
                <w:szCs w:val="14"/>
                <w:color w:val="auto"/>
              </w:rPr>
              <w:t>2,773</w:t>
            </w:r>
          </w:p>
        </w:tc>
        <w:tc>
          <w:tcPr>
            <w:tcW w:w="120" w:type="dxa"/>
            <w:vAlign w:val="bottom"/>
          </w:tcPr>
          <w:p>
            <w:pPr>
              <w:spacing w:after="0"/>
              <w:rPr>
                <w:sz w:val="24"/>
                <w:szCs w:val="24"/>
                <w:color w:val="auto"/>
              </w:rPr>
            </w:pPr>
          </w:p>
        </w:tc>
        <w:tc>
          <w:tcPr>
            <w:tcW w:w="260" w:type="dxa"/>
            <w:vAlign w:val="bottom"/>
          </w:tcPr>
          <w:p>
            <w:pPr>
              <w:ind w:left="20"/>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25</w:t>
            </w:r>
          </w:p>
        </w:tc>
        <w:tc>
          <w:tcPr>
            <w:tcW w:w="120" w:type="dxa"/>
            <w:vAlign w:val="bottom"/>
          </w:tcPr>
          <w:p>
            <w:pPr>
              <w:spacing w:after="0"/>
              <w:rPr>
                <w:sz w:val="24"/>
                <w:szCs w:val="24"/>
                <w:color w:val="auto"/>
              </w:rPr>
            </w:pPr>
          </w:p>
        </w:tc>
        <w:tc>
          <w:tcPr>
            <w:tcW w:w="180" w:type="dxa"/>
            <w:vAlign w:val="bottom"/>
          </w:tcPr>
          <w:p>
            <w:pPr>
              <w:ind w:left="20"/>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1,882</w:t>
            </w:r>
          </w:p>
        </w:tc>
        <w:tc>
          <w:tcPr>
            <w:tcW w:w="100" w:type="dxa"/>
            <w:vAlign w:val="bottom"/>
          </w:tcPr>
          <w:p>
            <w:pPr>
              <w:spacing w:after="0"/>
              <w:rPr>
                <w:sz w:val="24"/>
                <w:szCs w:val="24"/>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29"/>
              <w:spacing w:after="0"/>
              <w:rPr>
                <w:sz w:val="20"/>
                <w:szCs w:val="20"/>
                <w:color w:val="auto"/>
              </w:rPr>
            </w:pPr>
            <w:r>
              <w:rPr>
                <w:rFonts w:ascii="Arial" w:cs="Arial" w:eastAsia="Arial" w:hAnsi="Arial"/>
                <w:sz w:val="14"/>
                <w:szCs w:val="14"/>
                <w:color w:val="auto"/>
              </w:rPr>
              <w:t>8</w:t>
            </w:r>
          </w:p>
        </w:tc>
        <w:tc>
          <w:tcPr>
            <w:tcW w:w="120" w:type="dxa"/>
            <w:vAlign w:val="bottom"/>
          </w:tcPr>
          <w:p>
            <w:pPr>
              <w:spacing w:after="0"/>
              <w:rPr>
                <w:sz w:val="24"/>
                <w:szCs w:val="24"/>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29"/>
              <w:spacing w:after="0"/>
              <w:rPr>
                <w:sz w:val="20"/>
                <w:szCs w:val="20"/>
                <w:color w:val="auto"/>
              </w:rPr>
            </w:pPr>
            <w:r>
              <w:rPr>
                <w:rFonts w:ascii="Arial" w:cs="Arial" w:eastAsia="Arial" w:hAnsi="Arial"/>
                <w:sz w:val="14"/>
                <w:szCs w:val="14"/>
                <w:color w:val="auto"/>
              </w:rPr>
              <w:t>9</w:t>
            </w:r>
          </w:p>
        </w:tc>
      </w:tr>
      <w:tr>
        <w:trPr>
          <w:trHeight w:val="351"/>
        </w:trPr>
        <w:tc>
          <w:tcPr>
            <w:tcW w:w="200" w:type="dxa"/>
            <w:vAlign w:val="bottom"/>
          </w:tcPr>
          <w:p>
            <w:pPr>
              <w:spacing w:after="0"/>
              <w:rPr>
                <w:sz w:val="24"/>
                <w:szCs w:val="24"/>
                <w:color w:val="auto"/>
              </w:rPr>
            </w:pPr>
          </w:p>
        </w:tc>
        <w:tc>
          <w:tcPr>
            <w:tcW w:w="1100" w:type="dxa"/>
            <w:vAlign w:val="bottom"/>
          </w:tcPr>
          <w:p>
            <w:pPr>
              <w:jc w:val="right"/>
              <w:ind w:right="68"/>
              <w:spacing w:after="0"/>
              <w:rPr>
                <w:sz w:val="20"/>
                <w:szCs w:val="20"/>
                <w:color w:val="auto"/>
              </w:rPr>
            </w:pPr>
            <w:r>
              <w:rPr>
                <w:rFonts w:ascii="Arial" w:cs="Arial" w:eastAsia="Arial" w:hAnsi="Arial"/>
                <w:sz w:val="14"/>
                <w:szCs w:val="14"/>
                <w:color w:val="auto"/>
              </w:rPr>
              <w:t>7</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4"/>
                <w:szCs w:val="24"/>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8</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4"/>
                <w:szCs w:val="24"/>
                <w:color w:val="auto"/>
              </w:rPr>
            </w:pPr>
          </w:p>
        </w:tc>
        <w:tc>
          <w:tcPr>
            <w:tcW w:w="1060" w:type="dxa"/>
            <w:vAlign w:val="bottom"/>
          </w:tcPr>
          <w:p>
            <w:pPr>
              <w:jc w:val="right"/>
              <w:ind w:right="29"/>
              <w:spacing w:after="0"/>
              <w:rPr>
                <w:sz w:val="20"/>
                <w:szCs w:val="20"/>
                <w:color w:val="auto"/>
              </w:rPr>
            </w:pPr>
            <w:r>
              <w:rPr>
                <w:rFonts w:ascii="Arial" w:cs="Arial" w:eastAsia="Arial" w:hAnsi="Arial"/>
                <w:sz w:val="14"/>
                <w:szCs w:val="14"/>
                <w:color w:val="auto"/>
              </w:rPr>
              <w:t>—</w:t>
            </w:r>
          </w:p>
        </w:tc>
      </w:tr>
      <w:tr>
        <w:trPr>
          <w:trHeight w:val="351"/>
        </w:trPr>
        <w:tc>
          <w:tcPr>
            <w:tcW w:w="200" w:type="dxa"/>
            <w:vAlign w:val="bottom"/>
          </w:tcPr>
          <w:p>
            <w:pPr>
              <w:spacing w:after="0"/>
              <w:rPr>
                <w:sz w:val="24"/>
                <w:szCs w:val="24"/>
                <w:color w:val="auto"/>
              </w:rPr>
            </w:pPr>
          </w:p>
        </w:tc>
        <w:tc>
          <w:tcPr>
            <w:tcW w:w="1100" w:type="dxa"/>
            <w:vAlign w:val="bottom"/>
          </w:tcPr>
          <w:p>
            <w:pPr>
              <w:jc w:val="right"/>
              <w:ind w:right="68"/>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13</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4"/>
                <w:szCs w:val="24"/>
                <w:color w:val="auto"/>
              </w:rPr>
            </w:pPr>
          </w:p>
        </w:tc>
        <w:tc>
          <w:tcPr>
            <w:tcW w:w="1060" w:type="dxa"/>
            <w:vAlign w:val="bottom"/>
          </w:tcPr>
          <w:p>
            <w:pPr>
              <w:jc w:val="right"/>
              <w:ind w:right="29"/>
              <w:spacing w:after="0"/>
              <w:rPr>
                <w:sz w:val="20"/>
                <w:szCs w:val="20"/>
                <w:color w:val="auto"/>
              </w:rPr>
            </w:pPr>
            <w:r>
              <w:rPr>
                <w:rFonts w:ascii="Arial" w:cs="Arial" w:eastAsia="Arial" w:hAnsi="Arial"/>
                <w:sz w:val="14"/>
                <w:szCs w:val="14"/>
                <w:color w:val="auto"/>
              </w:rPr>
              <w:t>—</w:t>
            </w:r>
          </w:p>
        </w:tc>
      </w:tr>
      <w:tr>
        <w:trPr>
          <w:trHeight w:val="270"/>
        </w:trPr>
        <w:tc>
          <w:tcPr>
            <w:tcW w:w="200" w:type="dxa"/>
            <w:vAlign w:val="bottom"/>
          </w:tcPr>
          <w:p>
            <w:pPr>
              <w:spacing w:after="0"/>
              <w:rPr>
                <w:sz w:val="23"/>
                <w:szCs w:val="23"/>
                <w:color w:val="auto"/>
              </w:rPr>
            </w:pPr>
          </w:p>
        </w:tc>
        <w:tc>
          <w:tcPr>
            <w:tcW w:w="1100" w:type="dxa"/>
            <w:vAlign w:val="bottom"/>
          </w:tcPr>
          <w:p>
            <w:pPr>
              <w:jc w:val="right"/>
              <w:ind w:right="68"/>
              <w:spacing w:after="0"/>
              <w:rPr>
                <w:sz w:val="20"/>
                <w:szCs w:val="20"/>
                <w:color w:val="auto"/>
              </w:rPr>
            </w:pPr>
            <w:r>
              <w:rPr>
                <w:rFonts w:ascii="Arial" w:cs="Arial" w:eastAsia="Arial" w:hAnsi="Arial"/>
                <w:sz w:val="14"/>
                <w:szCs w:val="14"/>
                <w:color w:val="auto"/>
              </w:rPr>
              <w:t>106</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116</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1060" w:type="dxa"/>
            <w:vAlign w:val="bottom"/>
          </w:tcPr>
          <w:p>
            <w:pPr>
              <w:jc w:val="right"/>
              <w:ind w:right="29"/>
              <w:spacing w:after="0"/>
              <w:rPr>
                <w:sz w:val="20"/>
                <w:szCs w:val="20"/>
                <w:color w:val="auto"/>
              </w:rPr>
            </w:pPr>
            <w:r>
              <w:rPr>
                <w:rFonts w:ascii="Arial" w:cs="Arial" w:eastAsia="Arial" w:hAnsi="Arial"/>
                <w:sz w:val="14"/>
                <w:szCs w:val="14"/>
                <w:color w:val="auto"/>
              </w:rPr>
              <w:t>—</w:t>
            </w:r>
          </w:p>
        </w:tc>
      </w:tr>
      <w:tr>
        <w:trPr>
          <w:trHeight w:val="270"/>
        </w:trPr>
        <w:tc>
          <w:tcPr>
            <w:tcW w:w="200" w:type="dxa"/>
            <w:vAlign w:val="bottom"/>
          </w:tcPr>
          <w:p>
            <w:pPr>
              <w:spacing w:after="0"/>
              <w:rPr>
                <w:sz w:val="23"/>
                <w:szCs w:val="23"/>
                <w:color w:val="auto"/>
              </w:rPr>
            </w:pPr>
          </w:p>
        </w:tc>
        <w:tc>
          <w:tcPr>
            <w:tcW w:w="1100" w:type="dxa"/>
            <w:vAlign w:val="bottom"/>
          </w:tcPr>
          <w:p>
            <w:pPr>
              <w:jc w:val="right"/>
              <w:ind w:right="8"/>
              <w:spacing w:after="0"/>
              <w:rPr>
                <w:sz w:val="20"/>
                <w:szCs w:val="20"/>
                <w:color w:val="auto"/>
              </w:rPr>
            </w:pPr>
            <w:r>
              <w:rPr>
                <w:rFonts w:ascii="Arial" w:cs="Arial" w:eastAsia="Arial" w:hAnsi="Arial"/>
                <w:sz w:val="14"/>
                <w:szCs w:val="14"/>
                <w:color w:val="auto"/>
              </w:rPr>
              <w:t>(197)</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(146)</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1060" w:type="dxa"/>
            <w:vAlign w:val="bottom"/>
          </w:tcPr>
          <w:p>
            <w:pPr>
              <w:jc w:val="right"/>
              <w:ind w:right="29"/>
              <w:spacing w:after="0"/>
              <w:rPr>
                <w:sz w:val="20"/>
                <w:szCs w:val="20"/>
                <w:color w:val="auto"/>
              </w:rPr>
            </w:pPr>
            <w:r>
              <w:rPr>
                <w:rFonts w:ascii="Arial" w:cs="Arial" w:eastAsia="Arial" w:hAnsi="Arial"/>
                <w:sz w:val="14"/>
                <w:szCs w:val="14"/>
                <w:color w:val="auto"/>
              </w:rPr>
              <w:t>—</w:t>
            </w:r>
          </w:p>
        </w:tc>
      </w:tr>
      <w:tr>
        <w:trPr>
          <w:trHeight w:val="270"/>
        </w:trPr>
        <w:tc>
          <w:tcPr>
            <w:tcW w:w="200" w:type="dxa"/>
            <w:vAlign w:val="bottom"/>
          </w:tcPr>
          <w:p>
            <w:pPr>
              <w:spacing w:after="0"/>
              <w:rPr>
                <w:sz w:val="23"/>
                <w:szCs w:val="23"/>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3"/>
                <w:szCs w:val="23"/>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3"/>
                <w:szCs w:val="23"/>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1060" w:type="dxa"/>
            <w:vAlign w:val="bottom"/>
          </w:tcPr>
          <w:p>
            <w:pPr>
              <w:jc w:val="right"/>
              <w:ind w:right="29"/>
              <w:spacing w:after="0"/>
              <w:rPr>
                <w:sz w:val="20"/>
                <w:szCs w:val="20"/>
                <w:color w:val="auto"/>
              </w:rPr>
            </w:pPr>
            <w:r>
              <w:rPr>
                <w:rFonts w:ascii="Arial" w:cs="Arial" w:eastAsia="Arial" w:hAnsi="Arial"/>
                <w:sz w:val="14"/>
                <w:szCs w:val="14"/>
                <w:color w:val="auto"/>
              </w:rPr>
              <w:t>—</w:t>
            </w:r>
          </w:p>
        </w:tc>
      </w:tr>
      <w:tr>
        <w:trPr>
          <w:trHeight w:val="270"/>
        </w:trPr>
        <w:tc>
          <w:tcPr>
            <w:tcW w:w="200" w:type="dxa"/>
            <w:vAlign w:val="bottom"/>
          </w:tcPr>
          <w:p>
            <w:pPr>
              <w:spacing w:after="0"/>
              <w:rPr>
                <w:sz w:val="23"/>
                <w:szCs w:val="23"/>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3"/>
                <w:szCs w:val="23"/>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3"/>
                <w:szCs w:val="23"/>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1060" w:type="dxa"/>
            <w:vAlign w:val="bottom"/>
          </w:tcPr>
          <w:p>
            <w:pPr>
              <w:jc w:val="right"/>
              <w:ind w:right="29"/>
              <w:spacing w:after="0"/>
              <w:rPr>
                <w:sz w:val="20"/>
                <w:szCs w:val="20"/>
                <w:color w:val="auto"/>
              </w:rPr>
            </w:pPr>
            <w:r>
              <w:rPr>
                <w:rFonts w:ascii="Arial" w:cs="Arial" w:eastAsia="Arial" w:hAnsi="Arial"/>
                <w:sz w:val="14"/>
                <w:szCs w:val="14"/>
                <w:color w:val="auto"/>
              </w:rPr>
              <w:t>—</w:t>
            </w:r>
          </w:p>
        </w:tc>
      </w:tr>
      <w:tr>
        <w:trPr>
          <w:trHeight w:val="270"/>
        </w:trPr>
        <w:tc>
          <w:tcPr>
            <w:tcW w:w="200" w:type="dxa"/>
            <w:vAlign w:val="bottom"/>
          </w:tcPr>
          <w:p>
            <w:pPr>
              <w:spacing w:after="0"/>
              <w:rPr>
                <w:sz w:val="23"/>
                <w:szCs w:val="23"/>
                <w:color w:val="auto"/>
              </w:rPr>
            </w:pPr>
          </w:p>
        </w:tc>
        <w:tc>
          <w:tcPr>
            <w:tcW w:w="1100" w:type="dxa"/>
            <w:vAlign w:val="bottom"/>
          </w:tcPr>
          <w:p>
            <w:pPr>
              <w:jc w:val="right"/>
              <w:ind w:right="68"/>
              <w:spacing w:after="0"/>
              <w:rPr>
                <w:sz w:val="20"/>
                <w:szCs w:val="20"/>
                <w:color w:val="auto"/>
              </w:rPr>
            </w:pPr>
            <w:r>
              <w:rPr>
                <w:rFonts w:ascii="Arial" w:cs="Arial" w:eastAsia="Arial" w:hAnsi="Arial"/>
                <w:sz w:val="14"/>
                <w:szCs w:val="14"/>
                <w:color w:val="auto"/>
              </w:rPr>
              <w:t>51</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36</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1060" w:type="dxa"/>
            <w:vAlign w:val="bottom"/>
          </w:tcPr>
          <w:p>
            <w:pPr>
              <w:jc w:val="right"/>
              <w:ind w:right="29"/>
              <w:spacing w:after="0"/>
              <w:rPr>
                <w:sz w:val="20"/>
                <w:szCs w:val="20"/>
                <w:color w:val="auto"/>
              </w:rPr>
            </w:pPr>
            <w:r>
              <w:rPr>
                <w:rFonts w:ascii="Arial" w:cs="Arial" w:eastAsia="Arial" w:hAnsi="Arial"/>
                <w:sz w:val="14"/>
                <w:szCs w:val="14"/>
                <w:color w:val="auto"/>
              </w:rPr>
              <w:t>—</w:t>
            </w:r>
          </w:p>
        </w:tc>
      </w:tr>
      <w:tr>
        <w:trPr>
          <w:trHeight w:val="276"/>
        </w:trPr>
        <w:tc>
          <w:tcPr>
            <w:tcW w:w="200" w:type="dxa"/>
            <w:vAlign w:val="bottom"/>
          </w:tcPr>
          <w:p>
            <w:pPr>
              <w:spacing w:after="0"/>
              <w:rPr>
                <w:sz w:val="24"/>
                <w:szCs w:val="24"/>
                <w:color w:val="auto"/>
              </w:rPr>
            </w:pPr>
          </w:p>
        </w:tc>
        <w:tc>
          <w:tcPr>
            <w:tcW w:w="1100" w:type="dxa"/>
            <w:vAlign w:val="bottom"/>
          </w:tcPr>
          <w:p>
            <w:pPr>
              <w:jc w:val="right"/>
              <w:ind w:right="8"/>
              <w:spacing w:after="0"/>
              <w:rPr>
                <w:sz w:val="20"/>
                <w:szCs w:val="20"/>
                <w:color w:val="auto"/>
              </w:rPr>
            </w:pPr>
            <w:r>
              <w:rPr>
                <w:rFonts w:ascii="Arial" w:cs="Arial" w:eastAsia="Arial" w:hAnsi="Arial"/>
                <w:sz w:val="14"/>
                <w:szCs w:val="14"/>
                <w:color w:val="auto"/>
              </w:rPr>
              <w:t>(271)</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(4)</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(79)</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(9)</w:t>
            </w:r>
          </w:p>
        </w:tc>
      </w:tr>
      <w:tr>
        <w:trPr>
          <w:trHeight w:val="237"/>
        </w:trPr>
        <w:tc>
          <w:tcPr>
            <w:tcW w:w="2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10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2,471</w:t>
            </w:r>
          </w:p>
        </w:tc>
        <w:tc>
          <w:tcPr>
            <w:tcW w:w="120" w:type="dxa"/>
            <w:vAlign w:val="bottom"/>
          </w:tcPr>
          <w:p>
            <w:pPr>
              <w:spacing w:after="0"/>
              <w:rPr>
                <w:sz w:val="20"/>
                <w:szCs w:val="20"/>
                <w:color w:val="auto"/>
              </w:rPr>
            </w:pPr>
          </w:p>
        </w:tc>
        <w:tc>
          <w:tcPr>
            <w:tcW w:w="2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9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22</w:t>
            </w:r>
          </w:p>
        </w:tc>
        <w:tc>
          <w:tcPr>
            <w:tcW w:w="120" w:type="dxa"/>
            <w:vAlign w:val="bottom"/>
          </w:tcPr>
          <w:p>
            <w:pPr>
              <w:spacing w:after="0"/>
              <w:rPr>
                <w:sz w:val="20"/>
                <w:szCs w:val="20"/>
                <w:color w:val="auto"/>
              </w:rPr>
            </w:pPr>
          </w:p>
        </w:tc>
        <w:tc>
          <w:tcPr>
            <w:tcW w:w="1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1,830</w:t>
            </w:r>
          </w:p>
        </w:tc>
        <w:tc>
          <w:tcPr>
            <w:tcW w:w="100" w:type="dxa"/>
            <w:vAlign w:val="bottom"/>
          </w:tcPr>
          <w:p>
            <w:pPr>
              <w:spacing w:after="0"/>
              <w:rPr>
                <w:sz w:val="20"/>
                <w:szCs w:val="20"/>
                <w:color w:val="auto"/>
              </w:rPr>
            </w:pPr>
          </w:p>
        </w:tc>
        <w:tc>
          <w:tcPr>
            <w:tcW w:w="2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04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4"/>
                <w:szCs w:val="14"/>
                <w:color w:val="auto"/>
              </w:rPr>
              <w:t>8</w:t>
            </w:r>
          </w:p>
        </w:tc>
        <w:tc>
          <w:tcPr>
            <w:tcW w:w="120" w:type="dxa"/>
            <w:vAlign w:val="bottom"/>
          </w:tcPr>
          <w:p>
            <w:pPr>
              <w:spacing w:after="0"/>
              <w:rPr>
                <w:sz w:val="20"/>
                <w:szCs w:val="20"/>
                <w:color w:val="auto"/>
              </w:rPr>
            </w:pP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4"/>
                <w:szCs w:val="14"/>
                <w:color w:val="auto"/>
              </w:rPr>
              <w:t>—</w:t>
            </w:r>
          </w:p>
        </w:tc>
      </w:tr>
      <w:tr>
        <w:trPr>
          <w:trHeight w:val="20"/>
        </w:trPr>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440"/>
        </w:trPr>
        <w:tc>
          <w:tcPr>
            <w:tcW w:w="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24"/>
                <w:szCs w:val="24"/>
                <w:color w:val="auto"/>
              </w:rPr>
            </w:pPr>
          </w:p>
        </w:tc>
        <w:tc>
          <w:tcPr>
            <w:tcW w:w="2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1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10</w:t>
            </w:r>
          </w:p>
        </w:tc>
        <w:tc>
          <w:tcPr>
            <w:tcW w:w="100" w:type="dxa"/>
            <w:vAlign w:val="bottom"/>
          </w:tcPr>
          <w:p>
            <w:pPr>
              <w:spacing w:after="0"/>
              <w:rPr>
                <w:sz w:val="24"/>
                <w:szCs w:val="24"/>
                <w:color w:val="auto"/>
              </w:rPr>
            </w:pPr>
          </w:p>
        </w:tc>
        <w:tc>
          <w:tcPr>
            <w:tcW w:w="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w:t>
            </w:r>
          </w:p>
        </w:tc>
      </w:tr>
      <w:tr>
        <w:trPr>
          <w:trHeight w:val="20"/>
        </w:trPr>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440"/>
        </w:trPr>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68"/>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24"/>
                <w:szCs w:val="24"/>
                <w:color w:val="auto"/>
              </w:rPr>
            </w:pPr>
          </w:p>
        </w:tc>
        <w:tc>
          <w:tcPr>
            <w:tcW w:w="260" w:type="dxa"/>
            <w:vAlign w:val="bottom"/>
          </w:tcPr>
          <w:p>
            <w:pPr>
              <w:ind w:left="20"/>
              <w:spacing w:after="0"/>
              <w:rPr>
                <w:sz w:val="20"/>
                <w:szCs w:val="20"/>
                <w:color w:val="auto"/>
              </w:rPr>
            </w:pPr>
            <w:r>
              <w:rPr>
                <w:rFonts w:ascii="Arial" w:cs="Arial" w:eastAsia="Arial" w:hAnsi="Arial"/>
                <w:sz w:val="14"/>
                <w:szCs w:val="14"/>
                <w:color w:val="auto"/>
              </w:rPr>
              <w:t>$</w:t>
            </w:r>
          </w:p>
        </w:tc>
        <w:tc>
          <w:tcPr>
            <w:tcW w:w="11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ind w:left="20"/>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8</w:t>
            </w:r>
          </w:p>
        </w:tc>
        <w:tc>
          <w:tcPr>
            <w:tcW w:w="100" w:type="dxa"/>
            <w:vAlign w:val="bottom"/>
          </w:tcPr>
          <w:p>
            <w:pPr>
              <w:spacing w:after="0"/>
              <w:rPr>
                <w:sz w:val="24"/>
                <w:szCs w:val="24"/>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1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29"/>
              <w:spacing w:after="0"/>
              <w:rPr>
                <w:sz w:val="20"/>
                <w:szCs w:val="20"/>
                <w:color w:val="auto"/>
              </w:rPr>
            </w:pPr>
            <w:r>
              <w:rPr>
                <w:rFonts w:ascii="Arial" w:cs="Arial" w:eastAsia="Arial" w:hAnsi="Arial"/>
                <w:sz w:val="14"/>
                <w:szCs w:val="14"/>
                <w:color w:val="auto"/>
              </w:rPr>
              <w:t>—</w:t>
            </w:r>
          </w:p>
        </w:tc>
      </w:tr>
      <w:tr>
        <w:trPr>
          <w:trHeight w:val="20"/>
        </w:trPr>
        <w:tc>
          <w:tcPr>
            <w:tcW w:w="2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-2978785</wp:posOffset>
            </wp:positionH>
            <wp:positionV relativeFrom="paragraph">
              <wp:posOffset>-4647565</wp:posOffset>
            </wp:positionV>
            <wp:extent cx="7246620" cy="1714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-2978785</wp:posOffset>
            </wp:positionH>
            <wp:positionV relativeFrom="paragraph">
              <wp:posOffset>-4304665</wp:posOffset>
            </wp:positionV>
            <wp:extent cx="7246620" cy="22288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222885"/>
                    </a:xfrm>
                    <a:prstGeom prst="rect">
                      <a:avLst/>
                    </a:prstGeom>
                    <a:noFill/>
                  </pic:spPr>
                </pic:pic>
              </a:graphicData>
            </a:graphic>
          </wp:anchor>
        </w:drawing>
        <w:drawing>
          <wp:anchor simplePos="0" relativeHeight="251657728" behindDoc="1" locked="0" layoutInCell="0" allowOverlap="1">
            <wp:simplePos x="0" y="0"/>
            <wp:positionH relativeFrom="column">
              <wp:posOffset>-2978785</wp:posOffset>
            </wp:positionH>
            <wp:positionV relativeFrom="paragraph">
              <wp:posOffset>-3858260</wp:posOffset>
            </wp:positionV>
            <wp:extent cx="7246620" cy="1714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-2978785</wp:posOffset>
            </wp:positionH>
            <wp:positionV relativeFrom="paragraph">
              <wp:posOffset>-3515360</wp:posOffset>
            </wp:positionV>
            <wp:extent cx="7246620" cy="17145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-2978785</wp:posOffset>
            </wp:positionH>
            <wp:positionV relativeFrom="paragraph">
              <wp:posOffset>-3172460</wp:posOffset>
            </wp:positionV>
            <wp:extent cx="7246620" cy="17145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-2978785</wp:posOffset>
            </wp:positionH>
            <wp:positionV relativeFrom="paragraph">
              <wp:posOffset>-2829560</wp:posOffset>
            </wp:positionV>
            <wp:extent cx="7246620" cy="17145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-2978785</wp:posOffset>
            </wp:positionH>
            <wp:positionV relativeFrom="paragraph">
              <wp:posOffset>-2469515</wp:posOffset>
            </wp:positionV>
            <wp:extent cx="7246620" cy="17145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-2978785</wp:posOffset>
            </wp:positionH>
            <wp:positionV relativeFrom="paragraph">
              <wp:posOffset>-2074545</wp:posOffset>
            </wp:positionV>
            <wp:extent cx="7246620" cy="22288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222885"/>
                    </a:xfrm>
                    <a:prstGeom prst="rect">
                      <a:avLst/>
                    </a:prstGeom>
                    <a:noFill/>
                  </pic:spPr>
                </pic:pic>
              </a:graphicData>
            </a:graphic>
          </wp:anchor>
        </w:drawing>
        <w:drawing>
          <wp:anchor simplePos="0" relativeHeight="251657728" behindDoc="1" locked="0" layoutInCell="0" allowOverlap="1">
            <wp:simplePos x="0" y="0"/>
            <wp:positionH relativeFrom="column">
              <wp:posOffset>-2978785</wp:posOffset>
            </wp:positionH>
            <wp:positionV relativeFrom="paragraph">
              <wp:posOffset>-1680210</wp:posOffset>
            </wp:positionV>
            <wp:extent cx="7246620" cy="17145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-2978785</wp:posOffset>
            </wp:positionH>
            <wp:positionV relativeFrom="paragraph">
              <wp:posOffset>-1337310</wp:posOffset>
            </wp:positionV>
            <wp:extent cx="7246620" cy="17145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-2978785</wp:posOffset>
            </wp:positionH>
            <wp:positionV relativeFrom="paragraph">
              <wp:posOffset>-994410</wp:posOffset>
            </wp:positionV>
            <wp:extent cx="7246620" cy="17145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-2978785</wp:posOffset>
            </wp:positionH>
            <wp:positionV relativeFrom="paragraph">
              <wp:posOffset>-650875</wp:posOffset>
            </wp:positionV>
            <wp:extent cx="7246620" cy="3175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31750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980" w:space="720"/>
            <w:col w:w="6720"/>
          </w:cols>
          <w:pgMar w:left="240" w:top="288" w:right="239" w:bottom="1440" w:gutter="0" w:footer="0" w:header="0"/>
          <w:type w:val="continuous"/>
        </w:sectPr>
      </w:pPr>
    </w:p>
    <w:p>
      <w:pPr>
        <w:spacing w:after="0" w:line="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53</w:t>
      </w:r>
    </w:p>
    <w:p>
      <w:pPr>
        <w:sectPr>
          <w:pgSz w:w="11900" w:h="16838" w:orient="portrait"/>
          <w:cols w:equalWidth="0" w:num="1">
            <w:col w:w="11420"/>
          </w:cols>
          <w:pgMar w:left="240" w:top="288" w:right="239" w:bottom="1440" w:gutter="0" w:footer="0" w:header="0"/>
          <w:type w:val="continuous"/>
        </w:sectPr>
      </w:pPr>
    </w:p>
    <w:bookmarkStart w:id="55" w:name="page56"/>
    <w:bookmarkEnd w:id="55"/>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109" w:lineRule="exact"/>
        <w:rPr>
          <w:sz w:val="20"/>
          <w:szCs w:val="20"/>
          <w:color w:val="auto"/>
        </w:rPr>
      </w:pPr>
    </w:p>
    <w:p>
      <w:pPr>
        <w:ind w:left="4660"/>
        <w:spacing w:after="0"/>
        <w:rPr>
          <w:sz w:val="20"/>
          <w:szCs w:val="20"/>
          <w:color w:val="auto"/>
        </w:rPr>
      </w:pPr>
      <w:r>
        <w:rPr>
          <w:rFonts w:ascii="Arial" w:cs="Arial" w:eastAsia="Arial" w:hAnsi="Arial"/>
          <w:sz w:val="18"/>
          <w:szCs w:val="18"/>
          <w:b w:val="1"/>
          <w:bCs w:val="1"/>
          <w:color w:val="auto"/>
        </w:rPr>
        <w:t>Brighthouse Financial, Inc.</w:t>
      </w:r>
    </w:p>
    <w:p>
      <w:pPr>
        <w:spacing w:after="0" w:line="117" w:lineRule="exact"/>
        <w:rPr>
          <w:sz w:val="20"/>
          <w:szCs w:val="20"/>
          <w:color w:val="auto"/>
        </w:rPr>
      </w:pPr>
    </w:p>
    <w:p>
      <w:pPr>
        <w:ind w:left="1480"/>
        <w:spacing w:after="0"/>
        <w:rPr>
          <w:sz w:val="20"/>
          <w:szCs w:val="20"/>
          <w:color w:val="auto"/>
        </w:rPr>
      </w:pPr>
      <w:r>
        <w:rPr>
          <w:rFonts w:ascii="Arial" w:cs="Arial" w:eastAsia="Arial" w:hAnsi="Arial"/>
          <w:sz w:val="18"/>
          <w:szCs w:val="18"/>
          <w:b w:val="1"/>
          <w:bCs w:val="1"/>
          <w:color w:val="auto"/>
        </w:rPr>
        <w:t>Notes to the Interim Condensed Consolidated and Combined Financial Statements (Unaudited) — (continued)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Fair Value (continued)</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right"/>
        <w:ind w:right="1340"/>
        <w:spacing w:after="0"/>
        <w:rPr>
          <w:sz w:val="20"/>
          <w:szCs w:val="20"/>
          <w:color w:val="auto"/>
        </w:rPr>
      </w:pPr>
      <w:r>
        <w:rPr>
          <w:rFonts w:ascii="Arial" w:cs="Arial" w:eastAsia="Arial" w:hAnsi="Arial"/>
          <w:sz w:val="13"/>
          <w:szCs w:val="13"/>
          <w:b w:val="1"/>
          <w:bCs w:val="1"/>
          <w:color w:val="auto"/>
        </w:rPr>
        <w:t>Fair Value Measurements Using Significant Unobservable Inputs (Level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2989580</wp:posOffset>
            </wp:positionH>
            <wp:positionV relativeFrom="paragraph">
              <wp:posOffset>19685</wp:posOffset>
            </wp:positionV>
            <wp:extent cx="426212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4262120" cy="8890"/>
                    </a:xfrm>
                    <a:prstGeom prst="rect">
                      <a:avLst/>
                    </a:prstGeom>
                    <a:noFill/>
                  </pic:spPr>
                </pic:pic>
              </a:graphicData>
            </a:graphic>
          </wp:anchor>
        </w:drawing>
      </w:r>
    </w:p>
    <w:p>
      <w:pPr>
        <w:spacing w:after="0" w:line="19" w:lineRule="exact"/>
        <w:rPr>
          <w:sz w:val="20"/>
          <w:szCs w:val="20"/>
          <w:color w:val="auto"/>
        </w:rPr>
      </w:pPr>
    </w:p>
    <w:tbl>
      <w:tblPr>
        <w:tblLayout w:type="fixed"/>
        <w:tblInd w:w="4700" w:type="dxa"/>
        <w:tblCellMar>
          <w:top w:w="0" w:type="dxa"/>
          <w:left w:w="0" w:type="dxa"/>
          <w:bottom w:w="0" w:type="dxa"/>
          <w:right w:w="0" w:type="dxa"/>
        </w:tblCellMar>
      </w:tblPr>
      <w:tr>
        <w:trPr>
          <w:trHeight w:val="149"/>
        </w:trPr>
        <w:tc>
          <w:tcPr>
            <w:tcW w:w="1320" w:type="dxa"/>
            <w:vAlign w:val="bottom"/>
          </w:tcPr>
          <w:p>
            <w:pPr>
              <w:jc w:val="center"/>
              <w:spacing w:after="0"/>
              <w:rPr>
                <w:sz w:val="20"/>
                <w:szCs w:val="20"/>
                <w:color w:val="auto"/>
              </w:rPr>
            </w:pPr>
            <w:r>
              <w:rPr>
                <w:rFonts w:ascii="Arial" w:cs="Arial" w:eastAsia="Arial" w:hAnsi="Arial"/>
                <w:sz w:val="13"/>
                <w:szCs w:val="13"/>
                <w:b w:val="1"/>
                <w:bCs w:val="1"/>
                <w:color w:val="auto"/>
                <w:w w:val="95"/>
              </w:rPr>
              <w:t>Equity</w:t>
            </w:r>
          </w:p>
        </w:tc>
        <w:tc>
          <w:tcPr>
            <w:tcW w:w="1360" w:type="dxa"/>
            <w:vAlign w:val="bottom"/>
          </w:tcPr>
          <w:p>
            <w:pPr>
              <w:jc w:val="center"/>
              <w:ind w:left="17"/>
              <w:spacing w:after="0"/>
              <w:rPr>
                <w:sz w:val="20"/>
                <w:szCs w:val="20"/>
                <w:color w:val="auto"/>
              </w:rPr>
            </w:pPr>
            <w:r>
              <w:rPr>
                <w:rFonts w:ascii="Arial" w:cs="Arial" w:eastAsia="Arial" w:hAnsi="Arial"/>
                <w:sz w:val="13"/>
                <w:szCs w:val="13"/>
                <w:b w:val="1"/>
                <w:bCs w:val="1"/>
                <w:color w:val="auto"/>
                <w:w w:val="90"/>
              </w:rPr>
              <w:t>Short-term</w:t>
            </w:r>
          </w:p>
        </w:tc>
        <w:tc>
          <w:tcPr>
            <w:tcW w:w="1380" w:type="dxa"/>
            <w:vAlign w:val="bottom"/>
          </w:tcPr>
          <w:p>
            <w:pPr>
              <w:jc w:val="center"/>
              <w:spacing w:after="0"/>
              <w:rPr>
                <w:sz w:val="20"/>
                <w:szCs w:val="20"/>
                <w:color w:val="auto"/>
              </w:rPr>
            </w:pPr>
            <w:r>
              <w:rPr>
                <w:rFonts w:ascii="Arial" w:cs="Arial" w:eastAsia="Arial" w:hAnsi="Arial"/>
                <w:sz w:val="13"/>
                <w:szCs w:val="13"/>
                <w:b w:val="1"/>
                <w:bCs w:val="1"/>
                <w:color w:val="auto"/>
                <w:w w:val="95"/>
              </w:rPr>
              <w:t>Net</w:t>
            </w:r>
          </w:p>
        </w:tc>
        <w:tc>
          <w:tcPr>
            <w:tcW w:w="1320" w:type="dxa"/>
            <w:vAlign w:val="bottom"/>
          </w:tcPr>
          <w:p>
            <w:pPr>
              <w:ind w:left="280"/>
              <w:spacing w:after="0"/>
              <w:rPr>
                <w:sz w:val="20"/>
                <w:szCs w:val="20"/>
                <w:color w:val="auto"/>
              </w:rPr>
            </w:pPr>
            <w:r>
              <w:rPr>
                <w:rFonts w:ascii="Arial" w:cs="Arial" w:eastAsia="Arial" w:hAnsi="Arial"/>
                <w:sz w:val="13"/>
                <w:szCs w:val="13"/>
                <w:b w:val="1"/>
                <w:bCs w:val="1"/>
                <w:color w:val="auto"/>
              </w:rPr>
              <w:t>Net Embedded</w:t>
            </w:r>
          </w:p>
        </w:tc>
        <w:tc>
          <w:tcPr>
            <w:tcW w:w="1340" w:type="dxa"/>
            <w:vAlign w:val="bottom"/>
          </w:tcPr>
          <w:p>
            <w:pPr>
              <w:jc w:val="center"/>
              <w:ind w:left="37"/>
              <w:spacing w:after="0"/>
              <w:rPr>
                <w:sz w:val="20"/>
                <w:szCs w:val="20"/>
                <w:color w:val="auto"/>
              </w:rPr>
            </w:pPr>
            <w:r>
              <w:rPr>
                <w:rFonts w:ascii="Arial" w:cs="Arial" w:eastAsia="Arial" w:hAnsi="Arial"/>
                <w:sz w:val="13"/>
                <w:szCs w:val="13"/>
                <w:b w:val="1"/>
                <w:bCs w:val="1"/>
                <w:color w:val="auto"/>
                <w:w w:val="87"/>
              </w:rPr>
              <w:t>Separate</w:t>
            </w:r>
          </w:p>
        </w:tc>
      </w:tr>
      <w:tr>
        <w:trPr>
          <w:trHeight w:val="174"/>
        </w:trPr>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6"/>
              </w:rPr>
              <w:t>Securities</w:t>
            </w:r>
          </w:p>
        </w:tc>
        <w:tc>
          <w:tcPr>
            <w:tcW w:w="1360" w:type="dxa"/>
            <w:vAlign w:val="bottom"/>
            <w:tcBorders>
              <w:bottom w:val="single" w:sz="8" w:color="auto"/>
            </w:tcBorders>
          </w:tcPr>
          <w:p>
            <w:pPr>
              <w:jc w:val="center"/>
              <w:ind w:left="17"/>
              <w:spacing w:after="0"/>
              <w:rPr>
                <w:sz w:val="20"/>
                <w:szCs w:val="20"/>
                <w:color w:val="auto"/>
              </w:rPr>
            </w:pPr>
            <w:r>
              <w:rPr>
                <w:rFonts w:ascii="Arial" w:cs="Arial" w:eastAsia="Arial" w:hAnsi="Arial"/>
                <w:sz w:val="13"/>
                <w:szCs w:val="13"/>
                <w:b w:val="1"/>
                <w:bCs w:val="1"/>
                <w:color w:val="auto"/>
                <w:w w:val="84"/>
              </w:rPr>
              <w:t>Investments</w:t>
            </w: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9"/>
              </w:rPr>
              <w:t>Derivatives (2)</w:t>
            </w:r>
          </w:p>
        </w:tc>
        <w:tc>
          <w:tcPr>
            <w:tcW w:w="1320" w:type="dxa"/>
            <w:vAlign w:val="bottom"/>
            <w:tcBorders>
              <w:bottom w:val="single" w:sz="8" w:color="auto"/>
            </w:tcBorders>
          </w:tcPr>
          <w:p>
            <w:pPr>
              <w:ind w:left="300"/>
              <w:spacing w:after="0"/>
              <w:rPr>
                <w:sz w:val="20"/>
                <w:szCs w:val="20"/>
                <w:color w:val="auto"/>
              </w:rPr>
            </w:pPr>
            <w:r>
              <w:rPr>
                <w:rFonts w:ascii="Arial" w:cs="Arial" w:eastAsia="Arial" w:hAnsi="Arial"/>
                <w:sz w:val="13"/>
                <w:szCs w:val="13"/>
                <w:b w:val="1"/>
                <w:bCs w:val="1"/>
                <w:color w:val="auto"/>
              </w:rPr>
              <w:t>Derivatives (3)</w:t>
            </w:r>
          </w:p>
        </w:tc>
        <w:tc>
          <w:tcPr>
            <w:tcW w:w="1340" w:type="dxa"/>
            <w:vAlign w:val="bottom"/>
            <w:tcBorders>
              <w:bottom w:val="single" w:sz="8" w:color="auto"/>
            </w:tcBorders>
          </w:tcPr>
          <w:p>
            <w:pPr>
              <w:jc w:val="center"/>
              <w:ind w:left="37"/>
              <w:spacing w:after="0"/>
              <w:rPr>
                <w:sz w:val="20"/>
                <w:szCs w:val="20"/>
                <w:color w:val="auto"/>
              </w:rPr>
            </w:pPr>
            <w:r>
              <w:rPr>
                <w:rFonts w:ascii="Arial" w:cs="Arial" w:eastAsia="Arial" w:hAnsi="Arial"/>
                <w:sz w:val="13"/>
                <w:szCs w:val="13"/>
                <w:b w:val="1"/>
                <w:bCs w:val="1"/>
                <w:color w:val="auto"/>
                <w:w w:val="84"/>
              </w:rPr>
              <w:t>Account Assets (4)</w:t>
            </w:r>
          </w:p>
        </w:tc>
      </w:tr>
      <w:tr>
        <w:trPr>
          <w:trHeight w:val="241"/>
        </w:trPr>
        <w:tc>
          <w:tcPr>
            <w:tcW w:w="13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380" w:type="dxa"/>
            <w:vAlign w:val="bottom"/>
          </w:tcPr>
          <w:p>
            <w:pPr>
              <w:ind w:left="360"/>
              <w:spacing w:after="0"/>
              <w:rPr>
                <w:sz w:val="20"/>
                <w:szCs w:val="20"/>
                <w:color w:val="auto"/>
              </w:rPr>
            </w:pPr>
            <w:r>
              <w:rPr>
                <w:rFonts w:ascii="Arial" w:cs="Arial" w:eastAsia="Arial" w:hAnsi="Arial"/>
                <w:sz w:val="13"/>
                <w:szCs w:val="13"/>
                <w:b w:val="1"/>
                <w:bCs w:val="1"/>
                <w:color w:val="auto"/>
              </w:rPr>
              <w:t>(In millions)</w:t>
            </w:r>
          </w:p>
        </w:tc>
        <w:tc>
          <w:tcPr>
            <w:tcW w:w="1320" w:type="dxa"/>
            <w:vAlign w:val="bottom"/>
          </w:tcPr>
          <w:p>
            <w:pPr>
              <w:spacing w:after="0"/>
              <w:rPr>
                <w:sz w:val="20"/>
                <w:szCs w:val="20"/>
                <w:color w:val="auto"/>
              </w:rPr>
            </w:pPr>
          </w:p>
        </w:tc>
        <w:tc>
          <w:tcPr>
            <w:tcW w:w="134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7246620" cy="17145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8"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Three Months Ended September 30, 2017</w:t>
      </w:r>
    </w:p>
    <w:p>
      <w:pPr>
        <w:sectPr>
          <w:pgSz w:w="11900" w:h="16838" w:orient="portrait"/>
          <w:cols w:equalWidth="0" w:num="1">
            <w:col w:w="11420"/>
          </w:cols>
          <w:pgMar w:left="240" w:top="288" w:right="239" w:bottom="1440" w:gutter="0" w:footer="0" w:header="0"/>
        </w:sectPr>
      </w:pPr>
    </w:p>
    <w:p>
      <w:pPr>
        <w:spacing w:after="0" w:line="113" w:lineRule="exact"/>
        <w:rPr>
          <w:sz w:val="20"/>
          <w:szCs w:val="20"/>
          <w:color w:val="auto"/>
        </w:rPr>
      </w:pPr>
    </w:p>
    <w:p>
      <w:pPr>
        <w:ind w:left="40"/>
        <w:spacing w:after="0"/>
        <w:rPr>
          <w:sz w:val="20"/>
          <w:szCs w:val="20"/>
          <w:color w:val="auto"/>
        </w:rPr>
      </w:pPr>
      <w:r>
        <w:rPr>
          <w:rFonts w:ascii="Arial" w:cs="Arial" w:eastAsia="Arial" w:hAnsi="Arial"/>
          <w:sz w:val="14"/>
          <w:szCs w:val="14"/>
          <w:color w:val="auto"/>
        </w:rPr>
        <w:t>Balance, beginning of period</w:t>
      </w:r>
    </w:p>
    <w:p>
      <w:pPr>
        <w:spacing w:after="0" w:line="42" w:lineRule="exact"/>
        <w:rPr>
          <w:sz w:val="20"/>
          <w:szCs w:val="20"/>
          <w:color w:val="auto"/>
        </w:rPr>
      </w:pPr>
    </w:p>
    <w:p>
      <w:pPr>
        <w:jc w:val="right"/>
        <w:ind w:right="1700"/>
        <w:spacing w:after="0"/>
        <w:rPr>
          <w:sz w:val="20"/>
          <w:szCs w:val="20"/>
          <w:color w:val="auto"/>
        </w:rPr>
      </w:pPr>
      <w:r>
        <w:rPr>
          <w:rFonts w:ascii="Arial" w:cs="Arial" w:eastAsia="Arial" w:hAnsi="Arial"/>
          <w:sz w:val="12"/>
          <w:szCs w:val="12"/>
          <w:color w:val="auto"/>
        </w:rPr>
        <w:t>Total realized/unrealized gains (losses)</w:t>
      </w:r>
    </w:p>
    <w:p>
      <w:pPr>
        <w:spacing w:after="0" w:line="23" w:lineRule="exact"/>
        <w:rPr>
          <w:sz w:val="20"/>
          <w:szCs w:val="20"/>
          <w:color w:val="auto"/>
        </w:rPr>
      </w:pPr>
    </w:p>
    <w:p>
      <w:pPr>
        <w:jc w:val="right"/>
        <w:ind w:right="1700"/>
        <w:spacing w:after="0"/>
        <w:rPr>
          <w:sz w:val="20"/>
          <w:szCs w:val="20"/>
          <w:color w:val="auto"/>
        </w:rPr>
      </w:pPr>
      <w:r>
        <w:rPr>
          <w:rFonts w:ascii="Arial" w:cs="Arial" w:eastAsia="Arial" w:hAnsi="Arial"/>
          <w:sz w:val="14"/>
          <w:szCs w:val="14"/>
          <w:color w:val="auto"/>
        </w:rPr>
        <w:t>included in net income (loss) (5) (6)</w:t>
      </w:r>
    </w:p>
    <w:p>
      <w:pPr>
        <w:spacing w:after="0" w:line="29" w:lineRule="exact"/>
        <w:rPr>
          <w:sz w:val="20"/>
          <w:szCs w:val="20"/>
          <w:color w:val="auto"/>
        </w:rPr>
      </w:pPr>
    </w:p>
    <w:p>
      <w:pPr>
        <w:ind w:left="200"/>
        <w:spacing w:after="0"/>
        <w:rPr>
          <w:sz w:val="20"/>
          <w:szCs w:val="20"/>
          <w:color w:val="auto"/>
        </w:rPr>
      </w:pPr>
      <w:r>
        <w:rPr>
          <w:rFonts w:ascii="Arial" w:cs="Arial" w:eastAsia="Arial" w:hAnsi="Arial"/>
          <w:sz w:val="14"/>
          <w:szCs w:val="14"/>
          <w:color w:val="auto"/>
        </w:rPr>
        <w:t>Total realized/unrealized gains (losses)</w:t>
      </w:r>
    </w:p>
    <w:p>
      <w:pPr>
        <w:ind w:left="200"/>
        <w:spacing w:after="0"/>
        <w:rPr>
          <w:sz w:val="20"/>
          <w:szCs w:val="20"/>
          <w:color w:val="auto"/>
        </w:rPr>
      </w:pPr>
      <w:r>
        <w:rPr>
          <w:rFonts w:ascii="Arial" w:cs="Arial" w:eastAsia="Arial" w:hAnsi="Arial"/>
          <w:sz w:val="14"/>
          <w:szCs w:val="14"/>
          <w:color w:val="auto"/>
        </w:rPr>
        <w:t>included in AOCI</w:t>
      </w:r>
    </w:p>
    <w:p>
      <w:pPr>
        <w:spacing w:after="0" w:line="30" w:lineRule="exact"/>
        <w:rPr>
          <w:sz w:val="20"/>
          <w:szCs w:val="20"/>
          <w:color w:val="auto"/>
        </w:rPr>
      </w:pPr>
    </w:p>
    <w:p>
      <w:pPr>
        <w:ind w:left="40"/>
        <w:spacing w:after="0"/>
        <w:rPr>
          <w:sz w:val="20"/>
          <w:szCs w:val="20"/>
          <w:color w:val="auto"/>
        </w:rPr>
      </w:pPr>
      <w:r>
        <w:rPr>
          <w:rFonts w:ascii="Arial" w:cs="Arial" w:eastAsia="Arial" w:hAnsi="Arial"/>
          <w:sz w:val="14"/>
          <w:szCs w:val="14"/>
          <w:color w:val="auto"/>
        </w:rPr>
        <w:t>Purchases (7)</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Sales (7)</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Issuances (7)</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Settlements (7)</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Transfers into Level 3 (8)</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Transfers out of Level 3 (8)</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Balance, end of period</w:t>
      </w:r>
    </w:p>
    <w:p>
      <w:pPr>
        <w:spacing w:after="0" w:line="200" w:lineRule="exact"/>
        <w:rPr>
          <w:sz w:val="20"/>
          <w:szCs w:val="20"/>
          <w:color w:val="auto"/>
        </w:rPr>
      </w:pPr>
    </w:p>
    <w:p>
      <w:pPr>
        <w:ind w:left="40" w:right="1400"/>
        <w:spacing w:after="0" w:line="339" w:lineRule="auto"/>
        <w:rPr>
          <w:sz w:val="20"/>
          <w:szCs w:val="20"/>
          <w:color w:val="auto"/>
        </w:rPr>
      </w:pPr>
      <w:r>
        <w:rPr>
          <w:rFonts w:ascii="Arial" w:cs="Arial" w:eastAsia="Arial" w:hAnsi="Arial"/>
          <w:sz w:val="14"/>
          <w:szCs w:val="14"/>
          <w:b w:val="1"/>
          <w:bCs w:val="1"/>
          <w:color w:val="auto"/>
        </w:rPr>
        <w:t xml:space="preserve">Three Months Ended September 30, 2016 </w:t>
      </w:r>
      <w:r>
        <w:rPr>
          <w:rFonts w:ascii="Arial" w:cs="Arial" w:eastAsia="Arial" w:hAnsi="Arial"/>
          <w:sz w:val="14"/>
          <w:szCs w:val="14"/>
          <w:color w:val="auto"/>
        </w:rPr>
        <w:t>Balance, beginning of period</w:t>
      </w:r>
    </w:p>
    <w:p>
      <w:pPr>
        <w:spacing w:after="0" w:line="22" w:lineRule="exact"/>
        <w:rPr>
          <w:sz w:val="20"/>
          <w:szCs w:val="20"/>
          <w:color w:val="auto"/>
        </w:rPr>
      </w:pPr>
    </w:p>
    <w:p>
      <w:pPr>
        <w:jc w:val="right"/>
        <w:ind w:right="1700"/>
        <w:spacing w:after="0"/>
        <w:rPr>
          <w:sz w:val="20"/>
          <w:szCs w:val="20"/>
          <w:color w:val="auto"/>
        </w:rPr>
      </w:pPr>
      <w:r>
        <w:rPr>
          <w:rFonts w:ascii="Arial" w:cs="Arial" w:eastAsia="Arial" w:hAnsi="Arial"/>
          <w:sz w:val="12"/>
          <w:szCs w:val="12"/>
          <w:color w:val="auto"/>
        </w:rPr>
        <w:t>Total realized/unrealized gains (losses)</w:t>
      </w:r>
    </w:p>
    <w:p>
      <w:pPr>
        <w:spacing w:after="0" w:line="23" w:lineRule="exact"/>
        <w:rPr>
          <w:sz w:val="20"/>
          <w:szCs w:val="20"/>
          <w:color w:val="auto"/>
        </w:rPr>
      </w:pPr>
    </w:p>
    <w:p>
      <w:pPr>
        <w:jc w:val="right"/>
        <w:ind w:right="1700"/>
        <w:spacing w:after="0"/>
        <w:rPr>
          <w:sz w:val="20"/>
          <w:szCs w:val="20"/>
          <w:color w:val="auto"/>
        </w:rPr>
      </w:pPr>
      <w:r>
        <w:rPr>
          <w:rFonts w:ascii="Arial" w:cs="Arial" w:eastAsia="Arial" w:hAnsi="Arial"/>
          <w:sz w:val="14"/>
          <w:szCs w:val="14"/>
          <w:color w:val="auto"/>
        </w:rPr>
        <w:t>included in net income (loss) (5) (6)</w:t>
      </w:r>
    </w:p>
    <w:p>
      <w:pPr>
        <w:spacing w:after="0" w:line="29" w:lineRule="exact"/>
        <w:rPr>
          <w:sz w:val="20"/>
          <w:szCs w:val="20"/>
          <w:color w:val="auto"/>
        </w:rPr>
      </w:pPr>
    </w:p>
    <w:p>
      <w:pPr>
        <w:ind w:left="40"/>
        <w:spacing w:after="0"/>
        <w:rPr>
          <w:sz w:val="20"/>
          <w:szCs w:val="20"/>
          <w:color w:val="auto"/>
        </w:rPr>
      </w:pPr>
      <w:r>
        <w:rPr>
          <w:rFonts w:ascii="Arial" w:cs="Arial" w:eastAsia="Arial" w:hAnsi="Arial"/>
          <w:sz w:val="14"/>
          <w:szCs w:val="14"/>
          <w:color w:val="auto"/>
        </w:rPr>
        <w:t>Total realized/unrealized gains (losses)</w:t>
      </w:r>
    </w:p>
    <w:p>
      <w:pPr>
        <w:ind w:left="200"/>
        <w:spacing w:after="0"/>
        <w:rPr>
          <w:sz w:val="20"/>
          <w:szCs w:val="20"/>
          <w:color w:val="auto"/>
        </w:rPr>
      </w:pPr>
      <w:r>
        <w:rPr>
          <w:rFonts w:ascii="Arial" w:cs="Arial" w:eastAsia="Arial" w:hAnsi="Arial"/>
          <w:sz w:val="14"/>
          <w:szCs w:val="14"/>
          <w:color w:val="auto"/>
        </w:rPr>
        <w:t>included in AOCI</w:t>
      </w:r>
    </w:p>
    <w:p>
      <w:pPr>
        <w:spacing w:after="0" w:line="30" w:lineRule="exact"/>
        <w:rPr>
          <w:sz w:val="20"/>
          <w:szCs w:val="20"/>
          <w:color w:val="auto"/>
        </w:rPr>
      </w:pPr>
    </w:p>
    <w:p>
      <w:pPr>
        <w:ind w:left="40"/>
        <w:spacing w:after="0"/>
        <w:rPr>
          <w:sz w:val="20"/>
          <w:szCs w:val="20"/>
          <w:color w:val="auto"/>
        </w:rPr>
      </w:pPr>
      <w:r>
        <w:rPr>
          <w:rFonts w:ascii="Arial" w:cs="Arial" w:eastAsia="Arial" w:hAnsi="Arial"/>
          <w:sz w:val="14"/>
          <w:szCs w:val="14"/>
          <w:color w:val="auto"/>
        </w:rPr>
        <w:t>Purchases (7)</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Sales (7)</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Issuances (7)</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Settlements (7)</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Transfers into Level 3 (8)</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Transfers out of Level 3 (8)</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Balance, end of period</w:t>
      </w:r>
    </w:p>
    <w:p>
      <w:pPr>
        <w:spacing w:after="0" w:line="109" w:lineRule="exact"/>
        <w:rPr>
          <w:sz w:val="20"/>
          <w:szCs w:val="20"/>
          <w:color w:val="auto"/>
        </w:rPr>
      </w:pPr>
    </w:p>
    <w:p>
      <w:pPr>
        <w:jc w:val="both"/>
        <w:ind w:left="200" w:right="1260" w:hanging="161"/>
        <w:spacing w:after="0" w:line="264" w:lineRule="auto"/>
        <w:rPr>
          <w:sz w:val="20"/>
          <w:szCs w:val="20"/>
          <w:color w:val="auto"/>
        </w:rPr>
      </w:pPr>
      <w:r>
        <w:rPr>
          <w:rFonts w:ascii="Arial" w:cs="Arial" w:eastAsia="Arial" w:hAnsi="Arial"/>
          <w:sz w:val="13"/>
          <w:szCs w:val="13"/>
          <w:color w:val="auto"/>
        </w:rPr>
        <w:t>Changes in unrealized gains (losses) included in net income (loss) for the instruments still held at September 30, 2017 (9)</w:t>
      </w:r>
    </w:p>
    <w:p>
      <w:pPr>
        <w:spacing w:after="0" w:line="6" w:lineRule="exact"/>
        <w:rPr>
          <w:sz w:val="20"/>
          <w:szCs w:val="20"/>
          <w:color w:val="auto"/>
        </w:rPr>
      </w:pPr>
    </w:p>
    <w:p>
      <w:pPr>
        <w:jc w:val="both"/>
        <w:ind w:left="200" w:right="1260" w:hanging="161"/>
        <w:spacing w:after="0" w:line="264" w:lineRule="auto"/>
        <w:rPr>
          <w:sz w:val="20"/>
          <w:szCs w:val="20"/>
          <w:color w:val="auto"/>
        </w:rPr>
      </w:pPr>
      <w:r>
        <w:rPr>
          <w:rFonts w:ascii="Arial" w:cs="Arial" w:eastAsia="Arial" w:hAnsi="Arial"/>
          <w:sz w:val="13"/>
          <w:szCs w:val="13"/>
          <w:color w:val="auto"/>
        </w:rPr>
        <w:t>Changes in unrealized gains (losses) included in net income (loss) for the instruments still held at September 30, 2016 (9)</w:t>
      </w:r>
    </w:p>
    <w:p>
      <w:pPr>
        <w:spacing w:after="0" w:line="20" w:lineRule="exact"/>
        <w:rPr>
          <w:sz w:val="20"/>
          <w:szCs w:val="20"/>
          <w:color w:val="auto"/>
        </w:rPr>
      </w:pPr>
      <w:r>
        <w:rPr>
          <w:sz w:val="20"/>
          <w:szCs w:val="20"/>
          <w:color w:val="auto"/>
        </w:rPr>
        <w:br w:type="column"/>
      </w:r>
    </w:p>
    <w:p>
      <w:pPr>
        <w:spacing w:after="0" w:line="9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2"/>
        </w:trPr>
        <w:tc>
          <w:tcPr>
            <w:tcW w:w="540" w:type="dxa"/>
            <w:vAlign w:val="bottom"/>
          </w:tcPr>
          <w:p>
            <w:pPr>
              <w:jc w:val="right"/>
              <w:ind w:right="368"/>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68"/>
              <w:spacing w:after="0"/>
              <w:rPr>
                <w:sz w:val="20"/>
                <w:szCs w:val="20"/>
                <w:color w:val="auto"/>
              </w:rPr>
            </w:pPr>
            <w:r>
              <w:rPr>
                <w:rFonts w:ascii="Arial" w:cs="Arial" w:eastAsia="Arial" w:hAnsi="Arial"/>
                <w:sz w:val="14"/>
                <w:szCs w:val="14"/>
                <w:color w:val="auto"/>
              </w:rPr>
              <w:t>134</w:t>
            </w:r>
          </w:p>
        </w:tc>
        <w:tc>
          <w:tcPr>
            <w:tcW w:w="120" w:type="dxa"/>
            <w:vAlign w:val="bottom"/>
          </w:tcPr>
          <w:p>
            <w:pPr>
              <w:spacing w:after="0"/>
              <w:rPr>
                <w:sz w:val="15"/>
                <w:szCs w:val="15"/>
                <w:color w:val="auto"/>
              </w:rPr>
            </w:pPr>
          </w:p>
        </w:tc>
        <w:tc>
          <w:tcPr>
            <w:tcW w:w="480" w:type="dxa"/>
            <w:vAlign w:val="bottom"/>
          </w:tcPr>
          <w:p>
            <w:pPr>
              <w:jc w:val="right"/>
              <w:ind w:right="308"/>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91</w:t>
            </w:r>
          </w:p>
        </w:tc>
        <w:tc>
          <w:tcPr>
            <w:tcW w:w="120" w:type="dxa"/>
            <w:vAlign w:val="bottom"/>
          </w:tcPr>
          <w:p>
            <w:pPr>
              <w:spacing w:after="0"/>
              <w:rPr>
                <w:sz w:val="15"/>
                <w:szCs w:val="15"/>
                <w:color w:val="auto"/>
              </w:rPr>
            </w:pPr>
          </w:p>
        </w:tc>
        <w:tc>
          <w:tcPr>
            <w:tcW w:w="480" w:type="dxa"/>
            <w:vAlign w:val="bottom"/>
          </w:tcPr>
          <w:p>
            <w:pPr>
              <w:jc w:val="right"/>
              <w:ind w:right="308"/>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(780)</w:t>
            </w:r>
          </w:p>
        </w:tc>
        <w:tc>
          <w:tcPr>
            <w:tcW w:w="100" w:type="dxa"/>
            <w:vAlign w:val="bottom"/>
          </w:tcPr>
          <w:p>
            <w:pPr>
              <w:spacing w:after="0"/>
              <w:rPr>
                <w:sz w:val="15"/>
                <w:szCs w:val="15"/>
                <w:color w:val="auto"/>
              </w:rPr>
            </w:pPr>
          </w:p>
        </w:tc>
        <w:tc>
          <w:tcPr>
            <w:tcW w:w="440" w:type="dxa"/>
            <w:vAlign w:val="bottom"/>
          </w:tcPr>
          <w:p>
            <w:pPr>
              <w:jc w:val="right"/>
              <w:ind w:right="268"/>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(2,113)</w:t>
            </w:r>
          </w:p>
        </w:tc>
        <w:tc>
          <w:tcPr>
            <w:tcW w:w="120" w:type="dxa"/>
            <w:vAlign w:val="bottom"/>
          </w:tcPr>
          <w:p>
            <w:pPr>
              <w:spacing w:after="0"/>
              <w:rPr>
                <w:sz w:val="15"/>
                <w:szCs w:val="15"/>
                <w:color w:val="auto"/>
              </w:rPr>
            </w:pPr>
          </w:p>
        </w:tc>
        <w:tc>
          <w:tcPr>
            <w:tcW w:w="480" w:type="dxa"/>
            <w:vAlign w:val="bottom"/>
          </w:tcPr>
          <w:p>
            <w:pPr>
              <w:jc w:val="right"/>
              <w:ind w:right="308"/>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6</w:t>
            </w:r>
          </w:p>
        </w:tc>
      </w:tr>
      <w:tr>
        <w:trPr>
          <w:trHeight w:val="351"/>
        </w:trPr>
        <w:tc>
          <w:tcPr>
            <w:tcW w:w="540" w:type="dxa"/>
            <w:vAlign w:val="bottom"/>
          </w:tcPr>
          <w:p>
            <w:pPr>
              <w:spacing w:after="0"/>
              <w:rPr>
                <w:sz w:val="24"/>
                <w:szCs w:val="24"/>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480" w:type="dxa"/>
            <w:vAlign w:val="bottom"/>
          </w:tcPr>
          <w:p>
            <w:pPr>
              <w:spacing w:after="0"/>
              <w:rPr>
                <w:sz w:val="24"/>
                <w:szCs w:val="24"/>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480" w:type="dxa"/>
            <w:vAlign w:val="bottom"/>
          </w:tcPr>
          <w:p>
            <w:pPr>
              <w:spacing w:after="0"/>
              <w:rPr>
                <w:sz w:val="24"/>
                <w:szCs w:val="24"/>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4</w:t>
            </w: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558</w:t>
            </w: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351"/>
        </w:trPr>
        <w:tc>
          <w:tcPr>
            <w:tcW w:w="540" w:type="dxa"/>
            <w:vAlign w:val="bottom"/>
          </w:tcPr>
          <w:p>
            <w:pPr>
              <w:spacing w:after="0"/>
              <w:rPr>
                <w:sz w:val="24"/>
                <w:szCs w:val="24"/>
                <w:color w:val="auto"/>
              </w:rPr>
            </w:pP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480" w:type="dxa"/>
            <w:vAlign w:val="bottom"/>
          </w:tcPr>
          <w:p>
            <w:pPr>
              <w:spacing w:after="0"/>
              <w:rPr>
                <w:sz w:val="24"/>
                <w:szCs w:val="24"/>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24"/>
                <w:szCs w:val="24"/>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480" w:type="dxa"/>
            <w:vAlign w:val="bottom"/>
          </w:tcPr>
          <w:p>
            <w:pPr>
              <w:spacing w:after="0"/>
              <w:rPr>
                <w:sz w:val="24"/>
                <w:szCs w:val="24"/>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0"/>
        </w:trPr>
        <w:tc>
          <w:tcPr>
            <w:tcW w:w="540" w:type="dxa"/>
            <w:vAlign w:val="bottom"/>
          </w:tcPr>
          <w:p>
            <w:pPr>
              <w:spacing w:after="0"/>
              <w:rPr>
                <w:sz w:val="23"/>
                <w:szCs w:val="23"/>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480" w:type="dxa"/>
            <w:vAlign w:val="bottom"/>
          </w:tcPr>
          <w:p>
            <w:pPr>
              <w:spacing w:after="0"/>
              <w:rPr>
                <w:sz w:val="23"/>
                <w:szCs w:val="23"/>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480" w:type="dxa"/>
            <w:vAlign w:val="bottom"/>
          </w:tcPr>
          <w:p>
            <w:pPr>
              <w:spacing w:after="0"/>
              <w:rPr>
                <w:sz w:val="23"/>
                <w:szCs w:val="23"/>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23"/>
                <w:szCs w:val="23"/>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480" w:type="dxa"/>
            <w:vAlign w:val="bottom"/>
          </w:tcPr>
          <w:p>
            <w:pPr>
              <w:spacing w:after="0"/>
              <w:rPr>
                <w:sz w:val="23"/>
                <w:szCs w:val="23"/>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2</w:t>
            </w:r>
          </w:p>
        </w:tc>
      </w:tr>
      <w:tr>
        <w:trPr>
          <w:trHeight w:val="270"/>
        </w:trPr>
        <w:tc>
          <w:tcPr>
            <w:tcW w:w="540" w:type="dxa"/>
            <w:vAlign w:val="bottom"/>
          </w:tcPr>
          <w:p>
            <w:pPr>
              <w:spacing w:after="0"/>
              <w:rPr>
                <w:sz w:val="23"/>
                <w:szCs w:val="23"/>
                <w:color w:val="auto"/>
              </w:rPr>
            </w:pP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(3)</w:t>
            </w:r>
          </w:p>
        </w:tc>
        <w:tc>
          <w:tcPr>
            <w:tcW w:w="1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480" w:type="dxa"/>
            <w:vAlign w:val="bottom"/>
          </w:tcPr>
          <w:p>
            <w:pPr>
              <w:spacing w:after="0"/>
              <w:rPr>
                <w:sz w:val="23"/>
                <w:szCs w:val="23"/>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23"/>
                <w:szCs w:val="23"/>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480" w:type="dxa"/>
            <w:vAlign w:val="bottom"/>
          </w:tcPr>
          <w:p>
            <w:pPr>
              <w:spacing w:after="0"/>
              <w:rPr>
                <w:sz w:val="23"/>
                <w:szCs w:val="23"/>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0"/>
        </w:trPr>
        <w:tc>
          <w:tcPr>
            <w:tcW w:w="540" w:type="dxa"/>
            <w:vAlign w:val="bottom"/>
          </w:tcPr>
          <w:p>
            <w:pPr>
              <w:spacing w:after="0"/>
              <w:rPr>
                <w:sz w:val="23"/>
                <w:szCs w:val="23"/>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480" w:type="dxa"/>
            <w:vAlign w:val="bottom"/>
          </w:tcPr>
          <w:p>
            <w:pPr>
              <w:spacing w:after="0"/>
              <w:rPr>
                <w:sz w:val="23"/>
                <w:szCs w:val="23"/>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480" w:type="dxa"/>
            <w:vAlign w:val="bottom"/>
          </w:tcPr>
          <w:p>
            <w:pPr>
              <w:spacing w:after="0"/>
              <w:rPr>
                <w:sz w:val="23"/>
                <w:szCs w:val="23"/>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23"/>
                <w:szCs w:val="23"/>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480" w:type="dxa"/>
            <w:vAlign w:val="bottom"/>
          </w:tcPr>
          <w:p>
            <w:pPr>
              <w:spacing w:after="0"/>
              <w:rPr>
                <w:sz w:val="23"/>
                <w:szCs w:val="23"/>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0"/>
        </w:trPr>
        <w:tc>
          <w:tcPr>
            <w:tcW w:w="540" w:type="dxa"/>
            <w:vAlign w:val="bottom"/>
          </w:tcPr>
          <w:p>
            <w:pPr>
              <w:spacing w:after="0"/>
              <w:rPr>
                <w:sz w:val="23"/>
                <w:szCs w:val="23"/>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480" w:type="dxa"/>
            <w:vAlign w:val="bottom"/>
          </w:tcPr>
          <w:p>
            <w:pPr>
              <w:spacing w:after="0"/>
              <w:rPr>
                <w:sz w:val="23"/>
                <w:szCs w:val="23"/>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480" w:type="dxa"/>
            <w:vAlign w:val="bottom"/>
          </w:tcPr>
          <w:p>
            <w:pPr>
              <w:spacing w:after="0"/>
              <w:rPr>
                <w:sz w:val="23"/>
                <w:szCs w:val="23"/>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370</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(155)</w:t>
            </w:r>
          </w:p>
        </w:tc>
        <w:tc>
          <w:tcPr>
            <w:tcW w:w="1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0"/>
        </w:trPr>
        <w:tc>
          <w:tcPr>
            <w:tcW w:w="540" w:type="dxa"/>
            <w:vAlign w:val="bottom"/>
          </w:tcPr>
          <w:p>
            <w:pPr>
              <w:spacing w:after="0"/>
              <w:rPr>
                <w:sz w:val="23"/>
                <w:szCs w:val="23"/>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480" w:type="dxa"/>
            <w:vAlign w:val="bottom"/>
          </w:tcPr>
          <w:p>
            <w:pPr>
              <w:spacing w:after="0"/>
              <w:rPr>
                <w:sz w:val="23"/>
                <w:szCs w:val="23"/>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480" w:type="dxa"/>
            <w:vAlign w:val="bottom"/>
          </w:tcPr>
          <w:p>
            <w:pPr>
              <w:spacing w:after="0"/>
              <w:rPr>
                <w:sz w:val="23"/>
                <w:szCs w:val="23"/>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23"/>
                <w:szCs w:val="23"/>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480" w:type="dxa"/>
            <w:vAlign w:val="bottom"/>
          </w:tcPr>
          <w:p>
            <w:pPr>
              <w:spacing w:after="0"/>
              <w:rPr>
                <w:sz w:val="23"/>
                <w:szCs w:val="23"/>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6"/>
        </w:trPr>
        <w:tc>
          <w:tcPr>
            <w:tcW w:w="540" w:type="dxa"/>
            <w:vAlign w:val="bottom"/>
          </w:tcPr>
          <w:p>
            <w:pPr>
              <w:spacing w:after="0"/>
              <w:rPr>
                <w:sz w:val="24"/>
                <w:szCs w:val="24"/>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48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(90)</w:t>
            </w: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24"/>
                <w:szCs w:val="24"/>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48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w:t>
            </w:r>
          </w:p>
        </w:tc>
      </w:tr>
      <w:tr>
        <w:trPr>
          <w:trHeight w:val="237"/>
        </w:trPr>
        <w:tc>
          <w:tcPr>
            <w:tcW w:w="540" w:type="dxa"/>
            <w:vAlign w:val="bottom"/>
            <w:tcBorders>
              <w:top w:val="single" w:sz="8" w:color="auto"/>
              <w:bottom w:val="single" w:sz="8" w:color="auto"/>
            </w:tcBorders>
          </w:tcPr>
          <w:p>
            <w:pPr>
              <w:jc w:val="right"/>
              <w:ind w:right="368"/>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130</w:t>
            </w:r>
          </w:p>
        </w:tc>
        <w:tc>
          <w:tcPr>
            <w:tcW w:w="120" w:type="dxa"/>
            <w:vAlign w:val="bottom"/>
          </w:tcPr>
          <w:p>
            <w:pPr>
              <w:spacing w:after="0"/>
              <w:rPr>
                <w:sz w:val="20"/>
                <w:szCs w:val="20"/>
                <w:color w:val="auto"/>
              </w:rPr>
            </w:pPr>
          </w:p>
        </w:tc>
        <w:tc>
          <w:tcPr>
            <w:tcW w:w="480" w:type="dxa"/>
            <w:vAlign w:val="bottom"/>
            <w:tcBorders>
              <w:top w:val="single" w:sz="8" w:color="auto"/>
              <w:bottom w:val="single" w:sz="8" w:color="auto"/>
            </w:tcBorders>
          </w:tcPr>
          <w:p>
            <w:pPr>
              <w:jc w:val="right"/>
              <w:ind w:right="308"/>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20"/>
                <w:szCs w:val="20"/>
                <w:color w:val="auto"/>
              </w:rPr>
            </w:pPr>
          </w:p>
        </w:tc>
        <w:tc>
          <w:tcPr>
            <w:tcW w:w="480" w:type="dxa"/>
            <w:vAlign w:val="bottom"/>
            <w:tcBorders>
              <w:top w:val="single" w:sz="8" w:color="auto"/>
              <w:bottom w:val="single" w:sz="8" w:color="auto"/>
            </w:tcBorders>
          </w:tcPr>
          <w:p>
            <w:pPr>
              <w:jc w:val="right"/>
              <w:ind w:right="308"/>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(406)</w:t>
            </w:r>
          </w:p>
        </w:tc>
        <w:tc>
          <w:tcPr>
            <w:tcW w:w="100" w:type="dxa"/>
            <w:vAlign w:val="bottom"/>
          </w:tcPr>
          <w:p>
            <w:pPr>
              <w:spacing w:after="0"/>
              <w:rPr>
                <w:sz w:val="20"/>
                <w:szCs w:val="20"/>
                <w:color w:val="auto"/>
              </w:rPr>
            </w:pPr>
          </w:p>
        </w:tc>
        <w:tc>
          <w:tcPr>
            <w:tcW w:w="440" w:type="dxa"/>
            <w:vAlign w:val="bottom"/>
            <w:tcBorders>
              <w:top w:val="single" w:sz="8" w:color="auto"/>
              <w:bottom w:val="single" w:sz="8" w:color="auto"/>
            </w:tcBorders>
          </w:tcPr>
          <w:p>
            <w:pPr>
              <w:jc w:val="right"/>
              <w:ind w:right="268"/>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(1,710)</w:t>
            </w:r>
          </w:p>
        </w:tc>
        <w:tc>
          <w:tcPr>
            <w:tcW w:w="120" w:type="dxa"/>
            <w:vAlign w:val="bottom"/>
          </w:tcPr>
          <w:p>
            <w:pPr>
              <w:spacing w:after="0"/>
              <w:rPr>
                <w:sz w:val="20"/>
                <w:szCs w:val="20"/>
                <w:color w:val="auto"/>
              </w:rPr>
            </w:pPr>
          </w:p>
        </w:tc>
        <w:tc>
          <w:tcPr>
            <w:tcW w:w="480" w:type="dxa"/>
            <w:vAlign w:val="bottom"/>
            <w:tcBorders>
              <w:top w:val="single" w:sz="8" w:color="auto"/>
              <w:bottom w:val="single" w:sz="8" w:color="auto"/>
            </w:tcBorders>
          </w:tcPr>
          <w:p>
            <w:pPr>
              <w:jc w:val="right"/>
              <w:ind w:right="308"/>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6</w:t>
            </w:r>
          </w:p>
        </w:tc>
      </w:tr>
      <w:tr>
        <w:trPr>
          <w:trHeight w:val="20"/>
        </w:trPr>
        <w:tc>
          <w:tcPr>
            <w:tcW w:w="5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r>
        <w:trPr>
          <w:trHeight w:val="515"/>
        </w:trPr>
        <w:tc>
          <w:tcPr>
            <w:tcW w:w="540" w:type="dxa"/>
            <w:vAlign w:val="bottom"/>
          </w:tcPr>
          <w:p>
            <w:pPr>
              <w:jc w:val="right"/>
              <w:ind w:right="368"/>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68"/>
              <w:spacing w:after="0"/>
              <w:rPr>
                <w:sz w:val="20"/>
                <w:szCs w:val="20"/>
                <w:color w:val="auto"/>
              </w:rPr>
            </w:pPr>
            <w:r>
              <w:rPr>
                <w:rFonts w:ascii="Arial" w:cs="Arial" w:eastAsia="Arial" w:hAnsi="Arial"/>
                <w:sz w:val="14"/>
                <w:szCs w:val="14"/>
                <w:color w:val="auto"/>
              </w:rPr>
              <w:t>173</w:t>
            </w:r>
          </w:p>
        </w:tc>
        <w:tc>
          <w:tcPr>
            <w:tcW w:w="120" w:type="dxa"/>
            <w:vAlign w:val="bottom"/>
          </w:tcPr>
          <w:p>
            <w:pPr>
              <w:spacing w:after="0"/>
              <w:rPr>
                <w:sz w:val="24"/>
                <w:szCs w:val="24"/>
                <w:color w:val="auto"/>
              </w:rPr>
            </w:pPr>
          </w:p>
        </w:tc>
        <w:tc>
          <w:tcPr>
            <w:tcW w:w="480" w:type="dxa"/>
            <w:vAlign w:val="bottom"/>
          </w:tcPr>
          <w:p>
            <w:pPr>
              <w:jc w:val="right"/>
              <w:ind w:right="308"/>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111</w:t>
            </w:r>
          </w:p>
        </w:tc>
        <w:tc>
          <w:tcPr>
            <w:tcW w:w="120" w:type="dxa"/>
            <w:vAlign w:val="bottom"/>
          </w:tcPr>
          <w:p>
            <w:pPr>
              <w:spacing w:after="0"/>
              <w:rPr>
                <w:sz w:val="24"/>
                <w:szCs w:val="24"/>
                <w:color w:val="auto"/>
              </w:rPr>
            </w:pPr>
          </w:p>
        </w:tc>
        <w:tc>
          <w:tcPr>
            <w:tcW w:w="480" w:type="dxa"/>
            <w:vAlign w:val="bottom"/>
          </w:tcPr>
          <w:p>
            <w:pPr>
              <w:jc w:val="right"/>
              <w:ind w:right="308"/>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(182)</w:t>
            </w:r>
          </w:p>
        </w:tc>
        <w:tc>
          <w:tcPr>
            <w:tcW w:w="100" w:type="dxa"/>
            <w:vAlign w:val="bottom"/>
          </w:tcPr>
          <w:p>
            <w:pPr>
              <w:spacing w:after="0"/>
              <w:rPr>
                <w:sz w:val="24"/>
                <w:szCs w:val="24"/>
                <w:color w:val="auto"/>
              </w:rPr>
            </w:pPr>
          </w:p>
        </w:tc>
        <w:tc>
          <w:tcPr>
            <w:tcW w:w="440" w:type="dxa"/>
            <w:vAlign w:val="bottom"/>
          </w:tcPr>
          <w:p>
            <w:pPr>
              <w:jc w:val="right"/>
              <w:ind w:right="268"/>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(4,090)</w:t>
            </w:r>
          </w:p>
        </w:tc>
        <w:tc>
          <w:tcPr>
            <w:tcW w:w="120" w:type="dxa"/>
            <w:vAlign w:val="bottom"/>
          </w:tcPr>
          <w:p>
            <w:pPr>
              <w:spacing w:after="0"/>
              <w:rPr>
                <w:sz w:val="24"/>
                <w:szCs w:val="24"/>
                <w:color w:val="auto"/>
              </w:rPr>
            </w:pPr>
          </w:p>
        </w:tc>
        <w:tc>
          <w:tcPr>
            <w:tcW w:w="480" w:type="dxa"/>
            <w:vAlign w:val="bottom"/>
          </w:tcPr>
          <w:p>
            <w:pPr>
              <w:jc w:val="right"/>
              <w:ind w:right="308"/>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142</w:t>
            </w:r>
          </w:p>
        </w:tc>
      </w:tr>
      <w:tr>
        <w:trPr>
          <w:trHeight w:val="351"/>
        </w:trPr>
        <w:tc>
          <w:tcPr>
            <w:tcW w:w="540" w:type="dxa"/>
            <w:vAlign w:val="bottom"/>
          </w:tcPr>
          <w:p>
            <w:pPr>
              <w:spacing w:after="0"/>
              <w:rPr>
                <w:sz w:val="24"/>
                <w:szCs w:val="24"/>
                <w:color w:val="auto"/>
              </w:rPr>
            </w:pPr>
          </w:p>
        </w:tc>
        <w:tc>
          <w:tcPr>
            <w:tcW w:w="760" w:type="dxa"/>
            <w:vAlign w:val="bottom"/>
          </w:tcPr>
          <w:p>
            <w:pPr>
              <w:jc w:val="right"/>
              <w:ind w:right="68"/>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48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(113)</w:t>
            </w: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511</w:t>
            </w: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351"/>
        </w:trPr>
        <w:tc>
          <w:tcPr>
            <w:tcW w:w="540" w:type="dxa"/>
            <w:vAlign w:val="bottom"/>
          </w:tcPr>
          <w:p>
            <w:pPr>
              <w:spacing w:after="0"/>
              <w:rPr>
                <w:sz w:val="24"/>
                <w:szCs w:val="24"/>
                <w:color w:val="auto"/>
              </w:rPr>
            </w:pPr>
          </w:p>
        </w:tc>
        <w:tc>
          <w:tcPr>
            <w:tcW w:w="760" w:type="dxa"/>
            <w:vAlign w:val="bottom"/>
          </w:tcPr>
          <w:p>
            <w:pPr>
              <w:jc w:val="right"/>
              <w:ind w:right="68"/>
              <w:spacing w:after="0"/>
              <w:rPr>
                <w:sz w:val="20"/>
                <w:szCs w:val="20"/>
                <w:color w:val="auto"/>
              </w:rPr>
            </w:pPr>
            <w:r>
              <w:rPr>
                <w:rFonts w:ascii="Arial" w:cs="Arial" w:eastAsia="Arial" w:hAnsi="Arial"/>
                <w:sz w:val="14"/>
                <w:szCs w:val="14"/>
                <w:color w:val="auto"/>
              </w:rPr>
              <w:t>3</w:t>
            </w: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480" w:type="dxa"/>
            <w:vAlign w:val="bottom"/>
          </w:tcPr>
          <w:p>
            <w:pPr>
              <w:spacing w:after="0"/>
              <w:rPr>
                <w:sz w:val="24"/>
                <w:szCs w:val="24"/>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480" w:type="dxa"/>
            <w:vAlign w:val="bottom"/>
          </w:tcPr>
          <w:p>
            <w:pPr>
              <w:spacing w:after="0"/>
              <w:rPr>
                <w:sz w:val="24"/>
                <w:szCs w:val="24"/>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0"/>
        </w:trPr>
        <w:tc>
          <w:tcPr>
            <w:tcW w:w="540" w:type="dxa"/>
            <w:vAlign w:val="bottom"/>
          </w:tcPr>
          <w:p>
            <w:pPr>
              <w:spacing w:after="0"/>
              <w:rPr>
                <w:sz w:val="23"/>
                <w:szCs w:val="23"/>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480" w:type="dxa"/>
            <w:vAlign w:val="bottom"/>
          </w:tcPr>
          <w:p>
            <w:pPr>
              <w:spacing w:after="0"/>
              <w:rPr>
                <w:sz w:val="23"/>
                <w:szCs w:val="23"/>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442</w:t>
            </w:r>
          </w:p>
        </w:tc>
        <w:tc>
          <w:tcPr>
            <w:tcW w:w="1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23"/>
                <w:szCs w:val="23"/>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480" w:type="dxa"/>
            <w:vAlign w:val="bottom"/>
          </w:tcPr>
          <w:p>
            <w:pPr>
              <w:spacing w:after="0"/>
              <w:rPr>
                <w:sz w:val="23"/>
                <w:szCs w:val="23"/>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0"/>
        </w:trPr>
        <w:tc>
          <w:tcPr>
            <w:tcW w:w="540" w:type="dxa"/>
            <w:vAlign w:val="bottom"/>
          </w:tcPr>
          <w:p>
            <w:pPr>
              <w:spacing w:after="0"/>
              <w:rPr>
                <w:sz w:val="23"/>
                <w:szCs w:val="23"/>
                <w:color w:val="auto"/>
              </w:rPr>
            </w:pP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(9)</w:t>
            </w:r>
          </w:p>
        </w:tc>
        <w:tc>
          <w:tcPr>
            <w:tcW w:w="1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480" w:type="dxa"/>
            <w:vAlign w:val="bottom"/>
          </w:tcPr>
          <w:p>
            <w:pPr>
              <w:spacing w:after="0"/>
              <w:rPr>
                <w:sz w:val="23"/>
                <w:szCs w:val="23"/>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23"/>
                <w:szCs w:val="23"/>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48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(129)</w:t>
            </w:r>
          </w:p>
        </w:tc>
      </w:tr>
      <w:tr>
        <w:trPr>
          <w:trHeight w:val="270"/>
        </w:trPr>
        <w:tc>
          <w:tcPr>
            <w:tcW w:w="540" w:type="dxa"/>
            <w:vAlign w:val="bottom"/>
          </w:tcPr>
          <w:p>
            <w:pPr>
              <w:spacing w:after="0"/>
              <w:rPr>
                <w:sz w:val="23"/>
                <w:szCs w:val="23"/>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480" w:type="dxa"/>
            <w:vAlign w:val="bottom"/>
          </w:tcPr>
          <w:p>
            <w:pPr>
              <w:spacing w:after="0"/>
              <w:rPr>
                <w:sz w:val="23"/>
                <w:szCs w:val="23"/>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480" w:type="dxa"/>
            <w:vAlign w:val="bottom"/>
          </w:tcPr>
          <w:p>
            <w:pPr>
              <w:spacing w:after="0"/>
              <w:rPr>
                <w:sz w:val="23"/>
                <w:szCs w:val="23"/>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23"/>
                <w:szCs w:val="23"/>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480" w:type="dxa"/>
            <w:vAlign w:val="bottom"/>
          </w:tcPr>
          <w:p>
            <w:pPr>
              <w:spacing w:after="0"/>
              <w:rPr>
                <w:sz w:val="23"/>
                <w:szCs w:val="23"/>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0"/>
        </w:trPr>
        <w:tc>
          <w:tcPr>
            <w:tcW w:w="540" w:type="dxa"/>
            <w:vAlign w:val="bottom"/>
          </w:tcPr>
          <w:p>
            <w:pPr>
              <w:spacing w:after="0"/>
              <w:rPr>
                <w:sz w:val="23"/>
                <w:szCs w:val="23"/>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480" w:type="dxa"/>
            <w:vAlign w:val="bottom"/>
          </w:tcPr>
          <w:p>
            <w:pPr>
              <w:spacing w:after="0"/>
              <w:rPr>
                <w:sz w:val="23"/>
                <w:szCs w:val="23"/>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48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(12)</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(154)</w:t>
            </w:r>
          </w:p>
        </w:tc>
        <w:tc>
          <w:tcPr>
            <w:tcW w:w="1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0"/>
        </w:trPr>
        <w:tc>
          <w:tcPr>
            <w:tcW w:w="540" w:type="dxa"/>
            <w:vAlign w:val="bottom"/>
          </w:tcPr>
          <w:p>
            <w:pPr>
              <w:spacing w:after="0"/>
              <w:rPr>
                <w:sz w:val="23"/>
                <w:szCs w:val="23"/>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480" w:type="dxa"/>
            <w:vAlign w:val="bottom"/>
          </w:tcPr>
          <w:p>
            <w:pPr>
              <w:spacing w:after="0"/>
              <w:rPr>
                <w:sz w:val="23"/>
                <w:szCs w:val="23"/>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480" w:type="dxa"/>
            <w:vAlign w:val="bottom"/>
          </w:tcPr>
          <w:p>
            <w:pPr>
              <w:spacing w:after="0"/>
              <w:rPr>
                <w:sz w:val="23"/>
                <w:szCs w:val="23"/>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23"/>
                <w:szCs w:val="23"/>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480" w:type="dxa"/>
            <w:vAlign w:val="bottom"/>
          </w:tcPr>
          <w:p>
            <w:pPr>
              <w:spacing w:after="0"/>
              <w:rPr>
                <w:sz w:val="23"/>
                <w:szCs w:val="23"/>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6"/>
        </w:trPr>
        <w:tc>
          <w:tcPr>
            <w:tcW w:w="540" w:type="dxa"/>
            <w:vAlign w:val="bottom"/>
          </w:tcPr>
          <w:p>
            <w:pPr>
              <w:spacing w:after="0"/>
              <w:rPr>
                <w:sz w:val="24"/>
                <w:szCs w:val="24"/>
                <w:color w:val="auto"/>
              </w:rPr>
            </w:pP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(111)</w:t>
            </w: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24"/>
                <w:szCs w:val="24"/>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48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(3)</w:t>
            </w:r>
          </w:p>
        </w:tc>
      </w:tr>
      <w:tr>
        <w:trPr>
          <w:trHeight w:val="237"/>
        </w:trPr>
        <w:tc>
          <w:tcPr>
            <w:tcW w:w="540" w:type="dxa"/>
            <w:vAlign w:val="bottom"/>
            <w:tcBorders>
              <w:top w:val="single" w:sz="8" w:color="auto"/>
              <w:bottom w:val="single" w:sz="8" w:color="auto"/>
            </w:tcBorders>
          </w:tcPr>
          <w:p>
            <w:pPr>
              <w:jc w:val="right"/>
              <w:ind w:right="368"/>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166</w:t>
            </w:r>
          </w:p>
        </w:tc>
        <w:tc>
          <w:tcPr>
            <w:tcW w:w="120" w:type="dxa"/>
            <w:vAlign w:val="bottom"/>
          </w:tcPr>
          <w:p>
            <w:pPr>
              <w:spacing w:after="0"/>
              <w:rPr>
                <w:sz w:val="20"/>
                <w:szCs w:val="20"/>
                <w:color w:val="auto"/>
              </w:rPr>
            </w:pPr>
          </w:p>
        </w:tc>
        <w:tc>
          <w:tcPr>
            <w:tcW w:w="480" w:type="dxa"/>
            <w:vAlign w:val="bottom"/>
            <w:tcBorders>
              <w:top w:val="single" w:sz="8" w:color="auto"/>
              <w:bottom w:val="single" w:sz="8" w:color="auto"/>
            </w:tcBorders>
          </w:tcPr>
          <w:p>
            <w:pPr>
              <w:jc w:val="right"/>
              <w:ind w:right="308"/>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442</w:t>
            </w:r>
          </w:p>
        </w:tc>
        <w:tc>
          <w:tcPr>
            <w:tcW w:w="120" w:type="dxa"/>
            <w:vAlign w:val="bottom"/>
          </w:tcPr>
          <w:p>
            <w:pPr>
              <w:spacing w:after="0"/>
              <w:rPr>
                <w:sz w:val="20"/>
                <w:szCs w:val="20"/>
                <w:color w:val="auto"/>
              </w:rPr>
            </w:pPr>
          </w:p>
        </w:tc>
        <w:tc>
          <w:tcPr>
            <w:tcW w:w="480" w:type="dxa"/>
            <w:vAlign w:val="bottom"/>
            <w:tcBorders>
              <w:top w:val="single" w:sz="8" w:color="auto"/>
              <w:bottom w:val="single" w:sz="8" w:color="auto"/>
            </w:tcBorders>
          </w:tcPr>
          <w:p>
            <w:pPr>
              <w:jc w:val="right"/>
              <w:ind w:right="308"/>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(306)</w:t>
            </w:r>
          </w:p>
        </w:tc>
        <w:tc>
          <w:tcPr>
            <w:tcW w:w="100" w:type="dxa"/>
            <w:vAlign w:val="bottom"/>
          </w:tcPr>
          <w:p>
            <w:pPr>
              <w:spacing w:after="0"/>
              <w:rPr>
                <w:sz w:val="20"/>
                <w:szCs w:val="20"/>
                <w:color w:val="auto"/>
              </w:rPr>
            </w:pPr>
          </w:p>
        </w:tc>
        <w:tc>
          <w:tcPr>
            <w:tcW w:w="440" w:type="dxa"/>
            <w:vAlign w:val="bottom"/>
            <w:tcBorders>
              <w:top w:val="single" w:sz="8" w:color="auto"/>
              <w:bottom w:val="single" w:sz="8" w:color="auto"/>
            </w:tcBorders>
          </w:tcPr>
          <w:p>
            <w:pPr>
              <w:jc w:val="right"/>
              <w:ind w:right="268"/>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(3,733)</w:t>
            </w:r>
          </w:p>
        </w:tc>
        <w:tc>
          <w:tcPr>
            <w:tcW w:w="120" w:type="dxa"/>
            <w:vAlign w:val="bottom"/>
          </w:tcPr>
          <w:p>
            <w:pPr>
              <w:spacing w:after="0"/>
              <w:rPr>
                <w:sz w:val="20"/>
                <w:szCs w:val="20"/>
                <w:color w:val="auto"/>
              </w:rPr>
            </w:pPr>
          </w:p>
        </w:tc>
        <w:tc>
          <w:tcPr>
            <w:tcW w:w="480" w:type="dxa"/>
            <w:vAlign w:val="bottom"/>
            <w:tcBorders>
              <w:top w:val="single" w:sz="8" w:color="auto"/>
              <w:bottom w:val="single" w:sz="8" w:color="auto"/>
            </w:tcBorders>
          </w:tcPr>
          <w:p>
            <w:pPr>
              <w:jc w:val="right"/>
              <w:ind w:right="308"/>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10</w:t>
            </w:r>
          </w:p>
        </w:tc>
      </w:tr>
      <w:tr>
        <w:trPr>
          <w:trHeight w:val="20"/>
        </w:trPr>
        <w:tc>
          <w:tcPr>
            <w:tcW w:w="5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r>
        <w:trPr>
          <w:trHeight w:val="440"/>
        </w:trPr>
        <w:tc>
          <w:tcPr>
            <w:tcW w:w="54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48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48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w:t>
            </w:r>
          </w:p>
        </w:tc>
        <w:tc>
          <w:tcPr>
            <w:tcW w:w="100" w:type="dxa"/>
            <w:vAlign w:val="bottom"/>
          </w:tcPr>
          <w:p>
            <w:pPr>
              <w:spacing w:after="0"/>
              <w:rPr>
                <w:sz w:val="24"/>
                <w:szCs w:val="24"/>
                <w:color w:val="auto"/>
              </w:rPr>
            </w:pPr>
          </w:p>
        </w:tc>
        <w:tc>
          <w:tcPr>
            <w:tcW w:w="44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330</w:t>
            </w:r>
          </w:p>
        </w:tc>
        <w:tc>
          <w:tcPr>
            <w:tcW w:w="120" w:type="dxa"/>
            <w:vAlign w:val="bottom"/>
          </w:tcPr>
          <w:p>
            <w:pPr>
              <w:spacing w:after="0"/>
              <w:rPr>
                <w:sz w:val="24"/>
                <w:szCs w:val="24"/>
                <w:color w:val="auto"/>
              </w:rPr>
            </w:pPr>
          </w:p>
        </w:tc>
        <w:tc>
          <w:tcPr>
            <w:tcW w:w="48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r>
      <w:tr>
        <w:trPr>
          <w:trHeight w:val="20"/>
        </w:trPr>
        <w:tc>
          <w:tcPr>
            <w:tcW w:w="5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r>
        <w:trPr>
          <w:trHeight w:val="440"/>
        </w:trPr>
        <w:tc>
          <w:tcPr>
            <w:tcW w:w="540" w:type="dxa"/>
            <w:vAlign w:val="bottom"/>
          </w:tcPr>
          <w:p>
            <w:pPr>
              <w:jc w:val="right"/>
              <w:ind w:right="368"/>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480" w:type="dxa"/>
            <w:vAlign w:val="bottom"/>
          </w:tcPr>
          <w:p>
            <w:pPr>
              <w:jc w:val="right"/>
              <w:ind w:right="308"/>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480" w:type="dxa"/>
            <w:vAlign w:val="bottom"/>
          </w:tcPr>
          <w:p>
            <w:pPr>
              <w:jc w:val="right"/>
              <w:ind w:right="308"/>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(110)</w:t>
            </w:r>
          </w:p>
        </w:tc>
        <w:tc>
          <w:tcPr>
            <w:tcW w:w="100" w:type="dxa"/>
            <w:vAlign w:val="bottom"/>
          </w:tcPr>
          <w:p>
            <w:pPr>
              <w:spacing w:after="0"/>
              <w:rPr>
                <w:sz w:val="24"/>
                <w:szCs w:val="24"/>
                <w:color w:val="auto"/>
              </w:rPr>
            </w:pPr>
          </w:p>
        </w:tc>
        <w:tc>
          <w:tcPr>
            <w:tcW w:w="440" w:type="dxa"/>
            <w:vAlign w:val="bottom"/>
          </w:tcPr>
          <w:p>
            <w:pPr>
              <w:jc w:val="right"/>
              <w:ind w:right="268"/>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484</w:t>
            </w:r>
          </w:p>
        </w:tc>
        <w:tc>
          <w:tcPr>
            <w:tcW w:w="120" w:type="dxa"/>
            <w:vAlign w:val="bottom"/>
          </w:tcPr>
          <w:p>
            <w:pPr>
              <w:spacing w:after="0"/>
              <w:rPr>
                <w:sz w:val="24"/>
                <w:szCs w:val="24"/>
                <w:color w:val="auto"/>
              </w:rPr>
            </w:pPr>
          </w:p>
        </w:tc>
        <w:tc>
          <w:tcPr>
            <w:tcW w:w="480" w:type="dxa"/>
            <w:vAlign w:val="bottom"/>
          </w:tcPr>
          <w:p>
            <w:pPr>
              <w:jc w:val="right"/>
              <w:ind w:right="308"/>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0"/>
        </w:trPr>
        <w:tc>
          <w:tcPr>
            <w:tcW w:w="5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-2978785</wp:posOffset>
            </wp:positionH>
            <wp:positionV relativeFrom="paragraph">
              <wp:posOffset>-4304665</wp:posOffset>
            </wp:positionV>
            <wp:extent cx="7246620" cy="22288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222885"/>
                    </a:xfrm>
                    <a:prstGeom prst="rect">
                      <a:avLst/>
                    </a:prstGeom>
                    <a:noFill/>
                  </pic:spPr>
                </pic:pic>
              </a:graphicData>
            </a:graphic>
          </wp:anchor>
        </w:drawing>
        <w:drawing>
          <wp:anchor simplePos="0" relativeHeight="251657728" behindDoc="1" locked="0" layoutInCell="0" allowOverlap="1">
            <wp:simplePos x="0" y="0"/>
            <wp:positionH relativeFrom="column">
              <wp:posOffset>-2978785</wp:posOffset>
            </wp:positionH>
            <wp:positionV relativeFrom="paragraph">
              <wp:posOffset>-3858260</wp:posOffset>
            </wp:positionV>
            <wp:extent cx="7246620" cy="17145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-2978785</wp:posOffset>
            </wp:positionH>
            <wp:positionV relativeFrom="paragraph">
              <wp:posOffset>-3515360</wp:posOffset>
            </wp:positionV>
            <wp:extent cx="7246620" cy="17145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-2978785</wp:posOffset>
            </wp:positionH>
            <wp:positionV relativeFrom="paragraph">
              <wp:posOffset>-3172460</wp:posOffset>
            </wp:positionV>
            <wp:extent cx="7246620" cy="17145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-2978785</wp:posOffset>
            </wp:positionH>
            <wp:positionV relativeFrom="paragraph">
              <wp:posOffset>-2829560</wp:posOffset>
            </wp:positionV>
            <wp:extent cx="7246620" cy="17145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-2978785</wp:posOffset>
            </wp:positionH>
            <wp:positionV relativeFrom="paragraph">
              <wp:posOffset>-2469515</wp:posOffset>
            </wp:positionV>
            <wp:extent cx="7246620" cy="17145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-2978785</wp:posOffset>
            </wp:positionH>
            <wp:positionV relativeFrom="paragraph">
              <wp:posOffset>-2074545</wp:posOffset>
            </wp:positionV>
            <wp:extent cx="7246620" cy="22288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222885"/>
                    </a:xfrm>
                    <a:prstGeom prst="rect">
                      <a:avLst/>
                    </a:prstGeom>
                    <a:noFill/>
                  </pic:spPr>
                </pic:pic>
              </a:graphicData>
            </a:graphic>
          </wp:anchor>
        </w:drawing>
        <w:drawing>
          <wp:anchor simplePos="0" relativeHeight="251657728" behindDoc="1" locked="0" layoutInCell="0" allowOverlap="1">
            <wp:simplePos x="0" y="0"/>
            <wp:positionH relativeFrom="column">
              <wp:posOffset>-2978785</wp:posOffset>
            </wp:positionH>
            <wp:positionV relativeFrom="paragraph">
              <wp:posOffset>-1680210</wp:posOffset>
            </wp:positionV>
            <wp:extent cx="7246620" cy="17145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-2978785</wp:posOffset>
            </wp:positionH>
            <wp:positionV relativeFrom="paragraph">
              <wp:posOffset>-1337310</wp:posOffset>
            </wp:positionV>
            <wp:extent cx="7246620" cy="17145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-2978785</wp:posOffset>
            </wp:positionH>
            <wp:positionV relativeFrom="paragraph">
              <wp:posOffset>-994410</wp:posOffset>
            </wp:positionV>
            <wp:extent cx="7246620" cy="17145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-2978785</wp:posOffset>
            </wp:positionH>
            <wp:positionV relativeFrom="paragraph">
              <wp:posOffset>-650875</wp:posOffset>
            </wp:positionV>
            <wp:extent cx="7246620" cy="3175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46620" cy="31750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980" w:space="720"/>
            <w:col w:w="6720"/>
          </w:cols>
          <w:pgMar w:left="240" w:top="288" w:right="239" w:bottom="1440" w:gutter="0" w:footer="0" w:header="0"/>
          <w:type w:val="continuous"/>
        </w:sectPr>
      </w:pPr>
    </w:p>
    <w:p>
      <w:pPr>
        <w:spacing w:after="0" w:line="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54</w:t>
      </w:r>
    </w:p>
    <w:p>
      <w:pPr>
        <w:sectPr>
          <w:pgSz w:w="11900" w:h="16838" w:orient="portrait"/>
          <w:cols w:equalWidth="0" w:num="1">
            <w:col w:w="11420"/>
          </w:cols>
          <w:pgMar w:left="240" w:top="288" w:right="239" w:bottom="1440" w:gutter="0" w:footer="0" w:header="0"/>
          <w:type w:val="continuous"/>
        </w:sectPr>
      </w:pPr>
    </w:p>
    <w:bookmarkStart w:id="56" w:name="page57"/>
    <w:bookmarkEnd w:id="56"/>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109" w:lineRule="exact"/>
        <w:rPr>
          <w:sz w:val="20"/>
          <w:szCs w:val="20"/>
          <w:color w:val="auto"/>
        </w:rPr>
      </w:pPr>
    </w:p>
    <w:p>
      <w:pPr>
        <w:ind w:left="4660"/>
        <w:spacing w:after="0"/>
        <w:rPr>
          <w:sz w:val="20"/>
          <w:szCs w:val="20"/>
          <w:color w:val="auto"/>
        </w:rPr>
      </w:pPr>
      <w:r>
        <w:rPr>
          <w:rFonts w:ascii="Arial" w:cs="Arial" w:eastAsia="Arial" w:hAnsi="Arial"/>
          <w:sz w:val="18"/>
          <w:szCs w:val="18"/>
          <w:b w:val="1"/>
          <w:bCs w:val="1"/>
          <w:color w:val="auto"/>
        </w:rPr>
        <w:t>Brighthouse Financial, Inc.</w:t>
      </w:r>
    </w:p>
    <w:p>
      <w:pPr>
        <w:spacing w:after="0" w:line="117" w:lineRule="exact"/>
        <w:rPr>
          <w:sz w:val="20"/>
          <w:szCs w:val="20"/>
          <w:color w:val="auto"/>
        </w:rPr>
      </w:pPr>
    </w:p>
    <w:p>
      <w:pPr>
        <w:jc w:val="right"/>
        <w:ind w:right="1480"/>
        <w:spacing w:after="0"/>
        <w:rPr>
          <w:sz w:val="20"/>
          <w:szCs w:val="20"/>
          <w:color w:val="auto"/>
        </w:rPr>
      </w:pPr>
      <w:r>
        <w:rPr>
          <w:rFonts w:ascii="Arial" w:cs="Arial" w:eastAsia="Arial" w:hAnsi="Arial"/>
          <w:sz w:val="18"/>
          <w:szCs w:val="18"/>
          <w:b w:val="1"/>
          <w:bCs w:val="1"/>
          <w:color w:val="auto"/>
        </w:rPr>
        <w:t>Notes to the Interim Condensed Consolidated and Combined Financial Statements (Unaudited) — (continued)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Fair Value (continued)</w:t>
      </w:r>
    </w:p>
    <w:p>
      <w:pPr>
        <w:sectPr>
          <w:pgSz w:w="11900" w:h="16838" w:orient="portrait"/>
          <w:cols w:equalWidth="0" w:num="1">
            <w:col w:w="11420"/>
          </w:cols>
          <w:pgMar w:left="240" w:top="288"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40" w:right="1480"/>
        <w:spacing w:after="0" w:line="355" w:lineRule="auto"/>
        <w:rPr>
          <w:sz w:val="20"/>
          <w:szCs w:val="20"/>
          <w:color w:val="auto"/>
        </w:rPr>
      </w:pPr>
      <w:r>
        <w:rPr>
          <w:rFonts w:ascii="Arial" w:cs="Arial" w:eastAsia="Arial" w:hAnsi="Arial"/>
          <w:sz w:val="14"/>
          <w:szCs w:val="14"/>
          <w:b w:val="1"/>
          <w:bCs w:val="1"/>
          <w:color w:val="auto"/>
        </w:rPr>
        <w:t xml:space="preserve">Nine Months Ended September 30, 2017 </w:t>
      </w:r>
      <w:r>
        <w:rPr>
          <w:rFonts w:ascii="Arial" w:cs="Arial" w:eastAsia="Arial" w:hAnsi="Arial"/>
          <w:sz w:val="14"/>
          <w:szCs w:val="14"/>
          <w:color w:val="auto"/>
        </w:rPr>
        <w:t>Balance, beginning of period</w:t>
      </w:r>
    </w:p>
    <w:p>
      <w:pPr>
        <w:jc w:val="right"/>
        <w:ind w:right="1700"/>
        <w:spacing w:after="0"/>
        <w:rPr>
          <w:sz w:val="20"/>
          <w:szCs w:val="20"/>
          <w:color w:val="auto"/>
        </w:rPr>
      </w:pPr>
      <w:r>
        <w:rPr>
          <w:rFonts w:ascii="Arial" w:cs="Arial" w:eastAsia="Arial" w:hAnsi="Arial"/>
          <w:sz w:val="12"/>
          <w:szCs w:val="12"/>
          <w:color w:val="auto"/>
        </w:rPr>
        <w:t>Total realized/unrealized gains (losses)</w:t>
      </w:r>
    </w:p>
    <w:p>
      <w:pPr>
        <w:spacing w:after="0" w:line="23" w:lineRule="exact"/>
        <w:rPr>
          <w:sz w:val="20"/>
          <w:szCs w:val="20"/>
          <w:color w:val="auto"/>
        </w:rPr>
      </w:pPr>
    </w:p>
    <w:p>
      <w:pPr>
        <w:jc w:val="right"/>
        <w:ind w:right="1700"/>
        <w:spacing w:after="0"/>
        <w:rPr>
          <w:sz w:val="20"/>
          <w:szCs w:val="20"/>
          <w:color w:val="auto"/>
        </w:rPr>
      </w:pPr>
      <w:r>
        <w:rPr>
          <w:rFonts w:ascii="Arial" w:cs="Arial" w:eastAsia="Arial" w:hAnsi="Arial"/>
          <w:sz w:val="14"/>
          <w:szCs w:val="14"/>
          <w:color w:val="auto"/>
        </w:rPr>
        <w:t>included in net income (loss) (5) (6)</w:t>
      </w:r>
    </w:p>
    <w:p>
      <w:pPr>
        <w:spacing w:after="0" w:line="29" w:lineRule="exact"/>
        <w:rPr>
          <w:sz w:val="20"/>
          <w:szCs w:val="20"/>
          <w:color w:val="auto"/>
        </w:rPr>
      </w:pPr>
    </w:p>
    <w:p>
      <w:pPr>
        <w:ind w:left="40"/>
        <w:spacing w:after="0"/>
        <w:rPr>
          <w:sz w:val="20"/>
          <w:szCs w:val="20"/>
          <w:color w:val="auto"/>
        </w:rPr>
      </w:pPr>
      <w:r>
        <w:rPr>
          <w:rFonts w:ascii="Arial" w:cs="Arial" w:eastAsia="Arial" w:hAnsi="Arial"/>
          <w:sz w:val="14"/>
          <w:szCs w:val="14"/>
          <w:color w:val="auto"/>
        </w:rPr>
        <w:t>Total realized/unrealized gains (losses)</w:t>
      </w:r>
    </w:p>
    <w:p>
      <w:pPr>
        <w:ind w:left="200"/>
        <w:spacing w:after="0"/>
        <w:rPr>
          <w:sz w:val="20"/>
          <w:szCs w:val="20"/>
          <w:color w:val="auto"/>
        </w:rPr>
      </w:pPr>
      <w:r>
        <w:rPr>
          <w:rFonts w:ascii="Arial" w:cs="Arial" w:eastAsia="Arial" w:hAnsi="Arial"/>
          <w:sz w:val="14"/>
          <w:szCs w:val="14"/>
          <w:color w:val="auto"/>
        </w:rPr>
        <w:t>included in AOCI</w:t>
      </w:r>
    </w:p>
    <w:p>
      <w:pPr>
        <w:spacing w:after="0" w:line="30" w:lineRule="exact"/>
        <w:rPr>
          <w:sz w:val="20"/>
          <w:szCs w:val="20"/>
          <w:color w:val="auto"/>
        </w:rPr>
      </w:pPr>
    </w:p>
    <w:p>
      <w:pPr>
        <w:ind w:left="40"/>
        <w:spacing w:after="0"/>
        <w:rPr>
          <w:sz w:val="20"/>
          <w:szCs w:val="20"/>
          <w:color w:val="auto"/>
        </w:rPr>
      </w:pPr>
      <w:r>
        <w:rPr>
          <w:rFonts w:ascii="Arial" w:cs="Arial" w:eastAsia="Arial" w:hAnsi="Arial"/>
          <w:sz w:val="14"/>
          <w:szCs w:val="14"/>
          <w:color w:val="auto"/>
        </w:rPr>
        <w:t>Purchases (7)</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Sales (7)</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Issuances (7)</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Settlements (7)</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Transfers into Level 3 (8)</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Transfers out of Level 3 (8)</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Balance, end of period</w:t>
      </w:r>
    </w:p>
    <w:p>
      <w:pPr>
        <w:spacing w:after="0" w:line="200" w:lineRule="exact"/>
        <w:rPr>
          <w:sz w:val="20"/>
          <w:szCs w:val="20"/>
          <w:color w:val="auto"/>
        </w:rPr>
      </w:pPr>
    </w:p>
    <w:p>
      <w:pPr>
        <w:ind w:left="40" w:right="1480"/>
        <w:spacing w:after="0" w:line="339" w:lineRule="auto"/>
        <w:rPr>
          <w:sz w:val="20"/>
          <w:szCs w:val="20"/>
          <w:color w:val="auto"/>
        </w:rPr>
      </w:pPr>
      <w:r>
        <w:rPr>
          <w:rFonts w:ascii="Arial" w:cs="Arial" w:eastAsia="Arial" w:hAnsi="Arial"/>
          <w:sz w:val="14"/>
          <w:szCs w:val="14"/>
          <w:b w:val="1"/>
          <w:bCs w:val="1"/>
          <w:color w:val="auto"/>
        </w:rPr>
        <w:t xml:space="preserve">Nine Months Ended September 30, 2016 </w:t>
      </w:r>
      <w:r>
        <w:rPr>
          <w:rFonts w:ascii="Arial" w:cs="Arial" w:eastAsia="Arial" w:hAnsi="Arial"/>
          <w:sz w:val="14"/>
          <w:szCs w:val="14"/>
          <w:color w:val="auto"/>
        </w:rPr>
        <w:t>Balance, beginning of period</w:t>
      </w:r>
    </w:p>
    <w:p>
      <w:pPr>
        <w:spacing w:after="0" w:line="22" w:lineRule="exact"/>
        <w:rPr>
          <w:sz w:val="20"/>
          <w:szCs w:val="20"/>
          <w:color w:val="auto"/>
        </w:rPr>
      </w:pPr>
    </w:p>
    <w:p>
      <w:pPr>
        <w:jc w:val="right"/>
        <w:ind w:right="1700"/>
        <w:spacing w:after="0"/>
        <w:rPr>
          <w:sz w:val="20"/>
          <w:szCs w:val="20"/>
          <w:color w:val="auto"/>
        </w:rPr>
      </w:pPr>
      <w:r>
        <w:rPr>
          <w:rFonts w:ascii="Arial" w:cs="Arial" w:eastAsia="Arial" w:hAnsi="Arial"/>
          <w:sz w:val="12"/>
          <w:szCs w:val="12"/>
          <w:color w:val="auto"/>
        </w:rPr>
        <w:t>Total realized/unrealized gains (losses)</w:t>
      </w:r>
    </w:p>
    <w:p>
      <w:pPr>
        <w:spacing w:after="0" w:line="23" w:lineRule="exact"/>
        <w:rPr>
          <w:sz w:val="20"/>
          <w:szCs w:val="20"/>
          <w:color w:val="auto"/>
        </w:rPr>
      </w:pPr>
    </w:p>
    <w:p>
      <w:pPr>
        <w:jc w:val="right"/>
        <w:ind w:right="1700"/>
        <w:spacing w:after="0"/>
        <w:rPr>
          <w:sz w:val="20"/>
          <w:szCs w:val="20"/>
          <w:color w:val="auto"/>
        </w:rPr>
      </w:pPr>
      <w:r>
        <w:rPr>
          <w:rFonts w:ascii="Arial" w:cs="Arial" w:eastAsia="Arial" w:hAnsi="Arial"/>
          <w:sz w:val="14"/>
          <w:szCs w:val="14"/>
          <w:color w:val="auto"/>
        </w:rPr>
        <w:t>included in net income (loss) (5) (6)</w:t>
      </w:r>
    </w:p>
    <w:p>
      <w:pPr>
        <w:spacing w:after="0" w:line="29" w:lineRule="exact"/>
        <w:rPr>
          <w:sz w:val="20"/>
          <w:szCs w:val="20"/>
          <w:color w:val="auto"/>
        </w:rPr>
      </w:pPr>
    </w:p>
    <w:p>
      <w:pPr>
        <w:ind w:left="40"/>
        <w:spacing w:after="0"/>
        <w:rPr>
          <w:sz w:val="20"/>
          <w:szCs w:val="20"/>
          <w:color w:val="auto"/>
        </w:rPr>
      </w:pPr>
      <w:r>
        <w:rPr>
          <w:rFonts w:ascii="Arial" w:cs="Arial" w:eastAsia="Arial" w:hAnsi="Arial"/>
          <w:sz w:val="14"/>
          <w:szCs w:val="14"/>
          <w:color w:val="auto"/>
        </w:rPr>
        <w:t>Total realized/unrealized gains (losses)</w:t>
      </w:r>
    </w:p>
    <w:p>
      <w:pPr>
        <w:ind w:left="200"/>
        <w:spacing w:after="0"/>
        <w:rPr>
          <w:sz w:val="20"/>
          <w:szCs w:val="20"/>
          <w:color w:val="auto"/>
        </w:rPr>
      </w:pPr>
      <w:r>
        <w:rPr>
          <w:rFonts w:ascii="Arial" w:cs="Arial" w:eastAsia="Arial" w:hAnsi="Arial"/>
          <w:sz w:val="14"/>
          <w:szCs w:val="14"/>
          <w:color w:val="auto"/>
        </w:rPr>
        <w:t>included in AOCI</w:t>
      </w:r>
    </w:p>
    <w:p>
      <w:pPr>
        <w:spacing w:after="0" w:line="30" w:lineRule="exact"/>
        <w:rPr>
          <w:sz w:val="20"/>
          <w:szCs w:val="20"/>
          <w:color w:val="auto"/>
        </w:rPr>
      </w:pPr>
    </w:p>
    <w:p>
      <w:pPr>
        <w:ind w:left="40"/>
        <w:spacing w:after="0"/>
        <w:rPr>
          <w:sz w:val="20"/>
          <w:szCs w:val="20"/>
          <w:color w:val="auto"/>
        </w:rPr>
      </w:pPr>
      <w:r>
        <w:rPr>
          <w:rFonts w:ascii="Arial" w:cs="Arial" w:eastAsia="Arial" w:hAnsi="Arial"/>
          <w:sz w:val="14"/>
          <w:szCs w:val="14"/>
          <w:color w:val="auto"/>
        </w:rPr>
        <w:t>Purchases (7)</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Sales (7)</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Issuances (7)</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Settlements (7)</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Transfers into Level 3 (8)</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Transfers out of Level 3 (8)</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Balance, end of period</w:t>
      </w:r>
    </w:p>
    <w:p>
      <w:pPr>
        <w:spacing w:after="0" w:line="109" w:lineRule="exact"/>
        <w:rPr>
          <w:sz w:val="20"/>
          <w:szCs w:val="20"/>
          <w:color w:val="auto"/>
        </w:rPr>
      </w:pPr>
    </w:p>
    <w:p>
      <w:pPr>
        <w:jc w:val="both"/>
        <w:ind w:left="200" w:right="1260" w:hanging="161"/>
        <w:spacing w:after="0" w:line="264" w:lineRule="auto"/>
        <w:rPr>
          <w:sz w:val="20"/>
          <w:szCs w:val="20"/>
          <w:color w:val="auto"/>
        </w:rPr>
      </w:pPr>
      <w:r>
        <w:rPr>
          <w:rFonts w:ascii="Arial" w:cs="Arial" w:eastAsia="Arial" w:hAnsi="Arial"/>
          <w:sz w:val="13"/>
          <w:szCs w:val="13"/>
          <w:color w:val="auto"/>
        </w:rPr>
        <w:t>Changes in unrealized gains (losses) included in net income (loss) for the instruments still held at September 30, 2017 (9)</w:t>
      </w:r>
    </w:p>
    <w:p>
      <w:pPr>
        <w:spacing w:after="0" w:line="6" w:lineRule="exact"/>
        <w:rPr>
          <w:sz w:val="20"/>
          <w:szCs w:val="20"/>
          <w:color w:val="auto"/>
        </w:rPr>
      </w:pPr>
    </w:p>
    <w:p>
      <w:pPr>
        <w:jc w:val="both"/>
        <w:ind w:left="200" w:right="1260" w:hanging="161"/>
        <w:spacing w:after="0" w:line="264" w:lineRule="auto"/>
        <w:rPr>
          <w:sz w:val="20"/>
          <w:szCs w:val="20"/>
          <w:color w:val="auto"/>
        </w:rPr>
      </w:pPr>
      <w:r>
        <w:rPr>
          <w:rFonts w:ascii="Arial" w:cs="Arial" w:eastAsia="Arial" w:hAnsi="Arial"/>
          <w:sz w:val="13"/>
          <w:szCs w:val="13"/>
          <w:color w:val="auto"/>
        </w:rPr>
        <w:t>Changes in unrealized gains (losses) included in net income (loss) for the instruments still held at September 30, 2016 (9)</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5" w:lineRule="exact"/>
        <w:rPr>
          <w:sz w:val="20"/>
          <w:szCs w:val="20"/>
          <w:color w:val="auto"/>
        </w:rPr>
      </w:pPr>
    </w:p>
    <w:p>
      <w:pPr>
        <w:jc w:val="center"/>
        <w:ind w:right="-39"/>
        <w:spacing w:after="0"/>
        <w:rPr>
          <w:sz w:val="20"/>
          <w:szCs w:val="20"/>
          <w:color w:val="auto"/>
        </w:rPr>
      </w:pPr>
      <w:r>
        <w:rPr>
          <w:rFonts w:ascii="Arial" w:cs="Arial" w:eastAsia="Arial" w:hAnsi="Arial"/>
          <w:sz w:val="13"/>
          <w:szCs w:val="13"/>
          <w:b w:val="1"/>
          <w:bCs w:val="1"/>
          <w:color w:val="auto"/>
        </w:rPr>
        <w:t>Fair Value Measurements Using Significant Unobservable Inputs (Level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426212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4262120" cy="8890"/>
                    </a:xfrm>
                    <a:prstGeom prst="rect">
                      <a:avLst/>
                    </a:prstGeom>
                    <a:noFill/>
                  </pic:spPr>
                </pic:pic>
              </a:graphicData>
            </a:graphic>
          </wp:anchor>
        </w:drawing>
      </w:r>
    </w:p>
    <w:p>
      <w:pPr>
        <w:spacing w:after="0" w:line="101" w:lineRule="exact"/>
        <w:rPr>
          <w:sz w:val="20"/>
          <w:szCs w:val="20"/>
          <w:color w:val="auto"/>
        </w:rPr>
      </w:pPr>
    </w:p>
    <w:p>
      <w:pPr>
        <w:jc w:val="center"/>
        <w:ind w:right="-39"/>
        <w:spacing w:after="0"/>
        <w:rPr>
          <w:sz w:val="20"/>
          <w:szCs w:val="20"/>
          <w:color w:val="auto"/>
        </w:rPr>
      </w:pPr>
      <w:r>
        <w:rPr>
          <w:rFonts w:ascii="Arial" w:cs="Arial" w:eastAsia="Arial" w:hAnsi="Arial"/>
          <w:sz w:val="13"/>
          <w:szCs w:val="13"/>
          <w:b w:val="1"/>
          <w:bCs w:val="1"/>
          <w:color w:val="auto"/>
        </w:rPr>
        <w:t>Fixed Maturity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426212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4262120" cy="8890"/>
                    </a:xfrm>
                    <a:prstGeom prst="rect">
                      <a:avLst/>
                    </a:prstGeom>
                    <a:noFill/>
                  </pic:spPr>
                </pic:pic>
              </a:graphicData>
            </a:graphic>
          </wp:anchor>
        </w:drawing>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60" w:type="dxa"/>
            <w:vAlign w:val="bottom"/>
            <w:gridSpan w:val="2"/>
          </w:tcPr>
          <w:p>
            <w:pPr>
              <w:jc w:val="center"/>
              <w:ind w:right="300"/>
              <w:spacing w:after="0"/>
              <w:rPr>
                <w:sz w:val="20"/>
                <w:szCs w:val="20"/>
                <w:color w:val="auto"/>
              </w:rPr>
            </w:pPr>
            <w:r>
              <w:rPr>
                <w:rFonts w:ascii="Arial" w:cs="Arial" w:eastAsia="Arial" w:hAnsi="Arial"/>
                <w:sz w:val="13"/>
                <w:szCs w:val="13"/>
                <w:b w:val="1"/>
                <w:bCs w:val="1"/>
                <w:color w:val="auto"/>
                <w:w w:val="85"/>
              </w:rPr>
              <w:t>State and</w:t>
            </w:r>
          </w:p>
        </w:tc>
        <w:tc>
          <w:tcPr>
            <w:tcW w:w="180" w:type="dxa"/>
            <w:vAlign w:val="bottom"/>
          </w:tcPr>
          <w:p>
            <w:pPr>
              <w:spacing w:after="0"/>
              <w:rPr>
                <w:sz w:val="13"/>
                <w:szCs w:val="13"/>
                <w:color w:val="auto"/>
              </w:rPr>
            </w:pPr>
          </w:p>
        </w:tc>
        <w:tc>
          <w:tcPr>
            <w:tcW w:w="1060" w:type="dxa"/>
            <w:vAlign w:val="bottom"/>
          </w:tcPr>
          <w:p>
            <w:pPr>
              <w:spacing w:after="0"/>
              <w:rPr>
                <w:sz w:val="13"/>
                <w:szCs w:val="13"/>
                <w:color w:val="auto"/>
              </w:rPr>
            </w:pPr>
          </w:p>
        </w:tc>
      </w:tr>
      <w:tr>
        <w:trPr>
          <w:trHeight w:val="135"/>
        </w:trPr>
        <w:tc>
          <w:tcPr>
            <w:tcW w:w="2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60" w:type="dxa"/>
            <w:vAlign w:val="bottom"/>
            <w:gridSpan w:val="3"/>
          </w:tcPr>
          <w:p>
            <w:pPr>
              <w:ind w:left="40"/>
              <w:spacing w:after="0" w:line="135" w:lineRule="exact"/>
              <w:rPr>
                <w:sz w:val="20"/>
                <w:szCs w:val="20"/>
                <w:color w:val="auto"/>
              </w:rPr>
            </w:pPr>
            <w:r>
              <w:rPr>
                <w:rFonts w:ascii="Arial" w:cs="Arial" w:eastAsia="Arial" w:hAnsi="Arial"/>
                <w:sz w:val="13"/>
                <w:szCs w:val="13"/>
                <w:b w:val="1"/>
                <w:bCs w:val="1"/>
                <w:color w:val="auto"/>
                <w:w w:val="98"/>
              </w:rPr>
              <w:t>U.S. Government and</w:t>
            </w:r>
          </w:p>
        </w:tc>
        <w:tc>
          <w:tcPr>
            <w:tcW w:w="1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60" w:type="dxa"/>
            <w:vAlign w:val="bottom"/>
            <w:gridSpan w:val="2"/>
          </w:tcPr>
          <w:p>
            <w:pPr>
              <w:jc w:val="center"/>
              <w:ind w:right="320"/>
              <w:spacing w:after="0" w:line="135" w:lineRule="exact"/>
              <w:rPr>
                <w:sz w:val="20"/>
                <w:szCs w:val="20"/>
                <w:color w:val="auto"/>
              </w:rPr>
            </w:pPr>
            <w:r>
              <w:rPr>
                <w:rFonts w:ascii="Arial" w:cs="Arial" w:eastAsia="Arial" w:hAnsi="Arial"/>
                <w:sz w:val="13"/>
                <w:szCs w:val="13"/>
                <w:b w:val="1"/>
                <w:bCs w:val="1"/>
                <w:color w:val="auto"/>
                <w:w w:val="88"/>
              </w:rPr>
              <w:t>Political</w:t>
            </w:r>
          </w:p>
        </w:tc>
        <w:tc>
          <w:tcPr>
            <w:tcW w:w="180" w:type="dxa"/>
            <w:vAlign w:val="bottom"/>
          </w:tcPr>
          <w:p>
            <w:pPr>
              <w:spacing w:after="0"/>
              <w:rPr>
                <w:sz w:val="11"/>
                <w:szCs w:val="11"/>
                <w:color w:val="auto"/>
              </w:rPr>
            </w:pPr>
          </w:p>
        </w:tc>
        <w:tc>
          <w:tcPr>
            <w:tcW w:w="1060" w:type="dxa"/>
            <w:vAlign w:val="bottom"/>
          </w:tcPr>
          <w:p>
            <w:pPr>
              <w:jc w:val="right"/>
              <w:ind w:right="349"/>
              <w:spacing w:after="0" w:line="135" w:lineRule="exact"/>
              <w:rPr>
                <w:sz w:val="20"/>
                <w:szCs w:val="20"/>
                <w:color w:val="auto"/>
              </w:rPr>
            </w:pPr>
            <w:r>
              <w:rPr>
                <w:rFonts w:ascii="Arial" w:cs="Arial" w:eastAsia="Arial" w:hAnsi="Arial"/>
                <w:sz w:val="13"/>
                <w:szCs w:val="13"/>
                <w:b w:val="1"/>
                <w:bCs w:val="1"/>
                <w:color w:val="auto"/>
              </w:rPr>
              <w:t>Foreign</w:t>
            </w:r>
          </w:p>
        </w:tc>
      </w:tr>
      <w:tr>
        <w:trPr>
          <w:trHeight w:val="174"/>
        </w:trPr>
        <w:tc>
          <w:tcPr>
            <w:tcW w:w="20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gridSpan w:val="2"/>
          </w:tcPr>
          <w:p>
            <w:pPr>
              <w:ind w:left="80"/>
              <w:spacing w:after="0"/>
              <w:rPr>
                <w:sz w:val="20"/>
                <w:szCs w:val="20"/>
                <w:color w:val="auto"/>
              </w:rPr>
            </w:pPr>
            <w:r>
              <w:rPr>
                <w:rFonts w:ascii="Arial" w:cs="Arial" w:eastAsia="Arial" w:hAnsi="Arial"/>
                <w:sz w:val="13"/>
                <w:szCs w:val="13"/>
                <w:b w:val="1"/>
                <w:bCs w:val="1"/>
                <w:color w:val="auto"/>
              </w:rPr>
              <w:t>Corporate (1)</w:t>
            </w:r>
          </w:p>
        </w:tc>
        <w:tc>
          <w:tcPr>
            <w:tcW w:w="26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gridSpan w:val="2"/>
          </w:tcPr>
          <w:p>
            <w:pPr>
              <w:ind w:left="160"/>
              <w:spacing w:after="0"/>
              <w:rPr>
                <w:sz w:val="20"/>
                <w:szCs w:val="20"/>
                <w:color w:val="auto"/>
              </w:rPr>
            </w:pPr>
            <w:r>
              <w:rPr>
                <w:rFonts w:ascii="Arial" w:cs="Arial" w:eastAsia="Arial" w:hAnsi="Arial"/>
                <w:sz w:val="13"/>
                <w:szCs w:val="13"/>
                <w:b w:val="1"/>
                <w:bCs w:val="1"/>
                <w:color w:val="auto"/>
              </w:rPr>
              <w:t>Agency</w:t>
            </w:r>
          </w:p>
        </w:tc>
        <w:tc>
          <w:tcPr>
            <w:tcW w:w="1340" w:type="dxa"/>
            <w:vAlign w:val="bottom"/>
            <w:tcBorders>
              <w:bottom w:val="single" w:sz="8" w:color="auto"/>
            </w:tcBorders>
            <w:gridSpan w:val="3"/>
          </w:tcPr>
          <w:p>
            <w:pPr>
              <w:ind w:left="40"/>
              <w:spacing w:after="0"/>
              <w:rPr>
                <w:sz w:val="20"/>
                <w:szCs w:val="20"/>
                <w:color w:val="auto"/>
              </w:rPr>
            </w:pPr>
            <w:r>
              <w:rPr>
                <w:rFonts w:ascii="Arial" w:cs="Arial" w:eastAsia="Arial" w:hAnsi="Arial"/>
                <w:sz w:val="13"/>
                <w:szCs w:val="13"/>
                <w:b w:val="1"/>
                <w:bCs w:val="1"/>
                <w:color w:val="auto"/>
                <w:w w:val="97"/>
              </w:rPr>
              <w:t>Structured Securities</w:t>
            </w:r>
          </w:p>
        </w:tc>
        <w:tc>
          <w:tcPr>
            <w:tcW w:w="20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3"/>
                <w:szCs w:val="13"/>
                <w:b w:val="1"/>
                <w:bCs w:val="1"/>
                <w:color w:val="auto"/>
                <w:w w:val="84"/>
              </w:rPr>
              <w:t>Subdivision</w:t>
            </w:r>
          </w:p>
        </w:tc>
        <w:tc>
          <w:tcPr>
            <w:tcW w:w="18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209"/>
              <w:spacing w:after="0"/>
              <w:rPr>
                <w:sz w:val="20"/>
                <w:szCs w:val="20"/>
                <w:color w:val="auto"/>
              </w:rPr>
            </w:pPr>
            <w:r>
              <w:rPr>
                <w:rFonts w:ascii="Arial" w:cs="Arial" w:eastAsia="Arial" w:hAnsi="Arial"/>
                <w:sz w:val="13"/>
                <w:szCs w:val="13"/>
                <w:b w:val="1"/>
                <w:bCs w:val="1"/>
                <w:color w:val="auto"/>
                <w:w w:val="99"/>
              </w:rPr>
              <w:t>Government</w:t>
            </w:r>
          </w:p>
        </w:tc>
      </w:tr>
      <w:tr>
        <w:trPr>
          <w:trHeight w:val="241"/>
        </w:trPr>
        <w:tc>
          <w:tcPr>
            <w:tcW w:w="2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gridSpan w:val="2"/>
          </w:tcPr>
          <w:p>
            <w:pPr>
              <w:ind w:left="80"/>
              <w:spacing w:after="0"/>
              <w:rPr>
                <w:sz w:val="20"/>
                <w:szCs w:val="20"/>
                <w:color w:val="auto"/>
              </w:rPr>
            </w:pPr>
            <w:r>
              <w:rPr>
                <w:rFonts w:ascii="Arial" w:cs="Arial" w:eastAsia="Arial" w:hAnsi="Arial"/>
                <w:sz w:val="13"/>
                <w:szCs w:val="13"/>
                <w:b w:val="1"/>
                <w:bCs w:val="1"/>
                <w:color w:val="auto"/>
              </w:rPr>
              <w:t>(In millions)</w:t>
            </w:r>
          </w:p>
        </w:tc>
        <w:tc>
          <w:tcPr>
            <w:tcW w:w="2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544"/>
        </w:trPr>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68"/>
              <w:spacing w:after="0"/>
              <w:rPr>
                <w:sz w:val="20"/>
                <w:szCs w:val="20"/>
                <w:color w:val="auto"/>
              </w:rPr>
            </w:pPr>
            <w:r>
              <w:rPr>
                <w:rFonts w:ascii="Arial" w:cs="Arial" w:eastAsia="Arial" w:hAnsi="Arial"/>
                <w:sz w:val="14"/>
                <w:szCs w:val="14"/>
                <w:color w:val="auto"/>
              </w:rPr>
              <w:t>2,391</w:t>
            </w:r>
          </w:p>
        </w:tc>
        <w:tc>
          <w:tcPr>
            <w:tcW w:w="120" w:type="dxa"/>
            <w:vAlign w:val="bottom"/>
          </w:tcPr>
          <w:p>
            <w:pPr>
              <w:spacing w:after="0"/>
              <w:rPr>
                <w:sz w:val="24"/>
                <w:szCs w:val="24"/>
                <w:color w:val="auto"/>
              </w:rPr>
            </w:pPr>
          </w:p>
        </w:tc>
        <w:tc>
          <w:tcPr>
            <w:tcW w:w="260" w:type="dxa"/>
            <w:vAlign w:val="bottom"/>
          </w:tcPr>
          <w:p>
            <w:pPr>
              <w:ind w:left="20"/>
              <w:spacing w:after="0"/>
              <w:rPr>
                <w:sz w:val="20"/>
                <w:szCs w:val="20"/>
                <w:color w:val="auto"/>
              </w:rPr>
            </w:pPr>
            <w:r>
              <w:rPr>
                <w:rFonts w:ascii="Arial" w:cs="Arial" w:eastAsia="Arial" w:hAnsi="Arial"/>
                <w:sz w:val="14"/>
                <w:szCs w:val="14"/>
                <w:color w:val="auto"/>
              </w:rPr>
              <w:t>$</w:t>
            </w:r>
          </w:p>
        </w:tc>
        <w:tc>
          <w:tcPr>
            <w:tcW w:w="11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ind w:left="20"/>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1,711</w:t>
            </w:r>
          </w:p>
        </w:tc>
        <w:tc>
          <w:tcPr>
            <w:tcW w:w="100" w:type="dxa"/>
            <w:vAlign w:val="bottom"/>
          </w:tcPr>
          <w:p>
            <w:pPr>
              <w:spacing w:after="0"/>
              <w:rPr>
                <w:sz w:val="24"/>
                <w:szCs w:val="24"/>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29"/>
              <w:spacing w:after="0"/>
              <w:rPr>
                <w:sz w:val="20"/>
                <w:szCs w:val="20"/>
                <w:color w:val="auto"/>
              </w:rPr>
            </w:pPr>
            <w:r>
              <w:rPr>
                <w:rFonts w:ascii="Arial" w:cs="Arial" w:eastAsia="Arial" w:hAnsi="Arial"/>
                <w:sz w:val="14"/>
                <w:szCs w:val="14"/>
                <w:color w:val="auto"/>
              </w:rPr>
              <w:t>17</w:t>
            </w:r>
          </w:p>
        </w:tc>
        <w:tc>
          <w:tcPr>
            <w:tcW w:w="120" w:type="dxa"/>
            <w:vAlign w:val="bottom"/>
          </w:tcPr>
          <w:p>
            <w:pPr>
              <w:spacing w:after="0"/>
              <w:rPr>
                <w:sz w:val="24"/>
                <w:szCs w:val="24"/>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29"/>
              <w:spacing w:after="0"/>
              <w:rPr>
                <w:sz w:val="20"/>
                <w:szCs w:val="20"/>
                <w:color w:val="auto"/>
              </w:rPr>
            </w:pPr>
            <w:r>
              <w:rPr>
                <w:rFonts w:ascii="Arial" w:cs="Arial" w:eastAsia="Arial" w:hAnsi="Arial"/>
                <w:sz w:val="14"/>
                <w:szCs w:val="14"/>
                <w:color w:val="auto"/>
              </w:rPr>
              <w:t>—</w:t>
            </w:r>
          </w:p>
        </w:tc>
      </w:tr>
      <w:tr>
        <w:trPr>
          <w:trHeight w:val="351"/>
        </w:trPr>
        <w:tc>
          <w:tcPr>
            <w:tcW w:w="200" w:type="dxa"/>
            <w:vAlign w:val="bottom"/>
          </w:tcPr>
          <w:p>
            <w:pPr>
              <w:spacing w:after="0"/>
              <w:rPr>
                <w:sz w:val="24"/>
                <w:szCs w:val="24"/>
                <w:color w:val="auto"/>
              </w:rPr>
            </w:pPr>
          </w:p>
        </w:tc>
        <w:tc>
          <w:tcPr>
            <w:tcW w:w="1100" w:type="dxa"/>
            <w:vAlign w:val="bottom"/>
          </w:tcPr>
          <w:p>
            <w:pPr>
              <w:jc w:val="right"/>
              <w:ind w:right="8"/>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4"/>
                <w:szCs w:val="24"/>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22</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4"/>
                <w:szCs w:val="24"/>
                <w:color w:val="auto"/>
              </w:rPr>
            </w:pPr>
          </w:p>
        </w:tc>
        <w:tc>
          <w:tcPr>
            <w:tcW w:w="1060" w:type="dxa"/>
            <w:vAlign w:val="bottom"/>
          </w:tcPr>
          <w:p>
            <w:pPr>
              <w:jc w:val="right"/>
              <w:ind w:right="29"/>
              <w:spacing w:after="0"/>
              <w:rPr>
                <w:sz w:val="20"/>
                <w:szCs w:val="20"/>
                <w:color w:val="auto"/>
              </w:rPr>
            </w:pPr>
            <w:r>
              <w:rPr>
                <w:rFonts w:ascii="Arial" w:cs="Arial" w:eastAsia="Arial" w:hAnsi="Arial"/>
                <w:sz w:val="14"/>
                <w:szCs w:val="14"/>
                <w:color w:val="auto"/>
              </w:rPr>
              <w:t>—</w:t>
            </w:r>
          </w:p>
        </w:tc>
      </w:tr>
      <w:tr>
        <w:trPr>
          <w:trHeight w:val="351"/>
        </w:trPr>
        <w:tc>
          <w:tcPr>
            <w:tcW w:w="200" w:type="dxa"/>
            <w:vAlign w:val="bottom"/>
          </w:tcPr>
          <w:p>
            <w:pPr>
              <w:spacing w:after="0"/>
              <w:rPr>
                <w:sz w:val="24"/>
                <w:szCs w:val="24"/>
                <w:color w:val="auto"/>
              </w:rPr>
            </w:pPr>
          </w:p>
        </w:tc>
        <w:tc>
          <w:tcPr>
            <w:tcW w:w="1100" w:type="dxa"/>
            <w:vAlign w:val="bottom"/>
          </w:tcPr>
          <w:p>
            <w:pPr>
              <w:jc w:val="right"/>
              <w:ind w:right="68"/>
              <w:spacing w:after="0"/>
              <w:rPr>
                <w:sz w:val="20"/>
                <w:szCs w:val="20"/>
                <w:color w:val="auto"/>
              </w:rPr>
            </w:pPr>
            <w:r>
              <w:rPr>
                <w:rFonts w:ascii="Arial" w:cs="Arial" w:eastAsia="Arial" w:hAnsi="Arial"/>
                <w:sz w:val="14"/>
                <w:szCs w:val="14"/>
                <w:color w:val="auto"/>
              </w:rPr>
              <w:t>179</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4"/>
                <w:szCs w:val="24"/>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43</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4"/>
                <w:szCs w:val="24"/>
                <w:color w:val="auto"/>
              </w:rPr>
            </w:pPr>
          </w:p>
        </w:tc>
        <w:tc>
          <w:tcPr>
            <w:tcW w:w="1060" w:type="dxa"/>
            <w:vAlign w:val="bottom"/>
          </w:tcPr>
          <w:p>
            <w:pPr>
              <w:jc w:val="right"/>
              <w:ind w:right="29"/>
              <w:spacing w:after="0"/>
              <w:rPr>
                <w:sz w:val="20"/>
                <w:szCs w:val="20"/>
                <w:color w:val="auto"/>
              </w:rPr>
            </w:pPr>
            <w:r>
              <w:rPr>
                <w:rFonts w:ascii="Arial" w:cs="Arial" w:eastAsia="Arial" w:hAnsi="Arial"/>
                <w:sz w:val="14"/>
                <w:szCs w:val="14"/>
                <w:color w:val="auto"/>
              </w:rPr>
              <w:t>—</w:t>
            </w:r>
          </w:p>
        </w:tc>
      </w:tr>
      <w:tr>
        <w:trPr>
          <w:trHeight w:val="270"/>
        </w:trPr>
        <w:tc>
          <w:tcPr>
            <w:tcW w:w="200" w:type="dxa"/>
            <w:vAlign w:val="bottom"/>
          </w:tcPr>
          <w:p>
            <w:pPr>
              <w:spacing w:after="0"/>
              <w:rPr>
                <w:sz w:val="23"/>
                <w:szCs w:val="23"/>
                <w:color w:val="auto"/>
              </w:rPr>
            </w:pPr>
          </w:p>
        </w:tc>
        <w:tc>
          <w:tcPr>
            <w:tcW w:w="1100" w:type="dxa"/>
            <w:vAlign w:val="bottom"/>
          </w:tcPr>
          <w:p>
            <w:pPr>
              <w:jc w:val="right"/>
              <w:ind w:right="68"/>
              <w:spacing w:after="0"/>
              <w:rPr>
                <w:sz w:val="20"/>
                <w:szCs w:val="20"/>
                <w:color w:val="auto"/>
              </w:rPr>
            </w:pPr>
            <w:r>
              <w:rPr>
                <w:rFonts w:ascii="Arial" w:cs="Arial" w:eastAsia="Arial" w:hAnsi="Arial"/>
                <w:sz w:val="14"/>
                <w:szCs w:val="14"/>
                <w:color w:val="auto"/>
              </w:rPr>
              <w:t>235</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186</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1060" w:type="dxa"/>
            <w:vAlign w:val="bottom"/>
          </w:tcPr>
          <w:p>
            <w:pPr>
              <w:jc w:val="right"/>
              <w:ind w:right="29"/>
              <w:spacing w:after="0"/>
              <w:rPr>
                <w:sz w:val="20"/>
                <w:szCs w:val="20"/>
                <w:color w:val="auto"/>
              </w:rPr>
            </w:pPr>
            <w:r>
              <w:rPr>
                <w:rFonts w:ascii="Arial" w:cs="Arial" w:eastAsia="Arial" w:hAnsi="Arial"/>
                <w:sz w:val="14"/>
                <w:szCs w:val="14"/>
                <w:color w:val="auto"/>
              </w:rPr>
              <w:t>—</w:t>
            </w:r>
          </w:p>
        </w:tc>
      </w:tr>
      <w:tr>
        <w:trPr>
          <w:trHeight w:val="270"/>
        </w:trPr>
        <w:tc>
          <w:tcPr>
            <w:tcW w:w="200" w:type="dxa"/>
            <w:vAlign w:val="bottom"/>
          </w:tcPr>
          <w:p>
            <w:pPr>
              <w:spacing w:after="0"/>
              <w:rPr>
                <w:sz w:val="23"/>
                <w:szCs w:val="23"/>
                <w:color w:val="auto"/>
              </w:rPr>
            </w:pPr>
          </w:p>
        </w:tc>
        <w:tc>
          <w:tcPr>
            <w:tcW w:w="1100" w:type="dxa"/>
            <w:vAlign w:val="bottom"/>
          </w:tcPr>
          <w:p>
            <w:pPr>
              <w:jc w:val="right"/>
              <w:ind w:right="8"/>
              <w:spacing w:after="0"/>
              <w:rPr>
                <w:sz w:val="20"/>
                <w:szCs w:val="20"/>
                <w:color w:val="auto"/>
              </w:rPr>
            </w:pPr>
            <w:r>
              <w:rPr>
                <w:rFonts w:ascii="Arial" w:cs="Arial" w:eastAsia="Arial" w:hAnsi="Arial"/>
                <w:sz w:val="14"/>
                <w:szCs w:val="14"/>
                <w:color w:val="auto"/>
              </w:rPr>
              <w:t>(231)</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(467)</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ind w:right="29"/>
              <w:spacing w:after="0"/>
              <w:rPr>
                <w:sz w:val="20"/>
                <w:szCs w:val="20"/>
                <w:color w:val="auto"/>
              </w:rPr>
            </w:pPr>
            <w:r>
              <w:rPr>
                <w:rFonts w:ascii="Arial" w:cs="Arial" w:eastAsia="Arial" w:hAnsi="Arial"/>
                <w:sz w:val="14"/>
                <w:szCs w:val="14"/>
                <w:color w:val="auto"/>
              </w:rPr>
              <w:t>—</w:t>
            </w:r>
          </w:p>
        </w:tc>
      </w:tr>
      <w:tr>
        <w:trPr>
          <w:trHeight w:val="270"/>
        </w:trPr>
        <w:tc>
          <w:tcPr>
            <w:tcW w:w="200" w:type="dxa"/>
            <w:vAlign w:val="bottom"/>
          </w:tcPr>
          <w:p>
            <w:pPr>
              <w:spacing w:after="0"/>
              <w:rPr>
                <w:sz w:val="23"/>
                <w:szCs w:val="23"/>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3"/>
                <w:szCs w:val="23"/>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3"/>
                <w:szCs w:val="23"/>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1060" w:type="dxa"/>
            <w:vAlign w:val="bottom"/>
          </w:tcPr>
          <w:p>
            <w:pPr>
              <w:jc w:val="right"/>
              <w:ind w:right="29"/>
              <w:spacing w:after="0"/>
              <w:rPr>
                <w:sz w:val="20"/>
                <w:szCs w:val="20"/>
                <w:color w:val="auto"/>
              </w:rPr>
            </w:pPr>
            <w:r>
              <w:rPr>
                <w:rFonts w:ascii="Arial" w:cs="Arial" w:eastAsia="Arial" w:hAnsi="Arial"/>
                <w:sz w:val="14"/>
                <w:szCs w:val="14"/>
                <w:color w:val="auto"/>
              </w:rPr>
              <w:t>—</w:t>
            </w:r>
          </w:p>
        </w:tc>
      </w:tr>
      <w:tr>
        <w:trPr>
          <w:trHeight w:val="270"/>
        </w:trPr>
        <w:tc>
          <w:tcPr>
            <w:tcW w:w="200" w:type="dxa"/>
            <w:vAlign w:val="bottom"/>
          </w:tcPr>
          <w:p>
            <w:pPr>
              <w:spacing w:after="0"/>
              <w:rPr>
                <w:sz w:val="23"/>
                <w:szCs w:val="23"/>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3"/>
                <w:szCs w:val="23"/>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3"/>
                <w:szCs w:val="23"/>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1060" w:type="dxa"/>
            <w:vAlign w:val="bottom"/>
          </w:tcPr>
          <w:p>
            <w:pPr>
              <w:jc w:val="right"/>
              <w:ind w:right="29"/>
              <w:spacing w:after="0"/>
              <w:rPr>
                <w:sz w:val="20"/>
                <w:szCs w:val="20"/>
                <w:color w:val="auto"/>
              </w:rPr>
            </w:pPr>
            <w:r>
              <w:rPr>
                <w:rFonts w:ascii="Arial" w:cs="Arial" w:eastAsia="Arial" w:hAnsi="Arial"/>
                <w:sz w:val="14"/>
                <w:szCs w:val="14"/>
                <w:color w:val="auto"/>
              </w:rPr>
              <w:t>—</w:t>
            </w:r>
          </w:p>
        </w:tc>
      </w:tr>
      <w:tr>
        <w:trPr>
          <w:trHeight w:val="270"/>
        </w:trPr>
        <w:tc>
          <w:tcPr>
            <w:tcW w:w="200" w:type="dxa"/>
            <w:vAlign w:val="bottom"/>
          </w:tcPr>
          <w:p>
            <w:pPr>
              <w:spacing w:after="0"/>
              <w:rPr>
                <w:sz w:val="23"/>
                <w:szCs w:val="23"/>
                <w:color w:val="auto"/>
              </w:rPr>
            </w:pPr>
          </w:p>
        </w:tc>
        <w:tc>
          <w:tcPr>
            <w:tcW w:w="1100" w:type="dxa"/>
            <w:vAlign w:val="bottom"/>
          </w:tcPr>
          <w:p>
            <w:pPr>
              <w:jc w:val="right"/>
              <w:ind w:right="68"/>
              <w:spacing w:after="0"/>
              <w:rPr>
                <w:sz w:val="20"/>
                <w:szCs w:val="20"/>
                <w:color w:val="auto"/>
              </w:rPr>
            </w:pPr>
            <w:r>
              <w:rPr>
                <w:rFonts w:ascii="Arial" w:cs="Arial" w:eastAsia="Arial" w:hAnsi="Arial"/>
                <w:sz w:val="14"/>
                <w:szCs w:val="14"/>
                <w:color w:val="auto"/>
              </w:rPr>
              <w:t>180</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3"/>
                <w:szCs w:val="23"/>
                <w:color w:val="auto"/>
              </w:rPr>
            </w:pPr>
          </w:p>
        </w:tc>
        <w:tc>
          <w:tcPr>
            <w:tcW w:w="1040" w:type="dxa"/>
            <w:vAlign w:val="bottom"/>
          </w:tcPr>
          <w:p>
            <w:pPr>
              <w:jc w:val="right"/>
              <w:ind w:right="29"/>
              <w:spacing w:after="0"/>
              <w:rPr>
                <w:sz w:val="20"/>
                <w:szCs w:val="20"/>
                <w:color w:val="auto"/>
              </w:rPr>
            </w:pPr>
            <w:r>
              <w:rPr>
                <w:rFonts w:ascii="Arial" w:cs="Arial" w:eastAsia="Arial" w:hAnsi="Arial"/>
                <w:sz w:val="14"/>
                <w:szCs w:val="14"/>
                <w:color w:val="auto"/>
              </w:rPr>
              <w:t>3</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ind w:right="29"/>
              <w:spacing w:after="0"/>
              <w:rPr>
                <w:sz w:val="20"/>
                <w:szCs w:val="20"/>
                <w:color w:val="auto"/>
              </w:rPr>
            </w:pPr>
            <w:r>
              <w:rPr>
                <w:rFonts w:ascii="Arial" w:cs="Arial" w:eastAsia="Arial" w:hAnsi="Arial"/>
                <w:sz w:val="14"/>
                <w:szCs w:val="14"/>
                <w:color w:val="auto"/>
              </w:rPr>
              <w:t>—</w:t>
            </w:r>
          </w:p>
        </w:tc>
      </w:tr>
      <w:tr>
        <w:trPr>
          <w:trHeight w:val="276"/>
        </w:trPr>
        <w:tc>
          <w:tcPr>
            <w:tcW w:w="2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(153)</w:t>
            </w:r>
          </w:p>
        </w:tc>
        <w:tc>
          <w:tcPr>
            <w:tcW w:w="1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(83)</w:t>
            </w:r>
          </w:p>
        </w:tc>
        <w:tc>
          <w:tcPr>
            <w:tcW w:w="10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w:t>
            </w:r>
          </w:p>
        </w:tc>
        <w:tc>
          <w:tcPr>
            <w:tcW w:w="1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w:t>
            </w:r>
          </w:p>
        </w:tc>
      </w:tr>
      <w:tr>
        <w:trPr>
          <w:trHeight w:val="237"/>
        </w:trPr>
        <w:tc>
          <w:tcPr>
            <w:tcW w:w="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2,599</w:t>
            </w:r>
          </w:p>
        </w:tc>
        <w:tc>
          <w:tcPr>
            <w:tcW w:w="120" w:type="dxa"/>
            <w:vAlign w:val="bottom"/>
          </w:tcPr>
          <w:p>
            <w:pPr>
              <w:spacing w:after="0"/>
              <w:rPr>
                <w:sz w:val="20"/>
                <w:szCs w:val="20"/>
                <w:color w:val="auto"/>
              </w:rPr>
            </w:pPr>
          </w:p>
        </w:tc>
        <w:tc>
          <w:tcPr>
            <w:tcW w:w="2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0"/>
                <w:szCs w:val="20"/>
                <w:color w:val="auto"/>
              </w:rPr>
            </w:pPr>
          </w:p>
        </w:tc>
        <w:tc>
          <w:tcPr>
            <w:tcW w:w="1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1,412</w:t>
            </w:r>
          </w:p>
        </w:tc>
        <w:tc>
          <w:tcPr>
            <w:tcW w:w="100" w:type="dxa"/>
            <w:vAlign w:val="bottom"/>
          </w:tcPr>
          <w:p>
            <w:pPr>
              <w:spacing w:after="0"/>
              <w:rPr>
                <w:sz w:val="20"/>
                <w:szCs w:val="20"/>
                <w:color w:val="auto"/>
              </w:rPr>
            </w:pPr>
          </w:p>
        </w:tc>
        <w:tc>
          <w:tcPr>
            <w:tcW w:w="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9</w:t>
            </w:r>
          </w:p>
        </w:tc>
        <w:tc>
          <w:tcPr>
            <w:tcW w:w="120" w:type="dxa"/>
            <w:vAlign w:val="bottom"/>
          </w:tcPr>
          <w:p>
            <w:pPr>
              <w:spacing w:after="0"/>
              <w:rPr>
                <w:sz w:val="20"/>
                <w:szCs w:val="20"/>
                <w:color w:val="auto"/>
              </w:rPr>
            </w:pP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w:t>
            </w:r>
          </w:p>
        </w:tc>
      </w:tr>
      <w:tr>
        <w:trPr>
          <w:trHeight w:val="20"/>
        </w:trPr>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515"/>
        </w:trPr>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68"/>
              <w:spacing w:after="0"/>
              <w:rPr>
                <w:sz w:val="20"/>
                <w:szCs w:val="20"/>
                <w:color w:val="auto"/>
              </w:rPr>
            </w:pPr>
            <w:r>
              <w:rPr>
                <w:rFonts w:ascii="Arial" w:cs="Arial" w:eastAsia="Arial" w:hAnsi="Arial"/>
                <w:sz w:val="14"/>
                <w:szCs w:val="14"/>
                <w:color w:val="auto"/>
              </w:rPr>
              <w:t>2,485</w:t>
            </w:r>
          </w:p>
        </w:tc>
        <w:tc>
          <w:tcPr>
            <w:tcW w:w="120" w:type="dxa"/>
            <w:vAlign w:val="bottom"/>
          </w:tcPr>
          <w:p>
            <w:pPr>
              <w:spacing w:after="0"/>
              <w:rPr>
                <w:sz w:val="24"/>
                <w:szCs w:val="24"/>
                <w:color w:val="auto"/>
              </w:rPr>
            </w:pPr>
          </w:p>
        </w:tc>
        <w:tc>
          <w:tcPr>
            <w:tcW w:w="260" w:type="dxa"/>
            <w:vAlign w:val="bottom"/>
          </w:tcPr>
          <w:p>
            <w:pPr>
              <w:ind w:left="20"/>
              <w:spacing w:after="0"/>
              <w:rPr>
                <w:sz w:val="20"/>
                <w:szCs w:val="20"/>
                <w:color w:val="auto"/>
              </w:rPr>
            </w:pPr>
            <w:r>
              <w:rPr>
                <w:rFonts w:ascii="Arial" w:cs="Arial" w:eastAsia="Arial" w:hAnsi="Arial"/>
                <w:sz w:val="14"/>
                <w:szCs w:val="14"/>
                <w:color w:val="auto"/>
              </w:rPr>
              <w:t>$</w:t>
            </w:r>
          </w:p>
        </w:tc>
        <w:tc>
          <w:tcPr>
            <w:tcW w:w="11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ind w:left="20"/>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2,032</w:t>
            </w:r>
          </w:p>
        </w:tc>
        <w:tc>
          <w:tcPr>
            <w:tcW w:w="100" w:type="dxa"/>
            <w:vAlign w:val="bottom"/>
          </w:tcPr>
          <w:p>
            <w:pPr>
              <w:spacing w:after="0"/>
              <w:rPr>
                <w:sz w:val="24"/>
                <w:szCs w:val="24"/>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29"/>
              <w:spacing w:after="0"/>
              <w:rPr>
                <w:sz w:val="20"/>
                <w:szCs w:val="20"/>
                <w:color w:val="auto"/>
              </w:rPr>
            </w:pPr>
            <w:r>
              <w:rPr>
                <w:rFonts w:ascii="Arial" w:cs="Arial" w:eastAsia="Arial" w:hAnsi="Arial"/>
                <w:sz w:val="14"/>
                <w:szCs w:val="14"/>
                <w:color w:val="auto"/>
              </w:rPr>
              <w:t>13</w:t>
            </w:r>
          </w:p>
        </w:tc>
        <w:tc>
          <w:tcPr>
            <w:tcW w:w="120" w:type="dxa"/>
            <w:vAlign w:val="bottom"/>
          </w:tcPr>
          <w:p>
            <w:pPr>
              <w:spacing w:after="0"/>
              <w:rPr>
                <w:sz w:val="24"/>
                <w:szCs w:val="24"/>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29"/>
              <w:spacing w:after="0"/>
              <w:rPr>
                <w:sz w:val="20"/>
                <w:szCs w:val="20"/>
                <w:color w:val="auto"/>
              </w:rPr>
            </w:pPr>
            <w:r>
              <w:rPr>
                <w:rFonts w:ascii="Arial" w:cs="Arial" w:eastAsia="Arial" w:hAnsi="Arial"/>
                <w:sz w:val="14"/>
                <w:szCs w:val="14"/>
                <w:color w:val="auto"/>
              </w:rPr>
              <w:t>26</w:t>
            </w:r>
          </w:p>
        </w:tc>
      </w:tr>
      <w:tr>
        <w:trPr>
          <w:trHeight w:val="351"/>
        </w:trPr>
        <w:tc>
          <w:tcPr>
            <w:tcW w:w="200" w:type="dxa"/>
            <w:vAlign w:val="bottom"/>
          </w:tcPr>
          <w:p>
            <w:pPr>
              <w:spacing w:after="0"/>
              <w:rPr>
                <w:sz w:val="24"/>
                <w:szCs w:val="24"/>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4"/>
                <w:szCs w:val="24"/>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4"/>
                <w:szCs w:val="24"/>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22</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4"/>
                <w:szCs w:val="24"/>
                <w:color w:val="auto"/>
              </w:rPr>
            </w:pPr>
          </w:p>
        </w:tc>
        <w:tc>
          <w:tcPr>
            <w:tcW w:w="1060" w:type="dxa"/>
            <w:vAlign w:val="bottom"/>
          </w:tcPr>
          <w:p>
            <w:pPr>
              <w:jc w:val="right"/>
              <w:ind w:right="29"/>
              <w:spacing w:after="0"/>
              <w:rPr>
                <w:sz w:val="20"/>
                <w:szCs w:val="20"/>
                <w:color w:val="auto"/>
              </w:rPr>
            </w:pPr>
            <w:r>
              <w:rPr>
                <w:rFonts w:ascii="Arial" w:cs="Arial" w:eastAsia="Arial" w:hAnsi="Arial"/>
                <w:sz w:val="14"/>
                <w:szCs w:val="14"/>
                <w:color w:val="auto"/>
              </w:rPr>
              <w:t>—</w:t>
            </w:r>
          </w:p>
        </w:tc>
      </w:tr>
      <w:tr>
        <w:trPr>
          <w:trHeight w:val="351"/>
        </w:trPr>
        <w:tc>
          <w:tcPr>
            <w:tcW w:w="200" w:type="dxa"/>
            <w:vAlign w:val="bottom"/>
          </w:tcPr>
          <w:p>
            <w:pPr>
              <w:spacing w:after="0"/>
              <w:rPr>
                <w:sz w:val="24"/>
                <w:szCs w:val="24"/>
                <w:color w:val="auto"/>
              </w:rPr>
            </w:pPr>
          </w:p>
        </w:tc>
        <w:tc>
          <w:tcPr>
            <w:tcW w:w="1100" w:type="dxa"/>
            <w:vAlign w:val="bottom"/>
          </w:tcPr>
          <w:p>
            <w:pPr>
              <w:jc w:val="right"/>
              <w:ind w:right="68"/>
              <w:spacing w:after="0"/>
              <w:rPr>
                <w:sz w:val="20"/>
                <w:szCs w:val="20"/>
                <w:color w:val="auto"/>
              </w:rPr>
            </w:pPr>
            <w:r>
              <w:rPr>
                <w:rFonts w:ascii="Arial" w:cs="Arial" w:eastAsia="Arial" w:hAnsi="Arial"/>
                <w:sz w:val="14"/>
                <w:szCs w:val="14"/>
                <w:color w:val="auto"/>
              </w:rPr>
              <w:t>181</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3</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(5)</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4"/>
                <w:szCs w:val="24"/>
                <w:color w:val="auto"/>
              </w:rPr>
            </w:pPr>
          </w:p>
        </w:tc>
        <w:tc>
          <w:tcPr>
            <w:tcW w:w="1060" w:type="dxa"/>
            <w:vAlign w:val="bottom"/>
          </w:tcPr>
          <w:p>
            <w:pPr>
              <w:jc w:val="right"/>
              <w:ind w:right="29"/>
              <w:spacing w:after="0"/>
              <w:rPr>
                <w:sz w:val="20"/>
                <w:szCs w:val="20"/>
                <w:color w:val="auto"/>
              </w:rPr>
            </w:pPr>
            <w:r>
              <w:rPr>
                <w:rFonts w:ascii="Arial" w:cs="Arial" w:eastAsia="Arial" w:hAnsi="Arial"/>
                <w:sz w:val="14"/>
                <w:szCs w:val="14"/>
                <w:color w:val="auto"/>
              </w:rPr>
              <w:t>—</w:t>
            </w:r>
          </w:p>
        </w:tc>
      </w:tr>
      <w:tr>
        <w:trPr>
          <w:trHeight w:val="270"/>
        </w:trPr>
        <w:tc>
          <w:tcPr>
            <w:tcW w:w="200" w:type="dxa"/>
            <w:vAlign w:val="bottom"/>
          </w:tcPr>
          <w:p>
            <w:pPr>
              <w:spacing w:after="0"/>
              <w:rPr>
                <w:sz w:val="23"/>
                <w:szCs w:val="23"/>
                <w:color w:val="auto"/>
              </w:rPr>
            </w:pPr>
          </w:p>
        </w:tc>
        <w:tc>
          <w:tcPr>
            <w:tcW w:w="1100" w:type="dxa"/>
            <w:vAlign w:val="bottom"/>
          </w:tcPr>
          <w:p>
            <w:pPr>
              <w:jc w:val="right"/>
              <w:ind w:right="68"/>
              <w:spacing w:after="0"/>
              <w:rPr>
                <w:sz w:val="20"/>
                <w:szCs w:val="20"/>
                <w:color w:val="auto"/>
              </w:rPr>
            </w:pPr>
            <w:r>
              <w:rPr>
                <w:rFonts w:ascii="Arial" w:cs="Arial" w:eastAsia="Arial" w:hAnsi="Arial"/>
                <w:sz w:val="14"/>
                <w:szCs w:val="14"/>
                <w:color w:val="auto"/>
              </w:rPr>
              <w:t>293</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508</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1060" w:type="dxa"/>
            <w:vAlign w:val="bottom"/>
          </w:tcPr>
          <w:p>
            <w:pPr>
              <w:jc w:val="right"/>
              <w:ind w:right="29"/>
              <w:spacing w:after="0"/>
              <w:rPr>
                <w:sz w:val="20"/>
                <w:szCs w:val="20"/>
                <w:color w:val="auto"/>
              </w:rPr>
            </w:pPr>
            <w:r>
              <w:rPr>
                <w:rFonts w:ascii="Arial" w:cs="Arial" w:eastAsia="Arial" w:hAnsi="Arial"/>
                <w:sz w:val="14"/>
                <w:szCs w:val="14"/>
                <w:color w:val="auto"/>
              </w:rPr>
              <w:t>—</w:t>
            </w:r>
          </w:p>
        </w:tc>
      </w:tr>
      <w:tr>
        <w:trPr>
          <w:trHeight w:val="270"/>
        </w:trPr>
        <w:tc>
          <w:tcPr>
            <w:tcW w:w="200" w:type="dxa"/>
            <w:vAlign w:val="bottom"/>
          </w:tcPr>
          <w:p>
            <w:pPr>
              <w:spacing w:after="0"/>
              <w:rPr>
                <w:sz w:val="23"/>
                <w:szCs w:val="23"/>
                <w:color w:val="auto"/>
              </w:rPr>
            </w:pPr>
          </w:p>
        </w:tc>
        <w:tc>
          <w:tcPr>
            <w:tcW w:w="1100" w:type="dxa"/>
            <w:vAlign w:val="bottom"/>
          </w:tcPr>
          <w:p>
            <w:pPr>
              <w:jc w:val="right"/>
              <w:ind w:right="8"/>
              <w:spacing w:after="0"/>
              <w:rPr>
                <w:sz w:val="20"/>
                <w:szCs w:val="20"/>
                <w:color w:val="auto"/>
              </w:rPr>
            </w:pPr>
            <w:r>
              <w:rPr>
                <w:rFonts w:ascii="Arial" w:cs="Arial" w:eastAsia="Arial" w:hAnsi="Arial"/>
                <w:sz w:val="14"/>
                <w:szCs w:val="14"/>
                <w:color w:val="auto"/>
              </w:rPr>
              <w:t>(273)</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(386)</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1060" w:type="dxa"/>
            <w:vAlign w:val="bottom"/>
          </w:tcPr>
          <w:p>
            <w:pPr>
              <w:jc w:val="right"/>
              <w:ind w:right="29"/>
              <w:spacing w:after="0"/>
              <w:rPr>
                <w:sz w:val="20"/>
                <w:szCs w:val="20"/>
                <w:color w:val="auto"/>
              </w:rPr>
            </w:pPr>
            <w:r>
              <w:rPr>
                <w:rFonts w:ascii="Arial" w:cs="Arial" w:eastAsia="Arial" w:hAnsi="Arial"/>
                <w:sz w:val="14"/>
                <w:szCs w:val="14"/>
                <w:color w:val="auto"/>
              </w:rPr>
              <w:t>—</w:t>
            </w:r>
          </w:p>
        </w:tc>
      </w:tr>
      <w:tr>
        <w:trPr>
          <w:trHeight w:val="270"/>
        </w:trPr>
        <w:tc>
          <w:tcPr>
            <w:tcW w:w="200" w:type="dxa"/>
            <w:vAlign w:val="bottom"/>
          </w:tcPr>
          <w:p>
            <w:pPr>
              <w:spacing w:after="0"/>
              <w:rPr>
                <w:sz w:val="23"/>
                <w:szCs w:val="23"/>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3"/>
                <w:szCs w:val="23"/>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3"/>
                <w:szCs w:val="23"/>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1060" w:type="dxa"/>
            <w:vAlign w:val="bottom"/>
          </w:tcPr>
          <w:p>
            <w:pPr>
              <w:jc w:val="right"/>
              <w:ind w:right="29"/>
              <w:spacing w:after="0"/>
              <w:rPr>
                <w:sz w:val="20"/>
                <w:szCs w:val="20"/>
                <w:color w:val="auto"/>
              </w:rPr>
            </w:pPr>
            <w:r>
              <w:rPr>
                <w:rFonts w:ascii="Arial" w:cs="Arial" w:eastAsia="Arial" w:hAnsi="Arial"/>
                <w:sz w:val="14"/>
                <w:szCs w:val="14"/>
                <w:color w:val="auto"/>
              </w:rPr>
              <w:t>—</w:t>
            </w:r>
          </w:p>
        </w:tc>
      </w:tr>
      <w:tr>
        <w:trPr>
          <w:trHeight w:val="270"/>
        </w:trPr>
        <w:tc>
          <w:tcPr>
            <w:tcW w:w="200" w:type="dxa"/>
            <w:vAlign w:val="bottom"/>
          </w:tcPr>
          <w:p>
            <w:pPr>
              <w:spacing w:after="0"/>
              <w:rPr>
                <w:sz w:val="23"/>
                <w:szCs w:val="23"/>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3"/>
                <w:szCs w:val="23"/>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3"/>
                <w:szCs w:val="23"/>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1060" w:type="dxa"/>
            <w:vAlign w:val="bottom"/>
          </w:tcPr>
          <w:p>
            <w:pPr>
              <w:jc w:val="right"/>
              <w:ind w:right="29"/>
              <w:spacing w:after="0"/>
              <w:rPr>
                <w:sz w:val="20"/>
                <w:szCs w:val="20"/>
                <w:color w:val="auto"/>
              </w:rPr>
            </w:pPr>
            <w:r>
              <w:rPr>
                <w:rFonts w:ascii="Arial" w:cs="Arial" w:eastAsia="Arial" w:hAnsi="Arial"/>
                <w:sz w:val="14"/>
                <w:szCs w:val="14"/>
                <w:color w:val="auto"/>
              </w:rPr>
              <w:t>—</w:t>
            </w:r>
          </w:p>
        </w:tc>
      </w:tr>
      <w:tr>
        <w:trPr>
          <w:trHeight w:val="270"/>
        </w:trPr>
        <w:tc>
          <w:tcPr>
            <w:tcW w:w="200" w:type="dxa"/>
            <w:vAlign w:val="bottom"/>
          </w:tcPr>
          <w:p>
            <w:pPr>
              <w:spacing w:after="0"/>
              <w:rPr>
                <w:sz w:val="23"/>
                <w:szCs w:val="23"/>
                <w:color w:val="auto"/>
              </w:rPr>
            </w:pPr>
          </w:p>
        </w:tc>
        <w:tc>
          <w:tcPr>
            <w:tcW w:w="1100" w:type="dxa"/>
            <w:vAlign w:val="bottom"/>
          </w:tcPr>
          <w:p>
            <w:pPr>
              <w:jc w:val="right"/>
              <w:ind w:right="68"/>
              <w:spacing w:after="0"/>
              <w:rPr>
                <w:sz w:val="20"/>
                <w:szCs w:val="20"/>
                <w:color w:val="auto"/>
              </w:rPr>
            </w:pPr>
            <w:r>
              <w:rPr>
                <w:rFonts w:ascii="Arial" w:cs="Arial" w:eastAsia="Arial" w:hAnsi="Arial"/>
                <w:sz w:val="14"/>
                <w:szCs w:val="14"/>
                <w:color w:val="auto"/>
              </w:rPr>
              <w:t>167</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19</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17</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1060" w:type="dxa"/>
            <w:vAlign w:val="bottom"/>
          </w:tcPr>
          <w:p>
            <w:pPr>
              <w:jc w:val="right"/>
              <w:ind w:right="29"/>
              <w:spacing w:after="0"/>
              <w:rPr>
                <w:sz w:val="20"/>
                <w:szCs w:val="20"/>
                <w:color w:val="auto"/>
              </w:rPr>
            </w:pPr>
            <w:r>
              <w:rPr>
                <w:rFonts w:ascii="Arial" w:cs="Arial" w:eastAsia="Arial" w:hAnsi="Arial"/>
                <w:sz w:val="14"/>
                <w:szCs w:val="14"/>
                <w:color w:val="auto"/>
              </w:rPr>
              <w:t>—</w:t>
            </w:r>
          </w:p>
        </w:tc>
      </w:tr>
      <w:tr>
        <w:trPr>
          <w:trHeight w:val="276"/>
        </w:trPr>
        <w:tc>
          <w:tcPr>
            <w:tcW w:w="200" w:type="dxa"/>
            <w:vAlign w:val="bottom"/>
          </w:tcPr>
          <w:p>
            <w:pPr>
              <w:spacing w:after="0"/>
              <w:rPr>
                <w:sz w:val="24"/>
                <w:szCs w:val="24"/>
                <w:color w:val="auto"/>
              </w:rPr>
            </w:pPr>
          </w:p>
        </w:tc>
        <w:tc>
          <w:tcPr>
            <w:tcW w:w="1100" w:type="dxa"/>
            <w:vAlign w:val="bottom"/>
          </w:tcPr>
          <w:p>
            <w:pPr>
              <w:jc w:val="right"/>
              <w:ind w:right="8"/>
              <w:spacing w:after="0"/>
              <w:rPr>
                <w:sz w:val="20"/>
                <w:szCs w:val="20"/>
                <w:color w:val="auto"/>
              </w:rPr>
            </w:pPr>
            <w:r>
              <w:rPr>
                <w:rFonts w:ascii="Arial" w:cs="Arial" w:eastAsia="Arial" w:hAnsi="Arial"/>
                <w:sz w:val="14"/>
                <w:szCs w:val="14"/>
                <w:color w:val="auto"/>
              </w:rPr>
              <w:t>(382)</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(358)</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(5)</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(26)</w:t>
            </w:r>
          </w:p>
        </w:tc>
      </w:tr>
      <w:tr>
        <w:trPr>
          <w:trHeight w:val="237"/>
        </w:trPr>
        <w:tc>
          <w:tcPr>
            <w:tcW w:w="2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10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2,471</w:t>
            </w:r>
          </w:p>
        </w:tc>
        <w:tc>
          <w:tcPr>
            <w:tcW w:w="120" w:type="dxa"/>
            <w:vAlign w:val="bottom"/>
          </w:tcPr>
          <w:p>
            <w:pPr>
              <w:spacing w:after="0"/>
              <w:rPr>
                <w:sz w:val="20"/>
                <w:szCs w:val="20"/>
                <w:color w:val="auto"/>
              </w:rPr>
            </w:pPr>
          </w:p>
        </w:tc>
        <w:tc>
          <w:tcPr>
            <w:tcW w:w="2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9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22</w:t>
            </w:r>
          </w:p>
        </w:tc>
        <w:tc>
          <w:tcPr>
            <w:tcW w:w="120" w:type="dxa"/>
            <w:vAlign w:val="bottom"/>
          </w:tcPr>
          <w:p>
            <w:pPr>
              <w:spacing w:after="0"/>
              <w:rPr>
                <w:sz w:val="20"/>
                <w:szCs w:val="20"/>
                <w:color w:val="auto"/>
              </w:rPr>
            </w:pPr>
          </w:p>
        </w:tc>
        <w:tc>
          <w:tcPr>
            <w:tcW w:w="1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1,830</w:t>
            </w:r>
          </w:p>
        </w:tc>
        <w:tc>
          <w:tcPr>
            <w:tcW w:w="100" w:type="dxa"/>
            <w:vAlign w:val="bottom"/>
          </w:tcPr>
          <w:p>
            <w:pPr>
              <w:spacing w:after="0"/>
              <w:rPr>
                <w:sz w:val="20"/>
                <w:szCs w:val="20"/>
                <w:color w:val="auto"/>
              </w:rPr>
            </w:pPr>
          </w:p>
        </w:tc>
        <w:tc>
          <w:tcPr>
            <w:tcW w:w="2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04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4"/>
                <w:szCs w:val="14"/>
                <w:color w:val="auto"/>
              </w:rPr>
              <w:t>8</w:t>
            </w:r>
          </w:p>
        </w:tc>
        <w:tc>
          <w:tcPr>
            <w:tcW w:w="120" w:type="dxa"/>
            <w:vAlign w:val="bottom"/>
          </w:tcPr>
          <w:p>
            <w:pPr>
              <w:spacing w:after="0"/>
              <w:rPr>
                <w:sz w:val="20"/>
                <w:szCs w:val="20"/>
                <w:color w:val="auto"/>
              </w:rPr>
            </w:pP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4"/>
                <w:szCs w:val="14"/>
                <w:color w:val="auto"/>
              </w:rPr>
              <w:t>—</w:t>
            </w:r>
          </w:p>
        </w:tc>
      </w:tr>
      <w:tr>
        <w:trPr>
          <w:trHeight w:val="20"/>
        </w:trPr>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440"/>
        </w:trPr>
        <w:tc>
          <w:tcPr>
            <w:tcW w:w="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24"/>
                <w:szCs w:val="24"/>
                <w:color w:val="auto"/>
              </w:rPr>
            </w:pPr>
          </w:p>
        </w:tc>
        <w:tc>
          <w:tcPr>
            <w:tcW w:w="2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1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19</w:t>
            </w:r>
          </w:p>
        </w:tc>
        <w:tc>
          <w:tcPr>
            <w:tcW w:w="100" w:type="dxa"/>
            <w:vAlign w:val="bottom"/>
          </w:tcPr>
          <w:p>
            <w:pPr>
              <w:spacing w:after="0"/>
              <w:rPr>
                <w:sz w:val="24"/>
                <w:szCs w:val="24"/>
                <w:color w:val="auto"/>
              </w:rPr>
            </w:pPr>
          </w:p>
        </w:tc>
        <w:tc>
          <w:tcPr>
            <w:tcW w:w="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w:t>
            </w:r>
          </w:p>
        </w:tc>
      </w:tr>
      <w:tr>
        <w:trPr>
          <w:trHeight w:val="20"/>
        </w:trPr>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440"/>
        </w:trPr>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68"/>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24"/>
                <w:szCs w:val="24"/>
                <w:color w:val="auto"/>
              </w:rPr>
            </w:pPr>
          </w:p>
        </w:tc>
        <w:tc>
          <w:tcPr>
            <w:tcW w:w="260" w:type="dxa"/>
            <w:vAlign w:val="bottom"/>
          </w:tcPr>
          <w:p>
            <w:pPr>
              <w:ind w:left="20"/>
              <w:spacing w:after="0"/>
              <w:rPr>
                <w:sz w:val="20"/>
                <w:szCs w:val="20"/>
                <w:color w:val="auto"/>
              </w:rPr>
            </w:pPr>
            <w:r>
              <w:rPr>
                <w:rFonts w:ascii="Arial" w:cs="Arial" w:eastAsia="Arial" w:hAnsi="Arial"/>
                <w:sz w:val="14"/>
                <w:szCs w:val="14"/>
                <w:color w:val="auto"/>
              </w:rPr>
              <w:t>$</w:t>
            </w:r>
          </w:p>
        </w:tc>
        <w:tc>
          <w:tcPr>
            <w:tcW w:w="11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ind w:left="20"/>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21</w:t>
            </w:r>
          </w:p>
        </w:tc>
        <w:tc>
          <w:tcPr>
            <w:tcW w:w="100" w:type="dxa"/>
            <w:vAlign w:val="bottom"/>
          </w:tcPr>
          <w:p>
            <w:pPr>
              <w:spacing w:after="0"/>
              <w:rPr>
                <w:sz w:val="24"/>
                <w:szCs w:val="24"/>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1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29"/>
              <w:spacing w:after="0"/>
              <w:rPr>
                <w:sz w:val="20"/>
                <w:szCs w:val="20"/>
                <w:color w:val="auto"/>
              </w:rPr>
            </w:pPr>
            <w:r>
              <w:rPr>
                <w:rFonts w:ascii="Arial" w:cs="Arial" w:eastAsia="Arial" w:hAnsi="Arial"/>
                <w:sz w:val="14"/>
                <w:szCs w:val="14"/>
                <w:color w:val="auto"/>
              </w:rPr>
              <w:t>—</w:t>
            </w:r>
          </w:p>
        </w:tc>
      </w:tr>
      <w:tr>
        <w:trPr>
          <w:trHeight w:val="20"/>
        </w:trPr>
        <w:tc>
          <w:tcPr>
            <w:tcW w:w="2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-2978785</wp:posOffset>
            </wp:positionH>
            <wp:positionV relativeFrom="paragraph">
              <wp:posOffset>-4647565</wp:posOffset>
            </wp:positionV>
            <wp:extent cx="7246620" cy="17145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-2978785</wp:posOffset>
            </wp:positionH>
            <wp:positionV relativeFrom="paragraph">
              <wp:posOffset>-4304665</wp:posOffset>
            </wp:positionV>
            <wp:extent cx="7246620" cy="22288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46620" cy="222885"/>
                    </a:xfrm>
                    <a:prstGeom prst="rect">
                      <a:avLst/>
                    </a:prstGeom>
                    <a:noFill/>
                  </pic:spPr>
                </pic:pic>
              </a:graphicData>
            </a:graphic>
          </wp:anchor>
        </w:drawing>
        <w:drawing>
          <wp:anchor simplePos="0" relativeHeight="251657728" behindDoc="1" locked="0" layoutInCell="0" allowOverlap="1">
            <wp:simplePos x="0" y="0"/>
            <wp:positionH relativeFrom="column">
              <wp:posOffset>-2978785</wp:posOffset>
            </wp:positionH>
            <wp:positionV relativeFrom="paragraph">
              <wp:posOffset>-3858260</wp:posOffset>
            </wp:positionV>
            <wp:extent cx="7246620" cy="17145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-2978785</wp:posOffset>
            </wp:positionH>
            <wp:positionV relativeFrom="paragraph">
              <wp:posOffset>-3515360</wp:posOffset>
            </wp:positionV>
            <wp:extent cx="7246620" cy="17145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-2978785</wp:posOffset>
            </wp:positionH>
            <wp:positionV relativeFrom="paragraph">
              <wp:posOffset>-3172460</wp:posOffset>
            </wp:positionV>
            <wp:extent cx="7246620" cy="17145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-2978785</wp:posOffset>
            </wp:positionH>
            <wp:positionV relativeFrom="paragraph">
              <wp:posOffset>-2829560</wp:posOffset>
            </wp:positionV>
            <wp:extent cx="7246620" cy="17145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-2978785</wp:posOffset>
            </wp:positionH>
            <wp:positionV relativeFrom="paragraph">
              <wp:posOffset>-2469515</wp:posOffset>
            </wp:positionV>
            <wp:extent cx="7246620" cy="17145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-2978785</wp:posOffset>
            </wp:positionH>
            <wp:positionV relativeFrom="paragraph">
              <wp:posOffset>-2074545</wp:posOffset>
            </wp:positionV>
            <wp:extent cx="7246620" cy="22288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46620" cy="222885"/>
                    </a:xfrm>
                    <a:prstGeom prst="rect">
                      <a:avLst/>
                    </a:prstGeom>
                    <a:noFill/>
                  </pic:spPr>
                </pic:pic>
              </a:graphicData>
            </a:graphic>
          </wp:anchor>
        </w:drawing>
        <w:drawing>
          <wp:anchor simplePos="0" relativeHeight="251657728" behindDoc="1" locked="0" layoutInCell="0" allowOverlap="1">
            <wp:simplePos x="0" y="0"/>
            <wp:positionH relativeFrom="column">
              <wp:posOffset>-2978785</wp:posOffset>
            </wp:positionH>
            <wp:positionV relativeFrom="paragraph">
              <wp:posOffset>-1680210</wp:posOffset>
            </wp:positionV>
            <wp:extent cx="7246620" cy="17145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-2978785</wp:posOffset>
            </wp:positionH>
            <wp:positionV relativeFrom="paragraph">
              <wp:posOffset>-1337310</wp:posOffset>
            </wp:positionV>
            <wp:extent cx="7246620" cy="17145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-2978785</wp:posOffset>
            </wp:positionH>
            <wp:positionV relativeFrom="paragraph">
              <wp:posOffset>-994410</wp:posOffset>
            </wp:positionV>
            <wp:extent cx="7246620" cy="17145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-2978785</wp:posOffset>
            </wp:positionH>
            <wp:positionV relativeFrom="paragraph">
              <wp:posOffset>-650875</wp:posOffset>
            </wp:positionV>
            <wp:extent cx="7246620" cy="3175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46620" cy="31750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980" w:space="720"/>
            <w:col w:w="6720"/>
          </w:cols>
          <w:pgMar w:left="240" w:top="288" w:right="239" w:bottom="1440" w:gutter="0" w:footer="0" w:header="0"/>
          <w:type w:val="continuous"/>
        </w:sectPr>
      </w:pP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55</w:t>
      </w:r>
    </w:p>
    <w:p>
      <w:pPr>
        <w:sectPr>
          <w:pgSz w:w="11900" w:h="16838" w:orient="portrait"/>
          <w:cols w:equalWidth="0" w:num="1">
            <w:col w:w="11420"/>
          </w:cols>
          <w:pgMar w:left="240" w:top="288" w:right="239" w:bottom="1440" w:gutter="0" w:footer="0" w:header="0"/>
          <w:type w:val="continuous"/>
        </w:sectPr>
      </w:pPr>
    </w:p>
    <w:bookmarkStart w:id="57" w:name="page58"/>
    <w:bookmarkEnd w:id="57"/>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109" w:lineRule="exact"/>
        <w:rPr>
          <w:sz w:val="20"/>
          <w:szCs w:val="20"/>
          <w:color w:val="auto"/>
        </w:rPr>
      </w:pPr>
    </w:p>
    <w:p>
      <w:pPr>
        <w:ind w:left="4660"/>
        <w:spacing w:after="0"/>
        <w:rPr>
          <w:sz w:val="20"/>
          <w:szCs w:val="20"/>
          <w:color w:val="auto"/>
        </w:rPr>
      </w:pPr>
      <w:r>
        <w:rPr>
          <w:rFonts w:ascii="Arial" w:cs="Arial" w:eastAsia="Arial" w:hAnsi="Arial"/>
          <w:sz w:val="18"/>
          <w:szCs w:val="18"/>
          <w:b w:val="1"/>
          <w:bCs w:val="1"/>
          <w:color w:val="auto"/>
        </w:rPr>
        <w:t>Brighthouse Financial, Inc.</w:t>
      </w:r>
    </w:p>
    <w:p>
      <w:pPr>
        <w:spacing w:after="0" w:line="117" w:lineRule="exact"/>
        <w:rPr>
          <w:sz w:val="20"/>
          <w:szCs w:val="20"/>
          <w:color w:val="auto"/>
        </w:rPr>
      </w:pPr>
    </w:p>
    <w:p>
      <w:pPr>
        <w:ind w:left="1480"/>
        <w:spacing w:after="0"/>
        <w:rPr>
          <w:sz w:val="20"/>
          <w:szCs w:val="20"/>
          <w:color w:val="auto"/>
        </w:rPr>
      </w:pPr>
      <w:r>
        <w:rPr>
          <w:rFonts w:ascii="Arial" w:cs="Arial" w:eastAsia="Arial" w:hAnsi="Arial"/>
          <w:sz w:val="18"/>
          <w:szCs w:val="18"/>
          <w:b w:val="1"/>
          <w:bCs w:val="1"/>
          <w:color w:val="auto"/>
        </w:rPr>
        <w:t>Notes to the Interim Condensed Consolidated and Combined Financial Statements (Unaudited) — (continued)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Fair Value (continued)</w:t>
      </w:r>
    </w:p>
    <w:p>
      <w:pPr>
        <w:spacing w:after="0" w:line="200" w:lineRule="exact"/>
        <w:rPr>
          <w:sz w:val="20"/>
          <w:szCs w:val="20"/>
          <w:color w:val="auto"/>
        </w:rPr>
      </w:pP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470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4180" w:type="dxa"/>
            <w:vAlign w:val="bottom"/>
            <w:tcBorders>
              <w:bottom w:val="single" w:sz="8" w:color="auto"/>
            </w:tcBorders>
            <w:gridSpan w:val="10"/>
          </w:tcPr>
          <w:p>
            <w:pPr>
              <w:jc w:val="center"/>
              <w:ind w:right="20"/>
              <w:spacing w:after="0"/>
              <w:rPr>
                <w:sz w:val="20"/>
                <w:szCs w:val="20"/>
                <w:color w:val="auto"/>
              </w:rPr>
            </w:pPr>
            <w:r>
              <w:rPr>
                <w:rFonts w:ascii="Arial" w:cs="Arial" w:eastAsia="Arial" w:hAnsi="Arial"/>
                <w:sz w:val="13"/>
                <w:szCs w:val="13"/>
                <w:b w:val="1"/>
                <w:bCs w:val="1"/>
                <w:color w:val="auto"/>
                <w:w w:val="87"/>
              </w:rPr>
              <w:t>Fair Value Measurements Using Significant Unobservable Inputs (Level 3)</w:t>
            </w:r>
          </w:p>
        </w:tc>
        <w:tc>
          <w:tcPr>
            <w:tcW w:w="10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4"/>
        </w:trPr>
        <w:tc>
          <w:tcPr>
            <w:tcW w:w="4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60" w:type="dxa"/>
            <w:vAlign w:val="bottom"/>
          </w:tcPr>
          <w:p>
            <w:pPr>
              <w:jc w:val="right"/>
              <w:ind w:right="390"/>
              <w:spacing w:after="0" w:line="144" w:lineRule="exact"/>
              <w:rPr>
                <w:sz w:val="20"/>
                <w:szCs w:val="20"/>
                <w:color w:val="auto"/>
              </w:rPr>
            </w:pPr>
            <w:r>
              <w:rPr>
                <w:rFonts w:ascii="Arial" w:cs="Arial" w:eastAsia="Arial" w:hAnsi="Arial"/>
                <w:sz w:val="13"/>
                <w:szCs w:val="13"/>
                <w:b w:val="1"/>
                <w:bCs w:val="1"/>
                <w:color w:val="auto"/>
              </w:rPr>
              <w:t>Equity</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gridSpan w:val="2"/>
          </w:tcPr>
          <w:p>
            <w:pPr>
              <w:jc w:val="center"/>
              <w:ind w:right="320"/>
              <w:spacing w:after="0" w:line="144" w:lineRule="exact"/>
              <w:rPr>
                <w:sz w:val="20"/>
                <w:szCs w:val="20"/>
                <w:color w:val="auto"/>
              </w:rPr>
            </w:pPr>
            <w:r>
              <w:rPr>
                <w:rFonts w:ascii="Arial" w:cs="Arial" w:eastAsia="Arial" w:hAnsi="Arial"/>
                <w:sz w:val="13"/>
                <w:szCs w:val="13"/>
                <w:b w:val="1"/>
                <w:bCs w:val="1"/>
                <w:color w:val="auto"/>
                <w:w w:val="90"/>
              </w:rPr>
              <w:t>Short-term</w:t>
            </w:r>
          </w:p>
        </w:tc>
        <w:tc>
          <w:tcPr>
            <w:tcW w:w="160" w:type="dxa"/>
            <w:vAlign w:val="bottom"/>
          </w:tcPr>
          <w:p>
            <w:pPr>
              <w:spacing w:after="0"/>
              <w:rPr>
                <w:sz w:val="12"/>
                <w:szCs w:val="12"/>
                <w:color w:val="auto"/>
              </w:rPr>
            </w:pPr>
          </w:p>
        </w:tc>
        <w:tc>
          <w:tcPr>
            <w:tcW w:w="1180" w:type="dxa"/>
            <w:vAlign w:val="bottom"/>
            <w:gridSpan w:val="2"/>
          </w:tcPr>
          <w:p>
            <w:pPr>
              <w:jc w:val="center"/>
              <w:ind w:right="260"/>
              <w:spacing w:after="0" w:line="144" w:lineRule="exact"/>
              <w:rPr>
                <w:sz w:val="20"/>
                <w:szCs w:val="20"/>
                <w:color w:val="auto"/>
              </w:rPr>
            </w:pPr>
            <w:r>
              <w:rPr>
                <w:rFonts w:ascii="Arial" w:cs="Arial" w:eastAsia="Arial" w:hAnsi="Arial"/>
                <w:sz w:val="13"/>
                <w:szCs w:val="13"/>
                <w:b w:val="1"/>
                <w:bCs w:val="1"/>
                <w:color w:val="auto"/>
                <w:w w:val="95"/>
              </w:rPr>
              <w:t>Net</w:t>
            </w:r>
          </w:p>
        </w:tc>
        <w:tc>
          <w:tcPr>
            <w:tcW w:w="160" w:type="dxa"/>
            <w:vAlign w:val="bottom"/>
          </w:tcPr>
          <w:p>
            <w:pPr>
              <w:spacing w:after="0"/>
              <w:rPr>
                <w:sz w:val="12"/>
                <w:szCs w:val="12"/>
                <w:color w:val="auto"/>
              </w:rPr>
            </w:pPr>
          </w:p>
        </w:tc>
        <w:tc>
          <w:tcPr>
            <w:tcW w:w="1200" w:type="dxa"/>
            <w:vAlign w:val="bottom"/>
            <w:gridSpan w:val="2"/>
          </w:tcPr>
          <w:p>
            <w:pPr>
              <w:ind w:left="60"/>
              <w:spacing w:after="0" w:line="144" w:lineRule="exact"/>
              <w:rPr>
                <w:sz w:val="20"/>
                <w:szCs w:val="20"/>
                <w:color w:val="auto"/>
              </w:rPr>
            </w:pPr>
            <w:r>
              <w:rPr>
                <w:rFonts w:ascii="Arial" w:cs="Arial" w:eastAsia="Arial" w:hAnsi="Arial"/>
                <w:sz w:val="13"/>
                <w:szCs w:val="13"/>
                <w:b w:val="1"/>
                <w:bCs w:val="1"/>
                <w:color w:val="auto"/>
              </w:rPr>
              <w:t>Net Embedded</w:t>
            </w:r>
          </w:p>
        </w:tc>
        <w:tc>
          <w:tcPr>
            <w:tcW w:w="100" w:type="dxa"/>
            <w:vAlign w:val="bottom"/>
          </w:tcPr>
          <w:p>
            <w:pPr>
              <w:spacing w:after="0"/>
              <w:rPr>
                <w:sz w:val="12"/>
                <w:szCs w:val="12"/>
                <w:color w:val="auto"/>
              </w:rPr>
            </w:pPr>
          </w:p>
        </w:tc>
        <w:tc>
          <w:tcPr>
            <w:tcW w:w="1140" w:type="dxa"/>
            <w:vAlign w:val="bottom"/>
          </w:tcPr>
          <w:p>
            <w:pPr>
              <w:jc w:val="right"/>
              <w:ind w:right="310"/>
              <w:spacing w:after="0" w:line="144" w:lineRule="exact"/>
              <w:rPr>
                <w:sz w:val="20"/>
                <w:szCs w:val="20"/>
                <w:color w:val="auto"/>
              </w:rPr>
            </w:pPr>
            <w:r>
              <w:rPr>
                <w:rFonts w:ascii="Arial" w:cs="Arial" w:eastAsia="Arial" w:hAnsi="Arial"/>
                <w:sz w:val="13"/>
                <w:szCs w:val="13"/>
                <w:b w:val="1"/>
                <w:bCs w:val="1"/>
                <w:color w:val="auto"/>
              </w:rPr>
              <w:t>Separate</w:t>
            </w:r>
          </w:p>
        </w:tc>
        <w:tc>
          <w:tcPr>
            <w:tcW w:w="0" w:type="dxa"/>
            <w:vAlign w:val="bottom"/>
          </w:tcPr>
          <w:p>
            <w:pPr>
              <w:spacing w:after="0"/>
              <w:rPr>
                <w:sz w:val="1"/>
                <w:szCs w:val="1"/>
                <w:color w:val="auto"/>
              </w:rPr>
            </w:pPr>
          </w:p>
        </w:tc>
      </w:tr>
      <w:tr>
        <w:trPr>
          <w:trHeight w:val="174"/>
        </w:trPr>
        <w:tc>
          <w:tcPr>
            <w:tcW w:w="470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310"/>
              <w:spacing w:after="0"/>
              <w:rPr>
                <w:sz w:val="20"/>
                <w:szCs w:val="20"/>
                <w:color w:val="auto"/>
              </w:rPr>
            </w:pPr>
            <w:r>
              <w:rPr>
                <w:rFonts w:ascii="Arial" w:cs="Arial" w:eastAsia="Arial" w:hAnsi="Arial"/>
                <w:sz w:val="13"/>
                <w:szCs w:val="13"/>
                <w:b w:val="1"/>
                <w:bCs w:val="1"/>
                <w:color w:val="auto"/>
              </w:rPr>
              <w:t>Securities</w:t>
            </w:r>
          </w:p>
        </w:tc>
        <w:tc>
          <w:tcPr>
            <w:tcW w:w="1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3"/>
                <w:szCs w:val="13"/>
                <w:b w:val="1"/>
                <w:bCs w:val="1"/>
                <w:color w:val="auto"/>
                <w:w w:val="84"/>
              </w:rPr>
              <w:t>Investments</w:t>
            </w:r>
          </w:p>
        </w:tc>
        <w:tc>
          <w:tcPr>
            <w:tcW w:w="16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3"/>
                <w:szCs w:val="13"/>
                <w:b w:val="1"/>
                <w:bCs w:val="1"/>
                <w:color w:val="auto"/>
                <w:w w:val="89"/>
              </w:rPr>
              <w:t>Derivatives (2)</w:t>
            </w:r>
          </w:p>
        </w:tc>
        <w:tc>
          <w:tcPr>
            <w:tcW w:w="1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gridSpan w:val="2"/>
          </w:tcPr>
          <w:p>
            <w:pPr>
              <w:ind w:left="80"/>
              <w:spacing w:after="0"/>
              <w:rPr>
                <w:sz w:val="20"/>
                <w:szCs w:val="20"/>
                <w:color w:val="auto"/>
              </w:rPr>
            </w:pPr>
            <w:r>
              <w:rPr>
                <w:rFonts w:ascii="Arial" w:cs="Arial" w:eastAsia="Arial" w:hAnsi="Arial"/>
                <w:sz w:val="13"/>
                <w:szCs w:val="13"/>
                <w:b w:val="1"/>
                <w:bCs w:val="1"/>
                <w:color w:val="auto"/>
              </w:rPr>
              <w:t>Derivatives (3)</w:t>
            </w:r>
          </w:p>
        </w:tc>
        <w:tc>
          <w:tcPr>
            <w:tcW w:w="10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50"/>
              <w:spacing w:after="0"/>
              <w:rPr>
                <w:sz w:val="20"/>
                <w:szCs w:val="20"/>
                <w:color w:val="auto"/>
              </w:rPr>
            </w:pPr>
            <w:r>
              <w:rPr>
                <w:rFonts w:ascii="Arial" w:cs="Arial" w:eastAsia="Arial" w:hAnsi="Arial"/>
                <w:sz w:val="13"/>
                <w:szCs w:val="13"/>
                <w:b w:val="1"/>
                <w:bCs w:val="1"/>
                <w:color w:val="auto"/>
                <w:w w:val="84"/>
              </w:rPr>
              <w:t>Account Assets (4)</w:t>
            </w:r>
          </w:p>
        </w:tc>
        <w:tc>
          <w:tcPr>
            <w:tcW w:w="0" w:type="dxa"/>
            <w:vAlign w:val="bottom"/>
          </w:tcPr>
          <w:p>
            <w:pPr>
              <w:spacing w:after="0"/>
              <w:rPr>
                <w:sz w:val="1"/>
                <w:szCs w:val="1"/>
                <w:color w:val="auto"/>
              </w:rPr>
            </w:pPr>
          </w:p>
        </w:tc>
      </w:tr>
      <w:tr>
        <w:trPr>
          <w:trHeight w:val="249"/>
        </w:trPr>
        <w:tc>
          <w:tcPr>
            <w:tcW w:w="47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gridSpan w:val="2"/>
          </w:tcPr>
          <w:p>
            <w:pPr>
              <w:jc w:val="center"/>
              <w:ind w:right="320"/>
              <w:spacing w:after="0"/>
              <w:rPr>
                <w:sz w:val="20"/>
                <w:szCs w:val="20"/>
                <w:color w:val="auto"/>
              </w:rPr>
            </w:pPr>
            <w:r>
              <w:rPr>
                <w:rFonts w:ascii="Arial" w:cs="Arial" w:eastAsia="Arial" w:hAnsi="Arial"/>
                <w:sz w:val="13"/>
                <w:szCs w:val="13"/>
                <w:b w:val="1"/>
                <w:bCs w:val="1"/>
                <w:color w:val="auto"/>
                <w:w w:val="90"/>
              </w:rPr>
              <w:t>(In millions)</w:t>
            </w:r>
          </w:p>
        </w:tc>
        <w:tc>
          <w:tcPr>
            <w:tcW w:w="1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8"/>
        </w:trPr>
        <w:tc>
          <w:tcPr>
            <w:tcW w:w="470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Nine Months Ended September 30, 2017</w:t>
            </w:r>
          </w:p>
        </w:tc>
        <w:tc>
          <w:tcPr>
            <w:tcW w:w="24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4700" w:type="dxa"/>
            <w:vAlign w:val="bottom"/>
          </w:tcPr>
          <w:p>
            <w:pPr>
              <w:ind w:left="40"/>
              <w:spacing w:after="0"/>
              <w:rPr>
                <w:sz w:val="20"/>
                <w:szCs w:val="20"/>
                <w:color w:val="auto"/>
              </w:rPr>
            </w:pPr>
            <w:r>
              <w:rPr>
                <w:rFonts w:ascii="Arial" w:cs="Arial" w:eastAsia="Arial" w:hAnsi="Arial"/>
                <w:sz w:val="14"/>
                <w:szCs w:val="14"/>
                <w:color w:val="auto"/>
              </w:rPr>
              <w:t>Balance, beginning of period</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70"/>
              <w:spacing w:after="0"/>
              <w:rPr>
                <w:sz w:val="20"/>
                <w:szCs w:val="20"/>
                <w:color w:val="auto"/>
              </w:rPr>
            </w:pPr>
            <w:r>
              <w:rPr>
                <w:rFonts w:ascii="Arial" w:cs="Arial" w:eastAsia="Arial" w:hAnsi="Arial"/>
                <w:sz w:val="14"/>
                <w:szCs w:val="14"/>
                <w:color w:val="auto"/>
              </w:rPr>
              <w:t>137</w:t>
            </w:r>
          </w:p>
        </w:tc>
        <w:tc>
          <w:tcPr>
            <w:tcW w:w="32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30"/>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(954)</w:t>
            </w:r>
          </w:p>
        </w:tc>
        <w:tc>
          <w:tcPr>
            <w:tcW w:w="10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(2,383)</w:t>
            </w:r>
          </w:p>
        </w:tc>
        <w:tc>
          <w:tcPr>
            <w:tcW w:w="12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30"/>
              <w:spacing w:after="0"/>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163"/>
        </w:trPr>
        <w:tc>
          <w:tcPr>
            <w:tcW w:w="4700" w:type="dxa"/>
            <w:vAlign w:val="bottom"/>
            <w:shd w:val="clear" w:color="auto" w:fill="CCEEFF"/>
          </w:tcPr>
          <w:p>
            <w:pPr>
              <w:ind w:left="40"/>
              <w:spacing w:after="0"/>
              <w:rPr>
                <w:sz w:val="20"/>
                <w:szCs w:val="20"/>
                <w:color w:val="auto"/>
              </w:rPr>
            </w:pPr>
            <w:r>
              <w:rPr>
                <w:rFonts w:ascii="Arial" w:cs="Arial" w:eastAsia="Arial" w:hAnsi="Arial"/>
                <w:sz w:val="14"/>
                <w:szCs w:val="14"/>
                <w:color w:val="auto"/>
              </w:rPr>
              <w:t>Total realized/unrealized gains (losses)</w:t>
            </w:r>
          </w:p>
        </w:tc>
        <w:tc>
          <w:tcPr>
            <w:tcW w:w="24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4700" w:type="dxa"/>
            <w:vAlign w:val="bottom"/>
            <w:shd w:val="clear" w:color="auto" w:fill="CCEEFF"/>
          </w:tcPr>
          <w:p>
            <w:pPr>
              <w:ind w:left="200"/>
              <w:spacing w:after="0"/>
              <w:rPr>
                <w:sz w:val="20"/>
                <w:szCs w:val="20"/>
                <w:color w:val="auto"/>
              </w:rPr>
            </w:pPr>
            <w:r>
              <w:rPr>
                <w:rFonts w:ascii="Arial" w:cs="Arial" w:eastAsia="Arial" w:hAnsi="Arial"/>
                <w:sz w:val="14"/>
                <w:szCs w:val="14"/>
                <w:color w:val="auto"/>
              </w:rPr>
              <w:t>included in net income (loss) (5) (6)</w:t>
            </w:r>
          </w:p>
        </w:tc>
        <w:tc>
          <w:tcPr>
            <w:tcW w:w="240" w:type="dxa"/>
            <w:vAlign w:val="bottom"/>
            <w:shd w:val="clear" w:color="auto" w:fill="CCEEFF"/>
          </w:tcPr>
          <w:p>
            <w:pPr>
              <w:spacing w:after="0"/>
              <w:rPr>
                <w:sz w:val="16"/>
                <w:szCs w:val="16"/>
                <w:color w:val="auto"/>
              </w:rPr>
            </w:pPr>
          </w:p>
        </w:tc>
        <w:tc>
          <w:tcPr>
            <w:tcW w:w="106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100</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883</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4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7"/>
        </w:trPr>
        <w:tc>
          <w:tcPr>
            <w:tcW w:w="4700" w:type="dxa"/>
            <w:vAlign w:val="bottom"/>
          </w:tcPr>
          <w:p>
            <w:pPr>
              <w:ind w:left="200"/>
              <w:spacing w:after="0" w:line="157" w:lineRule="exact"/>
              <w:rPr>
                <w:sz w:val="20"/>
                <w:szCs w:val="20"/>
                <w:color w:val="auto"/>
              </w:rPr>
            </w:pPr>
            <w:r>
              <w:rPr>
                <w:rFonts w:ascii="Arial" w:cs="Arial" w:eastAsia="Arial" w:hAnsi="Arial"/>
                <w:sz w:val="14"/>
                <w:szCs w:val="14"/>
                <w:color w:val="auto"/>
              </w:rPr>
              <w:t>Total realized/unrealized gains (losses)</w:t>
            </w:r>
          </w:p>
        </w:tc>
        <w:tc>
          <w:tcPr>
            <w:tcW w:w="2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4700" w:type="dxa"/>
            <w:vAlign w:val="bottom"/>
          </w:tcPr>
          <w:p>
            <w:pPr>
              <w:ind w:left="200"/>
              <w:spacing w:after="0"/>
              <w:rPr>
                <w:sz w:val="20"/>
                <w:szCs w:val="20"/>
                <w:color w:val="auto"/>
              </w:rPr>
            </w:pPr>
            <w:r>
              <w:rPr>
                <w:rFonts w:ascii="Arial" w:cs="Arial" w:eastAsia="Arial" w:hAnsi="Arial"/>
                <w:sz w:val="14"/>
                <w:szCs w:val="14"/>
                <w:color w:val="auto"/>
              </w:rPr>
              <w:t>included in AOCI</w:t>
            </w:r>
          </w:p>
        </w:tc>
        <w:tc>
          <w:tcPr>
            <w:tcW w:w="240" w:type="dxa"/>
            <w:vAlign w:val="bottom"/>
          </w:tcPr>
          <w:p>
            <w:pPr>
              <w:spacing w:after="0"/>
              <w:rPr>
                <w:sz w:val="16"/>
                <w:szCs w:val="16"/>
                <w:color w:val="auto"/>
              </w:rPr>
            </w:pPr>
          </w:p>
        </w:tc>
        <w:tc>
          <w:tcPr>
            <w:tcW w:w="1060" w:type="dxa"/>
            <w:vAlign w:val="bottom"/>
          </w:tcPr>
          <w:p>
            <w:pPr>
              <w:jc w:val="right"/>
              <w:ind w:right="70"/>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140" w:type="dxa"/>
            <w:vAlign w:val="bottom"/>
          </w:tcPr>
          <w:p>
            <w:pPr>
              <w:jc w:val="right"/>
              <w:ind w:right="3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7"/>
        </w:trPr>
        <w:tc>
          <w:tcPr>
            <w:tcW w:w="4700" w:type="dxa"/>
            <w:vAlign w:val="bottom"/>
            <w:shd w:val="clear" w:color="auto" w:fill="CCEEFF"/>
          </w:tcPr>
          <w:p>
            <w:pPr>
              <w:ind w:left="40"/>
              <w:spacing w:after="0"/>
              <w:rPr>
                <w:sz w:val="20"/>
                <w:szCs w:val="20"/>
                <w:color w:val="auto"/>
              </w:rPr>
            </w:pPr>
            <w:r>
              <w:rPr>
                <w:rFonts w:ascii="Arial" w:cs="Arial" w:eastAsia="Arial" w:hAnsi="Arial"/>
                <w:sz w:val="14"/>
                <w:szCs w:val="14"/>
                <w:color w:val="auto"/>
              </w:rPr>
              <w:t>Purchases (7)</w:t>
            </w:r>
          </w:p>
        </w:tc>
        <w:tc>
          <w:tcPr>
            <w:tcW w:w="240" w:type="dxa"/>
            <w:vAlign w:val="bottom"/>
            <w:shd w:val="clear" w:color="auto" w:fill="CCEEFF"/>
          </w:tcPr>
          <w:p>
            <w:pPr>
              <w:spacing w:after="0"/>
              <w:rPr>
                <w:sz w:val="17"/>
                <w:szCs w:val="17"/>
                <w:color w:val="auto"/>
              </w:rPr>
            </w:pPr>
          </w:p>
        </w:tc>
        <w:tc>
          <w:tcPr>
            <w:tcW w:w="1060" w:type="dxa"/>
            <w:vAlign w:val="bottom"/>
            <w:vMerge w:val="restart"/>
            <w:shd w:val="clear" w:color="auto" w:fill="CCEEFF"/>
          </w:tcPr>
          <w:p>
            <w:pPr>
              <w:jc w:val="right"/>
              <w:ind w:right="70"/>
              <w:spacing w:after="0"/>
              <w:rPr>
                <w:sz w:val="20"/>
                <w:szCs w:val="20"/>
                <w:color w:val="auto"/>
              </w:rPr>
            </w:pPr>
            <w:r>
              <w:rPr>
                <w:rFonts w:ascii="Arial" w:cs="Arial" w:eastAsia="Arial" w:hAnsi="Arial"/>
                <w:sz w:val="14"/>
                <w:szCs w:val="14"/>
                <w:color w:val="auto"/>
              </w:rPr>
              <w:t>4</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6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1080" w:type="dxa"/>
            <w:vAlign w:val="bottom"/>
            <w:vMerge w:val="restart"/>
            <w:shd w:val="clear" w:color="auto" w:fill="CCEEFF"/>
          </w:tcPr>
          <w:p>
            <w:pPr>
              <w:jc w:val="right"/>
              <w:ind w:right="30"/>
              <w:spacing w:after="0"/>
              <w:rPr>
                <w:sz w:val="20"/>
                <w:szCs w:val="20"/>
                <w:color w:val="auto"/>
              </w:rPr>
            </w:pPr>
            <w:r>
              <w:rPr>
                <w:rFonts w:ascii="Arial" w:cs="Arial" w:eastAsia="Arial" w:hAnsi="Arial"/>
                <w:sz w:val="14"/>
                <w:szCs w:val="14"/>
                <w:color w:val="auto"/>
              </w:rPr>
              <w:t>4</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1140" w:type="dxa"/>
            <w:vAlign w:val="bottom"/>
            <w:vMerge w:val="restart"/>
            <w:shd w:val="clear" w:color="auto" w:fill="CCEEFF"/>
          </w:tcPr>
          <w:p>
            <w:pPr>
              <w:jc w:val="right"/>
              <w:ind w:right="30"/>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80"/>
        </w:trPr>
        <w:tc>
          <w:tcPr>
            <w:tcW w:w="470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106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1160" w:type="dxa"/>
            <w:vAlign w:val="bottom"/>
            <w:gridSpan w:val="2"/>
            <w:vMerge w:val="continue"/>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08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200" w:type="dxa"/>
            <w:vAlign w:val="bottom"/>
            <w:gridSpan w:val="2"/>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14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4700" w:type="dxa"/>
            <w:vAlign w:val="bottom"/>
          </w:tcPr>
          <w:p>
            <w:pPr>
              <w:ind w:left="40"/>
              <w:spacing w:after="0"/>
              <w:rPr>
                <w:sz w:val="20"/>
                <w:szCs w:val="20"/>
                <w:color w:val="auto"/>
              </w:rPr>
            </w:pPr>
            <w:r>
              <w:rPr>
                <w:rFonts w:ascii="Arial" w:cs="Arial" w:eastAsia="Arial" w:hAnsi="Arial"/>
                <w:sz w:val="14"/>
                <w:szCs w:val="14"/>
                <w:color w:val="auto"/>
              </w:rPr>
              <w:t>Sales (7)</w:t>
            </w:r>
          </w:p>
        </w:tc>
        <w:tc>
          <w:tcPr>
            <w:tcW w:w="240" w:type="dxa"/>
            <w:vAlign w:val="bottom"/>
          </w:tcPr>
          <w:p>
            <w:pPr>
              <w:spacing w:after="0"/>
              <w:rPr>
                <w:sz w:val="16"/>
                <w:szCs w:val="16"/>
                <w:color w:val="auto"/>
              </w:rPr>
            </w:pPr>
          </w:p>
        </w:tc>
        <w:tc>
          <w:tcPr>
            <w:tcW w:w="1060" w:type="dxa"/>
            <w:vAlign w:val="bottom"/>
            <w:vMerge w:val="restart"/>
          </w:tcPr>
          <w:p>
            <w:pPr>
              <w:jc w:val="right"/>
              <w:ind w:right="10"/>
              <w:spacing w:after="0"/>
              <w:rPr>
                <w:sz w:val="20"/>
                <w:szCs w:val="20"/>
                <w:color w:val="auto"/>
              </w:rPr>
            </w:pPr>
            <w:r>
              <w:rPr>
                <w:rFonts w:ascii="Arial" w:cs="Arial" w:eastAsia="Arial" w:hAnsi="Arial"/>
                <w:sz w:val="14"/>
                <w:szCs w:val="14"/>
                <w:color w:val="auto"/>
              </w:rPr>
              <w:t>(13)</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6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118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12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140" w:type="dxa"/>
            <w:vAlign w:val="bottom"/>
            <w:vMerge w:val="restart"/>
          </w:tcPr>
          <w:p>
            <w:pPr>
              <w:jc w:val="right"/>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74"/>
        </w:trPr>
        <w:tc>
          <w:tcPr>
            <w:tcW w:w="4700" w:type="dxa"/>
            <w:vAlign w:val="bottom"/>
          </w:tcPr>
          <w:p>
            <w:pPr>
              <w:spacing w:after="0"/>
              <w:rPr>
                <w:sz w:val="6"/>
                <w:szCs w:val="6"/>
                <w:color w:val="auto"/>
              </w:rPr>
            </w:pPr>
          </w:p>
        </w:tc>
        <w:tc>
          <w:tcPr>
            <w:tcW w:w="240" w:type="dxa"/>
            <w:vAlign w:val="bottom"/>
          </w:tcPr>
          <w:p>
            <w:pPr>
              <w:spacing w:after="0"/>
              <w:rPr>
                <w:sz w:val="6"/>
                <w:szCs w:val="6"/>
                <w:color w:val="auto"/>
              </w:rPr>
            </w:pPr>
          </w:p>
        </w:tc>
        <w:tc>
          <w:tcPr>
            <w:tcW w:w="106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200" w:type="dxa"/>
            <w:vAlign w:val="bottom"/>
          </w:tcPr>
          <w:p>
            <w:pPr>
              <w:spacing w:after="0"/>
              <w:rPr>
                <w:sz w:val="6"/>
                <w:szCs w:val="6"/>
                <w:color w:val="auto"/>
              </w:rPr>
            </w:pPr>
          </w:p>
        </w:tc>
        <w:tc>
          <w:tcPr>
            <w:tcW w:w="116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118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11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4700" w:type="dxa"/>
            <w:vAlign w:val="bottom"/>
            <w:shd w:val="clear" w:color="auto" w:fill="CCEEFF"/>
          </w:tcPr>
          <w:p>
            <w:pPr>
              <w:ind w:left="40"/>
              <w:spacing w:after="0"/>
              <w:rPr>
                <w:sz w:val="20"/>
                <w:szCs w:val="20"/>
                <w:color w:val="auto"/>
              </w:rPr>
            </w:pPr>
            <w:r>
              <w:rPr>
                <w:rFonts w:ascii="Arial" w:cs="Arial" w:eastAsia="Arial" w:hAnsi="Arial"/>
                <w:sz w:val="14"/>
                <w:szCs w:val="14"/>
                <w:color w:val="auto"/>
              </w:rPr>
              <w:t>Issuances (7)</w:t>
            </w:r>
          </w:p>
        </w:tc>
        <w:tc>
          <w:tcPr>
            <w:tcW w:w="240" w:type="dxa"/>
            <w:vAlign w:val="bottom"/>
            <w:shd w:val="clear" w:color="auto" w:fill="CCEEFF"/>
          </w:tcPr>
          <w:p>
            <w:pPr>
              <w:spacing w:after="0"/>
              <w:rPr>
                <w:sz w:val="17"/>
                <w:szCs w:val="17"/>
                <w:color w:val="auto"/>
              </w:rPr>
            </w:pPr>
          </w:p>
        </w:tc>
        <w:tc>
          <w:tcPr>
            <w:tcW w:w="1060" w:type="dxa"/>
            <w:vAlign w:val="bottom"/>
            <w:vMerge w:val="restart"/>
            <w:shd w:val="clear" w:color="auto" w:fill="CCEEFF"/>
          </w:tcPr>
          <w:p>
            <w:pPr>
              <w:jc w:val="right"/>
              <w:ind w:right="7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6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118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12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1140" w:type="dxa"/>
            <w:vAlign w:val="bottom"/>
            <w:vMerge w:val="restart"/>
            <w:shd w:val="clear" w:color="auto" w:fill="CCEEFF"/>
          </w:tcPr>
          <w:p>
            <w:pPr>
              <w:jc w:val="right"/>
              <w:ind w:right="3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80"/>
        </w:trPr>
        <w:tc>
          <w:tcPr>
            <w:tcW w:w="470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106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1160" w:type="dxa"/>
            <w:vAlign w:val="bottom"/>
            <w:gridSpan w:val="2"/>
            <w:vMerge w:val="continue"/>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180" w:type="dxa"/>
            <w:vAlign w:val="bottom"/>
            <w:gridSpan w:val="2"/>
            <w:vMerge w:val="continue"/>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200" w:type="dxa"/>
            <w:vAlign w:val="bottom"/>
            <w:gridSpan w:val="2"/>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14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4700" w:type="dxa"/>
            <w:vAlign w:val="bottom"/>
          </w:tcPr>
          <w:p>
            <w:pPr>
              <w:ind w:left="40"/>
              <w:spacing w:after="0"/>
              <w:rPr>
                <w:sz w:val="20"/>
                <w:szCs w:val="20"/>
                <w:color w:val="auto"/>
              </w:rPr>
            </w:pPr>
            <w:r>
              <w:rPr>
                <w:rFonts w:ascii="Arial" w:cs="Arial" w:eastAsia="Arial" w:hAnsi="Arial"/>
                <w:sz w:val="14"/>
                <w:szCs w:val="14"/>
                <w:color w:val="auto"/>
              </w:rPr>
              <w:t>Settlements (7)</w:t>
            </w:r>
          </w:p>
        </w:tc>
        <w:tc>
          <w:tcPr>
            <w:tcW w:w="240" w:type="dxa"/>
            <w:vAlign w:val="bottom"/>
          </w:tcPr>
          <w:p>
            <w:pPr>
              <w:spacing w:after="0"/>
              <w:rPr>
                <w:sz w:val="16"/>
                <w:szCs w:val="16"/>
                <w:color w:val="auto"/>
              </w:rPr>
            </w:pPr>
          </w:p>
        </w:tc>
        <w:tc>
          <w:tcPr>
            <w:tcW w:w="1060" w:type="dxa"/>
            <w:vAlign w:val="bottom"/>
            <w:vMerge w:val="restart"/>
          </w:tcPr>
          <w:p>
            <w:pPr>
              <w:jc w:val="right"/>
              <w:ind w:right="7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6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1080" w:type="dxa"/>
            <w:vAlign w:val="bottom"/>
            <w:vMerge w:val="restart"/>
          </w:tcPr>
          <w:p>
            <w:pPr>
              <w:jc w:val="right"/>
              <w:ind w:right="30"/>
              <w:spacing w:after="0"/>
              <w:rPr>
                <w:sz w:val="20"/>
                <w:szCs w:val="20"/>
                <w:color w:val="auto"/>
              </w:rPr>
            </w:pPr>
            <w:r>
              <w:rPr>
                <w:rFonts w:ascii="Arial" w:cs="Arial" w:eastAsia="Arial" w:hAnsi="Arial"/>
                <w:sz w:val="14"/>
                <w:szCs w:val="14"/>
                <w:color w:val="auto"/>
              </w:rPr>
              <w:t>444</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vMerge w:val="restart"/>
          </w:tcPr>
          <w:p>
            <w:pPr>
              <w:jc w:val="right"/>
              <w:spacing w:after="0"/>
              <w:rPr>
                <w:sz w:val="20"/>
                <w:szCs w:val="20"/>
                <w:color w:val="auto"/>
              </w:rPr>
            </w:pPr>
            <w:r>
              <w:rPr>
                <w:rFonts w:ascii="Arial" w:cs="Arial" w:eastAsia="Arial" w:hAnsi="Arial"/>
                <w:sz w:val="14"/>
                <w:szCs w:val="14"/>
                <w:color w:val="auto"/>
              </w:rPr>
              <w:t>(210)</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vMerge w:val="restart"/>
          </w:tcPr>
          <w:p>
            <w:pPr>
              <w:jc w:val="right"/>
              <w:ind w:right="3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74"/>
        </w:trPr>
        <w:tc>
          <w:tcPr>
            <w:tcW w:w="4700" w:type="dxa"/>
            <w:vAlign w:val="bottom"/>
          </w:tcPr>
          <w:p>
            <w:pPr>
              <w:spacing w:after="0"/>
              <w:rPr>
                <w:sz w:val="6"/>
                <w:szCs w:val="6"/>
                <w:color w:val="auto"/>
              </w:rPr>
            </w:pPr>
          </w:p>
        </w:tc>
        <w:tc>
          <w:tcPr>
            <w:tcW w:w="240" w:type="dxa"/>
            <w:vAlign w:val="bottom"/>
          </w:tcPr>
          <w:p>
            <w:pPr>
              <w:spacing w:after="0"/>
              <w:rPr>
                <w:sz w:val="6"/>
                <w:szCs w:val="6"/>
                <w:color w:val="auto"/>
              </w:rPr>
            </w:pPr>
          </w:p>
        </w:tc>
        <w:tc>
          <w:tcPr>
            <w:tcW w:w="106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200" w:type="dxa"/>
            <w:vAlign w:val="bottom"/>
          </w:tcPr>
          <w:p>
            <w:pPr>
              <w:spacing w:after="0"/>
              <w:rPr>
                <w:sz w:val="6"/>
                <w:szCs w:val="6"/>
                <w:color w:val="auto"/>
              </w:rPr>
            </w:pPr>
          </w:p>
        </w:tc>
        <w:tc>
          <w:tcPr>
            <w:tcW w:w="116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108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1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4700" w:type="dxa"/>
            <w:vAlign w:val="bottom"/>
            <w:shd w:val="clear" w:color="auto" w:fill="CCEEFF"/>
          </w:tcPr>
          <w:p>
            <w:pPr>
              <w:ind w:left="40"/>
              <w:spacing w:after="0"/>
              <w:rPr>
                <w:sz w:val="20"/>
                <w:szCs w:val="20"/>
                <w:color w:val="auto"/>
              </w:rPr>
            </w:pPr>
            <w:r>
              <w:rPr>
                <w:rFonts w:ascii="Arial" w:cs="Arial" w:eastAsia="Arial" w:hAnsi="Arial"/>
                <w:sz w:val="14"/>
                <w:szCs w:val="14"/>
                <w:color w:val="auto"/>
              </w:rPr>
              <w:t>Transfers into Level 3 (8)</w:t>
            </w:r>
          </w:p>
        </w:tc>
        <w:tc>
          <w:tcPr>
            <w:tcW w:w="240" w:type="dxa"/>
            <w:vAlign w:val="bottom"/>
            <w:shd w:val="clear" w:color="auto" w:fill="CCEEFF"/>
          </w:tcPr>
          <w:p>
            <w:pPr>
              <w:spacing w:after="0"/>
              <w:rPr>
                <w:sz w:val="17"/>
                <w:szCs w:val="17"/>
                <w:color w:val="auto"/>
              </w:rPr>
            </w:pPr>
          </w:p>
        </w:tc>
        <w:tc>
          <w:tcPr>
            <w:tcW w:w="1060" w:type="dxa"/>
            <w:vAlign w:val="bottom"/>
            <w:vMerge w:val="restart"/>
            <w:shd w:val="clear" w:color="auto" w:fill="CCEEFF"/>
          </w:tcPr>
          <w:p>
            <w:pPr>
              <w:jc w:val="right"/>
              <w:ind w:right="7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6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118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12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1140" w:type="dxa"/>
            <w:vAlign w:val="bottom"/>
            <w:vMerge w:val="restart"/>
            <w:shd w:val="clear" w:color="auto" w:fill="CCEEFF"/>
          </w:tcPr>
          <w:p>
            <w:pPr>
              <w:jc w:val="right"/>
              <w:ind w:right="30"/>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80"/>
        </w:trPr>
        <w:tc>
          <w:tcPr>
            <w:tcW w:w="470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106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1160" w:type="dxa"/>
            <w:vAlign w:val="bottom"/>
            <w:gridSpan w:val="2"/>
            <w:vMerge w:val="continue"/>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180" w:type="dxa"/>
            <w:vAlign w:val="bottom"/>
            <w:gridSpan w:val="2"/>
            <w:vMerge w:val="continue"/>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200" w:type="dxa"/>
            <w:vAlign w:val="bottom"/>
            <w:gridSpan w:val="2"/>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14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4700" w:type="dxa"/>
            <w:vAlign w:val="bottom"/>
          </w:tcPr>
          <w:p>
            <w:pPr>
              <w:ind w:left="40"/>
              <w:spacing w:after="0"/>
              <w:rPr>
                <w:sz w:val="20"/>
                <w:szCs w:val="20"/>
                <w:color w:val="auto"/>
              </w:rPr>
            </w:pPr>
            <w:r>
              <w:rPr>
                <w:rFonts w:ascii="Arial" w:cs="Arial" w:eastAsia="Arial" w:hAnsi="Arial"/>
                <w:sz w:val="14"/>
                <w:szCs w:val="14"/>
                <w:color w:val="auto"/>
              </w:rPr>
              <w:t>Transfers out of Level 3 (8)</w:t>
            </w:r>
          </w:p>
        </w:tc>
        <w:tc>
          <w:tcPr>
            <w:tcW w:w="240" w:type="dxa"/>
            <w:vAlign w:val="bottom"/>
          </w:tcPr>
          <w:p>
            <w:pPr>
              <w:spacing w:after="0"/>
              <w:rPr>
                <w:sz w:val="16"/>
                <w:szCs w:val="16"/>
                <w:color w:val="auto"/>
              </w:rPr>
            </w:pPr>
          </w:p>
        </w:tc>
        <w:tc>
          <w:tcPr>
            <w:tcW w:w="1060" w:type="dxa"/>
            <w:vAlign w:val="bottom"/>
            <w:vMerge w:val="restart"/>
          </w:tcPr>
          <w:p>
            <w:pPr>
              <w:jc w:val="right"/>
              <w:ind w:right="7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vMerge w:val="restart"/>
          </w:tcPr>
          <w:p>
            <w:pPr>
              <w:jc w:val="right"/>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vMerge w:val="restart"/>
          </w:tcPr>
          <w:p>
            <w:pPr>
              <w:jc w:val="right"/>
              <w:ind w:right="30"/>
              <w:spacing w:after="0"/>
              <w:rPr>
                <w:sz w:val="20"/>
                <w:szCs w:val="20"/>
                <w:color w:val="auto"/>
              </w:rPr>
            </w:pPr>
            <w:r>
              <w:rPr>
                <w:rFonts w:ascii="Arial" w:cs="Arial" w:eastAsia="Arial" w:hAnsi="Arial"/>
                <w:sz w:val="14"/>
                <w:szCs w:val="14"/>
                <w:color w:val="auto"/>
              </w:rPr>
              <w:t>—</w:t>
            </w:r>
          </w:p>
        </w:tc>
        <w:tc>
          <w:tcPr>
            <w:tcW w:w="100" w:type="dxa"/>
            <w:vAlign w:val="bottom"/>
            <w:vMerge w:val="restart"/>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vMerge w:val="restart"/>
          </w:tcPr>
          <w:p>
            <w:pPr>
              <w:jc w:val="right"/>
              <w:ind w:right="30"/>
              <w:spacing w:after="0"/>
              <w:rPr>
                <w:sz w:val="20"/>
                <w:szCs w:val="20"/>
                <w:color w:val="auto"/>
              </w:rPr>
            </w:pPr>
            <w:r>
              <w:rPr>
                <w:rFonts w:ascii="Arial" w:cs="Arial" w:eastAsia="Arial" w:hAnsi="Arial"/>
                <w:sz w:val="14"/>
                <w:szCs w:val="14"/>
                <w:color w:val="auto"/>
              </w:rPr>
              <w:t>—</w:t>
            </w:r>
          </w:p>
        </w:tc>
        <w:tc>
          <w:tcPr>
            <w:tcW w:w="120" w:type="dxa"/>
            <w:vAlign w:val="bottom"/>
            <w:vMerge w:val="restart"/>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vMerge w:val="restart"/>
          </w:tcPr>
          <w:p>
            <w:pPr>
              <w:jc w:val="right"/>
              <w:spacing w:after="0"/>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74"/>
        </w:trPr>
        <w:tc>
          <w:tcPr>
            <w:tcW w:w="4700" w:type="dxa"/>
            <w:vAlign w:val="bottom"/>
            <w:tcBorders>
              <w:bottom w:val="single" w:sz="8" w:color="CCEEFF"/>
            </w:tcBorders>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106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104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108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vMerge w:val="continue"/>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108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vMerge w:val="continue"/>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114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4700" w:type="dxa"/>
            <w:vAlign w:val="bottom"/>
            <w:shd w:val="clear" w:color="auto" w:fill="CCEEFF"/>
          </w:tcPr>
          <w:p>
            <w:pPr>
              <w:ind w:left="40"/>
              <w:spacing w:after="0"/>
              <w:rPr>
                <w:sz w:val="20"/>
                <w:szCs w:val="20"/>
                <w:color w:val="auto"/>
              </w:rPr>
            </w:pPr>
            <w:r>
              <w:rPr>
                <w:rFonts w:ascii="Arial" w:cs="Arial" w:eastAsia="Arial" w:hAnsi="Arial"/>
                <w:sz w:val="14"/>
                <w:szCs w:val="14"/>
                <w:color w:val="auto"/>
              </w:rPr>
              <w:t>Balance, end of period</w:t>
            </w:r>
          </w:p>
        </w:tc>
        <w:tc>
          <w:tcPr>
            <w:tcW w:w="24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060" w:type="dxa"/>
            <w:vAlign w:val="bottom"/>
            <w:vMerge w:val="restart"/>
            <w:shd w:val="clear" w:color="auto" w:fill="CCEEFF"/>
          </w:tcPr>
          <w:p>
            <w:pPr>
              <w:jc w:val="right"/>
              <w:ind w:right="70"/>
              <w:spacing w:after="0"/>
              <w:rPr>
                <w:sz w:val="20"/>
                <w:szCs w:val="20"/>
                <w:color w:val="auto"/>
              </w:rPr>
            </w:pPr>
            <w:r>
              <w:rPr>
                <w:rFonts w:ascii="Arial" w:cs="Arial" w:eastAsia="Arial" w:hAnsi="Arial"/>
                <w:sz w:val="14"/>
                <w:szCs w:val="14"/>
                <w:color w:val="auto"/>
              </w:rPr>
              <w:t>130</w:t>
            </w:r>
          </w:p>
        </w:tc>
        <w:tc>
          <w:tcPr>
            <w:tcW w:w="32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040" w:type="dxa"/>
            <w:vAlign w:val="bottom"/>
            <w:vMerge w:val="restart"/>
            <w:shd w:val="clear" w:color="auto" w:fill="CCEEFF"/>
          </w:tcPr>
          <w:p>
            <w:pPr>
              <w:jc w:val="right"/>
              <w:ind w:right="30"/>
              <w:spacing w:after="0"/>
              <w:rPr>
                <w:sz w:val="20"/>
                <w:szCs w:val="20"/>
                <w:color w:val="auto"/>
              </w:rPr>
            </w:pPr>
            <w:r>
              <w:rPr>
                <w:rFonts w:ascii="Arial" w:cs="Arial" w:eastAsia="Arial" w:hAnsi="Arial"/>
                <w:sz w:val="14"/>
                <w:szCs w:val="14"/>
                <w:color w:val="auto"/>
              </w:rPr>
              <w:t>1</w:t>
            </w:r>
          </w:p>
        </w:tc>
        <w:tc>
          <w:tcPr>
            <w:tcW w:w="120" w:type="dxa"/>
            <w:vAlign w:val="bottom"/>
            <w:shd w:val="clear" w:color="auto" w:fill="CCEEFF"/>
          </w:tcPr>
          <w:p>
            <w:pPr>
              <w:spacing w:after="0"/>
              <w:rPr>
                <w:sz w:val="15"/>
                <w:szCs w:val="15"/>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(406)</w:t>
            </w:r>
          </w:p>
        </w:tc>
        <w:tc>
          <w:tcPr>
            <w:tcW w:w="100" w:type="dxa"/>
            <w:vAlign w:val="bottom"/>
            <w:shd w:val="clear" w:color="auto" w:fill="CCEEFF"/>
          </w:tcPr>
          <w:p>
            <w:pPr>
              <w:spacing w:after="0"/>
              <w:rPr>
                <w:sz w:val="15"/>
                <w:szCs w:val="15"/>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(1,710)</w:t>
            </w:r>
          </w:p>
        </w:tc>
        <w:tc>
          <w:tcPr>
            <w:tcW w:w="120" w:type="dxa"/>
            <w:vAlign w:val="bottom"/>
            <w:shd w:val="clear" w:color="auto" w:fill="CCEEFF"/>
          </w:tcPr>
          <w:p>
            <w:pPr>
              <w:spacing w:after="0"/>
              <w:rPr>
                <w:sz w:val="15"/>
                <w:szCs w:val="15"/>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40" w:type="dxa"/>
            <w:vAlign w:val="bottom"/>
            <w:vMerge w:val="restart"/>
            <w:shd w:val="clear" w:color="auto" w:fill="CCEEFF"/>
          </w:tcPr>
          <w:p>
            <w:pPr>
              <w:jc w:val="right"/>
              <w:ind w:right="30"/>
              <w:spacing w:after="0"/>
              <w:rPr>
                <w:sz w:val="20"/>
                <w:szCs w:val="20"/>
                <w:color w:val="auto"/>
              </w:rPr>
            </w:pPr>
            <w:r>
              <w:rPr>
                <w:rFonts w:ascii="Arial" w:cs="Arial" w:eastAsia="Arial" w:hAnsi="Arial"/>
                <w:sz w:val="14"/>
                <w:szCs w:val="14"/>
                <w:color w:val="auto"/>
              </w:rPr>
              <w:t>6</w:t>
            </w:r>
          </w:p>
        </w:tc>
        <w:tc>
          <w:tcPr>
            <w:tcW w:w="0" w:type="dxa"/>
            <w:vAlign w:val="bottom"/>
          </w:tcPr>
          <w:p>
            <w:pPr>
              <w:spacing w:after="0"/>
              <w:rPr>
                <w:sz w:val="1"/>
                <w:szCs w:val="1"/>
                <w:color w:val="auto"/>
              </w:rPr>
            </w:pPr>
          </w:p>
        </w:tc>
      </w:tr>
      <w:tr>
        <w:trPr>
          <w:trHeight w:val="60"/>
        </w:trPr>
        <w:tc>
          <w:tcPr>
            <w:tcW w:w="4700" w:type="dxa"/>
            <w:vAlign w:val="bottom"/>
            <w:shd w:val="clear" w:color="auto" w:fill="CCEEFF"/>
          </w:tcPr>
          <w:p>
            <w:pPr>
              <w:spacing w:after="0"/>
              <w:rPr>
                <w:sz w:val="5"/>
                <w:szCs w:val="5"/>
                <w:color w:val="auto"/>
              </w:rPr>
            </w:pPr>
          </w:p>
        </w:tc>
        <w:tc>
          <w:tcPr>
            <w:tcW w:w="240" w:type="dxa"/>
            <w:vAlign w:val="bottom"/>
            <w:vMerge w:val="continue"/>
            <w:shd w:val="clear" w:color="auto" w:fill="CCEEFF"/>
          </w:tcPr>
          <w:p>
            <w:pPr>
              <w:spacing w:after="0"/>
              <w:rPr>
                <w:sz w:val="5"/>
                <w:szCs w:val="5"/>
                <w:color w:val="auto"/>
              </w:rPr>
            </w:pPr>
          </w:p>
        </w:tc>
        <w:tc>
          <w:tcPr>
            <w:tcW w:w="1060" w:type="dxa"/>
            <w:vAlign w:val="bottom"/>
            <w:vMerge w:val="continue"/>
            <w:shd w:val="clear" w:color="auto" w:fill="CCEEFF"/>
          </w:tcPr>
          <w:p>
            <w:pPr>
              <w:spacing w:after="0"/>
              <w:rPr>
                <w:sz w:val="5"/>
                <w:szCs w:val="5"/>
                <w:color w:val="auto"/>
              </w:rPr>
            </w:pPr>
          </w:p>
        </w:tc>
        <w:tc>
          <w:tcPr>
            <w:tcW w:w="320" w:type="dxa"/>
            <w:vAlign w:val="bottom"/>
            <w:gridSpan w:val="2"/>
            <w:vMerge w:val="continue"/>
            <w:shd w:val="clear" w:color="auto" w:fill="CCEEFF"/>
          </w:tcPr>
          <w:p>
            <w:pPr>
              <w:spacing w:after="0"/>
              <w:rPr>
                <w:sz w:val="5"/>
                <w:szCs w:val="5"/>
                <w:color w:val="auto"/>
              </w:rPr>
            </w:pPr>
          </w:p>
        </w:tc>
        <w:tc>
          <w:tcPr>
            <w:tcW w:w="104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60" w:type="dxa"/>
            <w:vAlign w:val="bottom"/>
            <w:vMerge w:val="continue"/>
            <w:shd w:val="clear" w:color="auto" w:fill="CCEEFF"/>
          </w:tcPr>
          <w:p>
            <w:pPr>
              <w:spacing w:after="0"/>
              <w:rPr>
                <w:sz w:val="5"/>
                <w:szCs w:val="5"/>
                <w:color w:val="auto"/>
              </w:rPr>
            </w:pPr>
          </w:p>
        </w:tc>
        <w:tc>
          <w:tcPr>
            <w:tcW w:w="108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60" w:type="dxa"/>
            <w:vAlign w:val="bottom"/>
            <w:vMerge w:val="continue"/>
            <w:shd w:val="clear" w:color="auto" w:fill="CCEEFF"/>
          </w:tcPr>
          <w:p>
            <w:pPr>
              <w:spacing w:after="0"/>
              <w:rPr>
                <w:sz w:val="5"/>
                <w:szCs w:val="5"/>
                <w:color w:val="auto"/>
              </w:rPr>
            </w:pPr>
          </w:p>
        </w:tc>
        <w:tc>
          <w:tcPr>
            <w:tcW w:w="108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00" w:type="dxa"/>
            <w:vAlign w:val="bottom"/>
            <w:vMerge w:val="continue"/>
            <w:shd w:val="clear" w:color="auto" w:fill="CCEEFF"/>
          </w:tcPr>
          <w:p>
            <w:pPr>
              <w:spacing w:after="0"/>
              <w:rPr>
                <w:sz w:val="5"/>
                <w:szCs w:val="5"/>
                <w:color w:val="auto"/>
              </w:rPr>
            </w:pPr>
          </w:p>
        </w:tc>
        <w:tc>
          <w:tcPr>
            <w:tcW w:w="114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2"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Nine Months Ended September 30,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17145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ectPr>
          <w:pgSz w:w="11900" w:h="16838" w:orient="portrait"/>
          <w:cols w:equalWidth="0" w:num="1">
            <w:col w:w="11420"/>
          </w:cols>
          <w:pgMar w:left="240" w:top="288" w:right="239" w:bottom="1440" w:gutter="0" w:footer="0" w:header="0"/>
        </w:sectPr>
      </w:pPr>
    </w:p>
    <w:p>
      <w:pPr>
        <w:spacing w:after="0" w:line="46" w:lineRule="exact"/>
        <w:rPr>
          <w:sz w:val="20"/>
          <w:szCs w:val="20"/>
          <w:color w:val="auto"/>
        </w:rPr>
      </w:pPr>
    </w:p>
    <w:p>
      <w:pPr>
        <w:ind w:left="40"/>
        <w:spacing w:after="0"/>
        <w:rPr>
          <w:sz w:val="20"/>
          <w:szCs w:val="20"/>
          <w:color w:val="auto"/>
        </w:rPr>
      </w:pPr>
      <w:r>
        <w:rPr>
          <w:rFonts w:ascii="Arial" w:cs="Arial" w:eastAsia="Arial" w:hAnsi="Arial"/>
          <w:sz w:val="14"/>
          <w:szCs w:val="14"/>
          <w:color w:val="auto"/>
        </w:rPr>
        <w:t>Balance, beginning of period</w:t>
      </w:r>
    </w:p>
    <w:p>
      <w:pPr>
        <w:spacing w:after="0" w:line="109" w:lineRule="exact"/>
        <w:rPr>
          <w:sz w:val="20"/>
          <w:szCs w:val="20"/>
          <w:color w:val="auto"/>
        </w:rPr>
      </w:pPr>
    </w:p>
    <w:p>
      <w:pPr>
        <w:jc w:val="right"/>
        <w:ind w:right="1700"/>
        <w:spacing w:after="0"/>
        <w:rPr>
          <w:sz w:val="20"/>
          <w:szCs w:val="20"/>
          <w:color w:val="auto"/>
        </w:rPr>
      </w:pPr>
      <w:r>
        <w:rPr>
          <w:rFonts w:ascii="Arial" w:cs="Arial" w:eastAsia="Arial" w:hAnsi="Arial"/>
          <w:sz w:val="13"/>
          <w:szCs w:val="13"/>
          <w:color w:val="auto"/>
        </w:rPr>
        <w:t>Total realized/unrealized gains (losses)</w:t>
      </w:r>
    </w:p>
    <w:p>
      <w:pPr>
        <w:spacing w:after="0" w:line="11" w:lineRule="exact"/>
        <w:rPr>
          <w:sz w:val="20"/>
          <w:szCs w:val="20"/>
          <w:color w:val="auto"/>
        </w:rPr>
      </w:pPr>
    </w:p>
    <w:p>
      <w:pPr>
        <w:jc w:val="right"/>
        <w:ind w:right="1700"/>
        <w:spacing w:after="0"/>
        <w:rPr>
          <w:sz w:val="20"/>
          <w:szCs w:val="20"/>
          <w:color w:val="auto"/>
        </w:rPr>
      </w:pPr>
      <w:r>
        <w:rPr>
          <w:rFonts w:ascii="Arial" w:cs="Arial" w:eastAsia="Arial" w:hAnsi="Arial"/>
          <w:sz w:val="14"/>
          <w:szCs w:val="14"/>
          <w:color w:val="auto"/>
        </w:rPr>
        <w:t>included in net income (loss) (5) (6)</w:t>
      </w:r>
    </w:p>
    <w:p>
      <w:pPr>
        <w:spacing w:after="0" w:line="29" w:lineRule="exact"/>
        <w:rPr>
          <w:sz w:val="20"/>
          <w:szCs w:val="20"/>
          <w:color w:val="auto"/>
        </w:rPr>
      </w:pPr>
    </w:p>
    <w:p>
      <w:pPr>
        <w:ind w:left="40"/>
        <w:spacing w:after="0"/>
        <w:rPr>
          <w:sz w:val="20"/>
          <w:szCs w:val="20"/>
          <w:color w:val="auto"/>
        </w:rPr>
      </w:pPr>
      <w:r>
        <w:rPr>
          <w:rFonts w:ascii="Arial" w:cs="Arial" w:eastAsia="Arial" w:hAnsi="Arial"/>
          <w:sz w:val="14"/>
          <w:szCs w:val="14"/>
          <w:color w:val="auto"/>
        </w:rPr>
        <w:t>Total realized/unrealized gains (losses)</w:t>
      </w:r>
    </w:p>
    <w:p>
      <w:pPr>
        <w:ind w:left="200"/>
        <w:spacing w:after="0"/>
        <w:rPr>
          <w:sz w:val="20"/>
          <w:szCs w:val="20"/>
          <w:color w:val="auto"/>
        </w:rPr>
      </w:pPr>
      <w:r>
        <w:rPr>
          <w:rFonts w:ascii="Arial" w:cs="Arial" w:eastAsia="Arial" w:hAnsi="Arial"/>
          <w:sz w:val="14"/>
          <w:szCs w:val="14"/>
          <w:color w:val="auto"/>
        </w:rPr>
        <w:t>included in AOCI</w:t>
      </w:r>
    </w:p>
    <w:p>
      <w:pPr>
        <w:spacing w:after="0" w:line="30" w:lineRule="exact"/>
        <w:rPr>
          <w:sz w:val="20"/>
          <w:szCs w:val="20"/>
          <w:color w:val="auto"/>
        </w:rPr>
      </w:pPr>
    </w:p>
    <w:p>
      <w:pPr>
        <w:ind w:left="40"/>
        <w:spacing w:after="0"/>
        <w:rPr>
          <w:sz w:val="20"/>
          <w:szCs w:val="20"/>
          <w:color w:val="auto"/>
        </w:rPr>
      </w:pPr>
      <w:r>
        <w:rPr>
          <w:rFonts w:ascii="Arial" w:cs="Arial" w:eastAsia="Arial" w:hAnsi="Arial"/>
          <w:sz w:val="14"/>
          <w:szCs w:val="14"/>
          <w:color w:val="auto"/>
        </w:rPr>
        <w:t>Purchases (7)</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Sales (7)</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Issuances (7)</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Settlements (7)</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Transfers into Level 3 (8)</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Transfers out of Level 3 (8)</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Balance, end of period</w:t>
      </w:r>
    </w:p>
    <w:p>
      <w:pPr>
        <w:spacing w:after="0" w:line="109" w:lineRule="exact"/>
        <w:rPr>
          <w:sz w:val="20"/>
          <w:szCs w:val="20"/>
          <w:color w:val="auto"/>
        </w:rPr>
      </w:pPr>
    </w:p>
    <w:p>
      <w:pPr>
        <w:jc w:val="both"/>
        <w:ind w:left="200" w:right="1260" w:hanging="161"/>
        <w:spacing w:after="0" w:line="264" w:lineRule="auto"/>
        <w:rPr>
          <w:sz w:val="20"/>
          <w:szCs w:val="20"/>
          <w:color w:val="auto"/>
        </w:rPr>
      </w:pPr>
      <w:r>
        <w:rPr>
          <w:rFonts w:ascii="Arial" w:cs="Arial" w:eastAsia="Arial" w:hAnsi="Arial"/>
          <w:sz w:val="13"/>
          <w:szCs w:val="13"/>
          <w:color w:val="auto"/>
        </w:rPr>
        <w:t>Changes in unrealized gains (losses) included in net income (loss) for the instruments still held at September 30, 2017 (9)</w:t>
      </w:r>
    </w:p>
    <w:p>
      <w:pPr>
        <w:spacing w:after="0" w:line="6" w:lineRule="exact"/>
        <w:rPr>
          <w:sz w:val="20"/>
          <w:szCs w:val="20"/>
          <w:color w:val="auto"/>
        </w:rPr>
      </w:pPr>
    </w:p>
    <w:p>
      <w:pPr>
        <w:jc w:val="both"/>
        <w:ind w:left="200" w:right="1260" w:hanging="161"/>
        <w:spacing w:after="0" w:line="264" w:lineRule="auto"/>
        <w:rPr>
          <w:sz w:val="20"/>
          <w:szCs w:val="20"/>
          <w:color w:val="auto"/>
        </w:rPr>
      </w:pPr>
      <w:r>
        <w:rPr>
          <w:rFonts w:ascii="Arial" w:cs="Arial" w:eastAsia="Arial" w:hAnsi="Arial"/>
          <w:sz w:val="13"/>
          <w:szCs w:val="13"/>
          <w:color w:val="auto"/>
        </w:rPr>
        <w:t>Changes in unrealized gains (losses) included in net income (loss) for the instruments still held at September 30, 2016 (9)</w:t>
      </w:r>
    </w:p>
    <w:p>
      <w:pPr>
        <w:spacing w:after="0" w:line="6"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w:t>
      </w:r>
    </w:p>
    <w:p>
      <w:pPr>
        <w:spacing w:after="0" w:line="20" w:lineRule="exact"/>
        <w:rPr>
          <w:sz w:val="20"/>
          <w:szCs w:val="20"/>
          <w:color w:val="auto"/>
        </w:rPr>
      </w:pPr>
      <w:r>
        <w:rPr>
          <w:sz w:val="20"/>
          <w:szCs w:val="20"/>
          <w:color w:val="auto"/>
        </w:rPr>
        <w:br w:type="column"/>
      </w:r>
    </w:p>
    <w:p>
      <w:pPr>
        <w:spacing w:after="0" w:line="9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2"/>
        </w:trPr>
        <w:tc>
          <w:tcPr>
            <w:tcW w:w="540" w:type="dxa"/>
            <w:vAlign w:val="bottom"/>
          </w:tcPr>
          <w:p>
            <w:pPr>
              <w:jc w:val="right"/>
              <w:ind w:right="368"/>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68"/>
              <w:spacing w:after="0"/>
              <w:rPr>
                <w:sz w:val="20"/>
                <w:szCs w:val="20"/>
                <w:color w:val="auto"/>
              </w:rPr>
            </w:pPr>
            <w:r>
              <w:rPr>
                <w:rFonts w:ascii="Arial" w:cs="Arial" w:eastAsia="Arial" w:hAnsi="Arial"/>
                <w:sz w:val="14"/>
                <w:szCs w:val="14"/>
                <w:color w:val="auto"/>
              </w:rPr>
              <w:t>97</w:t>
            </w:r>
          </w:p>
        </w:tc>
        <w:tc>
          <w:tcPr>
            <w:tcW w:w="120" w:type="dxa"/>
            <w:vAlign w:val="bottom"/>
          </w:tcPr>
          <w:p>
            <w:pPr>
              <w:spacing w:after="0"/>
              <w:rPr>
                <w:sz w:val="15"/>
                <w:szCs w:val="15"/>
                <w:color w:val="auto"/>
              </w:rPr>
            </w:pPr>
          </w:p>
        </w:tc>
        <w:tc>
          <w:tcPr>
            <w:tcW w:w="500" w:type="dxa"/>
            <w:vAlign w:val="bottom"/>
          </w:tcPr>
          <w:p>
            <w:pPr>
              <w:jc w:val="right"/>
              <w:ind w:right="328"/>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47</w:t>
            </w:r>
          </w:p>
        </w:tc>
        <w:tc>
          <w:tcPr>
            <w:tcW w:w="120" w:type="dxa"/>
            <w:vAlign w:val="bottom"/>
          </w:tcPr>
          <w:p>
            <w:pPr>
              <w:spacing w:after="0"/>
              <w:rPr>
                <w:sz w:val="15"/>
                <w:szCs w:val="15"/>
                <w:color w:val="auto"/>
              </w:rPr>
            </w:pPr>
          </w:p>
        </w:tc>
        <w:tc>
          <w:tcPr>
            <w:tcW w:w="480" w:type="dxa"/>
            <w:vAlign w:val="bottom"/>
          </w:tcPr>
          <w:p>
            <w:pPr>
              <w:jc w:val="right"/>
              <w:ind w:right="308"/>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(232)</w:t>
            </w:r>
          </w:p>
        </w:tc>
        <w:tc>
          <w:tcPr>
            <w:tcW w:w="100" w:type="dxa"/>
            <w:vAlign w:val="bottom"/>
          </w:tcPr>
          <w:p>
            <w:pPr>
              <w:spacing w:after="0"/>
              <w:rPr>
                <w:sz w:val="15"/>
                <w:szCs w:val="15"/>
                <w:color w:val="auto"/>
              </w:rPr>
            </w:pPr>
          </w:p>
        </w:tc>
        <w:tc>
          <w:tcPr>
            <w:tcW w:w="440" w:type="dxa"/>
            <w:vAlign w:val="bottom"/>
          </w:tcPr>
          <w:p>
            <w:pPr>
              <w:jc w:val="right"/>
              <w:ind w:right="268"/>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32</w:t>
            </w:r>
          </w:p>
        </w:tc>
        <w:tc>
          <w:tcPr>
            <w:tcW w:w="120" w:type="dxa"/>
            <w:vAlign w:val="bottom"/>
          </w:tcPr>
          <w:p>
            <w:pPr>
              <w:spacing w:after="0"/>
              <w:rPr>
                <w:sz w:val="15"/>
                <w:szCs w:val="15"/>
                <w:color w:val="auto"/>
              </w:rPr>
            </w:pPr>
          </w:p>
        </w:tc>
        <w:tc>
          <w:tcPr>
            <w:tcW w:w="480" w:type="dxa"/>
            <w:vAlign w:val="bottom"/>
          </w:tcPr>
          <w:p>
            <w:pPr>
              <w:jc w:val="right"/>
              <w:ind w:right="308"/>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146</w:t>
            </w:r>
          </w:p>
        </w:tc>
      </w:tr>
      <w:tr>
        <w:trPr>
          <w:trHeight w:val="351"/>
        </w:trPr>
        <w:tc>
          <w:tcPr>
            <w:tcW w:w="540" w:type="dxa"/>
            <w:vAlign w:val="bottom"/>
          </w:tcPr>
          <w:p>
            <w:pPr>
              <w:spacing w:after="0"/>
              <w:rPr>
                <w:sz w:val="24"/>
                <w:szCs w:val="24"/>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500" w:type="dxa"/>
            <w:vAlign w:val="bottom"/>
          </w:tcPr>
          <w:p>
            <w:pPr>
              <w:spacing w:after="0"/>
              <w:rPr>
                <w:sz w:val="24"/>
                <w:szCs w:val="24"/>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48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(76)</w:t>
            </w: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(3,336)</w:t>
            </w: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351"/>
        </w:trPr>
        <w:tc>
          <w:tcPr>
            <w:tcW w:w="540" w:type="dxa"/>
            <w:vAlign w:val="bottom"/>
          </w:tcPr>
          <w:p>
            <w:pPr>
              <w:spacing w:after="0"/>
              <w:rPr>
                <w:sz w:val="24"/>
                <w:szCs w:val="24"/>
                <w:color w:val="auto"/>
              </w:rPr>
            </w:pPr>
          </w:p>
        </w:tc>
        <w:tc>
          <w:tcPr>
            <w:tcW w:w="760" w:type="dxa"/>
            <w:vAlign w:val="bottom"/>
          </w:tcPr>
          <w:p>
            <w:pPr>
              <w:jc w:val="right"/>
              <w:ind w:right="68"/>
              <w:spacing w:after="0"/>
              <w:rPr>
                <w:sz w:val="20"/>
                <w:szCs w:val="20"/>
                <w:color w:val="auto"/>
              </w:rPr>
            </w:pPr>
            <w:r>
              <w:rPr>
                <w:rFonts w:ascii="Arial" w:cs="Arial" w:eastAsia="Arial" w:hAnsi="Arial"/>
                <w:sz w:val="14"/>
                <w:szCs w:val="14"/>
                <w:color w:val="auto"/>
              </w:rPr>
              <w:t>3</w:t>
            </w: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480" w:type="dxa"/>
            <w:vAlign w:val="bottom"/>
          </w:tcPr>
          <w:p>
            <w:pPr>
              <w:spacing w:after="0"/>
              <w:rPr>
                <w:sz w:val="24"/>
                <w:szCs w:val="24"/>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9</w:t>
            </w: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480" w:type="dxa"/>
            <w:vAlign w:val="bottom"/>
          </w:tcPr>
          <w:p>
            <w:pPr>
              <w:spacing w:after="0"/>
              <w:rPr>
                <w:sz w:val="24"/>
                <w:szCs w:val="24"/>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0"/>
        </w:trPr>
        <w:tc>
          <w:tcPr>
            <w:tcW w:w="540" w:type="dxa"/>
            <w:vAlign w:val="bottom"/>
          </w:tcPr>
          <w:p>
            <w:pPr>
              <w:spacing w:after="0"/>
              <w:rPr>
                <w:sz w:val="23"/>
                <w:szCs w:val="23"/>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500" w:type="dxa"/>
            <w:vAlign w:val="bottom"/>
          </w:tcPr>
          <w:p>
            <w:pPr>
              <w:spacing w:after="0"/>
              <w:rPr>
                <w:sz w:val="23"/>
                <w:szCs w:val="23"/>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442</w:t>
            </w:r>
          </w:p>
        </w:tc>
        <w:tc>
          <w:tcPr>
            <w:tcW w:w="1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7</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480" w:type="dxa"/>
            <w:vAlign w:val="bottom"/>
          </w:tcPr>
          <w:p>
            <w:pPr>
              <w:spacing w:after="0"/>
              <w:rPr>
                <w:sz w:val="23"/>
                <w:szCs w:val="23"/>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1</w:t>
            </w:r>
          </w:p>
        </w:tc>
      </w:tr>
      <w:tr>
        <w:trPr>
          <w:trHeight w:val="270"/>
        </w:trPr>
        <w:tc>
          <w:tcPr>
            <w:tcW w:w="540" w:type="dxa"/>
            <w:vAlign w:val="bottom"/>
          </w:tcPr>
          <w:p>
            <w:pPr>
              <w:spacing w:after="0"/>
              <w:rPr>
                <w:sz w:val="23"/>
                <w:szCs w:val="23"/>
                <w:color w:val="auto"/>
              </w:rPr>
            </w:pP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(9)</w:t>
            </w:r>
          </w:p>
        </w:tc>
        <w:tc>
          <w:tcPr>
            <w:tcW w:w="1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(47)</w:t>
            </w:r>
          </w:p>
        </w:tc>
        <w:tc>
          <w:tcPr>
            <w:tcW w:w="1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23"/>
                <w:szCs w:val="23"/>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48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(130)</w:t>
            </w:r>
          </w:p>
        </w:tc>
      </w:tr>
      <w:tr>
        <w:trPr>
          <w:trHeight w:val="270"/>
        </w:trPr>
        <w:tc>
          <w:tcPr>
            <w:tcW w:w="540" w:type="dxa"/>
            <w:vAlign w:val="bottom"/>
          </w:tcPr>
          <w:p>
            <w:pPr>
              <w:spacing w:after="0"/>
              <w:rPr>
                <w:sz w:val="23"/>
                <w:szCs w:val="23"/>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500" w:type="dxa"/>
            <w:vAlign w:val="bottom"/>
          </w:tcPr>
          <w:p>
            <w:pPr>
              <w:spacing w:after="0"/>
              <w:rPr>
                <w:sz w:val="23"/>
                <w:szCs w:val="23"/>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480" w:type="dxa"/>
            <w:vAlign w:val="bottom"/>
          </w:tcPr>
          <w:p>
            <w:pPr>
              <w:spacing w:after="0"/>
              <w:rPr>
                <w:sz w:val="23"/>
                <w:szCs w:val="23"/>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23"/>
                <w:szCs w:val="23"/>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480" w:type="dxa"/>
            <w:vAlign w:val="bottom"/>
          </w:tcPr>
          <w:p>
            <w:pPr>
              <w:spacing w:after="0"/>
              <w:rPr>
                <w:sz w:val="23"/>
                <w:szCs w:val="23"/>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0"/>
        </w:trPr>
        <w:tc>
          <w:tcPr>
            <w:tcW w:w="540" w:type="dxa"/>
            <w:vAlign w:val="bottom"/>
          </w:tcPr>
          <w:p>
            <w:pPr>
              <w:spacing w:after="0"/>
              <w:rPr>
                <w:sz w:val="23"/>
                <w:szCs w:val="23"/>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500" w:type="dxa"/>
            <w:vAlign w:val="bottom"/>
          </w:tcPr>
          <w:p>
            <w:pPr>
              <w:spacing w:after="0"/>
              <w:rPr>
                <w:sz w:val="23"/>
                <w:szCs w:val="23"/>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48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(14)</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(429)</w:t>
            </w:r>
          </w:p>
        </w:tc>
        <w:tc>
          <w:tcPr>
            <w:tcW w:w="1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w:t>
            </w:r>
          </w:p>
        </w:tc>
      </w:tr>
      <w:tr>
        <w:trPr>
          <w:trHeight w:val="270"/>
        </w:trPr>
        <w:tc>
          <w:tcPr>
            <w:tcW w:w="540" w:type="dxa"/>
            <w:vAlign w:val="bottom"/>
          </w:tcPr>
          <w:p>
            <w:pPr>
              <w:spacing w:after="0"/>
              <w:rPr>
                <w:sz w:val="23"/>
                <w:szCs w:val="23"/>
                <w:color w:val="auto"/>
              </w:rPr>
            </w:pPr>
          </w:p>
        </w:tc>
        <w:tc>
          <w:tcPr>
            <w:tcW w:w="760" w:type="dxa"/>
            <w:vAlign w:val="bottom"/>
          </w:tcPr>
          <w:p>
            <w:pPr>
              <w:jc w:val="right"/>
              <w:ind w:right="68"/>
              <w:spacing w:after="0"/>
              <w:rPr>
                <w:sz w:val="20"/>
                <w:szCs w:val="20"/>
                <w:color w:val="auto"/>
              </w:rPr>
            </w:pPr>
            <w:r>
              <w:rPr>
                <w:rFonts w:ascii="Arial" w:cs="Arial" w:eastAsia="Arial" w:hAnsi="Arial"/>
                <w:sz w:val="14"/>
                <w:szCs w:val="14"/>
                <w:color w:val="auto"/>
              </w:rPr>
              <w:t>129</w:t>
            </w:r>
          </w:p>
        </w:tc>
        <w:tc>
          <w:tcPr>
            <w:tcW w:w="1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480" w:type="dxa"/>
            <w:vAlign w:val="bottom"/>
          </w:tcPr>
          <w:p>
            <w:pPr>
              <w:spacing w:after="0"/>
              <w:rPr>
                <w:sz w:val="23"/>
                <w:szCs w:val="23"/>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23"/>
                <w:szCs w:val="23"/>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480" w:type="dxa"/>
            <w:vAlign w:val="bottom"/>
          </w:tcPr>
          <w:p>
            <w:pPr>
              <w:spacing w:after="0"/>
              <w:rPr>
                <w:sz w:val="23"/>
                <w:szCs w:val="23"/>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6"/>
        </w:trPr>
        <w:tc>
          <w:tcPr>
            <w:tcW w:w="540" w:type="dxa"/>
            <w:vAlign w:val="bottom"/>
          </w:tcPr>
          <w:p>
            <w:pPr>
              <w:spacing w:after="0"/>
              <w:rPr>
                <w:sz w:val="24"/>
                <w:szCs w:val="24"/>
                <w:color w:val="auto"/>
              </w:rPr>
            </w:pP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(54)</w:t>
            </w: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480" w:type="dxa"/>
            <w:vAlign w:val="bottom"/>
          </w:tcPr>
          <w:p>
            <w:pPr>
              <w:spacing w:after="0"/>
              <w:rPr>
                <w:sz w:val="24"/>
                <w:szCs w:val="24"/>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24"/>
                <w:szCs w:val="24"/>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48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(6)</w:t>
            </w:r>
          </w:p>
        </w:tc>
      </w:tr>
      <w:tr>
        <w:trPr>
          <w:trHeight w:val="237"/>
        </w:trPr>
        <w:tc>
          <w:tcPr>
            <w:tcW w:w="540" w:type="dxa"/>
            <w:vAlign w:val="bottom"/>
            <w:tcBorders>
              <w:top w:val="single" w:sz="8" w:color="auto"/>
              <w:bottom w:val="single" w:sz="8" w:color="auto"/>
            </w:tcBorders>
          </w:tcPr>
          <w:p>
            <w:pPr>
              <w:jc w:val="right"/>
              <w:ind w:right="368"/>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166</w:t>
            </w:r>
          </w:p>
        </w:tc>
        <w:tc>
          <w:tcPr>
            <w:tcW w:w="120" w:type="dxa"/>
            <w:vAlign w:val="bottom"/>
          </w:tcPr>
          <w:p>
            <w:pPr>
              <w:spacing w:after="0"/>
              <w:rPr>
                <w:sz w:val="20"/>
                <w:szCs w:val="20"/>
                <w:color w:val="auto"/>
              </w:rPr>
            </w:pPr>
          </w:p>
        </w:tc>
        <w:tc>
          <w:tcPr>
            <w:tcW w:w="500" w:type="dxa"/>
            <w:vAlign w:val="bottom"/>
            <w:tcBorders>
              <w:top w:val="single" w:sz="8" w:color="auto"/>
              <w:bottom w:val="single" w:sz="8" w:color="auto"/>
            </w:tcBorders>
          </w:tcPr>
          <w:p>
            <w:pPr>
              <w:jc w:val="right"/>
              <w:ind w:right="328"/>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442</w:t>
            </w:r>
          </w:p>
        </w:tc>
        <w:tc>
          <w:tcPr>
            <w:tcW w:w="120" w:type="dxa"/>
            <w:vAlign w:val="bottom"/>
          </w:tcPr>
          <w:p>
            <w:pPr>
              <w:spacing w:after="0"/>
              <w:rPr>
                <w:sz w:val="20"/>
                <w:szCs w:val="20"/>
                <w:color w:val="auto"/>
              </w:rPr>
            </w:pPr>
          </w:p>
        </w:tc>
        <w:tc>
          <w:tcPr>
            <w:tcW w:w="480" w:type="dxa"/>
            <w:vAlign w:val="bottom"/>
            <w:tcBorders>
              <w:top w:val="single" w:sz="8" w:color="auto"/>
              <w:bottom w:val="single" w:sz="8" w:color="auto"/>
            </w:tcBorders>
          </w:tcPr>
          <w:p>
            <w:pPr>
              <w:jc w:val="right"/>
              <w:ind w:right="308"/>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(306)</w:t>
            </w:r>
          </w:p>
        </w:tc>
        <w:tc>
          <w:tcPr>
            <w:tcW w:w="100" w:type="dxa"/>
            <w:vAlign w:val="bottom"/>
          </w:tcPr>
          <w:p>
            <w:pPr>
              <w:spacing w:after="0"/>
              <w:rPr>
                <w:sz w:val="20"/>
                <w:szCs w:val="20"/>
                <w:color w:val="auto"/>
              </w:rPr>
            </w:pPr>
          </w:p>
        </w:tc>
        <w:tc>
          <w:tcPr>
            <w:tcW w:w="440" w:type="dxa"/>
            <w:vAlign w:val="bottom"/>
            <w:tcBorders>
              <w:top w:val="single" w:sz="8" w:color="auto"/>
              <w:bottom w:val="single" w:sz="8" w:color="auto"/>
            </w:tcBorders>
          </w:tcPr>
          <w:p>
            <w:pPr>
              <w:jc w:val="right"/>
              <w:ind w:right="268"/>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(3,733)</w:t>
            </w:r>
          </w:p>
        </w:tc>
        <w:tc>
          <w:tcPr>
            <w:tcW w:w="120" w:type="dxa"/>
            <w:vAlign w:val="bottom"/>
          </w:tcPr>
          <w:p>
            <w:pPr>
              <w:spacing w:after="0"/>
              <w:rPr>
                <w:sz w:val="20"/>
                <w:szCs w:val="20"/>
                <w:color w:val="auto"/>
              </w:rPr>
            </w:pPr>
          </w:p>
        </w:tc>
        <w:tc>
          <w:tcPr>
            <w:tcW w:w="480" w:type="dxa"/>
            <w:vAlign w:val="bottom"/>
            <w:tcBorders>
              <w:top w:val="single" w:sz="8" w:color="auto"/>
              <w:bottom w:val="single" w:sz="8" w:color="auto"/>
            </w:tcBorders>
          </w:tcPr>
          <w:p>
            <w:pPr>
              <w:jc w:val="right"/>
              <w:ind w:right="308"/>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10</w:t>
            </w:r>
          </w:p>
        </w:tc>
      </w:tr>
      <w:tr>
        <w:trPr>
          <w:trHeight w:val="20"/>
        </w:trPr>
        <w:tc>
          <w:tcPr>
            <w:tcW w:w="5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r>
        <w:trPr>
          <w:trHeight w:val="440"/>
        </w:trPr>
        <w:tc>
          <w:tcPr>
            <w:tcW w:w="54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50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48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98</w:t>
            </w:r>
          </w:p>
        </w:tc>
        <w:tc>
          <w:tcPr>
            <w:tcW w:w="100" w:type="dxa"/>
            <w:vAlign w:val="bottom"/>
          </w:tcPr>
          <w:p>
            <w:pPr>
              <w:spacing w:after="0"/>
              <w:rPr>
                <w:sz w:val="24"/>
                <w:szCs w:val="24"/>
                <w:color w:val="auto"/>
              </w:rPr>
            </w:pPr>
          </w:p>
        </w:tc>
        <w:tc>
          <w:tcPr>
            <w:tcW w:w="44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1,002</w:t>
            </w:r>
          </w:p>
        </w:tc>
        <w:tc>
          <w:tcPr>
            <w:tcW w:w="120" w:type="dxa"/>
            <w:vAlign w:val="bottom"/>
          </w:tcPr>
          <w:p>
            <w:pPr>
              <w:spacing w:after="0"/>
              <w:rPr>
                <w:sz w:val="24"/>
                <w:szCs w:val="24"/>
                <w:color w:val="auto"/>
              </w:rPr>
            </w:pPr>
          </w:p>
        </w:tc>
        <w:tc>
          <w:tcPr>
            <w:tcW w:w="48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r>
      <w:tr>
        <w:trPr>
          <w:trHeight w:val="20"/>
        </w:trPr>
        <w:tc>
          <w:tcPr>
            <w:tcW w:w="5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r>
        <w:trPr>
          <w:trHeight w:val="440"/>
        </w:trPr>
        <w:tc>
          <w:tcPr>
            <w:tcW w:w="540" w:type="dxa"/>
            <w:vAlign w:val="bottom"/>
          </w:tcPr>
          <w:p>
            <w:pPr>
              <w:jc w:val="right"/>
              <w:ind w:right="368"/>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500" w:type="dxa"/>
            <w:vAlign w:val="bottom"/>
          </w:tcPr>
          <w:p>
            <w:pPr>
              <w:jc w:val="right"/>
              <w:ind w:right="328"/>
              <w:spacing w:after="0"/>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480" w:type="dxa"/>
            <w:vAlign w:val="bottom"/>
          </w:tcPr>
          <w:p>
            <w:pPr>
              <w:jc w:val="right"/>
              <w:ind w:right="308"/>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(67)</w:t>
            </w:r>
          </w:p>
        </w:tc>
        <w:tc>
          <w:tcPr>
            <w:tcW w:w="100" w:type="dxa"/>
            <w:vAlign w:val="bottom"/>
          </w:tcPr>
          <w:p>
            <w:pPr>
              <w:spacing w:after="0"/>
              <w:rPr>
                <w:sz w:val="24"/>
                <w:szCs w:val="24"/>
                <w:color w:val="auto"/>
              </w:rPr>
            </w:pPr>
          </w:p>
        </w:tc>
        <w:tc>
          <w:tcPr>
            <w:tcW w:w="440" w:type="dxa"/>
            <w:vAlign w:val="bottom"/>
          </w:tcPr>
          <w:p>
            <w:pPr>
              <w:jc w:val="right"/>
              <w:ind w:right="268"/>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(3,381)</w:t>
            </w:r>
          </w:p>
        </w:tc>
        <w:tc>
          <w:tcPr>
            <w:tcW w:w="120" w:type="dxa"/>
            <w:vAlign w:val="bottom"/>
          </w:tcPr>
          <w:p>
            <w:pPr>
              <w:spacing w:after="0"/>
              <w:rPr>
                <w:sz w:val="24"/>
                <w:szCs w:val="24"/>
                <w:color w:val="auto"/>
              </w:rPr>
            </w:pPr>
          </w:p>
        </w:tc>
        <w:tc>
          <w:tcPr>
            <w:tcW w:w="480" w:type="dxa"/>
            <w:vAlign w:val="bottom"/>
          </w:tcPr>
          <w:p>
            <w:pPr>
              <w:jc w:val="right"/>
              <w:ind w:right="308"/>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0"/>
        </w:trPr>
        <w:tc>
          <w:tcPr>
            <w:tcW w:w="5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-2978785</wp:posOffset>
            </wp:positionH>
            <wp:positionV relativeFrom="paragraph">
              <wp:posOffset>-2074545</wp:posOffset>
            </wp:positionV>
            <wp:extent cx="7246620" cy="22288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46620" cy="222885"/>
                    </a:xfrm>
                    <a:prstGeom prst="rect">
                      <a:avLst/>
                    </a:prstGeom>
                    <a:noFill/>
                  </pic:spPr>
                </pic:pic>
              </a:graphicData>
            </a:graphic>
          </wp:anchor>
        </w:drawing>
        <w:drawing>
          <wp:anchor simplePos="0" relativeHeight="251657728" behindDoc="1" locked="0" layoutInCell="0" allowOverlap="1">
            <wp:simplePos x="0" y="0"/>
            <wp:positionH relativeFrom="column">
              <wp:posOffset>-2978785</wp:posOffset>
            </wp:positionH>
            <wp:positionV relativeFrom="paragraph">
              <wp:posOffset>-1680210</wp:posOffset>
            </wp:positionV>
            <wp:extent cx="7246620" cy="17145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-2978785</wp:posOffset>
            </wp:positionH>
            <wp:positionV relativeFrom="paragraph">
              <wp:posOffset>-1337310</wp:posOffset>
            </wp:positionV>
            <wp:extent cx="7246620" cy="17145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-2978785</wp:posOffset>
            </wp:positionH>
            <wp:positionV relativeFrom="paragraph">
              <wp:posOffset>-994410</wp:posOffset>
            </wp:positionV>
            <wp:extent cx="7246620" cy="17145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-2978785</wp:posOffset>
            </wp:positionH>
            <wp:positionV relativeFrom="paragraph">
              <wp:posOffset>-650875</wp:posOffset>
            </wp:positionV>
            <wp:extent cx="7246620" cy="3175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46620" cy="317500"/>
                    </a:xfrm>
                    <a:prstGeom prst="rect">
                      <a:avLst/>
                    </a:prstGeom>
                    <a:noFill/>
                  </pic:spPr>
                </pic:pic>
              </a:graphicData>
            </a:graphic>
          </wp:anchor>
        </w:drawing>
      </w:r>
    </w:p>
    <w:p>
      <w:pPr>
        <w:spacing w:after="0" w:line="255" w:lineRule="exact"/>
        <w:rPr>
          <w:sz w:val="20"/>
          <w:szCs w:val="20"/>
          <w:color w:val="auto"/>
        </w:rPr>
      </w:pPr>
    </w:p>
    <w:p>
      <w:pPr>
        <w:sectPr>
          <w:pgSz w:w="11900" w:h="16838" w:orient="portrait"/>
          <w:cols w:equalWidth="0" w:num="2">
            <w:col w:w="3980" w:space="720"/>
            <w:col w:w="6720"/>
          </w:cols>
          <w:pgMar w:left="240" w:top="288" w:right="239" w:bottom="1440" w:gutter="0" w:footer="0" w:header="0"/>
          <w:type w:val="continuous"/>
        </w:sectPr>
      </w:pPr>
    </w:p>
    <w:p>
      <w:pPr>
        <w:ind w:left="500" w:hanging="492"/>
        <w:spacing w:after="0"/>
        <w:tabs>
          <w:tab w:leader="none" w:pos="5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Comprised of U.S. and foreign corporate securities.</w:t>
      </w:r>
    </w:p>
    <w:p>
      <w:pPr>
        <w:spacing w:after="0" w:line="117" w:lineRule="exact"/>
        <w:rPr>
          <w:rFonts w:ascii="Arial" w:cs="Arial" w:eastAsia="Arial" w:hAnsi="Arial"/>
          <w:sz w:val="18"/>
          <w:szCs w:val="18"/>
          <w:color w:val="auto"/>
        </w:rPr>
      </w:pPr>
    </w:p>
    <w:p>
      <w:pPr>
        <w:ind w:left="500" w:hanging="492"/>
        <w:spacing w:after="0"/>
        <w:tabs>
          <w:tab w:leader="none" w:pos="5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Freestanding derivative assets and liabilities are presented net for purposes of the rollforward.</w:t>
      </w:r>
    </w:p>
    <w:p>
      <w:pPr>
        <w:spacing w:after="0" w:line="117" w:lineRule="exact"/>
        <w:rPr>
          <w:rFonts w:ascii="Arial" w:cs="Arial" w:eastAsia="Arial" w:hAnsi="Arial"/>
          <w:sz w:val="18"/>
          <w:szCs w:val="18"/>
          <w:color w:val="auto"/>
        </w:rPr>
      </w:pPr>
    </w:p>
    <w:p>
      <w:pPr>
        <w:ind w:left="500" w:hanging="492"/>
        <w:spacing w:after="0"/>
        <w:tabs>
          <w:tab w:leader="none" w:pos="5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Embedded derivative assets and liabilities are presented net for purposes of the rollforward.</w:t>
      </w:r>
    </w:p>
    <w:p>
      <w:pPr>
        <w:spacing w:after="0" w:line="117" w:lineRule="exact"/>
        <w:rPr>
          <w:rFonts w:ascii="Arial" w:cs="Arial" w:eastAsia="Arial" w:hAnsi="Arial"/>
          <w:sz w:val="18"/>
          <w:szCs w:val="18"/>
          <w:color w:val="auto"/>
        </w:rPr>
      </w:pPr>
    </w:p>
    <w:p>
      <w:pPr>
        <w:jc w:val="both"/>
        <w:ind w:left="500" w:hanging="492"/>
        <w:spacing w:after="0" w:line="264" w:lineRule="auto"/>
        <w:tabs>
          <w:tab w:leader="none" w:pos="5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Investment performance related to separate account assets is fully offset by corresponding amounts credited to contractholders within separate account liabilities. Therefore, such changes in estimated fair value are not recorded in net income (loss). For the purpose of this disclosure, these changes are presented within net investment gains (losses).</w:t>
      </w:r>
    </w:p>
    <w:p>
      <w:pPr>
        <w:spacing w:after="0" w:line="73" w:lineRule="exact"/>
        <w:rPr>
          <w:rFonts w:ascii="Arial" w:cs="Arial" w:eastAsia="Arial" w:hAnsi="Arial"/>
          <w:sz w:val="18"/>
          <w:szCs w:val="18"/>
          <w:color w:val="auto"/>
        </w:rPr>
      </w:pPr>
    </w:p>
    <w:p>
      <w:pPr>
        <w:jc w:val="both"/>
        <w:ind w:left="500" w:hanging="492"/>
        <w:spacing w:after="0" w:line="259" w:lineRule="auto"/>
        <w:tabs>
          <w:tab w:leader="none" w:pos="5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Amortization of premium/accretion of discount is included within net investment income. Impairments charged to net income (loss) on securities are included in net investment gains (losses). Lapses associated with net embedded derivatives are included in net derivative gains (losses). Substantially all realized/unrealized gains (losses) included in net income (loss) for net derivatives and net embedded derivatives are reported in net derivatives gains (losses).</w:t>
      </w:r>
    </w:p>
    <w:p>
      <w:pPr>
        <w:spacing w:after="0" w:line="78" w:lineRule="exact"/>
        <w:rPr>
          <w:rFonts w:ascii="Arial" w:cs="Arial" w:eastAsia="Arial" w:hAnsi="Arial"/>
          <w:sz w:val="18"/>
          <w:szCs w:val="18"/>
          <w:color w:val="auto"/>
        </w:rPr>
      </w:pPr>
    </w:p>
    <w:p>
      <w:pPr>
        <w:ind w:left="500" w:hanging="492"/>
        <w:spacing w:after="0"/>
        <w:tabs>
          <w:tab w:leader="none" w:pos="5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Interest and dividend accruals, as well as cash interest coupons and dividends received, are excluded from the rollforward.</w:t>
      </w:r>
    </w:p>
    <w:p>
      <w:pPr>
        <w:spacing w:after="0" w:line="117" w:lineRule="exact"/>
        <w:rPr>
          <w:rFonts w:ascii="Arial" w:cs="Arial" w:eastAsia="Arial" w:hAnsi="Arial"/>
          <w:sz w:val="18"/>
          <w:szCs w:val="18"/>
          <w:color w:val="auto"/>
        </w:rPr>
      </w:pPr>
    </w:p>
    <w:p>
      <w:pPr>
        <w:ind w:left="500" w:hanging="492"/>
        <w:spacing w:after="0" w:line="277" w:lineRule="auto"/>
        <w:tabs>
          <w:tab w:leader="none" w:pos="5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Items purchased/issued and then sold/settled in the same period are excluded from the rollforward. Fees attributed to embedded derivatives are included in settlements.</w:t>
      </w:r>
    </w:p>
    <w:p>
      <w:pPr>
        <w:sectPr>
          <w:pgSz w:w="11900" w:h="16838" w:orient="portrait"/>
          <w:cols w:equalWidth="0" w:num="1">
            <w:col w:w="11420"/>
          </w:cols>
          <w:pgMar w:left="240" w:top="288" w:right="239" w:bottom="1440" w:gutter="0" w:footer="0" w:header="0"/>
          <w:type w:val="continuous"/>
        </w:sectPr>
      </w:pP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56</w:t>
      </w:r>
    </w:p>
    <w:p>
      <w:pPr>
        <w:sectPr>
          <w:pgSz w:w="11900" w:h="16838" w:orient="portrait"/>
          <w:cols w:equalWidth="0" w:num="1">
            <w:col w:w="11420"/>
          </w:cols>
          <w:pgMar w:left="240" w:top="288" w:right="239" w:bottom="1440" w:gutter="0" w:footer="0" w:header="0"/>
          <w:type w:val="continuous"/>
        </w:sectPr>
      </w:pPr>
    </w:p>
    <w:bookmarkStart w:id="58" w:name="page59"/>
    <w:bookmarkEnd w:id="58"/>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109" w:lineRule="exact"/>
        <w:rPr>
          <w:sz w:val="20"/>
          <w:szCs w:val="20"/>
          <w:color w:val="auto"/>
        </w:rPr>
      </w:pPr>
    </w:p>
    <w:p>
      <w:pPr>
        <w:ind w:left="4660"/>
        <w:spacing w:after="0"/>
        <w:rPr>
          <w:sz w:val="20"/>
          <w:szCs w:val="20"/>
          <w:color w:val="auto"/>
        </w:rPr>
      </w:pPr>
      <w:r>
        <w:rPr>
          <w:rFonts w:ascii="Arial" w:cs="Arial" w:eastAsia="Arial" w:hAnsi="Arial"/>
          <w:sz w:val="18"/>
          <w:szCs w:val="18"/>
          <w:b w:val="1"/>
          <w:bCs w:val="1"/>
          <w:color w:val="auto"/>
        </w:rPr>
        <w:t>Brighthouse Financial, Inc.</w:t>
      </w:r>
    </w:p>
    <w:p>
      <w:pPr>
        <w:spacing w:after="0" w:line="117" w:lineRule="exact"/>
        <w:rPr>
          <w:sz w:val="20"/>
          <w:szCs w:val="20"/>
          <w:color w:val="auto"/>
        </w:rPr>
      </w:pPr>
    </w:p>
    <w:p>
      <w:pPr>
        <w:ind w:left="1480"/>
        <w:spacing w:after="0"/>
        <w:rPr>
          <w:sz w:val="20"/>
          <w:szCs w:val="20"/>
          <w:color w:val="auto"/>
        </w:rPr>
      </w:pPr>
      <w:r>
        <w:rPr>
          <w:rFonts w:ascii="Arial" w:cs="Arial" w:eastAsia="Arial" w:hAnsi="Arial"/>
          <w:sz w:val="18"/>
          <w:szCs w:val="18"/>
          <w:b w:val="1"/>
          <w:bCs w:val="1"/>
          <w:color w:val="auto"/>
        </w:rPr>
        <w:t>Notes to the Interim Condensed Consolidated and Combined Financial Statements (Unaudited) — (continued)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Fair Value (continued)</w:t>
      </w:r>
    </w:p>
    <w:p>
      <w:pPr>
        <w:spacing w:after="0" w:line="364" w:lineRule="exact"/>
        <w:rPr>
          <w:sz w:val="20"/>
          <w:szCs w:val="20"/>
          <w:color w:val="auto"/>
        </w:rPr>
      </w:pPr>
    </w:p>
    <w:p>
      <w:pPr>
        <w:ind w:left="500" w:hanging="492"/>
        <w:spacing w:after="0" w:line="277" w:lineRule="auto"/>
        <w:tabs>
          <w:tab w:leader="none" w:pos="5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Gains and losses, in net income (loss) and OCI, are calculated assuming transfers into and/or out of Level 3 occurred at the beginning of the period. Items transferred into and then out of Level 3 in the same period are excluded from the rollforward.</w:t>
      </w:r>
    </w:p>
    <w:p>
      <w:pPr>
        <w:spacing w:after="0" w:line="62" w:lineRule="exact"/>
        <w:rPr>
          <w:rFonts w:ascii="Arial" w:cs="Arial" w:eastAsia="Arial" w:hAnsi="Arial"/>
          <w:sz w:val="18"/>
          <w:szCs w:val="18"/>
          <w:color w:val="auto"/>
        </w:rPr>
      </w:pPr>
    </w:p>
    <w:p>
      <w:pPr>
        <w:jc w:val="both"/>
        <w:ind w:left="500" w:hanging="492"/>
        <w:spacing w:after="0" w:line="264" w:lineRule="auto"/>
        <w:tabs>
          <w:tab w:leader="none" w:pos="5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Changes in unrealized gains (losses) included in net income (loss) relate to assets and liabilities still held at the end of the respective periods. Substantially all changes in unrealized gains (losses) included in net income (loss) for net derivatives and net embedded derivatives are reported in net derivative gains (losses).</w:t>
      </w:r>
    </w:p>
    <w:p>
      <w:pPr>
        <w:spacing w:after="0" w:line="73"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Fair Value Option</w:t>
      </w:r>
    </w:p>
    <w:p>
      <w:pPr>
        <w:spacing w:after="0" w:line="117" w:lineRule="exact"/>
        <w:rPr>
          <w:sz w:val="20"/>
          <w:szCs w:val="20"/>
          <w:color w:val="auto"/>
        </w:rPr>
      </w:pPr>
    </w:p>
    <w:p>
      <w:pPr>
        <w:ind w:left="180" w:firstLine="324"/>
        <w:spacing w:after="0" w:line="277" w:lineRule="auto"/>
        <w:rPr>
          <w:sz w:val="20"/>
          <w:szCs w:val="20"/>
          <w:color w:val="auto"/>
        </w:rPr>
      </w:pPr>
      <w:r>
        <w:rPr>
          <w:rFonts w:ascii="Arial" w:cs="Arial" w:eastAsia="Arial" w:hAnsi="Arial"/>
          <w:sz w:val="18"/>
          <w:szCs w:val="18"/>
          <w:color w:val="auto"/>
        </w:rPr>
        <w:t>The following table presents information for certain assets and liabilities of CSEs, which are accounted for under the FVO. These assets and liabilities were initially measured at fair value.</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Pr>
          <w:p>
            <w:pPr>
              <w:spacing w:after="0"/>
              <w:rPr>
                <w:sz w:val="16"/>
                <w:szCs w:val="16"/>
                <w:color w:val="auto"/>
              </w:rPr>
            </w:pPr>
          </w:p>
        </w:tc>
        <w:tc>
          <w:tcPr>
            <w:tcW w:w="1860" w:type="dxa"/>
            <w:vAlign w:val="bottom"/>
            <w:tcBorders>
              <w:bottom w:val="single" w:sz="8" w:color="auto"/>
            </w:tcBorders>
          </w:tcPr>
          <w:p>
            <w:pPr>
              <w:jc w:val="right"/>
              <w:ind w:right="21"/>
              <w:spacing w:after="0"/>
              <w:rPr>
                <w:sz w:val="20"/>
                <w:szCs w:val="20"/>
                <w:color w:val="auto"/>
              </w:rPr>
            </w:pPr>
            <w:r>
              <w:rPr>
                <w:rFonts w:ascii="Arial" w:cs="Arial" w:eastAsia="Arial" w:hAnsi="Arial"/>
                <w:sz w:val="14"/>
                <w:szCs w:val="14"/>
                <w:b w:val="1"/>
                <w:bCs w:val="1"/>
                <w:color w:val="auto"/>
              </w:rPr>
              <w:t>September 30, 2017</w:t>
            </w:r>
          </w:p>
        </w:tc>
        <w:tc>
          <w:tcPr>
            <w:tcW w:w="4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tcPr>
          <w:p>
            <w:pPr>
              <w:jc w:val="right"/>
              <w:ind w:right="480"/>
              <w:spacing w:after="0"/>
              <w:rPr>
                <w:sz w:val="20"/>
                <w:szCs w:val="20"/>
                <w:color w:val="auto"/>
              </w:rPr>
            </w:pPr>
            <w:r>
              <w:rPr>
                <w:rFonts w:ascii="Arial" w:cs="Arial" w:eastAsia="Arial" w:hAnsi="Arial"/>
                <w:sz w:val="14"/>
                <w:szCs w:val="14"/>
                <w:b w:val="1"/>
                <w:bCs w:val="1"/>
                <w:color w:val="auto"/>
                <w:w w:val="99"/>
              </w:rPr>
              <w:t>December 31, 2016</w:t>
            </w:r>
          </w:p>
        </w:tc>
        <w:tc>
          <w:tcPr>
            <w:tcW w:w="0" w:type="dxa"/>
            <w:vAlign w:val="bottom"/>
          </w:tcPr>
          <w:p>
            <w:pPr>
              <w:spacing w:after="0"/>
              <w:rPr>
                <w:sz w:val="1"/>
                <w:szCs w:val="1"/>
                <w:color w:val="auto"/>
              </w:rPr>
            </w:pPr>
          </w:p>
        </w:tc>
      </w:tr>
      <w:tr>
        <w:trPr>
          <w:trHeight w:val="250"/>
        </w:trPr>
        <w:tc>
          <w:tcPr>
            <w:tcW w:w="6740" w:type="dxa"/>
            <w:vAlign w:val="bottom"/>
          </w:tcPr>
          <w:p>
            <w:pPr>
              <w:spacing w:after="0"/>
              <w:rPr>
                <w:sz w:val="21"/>
                <w:szCs w:val="21"/>
                <w:color w:val="auto"/>
              </w:rPr>
            </w:pPr>
          </w:p>
        </w:tc>
        <w:tc>
          <w:tcPr>
            <w:tcW w:w="1860" w:type="dxa"/>
            <w:vAlign w:val="bottom"/>
          </w:tcPr>
          <w:p>
            <w:pPr>
              <w:spacing w:after="0"/>
              <w:rPr>
                <w:sz w:val="21"/>
                <w:szCs w:val="21"/>
                <w:color w:val="auto"/>
              </w:rPr>
            </w:pPr>
          </w:p>
        </w:tc>
        <w:tc>
          <w:tcPr>
            <w:tcW w:w="980" w:type="dxa"/>
            <w:vAlign w:val="bottom"/>
            <w:gridSpan w:val="3"/>
          </w:tcPr>
          <w:p>
            <w:pPr>
              <w:jc w:val="right"/>
              <w:ind w:right="19"/>
              <w:spacing w:after="0"/>
              <w:rPr>
                <w:sz w:val="20"/>
                <w:szCs w:val="20"/>
                <w:color w:val="auto"/>
              </w:rPr>
            </w:pPr>
            <w:r>
              <w:rPr>
                <w:rFonts w:ascii="Arial" w:cs="Arial" w:eastAsia="Arial" w:hAnsi="Arial"/>
                <w:sz w:val="14"/>
                <w:szCs w:val="14"/>
                <w:b w:val="1"/>
                <w:bCs w:val="1"/>
                <w:color w:val="auto"/>
              </w:rPr>
              <w:t>(In millions)</w:t>
            </w:r>
          </w:p>
        </w:tc>
        <w:tc>
          <w:tcPr>
            <w:tcW w:w="18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Assets (1)</w:t>
            </w:r>
          </w:p>
        </w:tc>
        <w:tc>
          <w:tcPr>
            <w:tcW w:w="186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18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6740" w:type="dxa"/>
            <w:vAlign w:val="bottom"/>
          </w:tcPr>
          <w:p>
            <w:pPr>
              <w:ind w:left="40"/>
              <w:spacing w:after="0"/>
              <w:rPr>
                <w:sz w:val="20"/>
                <w:szCs w:val="20"/>
                <w:color w:val="auto"/>
              </w:rPr>
            </w:pPr>
            <w:r>
              <w:rPr>
                <w:rFonts w:ascii="Arial" w:cs="Arial" w:eastAsia="Arial" w:hAnsi="Arial"/>
                <w:sz w:val="16"/>
                <w:szCs w:val="16"/>
                <w:color w:val="auto"/>
              </w:rPr>
              <w:t>Unpaid principal balance</w:t>
            </w:r>
          </w:p>
        </w:tc>
        <w:tc>
          <w:tcPr>
            <w:tcW w:w="1860" w:type="dxa"/>
            <w:vAlign w:val="bottom"/>
          </w:tcPr>
          <w:p>
            <w:pPr>
              <w:jc w:val="right"/>
              <w:ind w:right="1661"/>
              <w:spacing w:after="0"/>
              <w:rPr>
                <w:sz w:val="20"/>
                <w:szCs w:val="20"/>
                <w:color w:val="auto"/>
              </w:rPr>
            </w:pPr>
            <w:r>
              <w:rPr>
                <w:rFonts w:ascii="Arial" w:cs="Arial" w:eastAsia="Arial" w:hAnsi="Arial"/>
                <w:sz w:val="16"/>
                <w:szCs w:val="16"/>
                <w:color w:val="auto"/>
              </w:rPr>
              <w:t>$</w:t>
            </w:r>
          </w:p>
        </w:tc>
        <w:tc>
          <w:tcPr>
            <w:tcW w:w="440" w:type="dxa"/>
            <w:vAlign w:val="bottom"/>
          </w:tcPr>
          <w:p>
            <w:pPr>
              <w:jc w:val="right"/>
              <w:ind w:right="20"/>
              <w:spacing w:after="0"/>
              <w:rPr>
                <w:sz w:val="20"/>
                <w:szCs w:val="20"/>
                <w:color w:val="auto"/>
              </w:rPr>
            </w:pPr>
            <w:r>
              <w:rPr>
                <w:rFonts w:ascii="Arial" w:cs="Arial" w:eastAsia="Arial" w:hAnsi="Arial"/>
                <w:sz w:val="16"/>
                <w:szCs w:val="16"/>
                <w:color w:val="auto"/>
              </w:rPr>
              <w:t>73</w:t>
            </w:r>
          </w:p>
        </w:tc>
        <w:tc>
          <w:tcPr>
            <w:tcW w:w="120" w:type="dxa"/>
            <w:vAlign w:val="bottom"/>
          </w:tcPr>
          <w:p>
            <w:pPr>
              <w:spacing w:after="0"/>
              <w:rPr>
                <w:sz w:val="20"/>
                <w:szCs w:val="20"/>
                <w:color w:val="auto"/>
              </w:rPr>
            </w:pPr>
          </w:p>
        </w:tc>
        <w:tc>
          <w:tcPr>
            <w:tcW w:w="420" w:type="dxa"/>
            <w:vAlign w:val="bottom"/>
          </w:tcPr>
          <w:p>
            <w:pPr>
              <w:jc w:val="right"/>
              <w:ind w:right="239"/>
              <w:spacing w:after="0"/>
              <w:rPr>
                <w:sz w:val="20"/>
                <w:szCs w:val="20"/>
                <w:color w:val="auto"/>
              </w:rPr>
            </w:pPr>
            <w:r>
              <w:rPr>
                <w:rFonts w:ascii="Arial" w:cs="Arial" w:eastAsia="Arial" w:hAnsi="Arial"/>
                <w:sz w:val="16"/>
                <w:szCs w:val="16"/>
                <w:color w:val="auto"/>
                <w:w w:val="89"/>
              </w:rPr>
              <w:t>$</w:t>
            </w:r>
          </w:p>
        </w:tc>
        <w:tc>
          <w:tcPr>
            <w:tcW w:w="1840" w:type="dxa"/>
            <w:vAlign w:val="bottom"/>
          </w:tcPr>
          <w:p>
            <w:pPr>
              <w:jc w:val="right"/>
              <w:ind w:right="20"/>
              <w:spacing w:after="0"/>
              <w:rPr>
                <w:sz w:val="20"/>
                <w:szCs w:val="20"/>
                <w:color w:val="auto"/>
              </w:rPr>
            </w:pPr>
            <w:r>
              <w:rPr>
                <w:rFonts w:ascii="Arial" w:cs="Arial" w:eastAsia="Arial" w:hAnsi="Arial"/>
                <w:sz w:val="16"/>
                <w:szCs w:val="16"/>
                <w:color w:val="auto"/>
              </w:rPr>
              <w:t>88</w:t>
            </w:r>
          </w:p>
        </w:tc>
        <w:tc>
          <w:tcPr>
            <w:tcW w:w="0" w:type="dxa"/>
            <w:vAlign w:val="bottom"/>
          </w:tcPr>
          <w:p>
            <w:pPr>
              <w:spacing w:after="0"/>
              <w:rPr>
                <w:sz w:val="1"/>
                <w:szCs w:val="1"/>
                <w:color w:val="auto"/>
              </w:rPr>
            </w:pPr>
          </w:p>
        </w:tc>
      </w:tr>
      <w:tr>
        <w:trPr>
          <w:trHeight w:val="33"/>
        </w:trPr>
        <w:tc>
          <w:tcPr>
            <w:tcW w:w="6740" w:type="dxa"/>
            <w:vAlign w:val="bottom"/>
          </w:tcPr>
          <w:p>
            <w:pPr>
              <w:spacing w:after="0"/>
              <w:rPr>
                <w:sz w:val="2"/>
                <w:szCs w:val="2"/>
                <w:color w:val="auto"/>
              </w:rPr>
            </w:pPr>
          </w:p>
        </w:tc>
        <w:tc>
          <w:tcPr>
            <w:tcW w:w="18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Difference between estimated fair value and unpaid principal balance</w:t>
            </w:r>
          </w:p>
        </w:tc>
        <w:tc>
          <w:tcPr>
            <w:tcW w:w="186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46</w:t>
            </w:r>
          </w:p>
        </w:tc>
        <w:tc>
          <w:tcPr>
            <w:tcW w:w="1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8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48</w:t>
            </w:r>
          </w:p>
        </w:tc>
        <w:tc>
          <w:tcPr>
            <w:tcW w:w="0" w:type="dxa"/>
            <w:vAlign w:val="bottom"/>
          </w:tcPr>
          <w:p>
            <w:pPr>
              <w:spacing w:after="0"/>
              <w:rPr>
                <w:sz w:val="1"/>
                <w:szCs w:val="1"/>
                <w:color w:val="auto"/>
              </w:rPr>
            </w:pPr>
          </w:p>
        </w:tc>
      </w:tr>
      <w:tr>
        <w:trPr>
          <w:trHeight w:val="217"/>
        </w:trPr>
        <w:tc>
          <w:tcPr>
            <w:tcW w:w="6740" w:type="dxa"/>
            <w:vAlign w:val="bottom"/>
          </w:tcPr>
          <w:p>
            <w:pPr>
              <w:ind w:left="200"/>
              <w:spacing w:after="0"/>
              <w:rPr>
                <w:sz w:val="20"/>
                <w:szCs w:val="20"/>
                <w:color w:val="auto"/>
              </w:rPr>
            </w:pPr>
            <w:r>
              <w:rPr>
                <w:rFonts w:ascii="Arial" w:cs="Arial" w:eastAsia="Arial" w:hAnsi="Arial"/>
                <w:sz w:val="16"/>
                <w:szCs w:val="16"/>
                <w:color w:val="auto"/>
              </w:rPr>
              <w:t>Carrying value at estimated fair value</w:t>
            </w:r>
          </w:p>
        </w:tc>
        <w:tc>
          <w:tcPr>
            <w:tcW w:w="1860" w:type="dxa"/>
            <w:vAlign w:val="bottom"/>
            <w:tcBorders>
              <w:top w:val="single" w:sz="8" w:color="auto"/>
            </w:tcBorders>
          </w:tcPr>
          <w:p>
            <w:pPr>
              <w:jc w:val="right"/>
              <w:ind w:right="1661"/>
              <w:spacing w:after="0"/>
              <w:rPr>
                <w:sz w:val="20"/>
                <w:szCs w:val="20"/>
                <w:color w:val="auto"/>
              </w:rPr>
            </w:pPr>
            <w:r>
              <w:rPr>
                <w:rFonts w:ascii="Arial" w:cs="Arial" w:eastAsia="Arial" w:hAnsi="Arial"/>
                <w:sz w:val="16"/>
                <w:szCs w:val="16"/>
                <w:color w:val="auto"/>
              </w:rPr>
              <w:t>$</w:t>
            </w:r>
          </w:p>
        </w:tc>
        <w:tc>
          <w:tcPr>
            <w:tcW w:w="44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119</w:t>
            </w:r>
          </w:p>
        </w:tc>
        <w:tc>
          <w:tcPr>
            <w:tcW w:w="120" w:type="dxa"/>
            <w:vAlign w:val="bottom"/>
          </w:tcPr>
          <w:p>
            <w:pPr>
              <w:spacing w:after="0"/>
              <w:rPr>
                <w:sz w:val="18"/>
                <w:szCs w:val="18"/>
                <w:color w:val="auto"/>
              </w:rPr>
            </w:pPr>
          </w:p>
        </w:tc>
        <w:tc>
          <w:tcPr>
            <w:tcW w:w="420" w:type="dxa"/>
            <w:vAlign w:val="bottom"/>
            <w:tcBorders>
              <w:top w:val="single" w:sz="8" w:color="auto"/>
            </w:tcBorders>
          </w:tcPr>
          <w:p>
            <w:pPr>
              <w:jc w:val="right"/>
              <w:ind w:right="239"/>
              <w:spacing w:after="0"/>
              <w:rPr>
                <w:sz w:val="20"/>
                <w:szCs w:val="20"/>
                <w:color w:val="auto"/>
              </w:rPr>
            </w:pPr>
            <w:r>
              <w:rPr>
                <w:rFonts w:ascii="Arial" w:cs="Arial" w:eastAsia="Arial" w:hAnsi="Arial"/>
                <w:sz w:val="16"/>
                <w:szCs w:val="16"/>
                <w:color w:val="auto"/>
                <w:w w:val="89"/>
              </w:rPr>
              <w:t>$</w:t>
            </w:r>
          </w:p>
        </w:tc>
        <w:tc>
          <w:tcPr>
            <w:tcW w:w="184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136</w:t>
            </w:r>
          </w:p>
        </w:tc>
        <w:tc>
          <w:tcPr>
            <w:tcW w:w="0" w:type="dxa"/>
            <w:vAlign w:val="bottom"/>
          </w:tcPr>
          <w:p>
            <w:pPr>
              <w:spacing w:after="0"/>
              <w:rPr>
                <w:sz w:val="1"/>
                <w:szCs w:val="1"/>
                <w:color w:val="auto"/>
              </w:rPr>
            </w:pPr>
          </w:p>
        </w:tc>
      </w:tr>
      <w:tr>
        <w:trPr>
          <w:trHeight w:val="73"/>
        </w:trPr>
        <w:tc>
          <w:tcPr>
            <w:tcW w:w="6740" w:type="dxa"/>
            <w:vAlign w:val="bottom"/>
            <w:tcBorders>
              <w:bottom w:val="single" w:sz="8" w:color="CCEEFF"/>
            </w:tcBorders>
          </w:tcPr>
          <w:p>
            <w:pPr>
              <w:spacing w:after="0"/>
              <w:rPr>
                <w:sz w:val="6"/>
                <w:szCs w:val="6"/>
                <w:color w:val="auto"/>
              </w:rPr>
            </w:pPr>
          </w:p>
        </w:tc>
        <w:tc>
          <w:tcPr>
            <w:tcW w:w="1860" w:type="dxa"/>
            <w:vAlign w:val="bottom"/>
            <w:tcBorders>
              <w:bottom w:val="single" w:sz="8" w:color="auto"/>
            </w:tcBorders>
          </w:tcPr>
          <w:p>
            <w:pPr>
              <w:spacing w:after="0"/>
              <w:rPr>
                <w:sz w:val="6"/>
                <w:szCs w:val="6"/>
                <w:color w:val="auto"/>
              </w:rPr>
            </w:pPr>
          </w:p>
        </w:tc>
        <w:tc>
          <w:tcPr>
            <w:tcW w:w="44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420" w:type="dxa"/>
            <w:vAlign w:val="bottom"/>
            <w:tcBorders>
              <w:bottom w:val="single" w:sz="8" w:color="auto"/>
            </w:tcBorders>
          </w:tcPr>
          <w:p>
            <w:pPr>
              <w:spacing w:after="0"/>
              <w:rPr>
                <w:sz w:val="6"/>
                <w:szCs w:val="6"/>
                <w:color w:val="auto"/>
              </w:rPr>
            </w:pPr>
          </w:p>
        </w:tc>
        <w:tc>
          <w:tcPr>
            <w:tcW w:w="184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6740" w:type="dxa"/>
            <w:vAlign w:val="bottom"/>
            <w:shd w:val="clear" w:color="auto" w:fill="CCEEFF"/>
          </w:tcPr>
          <w:p>
            <w:pPr>
              <w:ind w:left="40"/>
              <w:spacing w:after="0" w:line="177" w:lineRule="exact"/>
              <w:rPr>
                <w:sz w:val="20"/>
                <w:szCs w:val="20"/>
                <w:color w:val="auto"/>
              </w:rPr>
            </w:pPr>
            <w:r>
              <w:rPr>
                <w:rFonts w:ascii="Arial" w:cs="Arial" w:eastAsia="Arial" w:hAnsi="Arial"/>
                <w:sz w:val="16"/>
                <w:szCs w:val="16"/>
                <w:b w:val="1"/>
                <w:bCs w:val="1"/>
                <w:color w:val="auto"/>
              </w:rPr>
              <w:t>Liabilities (1)</w:t>
            </w:r>
          </w:p>
        </w:tc>
        <w:tc>
          <w:tcPr>
            <w:tcW w:w="186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8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74"/>
        </w:trPr>
        <w:tc>
          <w:tcPr>
            <w:tcW w:w="6740" w:type="dxa"/>
            <w:vAlign w:val="bottom"/>
            <w:shd w:val="clear" w:color="auto" w:fill="CCEEFF"/>
          </w:tcPr>
          <w:p>
            <w:pPr>
              <w:spacing w:after="0"/>
              <w:rPr>
                <w:sz w:val="6"/>
                <w:szCs w:val="6"/>
                <w:color w:val="auto"/>
              </w:rPr>
            </w:pPr>
          </w:p>
        </w:tc>
        <w:tc>
          <w:tcPr>
            <w:tcW w:w="1860" w:type="dxa"/>
            <w:vAlign w:val="bottom"/>
            <w:shd w:val="clear" w:color="auto" w:fill="CCEEFF"/>
          </w:tcPr>
          <w:p>
            <w:pPr>
              <w:spacing w:after="0"/>
              <w:rPr>
                <w:sz w:val="6"/>
                <w:szCs w:val="6"/>
                <w:color w:val="auto"/>
              </w:rPr>
            </w:pPr>
          </w:p>
        </w:tc>
        <w:tc>
          <w:tcPr>
            <w:tcW w:w="44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420" w:type="dxa"/>
            <w:vAlign w:val="bottom"/>
            <w:shd w:val="clear" w:color="auto" w:fill="CCEEFF"/>
          </w:tcPr>
          <w:p>
            <w:pPr>
              <w:spacing w:after="0"/>
              <w:rPr>
                <w:sz w:val="6"/>
                <w:szCs w:val="6"/>
                <w:color w:val="auto"/>
              </w:rPr>
            </w:pPr>
          </w:p>
        </w:tc>
        <w:tc>
          <w:tcPr>
            <w:tcW w:w="184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37"/>
        </w:trPr>
        <w:tc>
          <w:tcPr>
            <w:tcW w:w="6740" w:type="dxa"/>
            <w:vAlign w:val="bottom"/>
          </w:tcPr>
          <w:p>
            <w:pPr>
              <w:ind w:left="40"/>
              <w:spacing w:after="0"/>
              <w:rPr>
                <w:sz w:val="20"/>
                <w:szCs w:val="20"/>
                <w:color w:val="auto"/>
              </w:rPr>
            </w:pPr>
            <w:r>
              <w:rPr>
                <w:rFonts w:ascii="Arial" w:cs="Arial" w:eastAsia="Arial" w:hAnsi="Arial"/>
                <w:sz w:val="16"/>
                <w:szCs w:val="16"/>
                <w:color w:val="auto"/>
              </w:rPr>
              <w:t>Contractual principal balance</w:t>
            </w:r>
          </w:p>
        </w:tc>
        <w:tc>
          <w:tcPr>
            <w:tcW w:w="1860" w:type="dxa"/>
            <w:vAlign w:val="bottom"/>
          </w:tcPr>
          <w:p>
            <w:pPr>
              <w:jc w:val="right"/>
              <w:ind w:right="1661"/>
              <w:spacing w:after="0"/>
              <w:rPr>
                <w:sz w:val="20"/>
                <w:szCs w:val="20"/>
                <w:color w:val="auto"/>
              </w:rPr>
            </w:pPr>
            <w:r>
              <w:rPr>
                <w:rFonts w:ascii="Arial" w:cs="Arial" w:eastAsia="Arial" w:hAnsi="Arial"/>
                <w:sz w:val="16"/>
                <w:szCs w:val="16"/>
                <w:color w:val="auto"/>
              </w:rPr>
              <w:t>$</w:t>
            </w:r>
          </w:p>
        </w:tc>
        <w:tc>
          <w:tcPr>
            <w:tcW w:w="440" w:type="dxa"/>
            <w:vAlign w:val="bottom"/>
          </w:tcPr>
          <w:p>
            <w:pPr>
              <w:jc w:val="right"/>
              <w:ind w:right="20"/>
              <w:spacing w:after="0"/>
              <w:rPr>
                <w:sz w:val="20"/>
                <w:szCs w:val="20"/>
                <w:color w:val="auto"/>
              </w:rPr>
            </w:pPr>
            <w:r>
              <w:rPr>
                <w:rFonts w:ascii="Arial" w:cs="Arial" w:eastAsia="Arial" w:hAnsi="Arial"/>
                <w:sz w:val="16"/>
                <w:szCs w:val="16"/>
                <w:color w:val="auto"/>
              </w:rPr>
              <w:t>13</w:t>
            </w:r>
          </w:p>
        </w:tc>
        <w:tc>
          <w:tcPr>
            <w:tcW w:w="120" w:type="dxa"/>
            <w:vAlign w:val="bottom"/>
          </w:tcPr>
          <w:p>
            <w:pPr>
              <w:spacing w:after="0"/>
              <w:rPr>
                <w:sz w:val="20"/>
                <w:szCs w:val="20"/>
                <w:color w:val="auto"/>
              </w:rPr>
            </w:pPr>
          </w:p>
        </w:tc>
        <w:tc>
          <w:tcPr>
            <w:tcW w:w="420" w:type="dxa"/>
            <w:vAlign w:val="bottom"/>
          </w:tcPr>
          <w:p>
            <w:pPr>
              <w:jc w:val="right"/>
              <w:ind w:right="239"/>
              <w:spacing w:after="0"/>
              <w:rPr>
                <w:sz w:val="20"/>
                <w:szCs w:val="20"/>
                <w:color w:val="auto"/>
              </w:rPr>
            </w:pPr>
            <w:r>
              <w:rPr>
                <w:rFonts w:ascii="Arial" w:cs="Arial" w:eastAsia="Arial" w:hAnsi="Arial"/>
                <w:sz w:val="16"/>
                <w:szCs w:val="16"/>
                <w:color w:val="auto"/>
                <w:w w:val="89"/>
              </w:rPr>
              <w:t>$</w:t>
            </w:r>
          </w:p>
        </w:tc>
        <w:tc>
          <w:tcPr>
            <w:tcW w:w="1840" w:type="dxa"/>
            <w:vAlign w:val="bottom"/>
          </w:tcPr>
          <w:p>
            <w:pPr>
              <w:jc w:val="right"/>
              <w:ind w:right="20"/>
              <w:spacing w:after="0"/>
              <w:rPr>
                <w:sz w:val="20"/>
                <w:szCs w:val="20"/>
                <w:color w:val="auto"/>
              </w:rPr>
            </w:pPr>
            <w:r>
              <w:rPr>
                <w:rFonts w:ascii="Arial" w:cs="Arial" w:eastAsia="Arial" w:hAnsi="Arial"/>
                <w:sz w:val="16"/>
                <w:szCs w:val="16"/>
                <w:color w:val="auto"/>
              </w:rPr>
              <w:t>22</w:t>
            </w:r>
          </w:p>
        </w:tc>
        <w:tc>
          <w:tcPr>
            <w:tcW w:w="0" w:type="dxa"/>
            <w:vAlign w:val="bottom"/>
          </w:tcPr>
          <w:p>
            <w:pPr>
              <w:spacing w:after="0"/>
              <w:rPr>
                <w:sz w:val="1"/>
                <w:szCs w:val="1"/>
                <w:color w:val="auto"/>
              </w:rPr>
            </w:pPr>
          </w:p>
        </w:tc>
      </w:tr>
      <w:tr>
        <w:trPr>
          <w:trHeight w:val="33"/>
        </w:trPr>
        <w:tc>
          <w:tcPr>
            <w:tcW w:w="6740" w:type="dxa"/>
            <w:vAlign w:val="bottom"/>
          </w:tcPr>
          <w:p>
            <w:pPr>
              <w:spacing w:after="0"/>
              <w:rPr>
                <w:sz w:val="2"/>
                <w:szCs w:val="2"/>
                <w:color w:val="auto"/>
              </w:rPr>
            </w:pPr>
          </w:p>
        </w:tc>
        <w:tc>
          <w:tcPr>
            <w:tcW w:w="18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Difference between estimated fair value and contractual principal balance</w:t>
            </w:r>
          </w:p>
        </w:tc>
        <w:tc>
          <w:tcPr>
            <w:tcW w:w="186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8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17"/>
        </w:trPr>
        <w:tc>
          <w:tcPr>
            <w:tcW w:w="6740" w:type="dxa"/>
            <w:vAlign w:val="bottom"/>
          </w:tcPr>
          <w:p>
            <w:pPr>
              <w:ind w:left="200"/>
              <w:spacing w:after="0"/>
              <w:rPr>
                <w:sz w:val="20"/>
                <w:szCs w:val="20"/>
                <w:color w:val="auto"/>
              </w:rPr>
            </w:pPr>
            <w:r>
              <w:rPr>
                <w:rFonts w:ascii="Arial" w:cs="Arial" w:eastAsia="Arial" w:hAnsi="Arial"/>
                <w:sz w:val="16"/>
                <w:szCs w:val="16"/>
                <w:color w:val="auto"/>
              </w:rPr>
              <w:t>Carrying value at estimated fair value</w:t>
            </w:r>
          </w:p>
        </w:tc>
        <w:tc>
          <w:tcPr>
            <w:tcW w:w="1860" w:type="dxa"/>
            <w:vAlign w:val="bottom"/>
            <w:tcBorders>
              <w:top w:val="single" w:sz="8" w:color="auto"/>
            </w:tcBorders>
          </w:tcPr>
          <w:p>
            <w:pPr>
              <w:jc w:val="right"/>
              <w:ind w:right="1661"/>
              <w:spacing w:after="0"/>
              <w:rPr>
                <w:sz w:val="20"/>
                <w:szCs w:val="20"/>
                <w:color w:val="auto"/>
              </w:rPr>
            </w:pPr>
            <w:r>
              <w:rPr>
                <w:rFonts w:ascii="Arial" w:cs="Arial" w:eastAsia="Arial" w:hAnsi="Arial"/>
                <w:sz w:val="16"/>
                <w:szCs w:val="16"/>
                <w:color w:val="auto"/>
              </w:rPr>
              <w:t>$</w:t>
            </w:r>
          </w:p>
        </w:tc>
        <w:tc>
          <w:tcPr>
            <w:tcW w:w="44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14</w:t>
            </w:r>
          </w:p>
        </w:tc>
        <w:tc>
          <w:tcPr>
            <w:tcW w:w="120" w:type="dxa"/>
            <w:vAlign w:val="bottom"/>
          </w:tcPr>
          <w:p>
            <w:pPr>
              <w:spacing w:after="0"/>
              <w:rPr>
                <w:sz w:val="18"/>
                <w:szCs w:val="18"/>
                <w:color w:val="auto"/>
              </w:rPr>
            </w:pPr>
          </w:p>
        </w:tc>
        <w:tc>
          <w:tcPr>
            <w:tcW w:w="420" w:type="dxa"/>
            <w:vAlign w:val="bottom"/>
            <w:tcBorders>
              <w:top w:val="single" w:sz="8" w:color="auto"/>
            </w:tcBorders>
          </w:tcPr>
          <w:p>
            <w:pPr>
              <w:jc w:val="right"/>
              <w:ind w:right="239"/>
              <w:spacing w:after="0"/>
              <w:rPr>
                <w:sz w:val="20"/>
                <w:szCs w:val="20"/>
                <w:color w:val="auto"/>
              </w:rPr>
            </w:pPr>
            <w:r>
              <w:rPr>
                <w:rFonts w:ascii="Arial" w:cs="Arial" w:eastAsia="Arial" w:hAnsi="Arial"/>
                <w:sz w:val="16"/>
                <w:szCs w:val="16"/>
                <w:color w:val="auto"/>
                <w:w w:val="89"/>
              </w:rPr>
              <w:t>$</w:t>
            </w:r>
          </w:p>
        </w:tc>
        <w:tc>
          <w:tcPr>
            <w:tcW w:w="184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23</w:t>
            </w:r>
          </w:p>
        </w:tc>
        <w:tc>
          <w:tcPr>
            <w:tcW w:w="0" w:type="dxa"/>
            <w:vAlign w:val="bottom"/>
          </w:tcPr>
          <w:p>
            <w:pPr>
              <w:spacing w:after="0"/>
              <w:rPr>
                <w:sz w:val="1"/>
                <w:szCs w:val="1"/>
                <w:color w:val="auto"/>
              </w:rPr>
            </w:pPr>
          </w:p>
        </w:tc>
      </w:tr>
      <w:tr>
        <w:trPr>
          <w:trHeight w:val="33"/>
        </w:trPr>
        <w:tc>
          <w:tcPr>
            <w:tcW w:w="6740" w:type="dxa"/>
            <w:vAlign w:val="bottom"/>
            <w:vMerge w:val="restart"/>
          </w:tcPr>
          <w:p>
            <w:pPr>
              <w:spacing w:after="0"/>
              <w:rPr>
                <w:sz w:val="20"/>
                <w:szCs w:val="20"/>
                <w:color w:val="auto"/>
              </w:rPr>
            </w:pPr>
            <w:r>
              <w:rPr>
                <w:rFonts w:ascii="Arial" w:cs="Arial" w:eastAsia="Arial" w:hAnsi="Arial"/>
                <w:sz w:val="14"/>
                <w:szCs w:val="14"/>
                <w:color w:val="auto"/>
              </w:rPr>
              <w:t>__________________</w:t>
            </w:r>
          </w:p>
        </w:tc>
        <w:tc>
          <w:tcPr>
            <w:tcW w:w="18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740" w:type="dxa"/>
            <w:vAlign w:val="bottom"/>
            <w:vMerge w:val="continue"/>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6740" w:type="dxa"/>
            <w:vAlign w:val="bottom"/>
            <w:vMerge w:val="continue"/>
          </w:tcPr>
          <w:p>
            <w:pPr>
              <w:spacing w:after="0"/>
              <w:rPr>
                <w:sz w:val="12"/>
                <w:szCs w:val="12"/>
                <w:color w:val="auto"/>
              </w:rPr>
            </w:pPr>
          </w:p>
        </w:tc>
        <w:tc>
          <w:tcPr>
            <w:tcW w:w="18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92" w:lineRule="exact"/>
        <w:rPr>
          <w:sz w:val="20"/>
          <w:szCs w:val="20"/>
          <w:color w:val="auto"/>
        </w:rPr>
      </w:pPr>
    </w:p>
    <w:p>
      <w:pPr>
        <w:jc w:val="both"/>
        <w:ind w:left="500" w:hanging="492"/>
        <w:spacing w:after="0" w:line="312" w:lineRule="auto"/>
        <w:tabs>
          <w:tab w:leader="none" w:pos="500" w:val="left"/>
        </w:tabs>
        <w:numPr>
          <w:ilvl w:val="0"/>
          <w:numId w:val="39"/>
        </w:numPr>
        <w:rPr>
          <w:rFonts w:ascii="Arial" w:cs="Arial" w:eastAsia="Arial" w:hAnsi="Arial"/>
          <w:sz w:val="16"/>
          <w:szCs w:val="16"/>
          <w:color w:val="auto"/>
        </w:rPr>
      </w:pPr>
      <w:r>
        <w:rPr>
          <w:rFonts w:ascii="Arial" w:cs="Arial" w:eastAsia="Arial" w:hAnsi="Arial"/>
          <w:sz w:val="16"/>
          <w:szCs w:val="16"/>
          <w:color w:val="auto"/>
        </w:rPr>
        <w:t>These assets and liabilities are comprised of commercial mortgage loans and long-term debt. Changes in estimated fair value on these assets and liabilities and gains or losses on sales of these assets are recognized in net investment gains (losses). Interest income on commercial mortgage loans held by CSEs — FVO is recognized in net investment income. Interest expense from long-term debt of CSEs — FVO is recognized in other expenses.</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Financial Instruments Carried at Other Than Fair Value</w:t>
      </w:r>
    </w:p>
    <w:p>
      <w:pPr>
        <w:spacing w:after="0" w:line="117"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following tables provide fair value information for financial instruments that are carried on the balance sheet at amounts other than fair value. These tables exclude the following financial instruments: cash and cash equivalents, accrued investment income, payables for collateral under securities loaned and other transactions and those short-term investments that are not securities, such as time deposits, and therefore are not included in the three level hierarchy table disclosed in the “— Recurring Fair Value Measurements” section. The estimated fair value of the excluded financial instruments, which are primarily classified in Level 2, approximates carrying value as they are short-term in nature such that the Company believes there is minimal risk of material changes in interest rates or credit quality. All remaining balance sheet amounts excluded from the tables below are not considered financial instruments subject to this disclosure.</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288" w:right="239" w:bottom="1440" w:gutter="0" w:footer="0" w:header="0"/>
        </w:sectPr>
      </w:pPr>
    </w:p>
    <w:bookmarkStart w:id="59" w:name="page60"/>
    <w:bookmarkEnd w:id="59"/>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109" w:lineRule="exact"/>
        <w:rPr>
          <w:sz w:val="20"/>
          <w:szCs w:val="20"/>
          <w:color w:val="auto"/>
        </w:rPr>
      </w:pPr>
    </w:p>
    <w:p>
      <w:pPr>
        <w:ind w:left="4660"/>
        <w:spacing w:after="0"/>
        <w:rPr>
          <w:sz w:val="20"/>
          <w:szCs w:val="20"/>
          <w:color w:val="auto"/>
        </w:rPr>
      </w:pPr>
      <w:r>
        <w:rPr>
          <w:rFonts w:ascii="Arial" w:cs="Arial" w:eastAsia="Arial" w:hAnsi="Arial"/>
          <w:sz w:val="18"/>
          <w:szCs w:val="18"/>
          <w:b w:val="1"/>
          <w:bCs w:val="1"/>
          <w:color w:val="auto"/>
        </w:rPr>
        <w:t>Brighthouse Financial, Inc.</w:t>
      </w:r>
    </w:p>
    <w:p>
      <w:pPr>
        <w:spacing w:after="0" w:line="117" w:lineRule="exact"/>
        <w:rPr>
          <w:sz w:val="20"/>
          <w:szCs w:val="20"/>
          <w:color w:val="auto"/>
        </w:rPr>
      </w:pPr>
    </w:p>
    <w:p>
      <w:pPr>
        <w:ind w:left="1480"/>
        <w:spacing w:after="0"/>
        <w:rPr>
          <w:sz w:val="20"/>
          <w:szCs w:val="20"/>
          <w:color w:val="auto"/>
        </w:rPr>
      </w:pPr>
      <w:r>
        <w:rPr>
          <w:rFonts w:ascii="Arial" w:cs="Arial" w:eastAsia="Arial" w:hAnsi="Arial"/>
          <w:sz w:val="18"/>
          <w:szCs w:val="18"/>
          <w:b w:val="1"/>
          <w:bCs w:val="1"/>
          <w:color w:val="auto"/>
        </w:rPr>
        <w:t>Notes to the Interim Condensed Consolidated and Combined Financial Statements (Unaudited) — (continued)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Fair Value (continued)</w:t>
      </w:r>
    </w:p>
    <w:p>
      <w:pPr>
        <w:spacing w:after="0" w:line="364"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carrying values and estimated fair values for such financial instruments, and their corresponding placement in the fair value hierarchy, are summarized as follows at:</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5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center"/>
              <w:ind w:right="121"/>
              <w:spacing w:after="0"/>
              <w:rPr>
                <w:sz w:val="20"/>
                <w:szCs w:val="20"/>
                <w:color w:val="auto"/>
              </w:rPr>
            </w:pPr>
            <w:r>
              <w:rPr>
                <w:rFonts w:ascii="Arial" w:cs="Arial" w:eastAsia="Arial" w:hAnsi="Arial"/>
                <w:sz w:val="14"/>
                <w:szCs w:val="14"/>
                <w:b w:val="1"/>
                <w:bCs w:val="1"/>
                <w:color w:val="auto"/>
                <w:w w:val="91"/>
              </w:rPr>
              <w:t>September 30, 2017</w:t>
            </w:r>
          </w:p>
        </w:tc>
        <w:tc>
          <w:tcPr>
            <w:tcW w:w="4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3"/>
        </w:trPr>
        <w:tc>
          <w:tcPr>
            <w:tcW w:w="35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spacing w:after="0"/>
              <w:rPr>
                <w:sz w:val="22"/>
                <w:szCs w:val="22"/>
                <w:color w:val="auto"/>
              </w:rPr>
            </w:pPr>
          </w:p>
        </w:tc>
        <w:tc>
          <w:tcPr>
            <w:tcW w:w="16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7"/>
              </w:rPr>
              <w:t>Fair Value Hierarchy</w:t>
            </w:r>
          </w:p>
        </w:tc>
        <w:tc>
          <w:tcPr>
            <w:tcW w:w="40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spacing w:after="0"/>
              <w:rPr>
                <w:sz w:val="22"/>
                <w:szCs w:val="22"/>
                <w:color w:val="auto"/>
              </w:rPr>
            </w:pPr>
          </w:p>
        </w:tc>
        <w:tc>
          <w:tcPr>
            <w:tcW w:w="36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39"/>
        </w:trPr>
        <w:tc>
          <w:tcPr>
            <w:tcW w:w="3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20" w:type="dxa"/>
            <w:vAlign w:val="bottom"/>
            <w:vMerge w:val="restart"/>
          </w:tcPr>
          <w:p>
            <w:pPr>
              <w:jc w:val="center"/>
              <w:ind w:right="320"/>
              <w:spacing w:after="0"/>
              <w:rPr>
                <w:sz w:val="20"/>
                <w:szCs w:val="20"/>
                <w:color w:val="auto"/>
              </w:rPr>
            </w:pPr>
            <w:r>
              <w:rPr>
                <w:rFonts w:ascii="Arial" w:cs="Arial" w:eastAsia="Arial" w:hAnsi="Arial"/>
                <w:sz w:val="14"/>
                <w:szCs w:val="14"/>
                <w:b w:val="1"/>
                <w:bCs w:val="1"/>
                <w:color w:val="auto"/>
                <w:w w:val="97"/>
              </w:rPr>
              <w:t>Carrying</w:t>
            </w:r>
          </w:p>
        </w:tc>
        <w:tc>
          <w:tcPr>
            <w:tcW w:w="3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0" w:type="dxa"/>
            <w:vAlign w:val="bottom"/>
          </w:tcPr>
          <w:p>
            <w:pPr>
              <w:jc w:val="center"/>
              <w:ind w:right="181"/>
              <w:spacing w:after="0" w:line="139" w:lineRule="exact"/>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49"/>
        </w:trPr>
        <w:tc>
          <w:tcPr>
            <w:tcW w:w="3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20" w:type="dxa"/>
            <w:vAlign w:val="bottom"/>
            <w:vMerge w:val="continue"/>
          </w:tcPr>
          <w:p>
            <w:pPr>
              <w:spacing w:after="0"/>
              <w:rPr>
                <w:sz w:val="12"/>
                <w:szCs w:val="12"/>
                <w:color w:val="auto"/>
              </w:rPr>
            </w:pPr>
          </w:p>
        </w:tc>
        <w:tc>
          <w:tcPr>
            <w:tcW w:w="320" w:type="dxa"/>
            <w:vAlign w:val="bottom"/>
          </w:tcPr>
          <w:p>
            <w:pPr>
              <w:spacing w:after="0"/>
              <w:rPr>
                <w:sz w:val="12"/>
                <w:szCs w:val="12"/>
                <w:color w:val="auto"/>
              </w:rPr>
            </w:pPr>
          </w:p>
        </w:tc>
        <w:tc>
          <w:tcPr>
            <w:tcW w:w="1200" w:type="dxa"/>
            <w:vAlign w:val="bottom"/>
            <w:vMerge w:val="restart"/>
          </w:tcPr>
          <w:p>
            <w:pPr>
              <w:ind w:left="220"/>
              <w:spacing w:after="0"/>
              <w:rPr>
                <w:sz w:val="20"/>
                <w:szCs w:val="20"/>
                <w:color w:val="auto"/>
              </w:rPr>
            </w:pPr>
            <w:r>
              <w:rPr>
                <w:rFonts w:ascii="Arial" w:cs="Arial" w:eastAsia="Arial" w:hAnsi="Arial"/>
                <w:sz w:val="14"/>
                <w:szCs w:val="14"/>
                <w:b w:val="1"/>
                <w:bCs w:val="1"/>
                <w:color w:val="auto"/>
              </w:rPr>
              <w:t>Level 1</w:t>
            </w:r>
          </w:p>
        </w:tc>
        <w:tc>
          <w:tcPr>
            <w:tcW w:w="220" w:type="dxa"/>
            <w:vAlign w:val="bottom"/>
          </w:tcPr>
          <w:p>
            <w:pPr>
              <w:spacing w:after="0"/>
              <w:rPr>
                <w:sz w:val="12"/>
                <w:szCs w:val="12"/>
                <w:color w:val="auto"/>
              </w:rPr>
            </w:pPr>
          </w:p>
        </w:tc>
        <w:tc>
          <w:tcPr>
            <w:tcW w:w="1400" w:type="dxa"/>
            <w:vAlign w:val="bottom"/>
            <w:vMerge w:val="restart"/>
          </w:tcPr>
          <w:p>
            <w:pPr>
              <w:jc w:val="center"/>
              <w:ind w:right="41"/>
              <w:spacing w:after="0"/>
              <w:rPr>
                <w:sz w:val="20"/>
                <w:szCs w:val="20"/>
                <w:color w:val="auto"/>
              </w:rPr>
            </w:pPr>
            <w:r>
              <w:rPr>
                <w:rFonts w:ascii="Arial" w:cs="Arial" w:eastAsia="Arial" w:hAnsi="Arial"/>
                <w:sz w:val="14"/>
                <w:szCs w:val="14"/>
                <w:b w:val="1"/>
                <w:bCs w:val="1"/>
                <w:color w:val="auto"/>
                <w:w w:val="92"/>
              </w:rPr>
              <w:t>Level 2</w:t>
            </w:r>
          </w:p>
        </w:tc>
        <w:tc>
          <w:tcPr>
            <w:tcW w:w="400" w:type="dxa"/>
            <w:vAlign w:val="bottom"/>
          </w:tcPr>
          <w:p>
            <w:pPr>
              <w:spacing w:after="0"/>
              <w:rPr>
                <w:sz w:val="12"/>
                <w:szCs w:val="12"/>
                <w:color w:val="auto"/>
              </w:rPr>
            </w:pPr>
          </w:p>
        </w:tc>
        <w:tc>
          <w:tcPr>
            <w:tcW w:w="1160" w:type="dxa"/>
            <w:vAlign w:val="bottom"/>
            <w:vMerge w:val="restart"/>
          </w:tcPr>
          <w:p>
            <w:pPr>
              <w:jc w:val="right"/>
              <w:ind w:right="440"/>
              <w:spacing w:after="0"/>
              <w:rPr>
                <w:sz w:val="20"/>
                <w:szCs w:val="20"/>
                <w:color w:val="auto"/>
              </w:rPr>
            </w:pPr>
            <w:r>
              <w:rPr>
                <w:rFonts w:ascii="Arial" w:cs="Arial" w:eastAsia="Arial" w:hAnsi="Arial"/>
                <w:sz w:val="14"/>
                <w:szCs w:val="14"/>
                <w:b w:val="1"/>
                <w:bCs w:val="1"/>
                <w:color w:val="auto"/>
              </w:rPr>
              <w:t>Level 3</w:t>
            </w:r>
          </w:p>
        </w:tc>
        <w:tc>
          <w:tcPr>
            <w:tcW w:w="360" w:type="dxa"/>
            <w:vAlign w:val="bottom"/>
          </w:tcPr>
          <w:p>
            <w:pPr>
              <w:spacing w:after="0"/>
              <w:rPr>
                <w:sz w:val="12"/>
                <w:szCs w:val="12"/>
                <w:color w:val="auto"/>
              </w:rPr>
            </w:pPr>
          </w:p>
        </w:tc>
        <w:tc>
          <w:tcPr>
            <w:tcW w:w="1200" w:type="dxa"/>
            <w:vAlign w:val="bottom"/>
          </w:tcPr>
          <w:p>
            <w:pPr>
              <w:jc w:val="center"/>
              <w:ind w:right="181"/>
              <w:spacing w:after="0" w:line="149" w:lineRule="exact"/>
              <w:rPr>
                <w:sz w:val="20"/>
                <w:szCs w:val="20"/>
                <w:color w:val="auto"/>
              </w:rPr>
            </w:pPr>
            <w:r>
              <w:rPr>
                <w:rFonts w:ascii="Arial" w:cs="Arial" w:eastAsia="Arial" w:hAnsi="Arial"/>
                <w:sz w:val="14"/>
                <w:szCs w:val="14"/>
                <w:b w:val="1"/>
                <w:bCs w:val="1"/>
                <w:color w:val="auto"/>
                <w:w w:val="92"/>
              </w:rPr>
              <w:t>Estimated</w:t>
            </w:r>
          </w:p>
        </w:tc>
        <w:tc>
          <w:tcPr>
            <w:tcW w:w="0" w:type="dxa"/>
            <w:vAlign w:val="bottom"/>
          </w:tcPr>
          <w:p>
            <w:pPr>
              <w:spacing w:after="0"/>
              <w:rPr>
                <w:sz w:val="1"/>
                <w:szCs w:val="1"/>
                <w:color w:val="auto"/>
              </w:rPr>
            </w:pPr>
          </w:p>
        </w:tc>
      </w:tr>
      <w:tr>
        <w:trPr>
          <w:trHeight w:val="192"/>
        </w:trPr>
        <w:tc>
          <w:tcPr>
            <w:tcW w:w="35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center"/>
              <w:ind w:right="340"/>
              <w:spacing w:after="0"/>
              <w:rPr>
                <w:sz w:val="20"/>
                <w:szCs w:val="20"/>
                <w:color w:val="auto"/>
              </w:rPr>
            </w:pPr>
            <w:r>
              <w:rPr>
                <w:rFonts w:ascii="Arial" w:cs="Arial" w:eastAsia="Arial" w:hAnsi="Arial"/>
                <w:sz w:val="14"/>
                <w:szCs w:val="14"/>
                <w:b w:val="1"/>
                <w:bCs w:val="1"/>
                <w:color w:val="auto"/>
                <w:w w:val="90"/>
              </w:rPr>
              <w:t>Value</w:t>
            </w:r>
          </w:p>
        </w:tc>
        <w:tc>
          <w:tcPr>
            <w:tcW w:w="3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vMerge w:val="continue"/>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vMerge w:val="continue"/>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181"/>
              <w:spacing w:after="0"/>
              <w:rPr>
                <w:sz w:val="20"/>
                <w:szCs w:val="20"/>
                <w:color w:val="auto"/>
              </w:rPr>
            </w:pPr>
            <w:r>
              <w:rPr>
                <w:rFonts w:ascii="Arial" w:cs="Arial" w:eastAsia="Arial" w:hAnsi="Arial"/>
                <w:sz w:val="14"/>
                <w:szCs w:val="14"/>
                <w:b w:val="1"/>
                <w:bCs w:val="1"/>
                <w:color w:val="auto"/>
                <w:w w:val="98"/>
              </w:rPr>
              <w:t>Fair Value</w:t>
            </w:r>
          </w:p>
        </w:tc>
        <w:tc>
          <w:tcPr>
            <w:tcW w:w="0" w:type="dxa"/>
            <w:vAlign w:val="bottom"/>
          </w:tcPr>
          <w:p>
            <w:pPr>
              <w:spacing w:after="0"/>
              <w:rPr>
                <w:sz w:val="1"/>
                <w:szCs w:val="1"/>
                <w:color w:val="auto"/>
              </w:rPr>
            </w:pPr>
          </w:p>
        </w:tc>
      </w:tr>
      <w:tr>
        <w:trPr>
          <w:trHeight w:val="250"/>
        </w:trPr>
        <w:tc>
          <w:tcPr>
            <w:tcW w:w="35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0" w:type="dxa"/>
            <w:vAlign w:val="bottom"/>
          </w:tcPr>
          <w:p>
            <w:pPr>
              <w:jc w:val="center"/>
              <w:ind w:right="121"/>
              <w:spacing w:after="0"/>
              <w:rPr>
                <w:sz w:val="20"/>
                <w:szCs w:val="20"/>
                <w:color w:val="auto"/>
              </w:rPr>
            </w:pPr>
            <w:r>
              <w:rPr>
                <w:rFonts w:ascii="Arial" w:cs="Arial" w:eastAsia="Arial" w:hAnsi="Arial"/>
                <w:sz w:val="14"/>
                <w:szCs w:val="14"/>
                <w:b w:val="1"/>
                <w:bCs w:val="1"/>
                <w:color w:val="auto"/>
                <w:w w:val="96"/>
              </w:rPr>
              <w:t>(In millions)</w:t>
            </w:r>
          </w:p>
        </w:tc>
        <w:tc>
          <w:tcPr>
            <w:tcW w:w="4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Assets</w:t>
            </w:r>
          </w:p>
        </w:tc>
        <w:tc>
          <w:tcPr>
            <w:tcW w:w="30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3540" w:type="dxa"/>
            <w:vAlign w:val="bottom"/>
          </w:tcPr>
          <w:p>
            <w:pPr>
              <w:ind w:left="40"/>
              <w:spacing w:after="0"/>
              <w:rPr>
                <w:sz w:val="20"/>
                <w:szCs w:val="20"/>
                <w:color w:val="auto"/>
              </w:rPr>
            </w:pPr>
            <w:r>
              <w:rPr>
                <w:rFonts w:ascii="Arial" w:cs="Arial" w:eastAsia="Arial" w:hAnsi="Arial"/>
                <w:sz w:val="16"/>
                <w:szCs w:val="16"/>
                <w:color w:val="auto"/>
              </w:rPr>
              <w:t>Mortgage loans</w:t>
            </w: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160"/>
              <w:spacing w:after="0"/>
              <w:rPr>
                <w:sz w:val="20"/>
                <w:szCs w:val="20"/>
                <w:color w:val="auto"/>
              </w:rPr>
            </w:pPr>
            <w:r>
              <w:rPr>
                <w:rFonts w:ascii="Arial" w:cs="Arial" w:eastAsia="Arial" w:hAnsi="Arial"/>
                <w:sz w:val="16"/>
                <w:szCs w:val="16"/>
                <w:color w:val="auto"/>
              </w:rPr>
              <w:t>10,312</w:t>
            </w: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200" w:type="dxa"/>
            <w:vAlign w:val="bottom"/>
          </w:tcPr>
          <w:p>
            <w:pPr>
              <w:ind w:left="900"/>
              <w:spacing w:after="0"/>
              <w:rPr>
                <w:sz w:val="20"/>
                <w:szCs w:val="20"/>
                <w:color w:val="auto"/>
              </w:rPr>
            </w:pPr>
            <w:r>
              <w:rPr>
                <w:rFonts w:ascii="Arial" w:cs="Arial" w:eastAsia="Arial" w:hAnsi="Arial"/>
                <w:sz w:val="16"/>
                <w:szCs w:val="16"/>
                <w:color w:val="auto"/>
              </w:rPr>
              <w:t>—</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400" w:type="dxa"/>
            <w:vAlign w:val="bottom"/>
          </w:tcPr>
          <w:p>
            <w:pPr>
              <w:jc w:val="right"/>
              <w:ind w:right="61"/>
              <w:spacing w:after="0"/>
              <w:rPr>
                <w:sz w:val="20"/>
                <w:szCs w:val="20"/>
                <w:color w:val="auto"/>
              </w:rPr>
            </w:pPr>
            <w:r>
              <w:rPr>
                <w:rFonts w:ascii="Arial" w:cs="Arial" w:eastAsia="Arial" w:hAnsi="Arial"/>
                <w:sz w:val="16"/>
                <w:szCs w:val="16"/>
                <w:color w:val="auto"/>
              </w:rPr>
              <w:t>—</w:t>
            </w:r>
          </w:p>
        </w:tc>
        <w:tc>
          <w:tcPr>
            <w:tcW w:w="40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40"/>
              <w:spacing w:after="0"/>
              <w:rPr>
                <w:sz w:val="20"/>
                <w:szCs w:val="20"/>
                <w:color w:val="auto"/>
              </w:rPr>
            </w:pPr>
            <w:r>
              <w:rPr>
                <w:rFonts w:ascii="Arial" w:cs="Arial" w:eastAsia="Arial" w:hAnsi="Arial"/>
                <w:sz w:val="16"/>
                <w:szCs w:val="16"/>
                <w:color w:val="auto"/>
              </w:rPr>
              <w:t>10,557</w:t>
            </w:r>
          </w:p>
        </w:tc>
        <w:tc>
          <w:tcPr>
            <w:tcW w:w="36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21"/>
              <w:spacing w:after="0"/>
              <w:rPr>
                <w:sz w:val="20"/>
                <w:szCs w:val="20"/>
                <w:color w:val="auto"/>
              </w:rPr>
            </w:pPr>
            <w:r>
              <w:rPr>
                <w:rFonts w:ascii="Arial" w:cs="Arial" w:eastAsia="Arial" w:hAnsi="Arial"/>
                <w:sz w:val="16"/>
                <w:szCs w:val="16"/>
                <w:color w:val="auto"/>
              </w:rPr>
              <w:t>10,557</w:t>
            </w:r>
          </w:p>
        </w:tc>
        <w:tc>
          <w:tcPr>
            <w:tcW w:w="0" w:type="dxa"/>
            <w:vAlign w:val="bottom"/>
          </w:tcPr>
          <w:p>
            <w:pPr>
              <w:spacing w:after="0"/>
              <w:rPr>
                <w:sz w:val="1"/>
                <w:szCs w:val="1"/>
                <w:color w:val="auto"/>
              </w:rPr>
            </w:pPr>
          </w:p>
        </w:tc>
      </w:tr>
      <w:tr>
        <w:trPr>
          <w:trHeight w:val="33"/>
        </w:trPr>
        <w:tc>
          <w:tcPr>
            <w:tcW w:w="35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Policy loans</w:t>
            </w:r>
          </w:p>
        </w:tc>
        <w:tc>
          <w:tcPr>
            <w:tcW w:w="3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CCEEFF"/>
            </w:tcBorders>
            <w:shd w:val="clear" w:color="auto" w:fill="CCEEFF"/>
          </w:tcPr>
          <w:p>
            <w:pPr>
              <w:jc w:val="right"/>
              <w:ind w:right="160"/>
              <w:spacing w:after="0"/>
              <w:rPr>
                <w:sz w:val="20"/>
                <w:szCs w:val="20"/>
                <w:color w:val="auto"/>
              </w:rPr>
            </w:pPr>
            <w:r>
              <w:rPr>
                <w:rFonts w:ascii="Arial" w:cs="Arial" w:eastAsia="Arial" w:hAnsi="Arial"/>
                <w:sz w:val="16"/>
                <w:szCs w:val="16"/>
                <w:color w:val="auto"/>
              </w:rPr>
              <w:t>1,522</w:t>
            </w: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EEFF"/>
            </w:tcBorders>
            <w:shd w:val="clear" w:color="auto" w:fill="CCEEFF"/>
          </w:tcPr>
          <w:p>
            <w:pPr>
              <w:ind w:left="90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783</w:t>
            </w:r>
          </w:p>
        </w:tc>
        <w:tc>
          <w:tcPr>
            <w:tcW w:w="4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996</w:t>
            </w:r>
          </w:p>
        </w:tc>
        <w:tc>
          <w:tcPr>
            <w:tcW w:w="3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1,779</w:t>
            </w:r>
          </w:p>
        </w:tc>
        <w:tc>
          <w:tcPr>
            <w:tcW w:w="0" w:type="dxa"/>
            <w:vAlign w:val="bottom"/>
          </w:tcPr>
          <w:p>
            <w:pPr>
              <w:spacing w:after="0"/>
              <w:rPr>
                <w:sz w:val="1"/>
                <w:szCs w:val="1"/>
                <w:color w:val="auto"/>
              </w:rPr>
            </w:pPr>
          </w:p>
        </w:tc>
      </w:tr>
      <w:tr>
        <w:trPr>
          <w:trHeight w:val="237"/>
        </w:trPr>
        <w:tc>
          <w:tcPr>
            <w:tcW w:w="3540" w:type="dxa"/>
            <w:vAlign w:val="bottom"/>
          </w:tcPr>
          <w:p>
            <w:pPr>
              <w:ind w:left="40"/>
              <w:spacing w:after="0"/>
              <w:rPr>
                <w:sz w:val="20"/>
                <w:szCs w:val="20"/>
                <w:color w:val="auto"/>
              </w:rPr>
            </w:pPr>
            <w:r>
              <w:rPr>
                <w:rFonts w:ascii="Arial" w:cs="Arial" w:eastAsia="Arial" w:hAnsi="Arial"/>
                <w:sz w:val="16"/>
                <w:szCs w:val="16"/>
                <w:color w:val="auto"/>
              </w:rPr>
              <w:t>Real estate joint ventures</w:t>
            </w: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160"/>
              <w:spacing w:after="0"/>
              <w:rPr>
                <w:sz w:val="20"/>
                <w:szCs w:val="20"/>
                <w:color w:val="auto"/>
              </w:rPr>
            </w:pPr>
            <w:r>
              <w:rPr>
                <w:rFonts w:ascii="Arial" w:cs="Arial" w:eastAsia="Arial" w:hAnsi="Arial"/>
                <w:sz w:val="16"/>
                <w:szCs w:val="16"/>
                <w:color w:val="auto"/>
              </w:rPr>
              <w:t>5</w:t>
            </w: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200" w:type="dxa"/>
            <w:vAlign w:val="bottom"/>
          </w:tcPr>
          <w:p>
            <w:pPr>
              <w:ind w:left="900"/>
              <w:spacing w:after="0"/>
              <w:rPr>
                <w:sz w:val="20"/>
                <w:szCs w:val="20"/>
                <w:color w:val="auto"/>
              </w:rPr>
            </w:pPr>
            <w:r>
              <w:rPr>
                <w:rFonts w:ascii="Arial" w:cs="Arial" w:eastAsia="Arial" w:hAnsi="Arial"/>
                <w:sz w:val="16"/>
                <w:szCs w:val="16"/>
                <w:color w:val="auto"/>
              </w:rPr>
              <w:t>—</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400" w:type="dxa"/>
            <w:vAlign w:val="bottom"/>
          </w:tcPr>
          <w:p>
            <w:pPr>
              <w:jc w:val="right"/>
              <w:ind w:right="61"/>
              <w:spacing w:after="0"/>
              <w:rPr>
                <w:sz w:val="20"/>
                <w:szCs w:val="20"/>
                <w:color w:val="auto"/>
              </w:rPr>
            </w:pPr>
            <w:r>
              <w:rPr>
                <w:rFonts w:ascii="Arial" w:cs="Arial" w:eastAsia="Arial" w:hAnsi="Arial"/>
                <w:sz w:val="16"/>
                <w:szCs w:val="16"/>
                <w:color w:val="auto"/>
              </w:rPr>
              <w:t>—</w:t>
            </w:r>
          </w:p>
        </w:tc>
        <w:tc>
          <w:tcPr>
            <w:tcW w:w="40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40"/>
              <w:spacing w:after="0"/>
              <w:rPr>
                <w:sz w:val="20"/>
                <w:szCs w:val="20"/>
                <w:color w:val="auto"/>
              </w:rPr>
            </w:pPr>
            <w:r>
              <w:rPr>
                <w:rFonts w:ascii="Arial" w:cs="Arial" w:eastAsia="Arial" w:hAnsi="Arial"/>
                <w:sz w:val="16"/>
                <w:szCs w:val="16"/>
                <w:color w:val="auto"/>
              </w:rPr>
              <w:t>24</w:t>
            </w:r>
          </w:p>
        </w:tc>
        <w:tc>
          <w:tcPr>
            <w:tcW w:w="36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21"/>
              <w:spacing w:after="0"/>
              <w:rPr>
                <w:sz w:val="20"/>
                <w:szCs w:val="20"/>
                <w:color w:val="auto"/>
              </w:rPr>
            </w:pPr>
            <w:r>
              <w:rPr>
                <w:rFonts w:ascii="Arial" w:cs="Arial" w:eastAsia="Arial" w:hAnsi="Arial"/>
                <w:sz w:val="16"/>
                <w:szCs w:val="16"/>
                <w:color w:val="auto"/>
              </w:rPr>
              <w:t>24</w:t>
            </w:r>
          </w:p>
        </w:tc>
        <w:tc>
          <w:tcPr>
            <w:tcW w:w="0" w:type="dxa"/>
            <w:vAlign w:val="bottom"/>
          </w:tcPr>
          <w:p>
            <w:pPr>
              <w:spacing w:after="0"/>
              <w:rPr>
                <w:sz w:val="1"/>
                <w:szCs w:val="1"/>
                <w:color w:val="auto"/>
              </w:rPr>
            </w:pPr>
          </w:p>
        </w:tc>
      </w:tr>
      <w:tr>
        <w:trPr>
          <w:trHeight w:val="33"/>
        </w:trPr>
        <w:tc>
          <w:tcPr>
            <w:tcW w:w="35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limited partnership interests</w:t>
            </w:r>
          </w:p>
        </w:tc>
        <w:tc>
          <w:tcPr>
            <w:tcW w:w="3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CCEEFF"/>
            </w:tcBorders>
            <w:shd w:val="clear" w:color="auto" w:fill="CCEEFF"/>
          </w:tcPr>
          <w:p>
            <w:pPr>
              <w:jc w:val="right"/>
              <w:ind w:right="160"/>
              <w:spacing w:after="0"/>
              <w:rPr>
                <w:sz w:val="20"/>
                <w:szCs w:val="20"/>
                <w:color w:val="auto"/>
              </w:rPr>
            </w:pPr>
            <w:r>
              <w:rPr>
                <w:rFonts w:ascii="Arial" w:cs="Arial" w:eastAsia="Arial" w:hAnsi="Arial"/>
                <w:sz w:val="16"/>
                <w:szCs w:val="16"/>
                <w:color w:val="auto"/>
              </w:rPr>
              <w:t>37</w:t>
            </w: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EEFF"/>
            </w:tcBorders>
            <w:shd w:val="clear" w:color="auto" w:fill="CCEEFF"/>
          </w:tcPr>
          <w:p>
            <w:pPr>
              <w:ind w:left="90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32</w:t>
            </w:r>
          </w:p>
        </w:tc>
        <w:tc>
          <w:tcPr>
            <w:tcW w:w="3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32</w:t>
            </w:r>
          </w:p>
        </w:tc>
        <w:tc>
          <w:tcPr>
            <w:tcW w:w="0" w:type="dxa"/>
            <w:vAlign w:val="bottom"/>
          </w:tcPr>
          <w:p>
            <w:pPr>
              <w:spacing w:after="0"/>
              <w:rPr>
                <w:sz w:val="1"/>
                <w:szCs w:val="1"/>
                <w:color w:val="auto"/>
              </w:rPr>
            </w:pPr>
          </w:p>
        </w:tc>
      </w:tr>
      <w:tr>
        <w:trPr>
          <w:trHeight w:val="237"/>
        </w:trPr>
        <w:tc>
          <w:tcPr>
            <w:tcW w:w="3540" w:type="dxa"/>
            <w:vAlign w:val="bottom"/>
          </w:tcPr>
          <w:p>
            <w:pPr>
              <w:ind w:left="40"/>
              <w:spacing w:after="0"/>
              <w:rPr>
                <w:sz w:val="20"/>
                <w:szCs w:val="20"/>
                <w:color w:val="auto"/>
              </w:rPr>
            </w:pPr>
            <w:r>
              <w:rPr>
                <w:rFonts w:ascii="Arial" w:cs="Arial" w:eastAsia="Arial" w:hAnsi="Arial"/>
                <w:sz w:val="16"/>
                <w:szCs w:val="16"/>
                <w:color w:val="auto"/>
              </w:rPr>
              <w:t>Premiums, reinsurance and other receivables</w:t>
            </w: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160"/>
              <w:spacing w:after="0"/>
              <w:rPr>
                <w:sz w:val="20"/>
                <w:szCs w:val="20"/>
                <w:color w:val="auto"/>
              </w:rPr>
            </w:pPr>
            <w:r>
              <w:rPr>
                <w:rFonts w:ascii="Arial" w:cs="Arial" w:eastAsia="Arial" w:hAnsi="Arial"/>
                <w:sz w:val="16"/>
                <w:szCs w:val="16"/>
                <w:color w:val="auto"/>
              </w:rPr>
              <w:t>1,888</w:t>
            </w: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200" w:type="dxa"/>
            <w:vAlign w:val="bottom"/>
          </w:tcPr>
          <w:p>
            <w:pPr>
              <w:ind w:left="900"/>
              <w:spacing w:after="0"/>
              <w:rPr>
                <w:sz w:val="20"/>
                <w:szCs w:val="20"/>
                <w:color w:val="auto"/>
              </w:rPr>
            </w:pPr>
            <w:r>
              <w:rPr>
                <w:rFonts w:ascii="Arial" w:cs="Arial" w:eastAsia="Arial" w:hAnsi="Arial"/>
                <w:sz w:val="16"/>
                <w:szCs w:val="16"/>
                <w:color w:val="auto"/>
              </w:rPr>
              <w:t>—</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400" w:type="dxa"/>
            <w:vAlign w:val="bottom"/>
          </w:tcPr>
          <w:p>
            <w:pPr>
              <w:jc w:val="right"/>
              <w:ind w:right="61"/>
              <w:spacing w:after="0"/>
              <w:rPr>
                <w:sz w:val="20"/>
                <w:szCs w:val="20"/>
                <w:color w:val="auto"/>
              </w:rPr>
            </w:pPr>
            <w:r>
              <w:rPr>
                <w:rFonts w:ascii="Arial" w:cs="Arial" w:eastAsia="Arial" w:hAnsi="Arial"/>
                <w:sz w:val="16"/>
                <w:szCs w:val="16"/>
                <w:color w:val="auto"/>
              </w:rPr>
              <w:t>237</w:t>
            </w:r>
          </w:p>
        </w:tc>
        <w:tc>
          <w:tcPr>
            <w:tcW w:w="40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40"/>
              <w:spacing w:after="0"/>
              <w:rPr>
                <w:sz w:val="20"/>
                <w:szCs w:val="20"/>
                <w:color w:val="auto"/>
              </w:rPr>
            </w:pPr>
            <w:r>
              <w:rPr>
                <w:rFonts w:ascii="Arial" w:cs="Arial" w:eastAsia="Arial" w:hAnsi="Arial"/>
                <w:sz w:val="16"/>
                <w:szCs w:val="16"/>
                <w:color w:val="auto"/>
              </w:rPr>
              <w:t>1,982</w:t>
            </w:r>
          </w:p>
        </w:tc>
        <w:tc>
          <w:tcPr>
            <w:tcW w:w="36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21"/>
              <w:spacing w:after="0"/>
              <w:rPr>
                <w:sz w:val="20"/>
                <w:szCs w:val="20"/>
                <w:color w:val="auto"/>
              </w:rPr>
            </w:pPr>
            <w:r>
              <w:rPr>
                <w:rFonts w:ascii="Arial" w:cs="Arial" w:eastAsia="Arial" w:hAnsi="Arial"/>
                <w:sz w:val="16"/>
                <w:szCs w:val="16"/>
                <w:color w:val="auto"/>
              </w:rPr>
              <w:t>2,219</w:t>
            </w:r>
          </w:p>
        </w:tc>
        <w:tc>
          <w:tcPr>
            <w:tcW w:w="0" w:type="dxa"/>
            <w:vAlign w:val="bottom"/>
          </w:tcPr>
          <w:p>
            <w:pPr>
              <w:spacing w:after="0"/>
              <w:rPr>
                <w:sz w:val="1"/>
                <w:szCs w:val="1"/>
                <w:color w:val="auto"/>
              </w:rPr>
            </w:pPr>
          </w:p>
        </w:tc>
      </w:tr>
      <w:tr>
        <w:trPr>
          <w:trHeight w:val="33"/>
        </w:trPr>
        <w:tc>
          <w:tcPr>
            <w:tcW w:w="35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Liabilities</w:t>
            </w:r>
          </w:p>
        </w:tc>
        <w:tc>
          <w:tcPr>
            <w:tcW w:w="3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540" w:type="dxa"/>
            <w:vAlign w:val="bottom"/>
          </w:tcPr>
          <w:p>
            <w:pPr>
              <w:ind w:left="40"/>
              <w:spacing w:after="0"/>
              <w:rPr>
                <w:sz w:val="20"/>
                <w:szCs w:val="20"/>
                <w:color w:val="auto"/>
              </w:rPr>
            </w:pPr>
            <w:r>
              <w:rPr>
                <w:rFonts w:ascii="Arial" w:cs="Arial" w:eastAsia="Arial" w:hAnsi="Arial"/>
                <w:sz w:val="16"/>
                <w:szCs w:val="16"/>
                <w:color w:val="auto"/>
              </w:rPr>
              <w:t>Policyholder account balances</w:t>
            </w: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160"/>
              <w:spacing w:after="0"/>
              <w:rPr>
                <w:sz w:val="20"/>
                <w:szCs w:val="20"/>
                <w:color w:val="auto"/>
              </w:rPr>
            </w:pPr>
            <w:r>
              <w:rPr>
                <w:rFonts w:ascii="Arial" w:cs="Arial" w:eastAsia="Arial" w:hAnsi="Arial"/>
                <w:sz w:val="16"/>
                <w:szCs w:val="16"/>
                <w:color w:val="auto"/>
              </w:rPr>
              <w:t>15,745</w:t>
            </w: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200" w:type="dxa"/>
            <w:vAlign w:val="bottom"/>
          </w:tcPr>
          <w:p>
            <w:pPr>
              <w:ind w:left="900"/>
              <w:spacing w:after="0"/>
              <w:rPr>
                <w:sz w:val="20"/>
                <w:szCs w:val="20"/>
                <w:color w:val="auto"/>
              </w:rPr>
            </w:pPr>
            <w:r>
              <w:rPr>
                <w:rFonts w:ascii="Arial" w:cs="Arial" w:eastAsia="Arial" w:hAnsi="Arial"/>
                <w:sz w:val="16"/>
                <w:szCs w:val="16"/>
                <w:color w:val="auto"/>
              </w:rPr>
              <w:t>—</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400" w:type="dxa"/>
            <w:vAlign w:val="bottom"/>
          </w:tcPr>
          <w:p>
            <w:pPr>
              <w:jc w:val="right"/>
              <w:ind w:right="61"/>
              <w:spacing w:after="0"/>
              <w:rPr>
                <w:sz w:val="20"/>
                <w:szCs w:val="20"/>
                <w:color w:val="auto"/>
              </w:rPr>
            </w:pPr>
            <w:r>
              <w:rPr>
                <w:rFonts w:ascii="Arial" w:cs="Arial" w:eastAsia="Arial" w:hAnsi="Arial"/>
                <w:sz w:val="16"/>
                <w:szCs w:val="16"/>
                <w:color w:val="auto"/>
              </w:rPr>
              <w:t>—</w:t>
            </w:r>
          </w:p>
        </w:tc>
        <w:tc>
          <w:tcPr>
            <w:tcW w:w="40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40"/>
              <w:spacing w:after="0"/>
              <w:rPr>
                <w:sz w:val="20"/>
                <w:szCs w:val="20"/>
                <w:color w:val="auto"/>
              </w:rPr>
            </w:pPr>
            <w:r>
              <w:rPr>
                <w:rFonts w:ascii="Arial" w:cs="Arial" w:eastAsia="Arial" w:hAnsi="Arial"/>
                <w:sz w:val="16"/>
                <w:szCs w:val="16"/>
                <w:color w:val="auto"/>
              </w:rPr>
              <w:t>15,958</w:t>
            </w:r>
          </w:p>
        </w:tc>
        <w:tc>
          <w:tcPr>
            <w:tcW w:w="36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21"/>
              <w:spacing w:after="0"/>
              <w:rPr>
                <w:sz w:val="20"/>
                <w:szCs w:val="20"/>
                <w:color w:val="auto"/>
              </w:rPr>
            </w:pPr>
            <w:r>
              <w:rPr>
                <w:rFonts w:ascii="Arial" w:cs="Arial" w:eastAsia="Arial" w:hAnsi="Arial"/>
                <w:sz w:val="16"/>
                <w:szCs w:val="16"/>
                <w:color w:val="auto"/>
              </w:rPr>
              <w:t>15,958</w:t>
            </w:r>
          </w:p>
        </w:tc>
        <w:tc>
          <w:tcPr>
            <w:tcW w:w="0" w:type="dxa"/>
            <w:vAlign w:val="bottom"/>
          </w:tcPr>
          <w:p>
            <w:pPr>
              <w:spacing w:after="0"/>
              <w:rPr>
                <w:sz w:val="1"/>
                <w:szCs w:val="1"/>
                <w:color w:val="auto"/>
              </w:rPr>
            </w:pPr>
          </w:p>
        </w:tc>
      </w:tr>
      <w:tr>
        <w:trPr>
          <w:trHeight w:val="33"/>
        </w:trPr>
        <w:tc>
          <w:tcPr>
            <w:tcW w:w="35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Long-term debt</w:t>
            </w:r>
          </w:p>
        </w:tc>
        <w:tc>
          <w:tcPr>
            <w:tcW w:w="3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CCEEFF"/>
            </w:tcBorders>
            <w:shd w:val="clear" w:color="auto" w:fill="CCEEFF"/>
          </w:tcPr>
          <w:p>
            <w:pPr>
              <w:jc w:val="right"/>
              <w:ind w:right="160"/>
              <w:spacing w:after="0"/>
              <w:rPr>
                <w:sz w:val="20"/>
                <w:szCs w:val="20"/>
                <w:color w:val="auto"/>
              </w:rPr>
            </w:pPr>
            <w:r>
              <w:rPr>
                <w:rFonts w:ascii="Arial" w:cs="Arial" w:eastAsia="Arial" w:hAnsi="Arial"/>
                <w:sz w:val="16"/>
                <w:szCs w:val="16"/>
                <w:color w:val="auto"/>
              </w:rPr>
              <w:t>3,601</w:t>
            </w: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EEFF"/>
            </w:tcBorders>
            <w:shd w:val="clear" w:color="auto" w:fill="CCEEFF"/>
          </w:tcPr>
          <w:p>
            <w:pPr>
              <w:ind w:left="90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2,984</w:t>
            </w:r>
          </w:p>
        </w:tc>
        <w:tc>
          <w:tcPr>
            <w:tcW w:w="4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600</w:t>
            </w:r>
          </w:p>
        </w:tc>
        <w:tc>
          <w:tcPr>
            <w:tcW w:w="3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3,584</w:t>
            </w:r>
          </w:p>
        </w:tc>
        <w:tc>
          <w:tcPr>
            <w:tcW w:w="0" w:type="dxa"/>
            <w:vAlign w:val="bottom"/>
          </w:tcPr>
          <w:p>
            <w:pPr>
              <w:spacing w:after="0"/>
              <w:rPr>
                <w:sz w:val="1"/>
                <w:szCs w:val="1"/>
                <w:color w:val="auto"/>
              </w:rPr>
            </w:pPr>
          </w:p>
        </w:tc>
      </w:tr>
      <w:tr>
        <w:trPr>
          <w:trHeight w:val="237"/>
        </w:trPr>
        <w:tc>
          <w:tcPr>
            <w:tcW w:w="3540" w:type="dxa"/>
            <w:vAlign w:val="bottom"/>
          </w:tcPr>
          <w:p>
            <w:pPr>
              <w:ind w:left="40"/>
              <w:spacing w:after="0"/>
              <w:rPr>
                <w:sz w:val="20"/>
                <w:szCs w:val="20"/>
                <w:color w:val="auto"/>
              </w:rPr>
            </w:pPr>
            <w:r>
              <w:rPr>
                <w:rFonts w:ascii="Arial" w:cs="Arial" w:eastAsia="Arial" w:hAnsi="Arial"/>
                <w:sz w:val="16"/>
                <w:szCs w:val="16"/>
                <w:color w:val="auto"/>
              </w:rPr>
              <w:t>Collateral financing arrangement</w:t>
            </w: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160"/>
              <w:spacing w:after="0"/>
              <w:rPr>
                <w:sz w:val="20"/>
                <w:szCs w:val="20"/>
                <w:color w:val="auto"/>
              </w:rPr>
            </w:pPr>
            <w:r>
              <w:rPr>
                <w:rFonts w:ascii="Arial" w:cs="Arial" w:eastAsia="Arial" w:hAnsi="Arial"/>
                <w:sz w:val="16"/>
                <w:szCs w:val="16"/>
                <w:color w:val="auto"/>
              </w:rPr>
              <w:t>—</w:t>
            </w: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200" w:type="dxa"/>
            <w:vAlign w:val="bottom"/>
          </w:tcPr>
          <w:p>
            <w:pPr>
              <w:ind w:left="900"/>
              <w:spacing w:after="0"/>
              <w:rPr>
                <w:sz w:val="20"/>
                <w:szCs w:val="20"/>
                <w:color w:val="auto"/>
              </w:rPr>
            </w:pPr>
            <w:r>
              <w:rPr>
                <w:rFonts w:ascii="Arial" w:cs="Arial" w:eastAsia="Arial" w:hAnsi="Arial"/>
                <w:sz w:val="16"/>
                <w:szCs w:val="16"/>
                <w:color w:val="auto"/>
              </w:rPr>
              <w:t>—</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400" w:type="dxa"/>
            <w:vAlign w:val="bottom"/>
          </w:tcPr>
          <w:p>
            <w:pPr>
              <w:jc w:val="right"/>
              <w:ind w:right="61"/>
              <w:spacing w:after="0"/>
              <w:rPr>
                <w:sz w:val="20"/>
                <w:szCs w:val="20"/>
                <w:color w:val="auto"/>
              </w:rPr>
            </w:pPr>
            <w:r>
              <w:rPr>
                <w:rFonts w:ascii="Arial" w:cs="Arial" w:eastAsia="Arial" w:hAnsi="Arial"/>
                <w:sz w:val="16"/>
                <w:szCs w:val="16"/>
                <w:color w:val="auto"/>
              </w:rPr>
              <w:t>—</w:t>
            </w:r>
          </w:p>
        </w:tc>
        <w:tc>
          <w:tcPr>
            <w:tcW w:w="40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36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35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liabilities</w:t>
            </w:r>
          </w:p>
        </w:tc>
        <w:tc>
          <w:tcPr>
            <w:tcW w:w="3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CCEEFF"/>
            </w:tcBorders>
            <w:shd w:val="clear" w:color="auto" w:fill="CCEEFF"/>
          </w:tcPr>
          <w:p>
            <w:pPr>
              <w:jc w:val="right"/>
              <w:ind w:right="160"/>
              <w:spacing w:after="0"/>
              <w:rPr>
                <w:sz w:val="20"/>
                <w:szCs w:val="20"/>
                <w:color w:val="auto"/>
              </w:rPr>
            </w:pPr>
            <w:r>
              <w:rPr>
                <w:rFonts w:ascii="Arial" w:cs="Arial" w:eastAsia="Arial" w:hAnsi="Arial"/>
                <w:sz w:val="16"/>
                <w:szCs w:val="16"/>
                <w:color w:val="auto"/>
              </w:rPr>
              <w:t>896</w:t>
            </w: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EEFF"/>
            </w:tcBorders>
            <w:shd w:val="clear" w:color="auto" w:fill="CCEEFF"/>
          </w:tcPr>
          <w:p>
            <w:pPr>
              <w:ind w:left="90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684</w:t>
            </w:r>
          </w:p>
        </w:tc>
        <w:tc>
          <w:tcPr>
            <w:tcW w:w="4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212</w:t>
            </w:r>
          </w:p>
        </w:tc>
        <w:tc>
          <w:tcPr>
            <w:tcW w:w="3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896</w:t>
            </w:r>
          </w:p>
        </w:tc>
        <w:tc>
          <w:tcPr>
            <w:tcW w:w="0" w:type="dxa"/>
            <w:vAlign w:val="bottom"/>
          </w:tcPr>
          <w:p>
            <w:pPr>
              <w:spacing w:after="0"/>
              <w:rPr>
                <w:sz w:val="1"/>
                <w:szCs w:val="1"/>
                <w:color w:val="auto"/>
              </w:rPr>
            </w:pPr>
          </w:p>
        </w:tc>
      </w:tr>
      <w:tr>
        <w:trPr>
          <w:trHeight w:val="237"/>
        </w:trPr>
        <w:tc>
          <w:tcPr>
            <w:tcW w:w="3540" w:type="dxa"/>
            <w:vAlign w:val="bottom"/>
          </w:tcPr>
          <w:p>
            <w:pPr>
              <w:ind w:left="40"/>
              <w:spacing w:after="0"/>
              <w:rPr>
                <w:sz w:val="20"/>
                <w:szCs w:val="20"/>
                <w:color w:val="auto"/>
              </w:rPr>
            </w:pPr>
            <w:r>
              <w:rPr>
                <w:rFonts w:ascii="Arial" w:cs="Arial" w:eastAsia="Arial" w:hAnsi="Arial"/>
                <w:sz w:val="16"/>
                <w:szCs w:val="16"/>
                <w:color w:val="auto"/>
              </w:rPr>
              <w:t>Separate account liabilities</w:t>
            </w: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160"/>
              <w:spacing w:after="0"/>
              <w:rPr>
                <w:sz w:val="20"/>
                <w:szCs w:val="20"/>
                <w:color w:val="auto"/>
              </w:rPr>
            </w:pPr>
            <w:r>
              <w:rPr>
                <w:rFonts w:ascii="Arial" w:cs="Arial" w:eastAsia="Arial" w:hAnsi="Arial"/>
                <w:sz w:val="16"/>
                <w:szCs w:val="16"/>
                <w:color w:val="auto"/>
              </w:rPr>
              <w:t>1,184</w:t>
            </w: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200" w:type="dxa"/>
            <w:vAlign w:val="bottom"/>
          </w:tcPr>
          <w:p>
            <w:pPr>
              <w:ind w:left="900"/>
              <w:spacing w:after="0"/>
              <w:rPr>
                <w:sz w:val="20"/>
                <w:szCs w:val="20"/>
                <w:color w:val="auto"/>
              </w:rPr>
            </w:pPr>
            <w:r>
              <w:rPr>
                <w:rFonts w:ascii="Arial" w:cs="Arial" w:eastAsia="Arial" w:hAnsi="Arial"/>
                <w:sz w:val="16"/>
                <w:szCs w:val="16"/>
                <w:color w:val="auto"/>
              </w:rPr>
              <w:t>—</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400" w:type="dxa"/>
            <w:vAlign w:val="bottom"/>
          </w:tcPr>
          <w:p>
            <w:pPr>
              <w:jc w:val="right"/>
              <w:ind w:right="61"/>
              <w:spacing w:after="0"/>
              <w:rPr>
                <w:sz w:val="20"/>
                <w:szCs w:val="20"/>
                <w:color w:val="auto"/>
              </w:rPr>
            </w:pPr>
            <w:r>
              <w:rPr>
                <w:rFonts w:ascii="Arial" w:cs="Arial" w:eastAsia="Arial" w:hAnsi="Arial"/>
                <w:sz w:val="16"/>
                <w:szCs w:val="16"/>
                <w:color w:val="auto"/>
              </w:rPr>
              <w:t>1,184</w:t>
            </w:r>
          </w:p>
        </w:tc>
        <w:tc>
          <w:tcPr>
            <w:tcW w:w="40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36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21"/>
              <w:spacing w:after="0"/>
              <w:rPr>
                <w:sz w:val="20"/>
                <w:szCs w:val="20"/>
                <w:color w:val="auto"/>
              </w:rPr>
            </w:pPr>
            <w:r>
              <w:rPr>
                <w:rFonts w:ascii="Arial" w:cs="Arial" w:eastAsia="Arial" w:hAnsi="Arial"/>
                <w:sz w:val="16"/>
                <w:szCs w:val="16"/>
                <w:color w:val="auto"/>
              </w:rPr>
              <w:t>1,184</w:t>
            </w:r>
          </w:p>
        </w:tc>
        <w:tc>
          <w:tcPr>
            <w:tcW w:w="0" w:type="dxa"/>
            <w:vAlign w:val="bottom"/>
          </w:tcPr>
          <w:p>
            <w:pPr>
              <w:spacing w:after="0"/>
              <w:rPr>
                <w:sz w:val="1"/>
                <w:szCs w:val="1"/>
                <w:color w:val="auto"/>
              </w:rPr>
            </w:pPr>
          </w:p>
        </w:tc>
      </w:tr>
      <w:tr>
        <w:trPr>
          <w:trHeight w:val="540"/>
        </w:trPr>
        <w:tc>
          <w:tcPr>
            <w:tcW w:w="354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jc w:val="center"/>
              <w:ind w:right="121"/>
              <w:spacing w:after="0"/>
              <w:rPr>
                <w:sz w:val="20"/>
                <w:szCs w:val="20"/>
                <w:color w:val="auto"/>
              </w:rPr>
            </w:pPr>
            <w:r>
              <w:rPr>
                <w:rFonts w:ascii="Arial" w:cs="Arial" w:eastAsia="Arial" w:hAnsi="Arial"/>
                <w:sz w:val="14"/>
                <w:szCs w:val="14"/>
                <w:b w:val="1"/>
                <w:bCs w:val="1"/>
                <w:color w:val="auto"/>
                <w:w w:val="91"/>
              </w:rPr>
              <w:t>December 31, 2016</w:t>
            </w:r>
          </w:p>
        </w:tc>
        <w:tc>
          <w:tcPr>
            <w:tcW w:w="4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35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spacing w:after="0"/>
              <w:rPr>
                <w:sz w:val="22"/>
                <w:szCs w:val="22"/>
                <w:color w:val="auto"/>
              </w:rPr>
            </w:pPr>
          </w:p>
        </w:tc>
        <w:tc>
          <w:tcPr>
            <w:tcW w:w="16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7"/>
              </w:rPr>
              <w:t>Fair Value Hierarchy</w:t>
            </w:r>
          </w:p>
        </w:tc>
        <w:tc>
          <w:tcPr>
            <w:tcW w:w="40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spacing w:after="0"/>
              <w:rPr>
                <w:sz w:val="22"/>
                <w:szCs w:val="22"/>
                <w:color w:val="auto"/>
              </w:rPr>
            </w:pPr>
          </w:p>
        </w:tc>
        <w:tc>
          <w:tcPr>
            <w:tcW w:w="36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39"/>
        </w:trPr>
        <w:tc>
          <w:tcPr>
            <w:tcW w:w="3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20" w:type="dxa"/>
            <w:vAlign w:val="bottom"/>
            <w:vMerge w:val="restart"/>
          </w:tcPr>
          <w:p>
            <w:pPr>
              <w:jc w:val="center"/>
              <w:ind w:right="320"/>
              <w:spacing w:after="0"/>
              <w:rPr>
                <w:sz w:val="20"/>
                <w:szCs w:val="20"/>
                <w:color w:val="auto"/>
              </w:rPr>
            </w:pPr>
            <w:r>
              <w:rPr>
                <w:rFonts w:ascii="Arial" w:cs="Arial" w:eastAsia="Arial" w:hAnsi="Arial"/>
                <w:sz w:val="14"/>
                <w:szCs w:val="14"/>
                <w:b w:val="1"/>
                <w:bCs w:val="1"/>
                <w:color w:val="auto"/>
                <w:w w:val="97"/>
              </w:rPr>
              <w:t>Carrying</w:t>
            </w:r>
          </w:p>
        </w:tc>
        <w:tc>
          <w:tcPr>
            <w:tcW w:w="3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0" w:type="dxa"/>
            <w:vAlign w:val="bottom"/>
          </w:tcPr>
          <w:p>
            <w:pPr>
              <w:jc w:val="center"/>
              <w:ind w:right="181"/>
              <w:spacing w:after="0" w:line="139" w:lineRule="exact"/>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49"/>
        </w:trPr>
        <w:tc>
          <w:tcPr>
            <w:tcW w:w="3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20" w:type="dxa"/>
            <w:vAlign w:val="bottom"/>
            <w:vMerge w:val="continue"/>
          </w:tcPr>
          <w:p>
            <w:pPr>
              <w:spacing w:after="0"/>
              <w:rPr>
                <w:sz w:val="12"/>
                <w:szCs w:val="12"/>
                <w:color w:val="auto"/>
              </w:rPr>
            </w:pPr>
          </w:p>
        </w:tc>
        <w:tc>
          <w:tcPr>
            <w:tcW w:w="320" w:type="dxa"/>
            <w:vAlign w:val="bottom"/>
          </w:tcPr>
          <w:p>
            <w:pPr>
              <w:spacing w:after="0"/>
              <w:rPr>
                <w:sz w:val="12"/>
                <w:szCs w:val="12"/>
                <w:color w:val="auto"/>
              </w:rPr>
            </w:pPr>
          </w:p>
        </w:tc>
        <w:tc>
          <w:tcPr>
            <w:tcW w:w="1200" w:type="dxa"/>
            <w:vAlign w:val="bottom"/>
            <w:vMerge w:val="restart"/>
          </w:tcPr>
          <w:p>
            <w:pPr>
              <w:ind w:left="220"/>
              <w:spacing w:after="0"/>
              <w:rPr>
                <w:sz w:val="20"/>
                <w:szCs w:val="20"/>
                <w:color w:val="auto"/>
              </w:rPr>
            </w:pPr>
            <w:r>
              <w:rPr>
                <w:rFonts w:ascii="Arial" w:cs="Arial" w:eastAsia="Arial" w:hAnsi="Arial"/>
                <w:sz w:val="14"/>
                <w:szCs w:val="14"/>
                <w:b w:val="1"/>
                <w:bCs w:val="1"/>
                <w:color w:val="auto"/>
              </w:rPr>
              <w:t>Level 1</w:t>
            </w:r>
          </w:p>
        </w:tc>
        <w:tc>
          <w:tcPr>
            <w:tcW w:w="220" w:type="dxa"/>
            <w:vAlign w:val="bottom"/>
          </w:tcPr>
          <w:p>
            <w:pPr>
              <w:spacing w:after="0"/>
              <w:rPr>
                <w:sz w:val="12"/>
                <w:szCs w:val="12"/>
                <w:color w:val="auto"/>
              </w:rPr>
            </w:pPr>
          </w:p>
        </w:tc>
        <w:tc>
          <w:tcPr>
            <w:tcW w:w="1400" w:type="dxa"/>
            <w:vAlign w:val="bottom"/>
            <w:vMerge w:val="restart"/>
          </w:tcPr>
          <w:p>
            <w:pPr>
              <w:jc w:val="center"/>
              <w:ind w:right="41"/>
              <w:spacing w:after="0"/>
              <w:rPr>
                <w:sz w:val="20"/>
                <w:szCs w:val="20"/>
                <w:color w:val="auto"/>
              </w:rPr>
            </w:pPr>
            <w:r>
              <w:rPr>
                <w:rFonts w:ascii="Arial" w:cs="Arial" w:eastAsia="Arial" w:hAnsi="Arial"/>
                <w:sz w:val="14"/>
                <w:szCs w:val="14"/>
                <w:b w:val="1"/>
                <w:bCs w:val="1"/>
                <w:color w:val="auto"/>
                <w:w w:val="92"/>
              </w:rPr>
              <w:t>Level 2</w:t>
            </w:r>
          </w:p>
        </w:tc>
        <w:tc>
          <w:tcPr>
            <w:tcW w:w="400" w:type="dxa"/>
            <w:vAlign w:val="bottom"/>
          </w:tcPr>
          <w:p>
            <w:pPr>
              <w:spacing w:after="0"/>
              <w:rPr>
                <w:sz w:val="12"/>
                <w:szCs w:val="12"/>
                <w:color w:val="auto"/>
              </w:rPr>
            </w:pPr>
          </w:p>
        </w:tc>
        <w:tc>
          <w:tcPr>
            <w:tcW w:w="1160" w:type="dxa"/>
            <w:vAlign w:val="bottom"/>
            <w:vMerge w:val="restart"/>
          </w:tcPr>
          <w:p>
            <w:pPr>
              <w:jc w:val="right"/>
              <w:ind w:right="440"/>
              <w:spacing w:after="0"/>
              <w:rPr>
                <w:sz w:val="20"/>
                <w:szCs w:val="20"/>
                <w:color w:val="auto"/>
              </w:rPr>
            </w:pPr>
            <w:r>
              <w:rPr>
                <w:rFonts w:ascii="Arial" w:cs="Arial" w:eastAsia="Arial" w:hAnsi="Arial"/>
                <w:sz w:val="14"/>
                <w:szCs w:val="14"/>
                <w:b w:val="1"/>
                <w:bCs w:val="1"/>
                <w:color w:val="auto"/>
              </w:rPr>
              <w:t>Level 3</w:t>
            </w:r>
          </w:p>
        </w:tc>
        <w:tc>
          <w:tcPr>
            <w:tcW w:w="360" w:type="dxa"/>
            <w:vAlign w:val="bottom"/>
          </w:tcPr>
          <w:p>
            <w:pPr>
              <w:spacing w:after="0"/>
              <w:rPr>
                <w:sz w:val="12"/>
                <w:szCs w:val="12"/>
                <w:color w:val="auto"/>
              </w:rPr>
            </w:pPr>
          </w:p>
        </w:tc>
        <w:tc>
          <w:tcPr>
            <w:tcW w:w="1200" w:type="dxa"/>
            <w:vAlign w:val="bottom"/>
          </w:tcPr>
          <w:p>
            <w:pPr>
              <w:jc w:val="center"/>
              <w:ind w:right="181"/>
              <w:spacing w:after="0" w:line="149" w:lineRule="exact"/>
              <w:rPr>
                <w:sz w:val="20"/>
                <w:szCs w:val="20"/>
                <w:color w:val="auto"/>
              </w:rPr>
            </w:pPr>
            <w:r>
              <w:rPr>
                <w:rFonts w:ascii="Arial" w:cs="Arial" w:eastAsia="Arial" w:hAnsi="Arial"/>
                <w:sz w:val="14"/>
                <w:szCs w:val="14"/>
                <w:b w:val="1"/>
                <w:bCs w:val="1"/>
                <w:color w:val="auto"/>
                <w:w w:val="92"/>
              </w:rPr>
              <w:t>Estimated</w:t>
            </w:r>
          </w:p>
        </w:tc>
        <w:tc>
          <w:tcPr>
            <w:tcW w:w="0" w:type="dxa"/>
            <w:vAlign w:val="bottom"/>
          </w:tcPr>
          <w:p>
            <w:pPr>
              <w:spacing w:after="0"/>
              <w:rPr>
                <w:sz w:val="1"/>
                <w:szCs w:val="1"/>
                <w:color w:val="auto"/>
              </w:rPr>
            </w:pPr>
          </w:p>
        </w:tc>
      </w:tr>
      <w:tr>
        <w:trPr>
          <w:trHeight w:val="192"/>
        </w:trPr>
        <w:tc>
          <w:tcPr>
            <w:tcW w:w="35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center"/>
              <w:ind w:right="340"/>
              <w:spacing w:after="0"/>
              <w:rPr>
                <w:sz w:val="20"/>
                <w:szCs w:val="20"/>
                <w:color w:val="auto"/>
              </w:rPr>
            </w:pPr>
            <w:r>
              <w:rPr>
                <w:rFonts w:ascii="Arial" w:cs="Arial" w:eastAsia="Arial" w:hAnsi="Arial"/>
                <w:sz w:val="14"/>
                <w:szCs w:val="14"/>
                <w:b w:val="1"/>
                <w:bCs w:val="1"/>
                <w:color w:val="auto"/>
                <w:w w:val="90"/>
              </w:rPr>
              <w:t>Value</w:t>
            </w:r>
          </w:p>
        </w:tc>
        <w:tc>
          <w:tcPr>
            <w:tcW w:w="3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vMerge w:val="continue"/>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vMerge w:val="continue"/>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181"/>
              <w:spacing w:after="0"/>
              <w:rPr>
                <w:sz w:val="20"/>
                <w:szCs w:val="20"/>
                <w:color w:val="auto"/>
              </w:rPr>
            </w:pPr>
            <w:r>
              <w:rPr>
                <w:rFonts w:ascii="Arial" w:cs="Arial" w:eastAsia="Arial" w:hAnsi="Arial"/>
                <w:sz w:val="14"/>
                <w:szCs w:val="14"/>
                <w:b w:val="1"/>
                <w:bCs w:val="1"/>
                <w:color w:val="auto"/>
                <w:w w:val="98"/>
              </w:rPr>
              <w:t>Fair Value</w:t>
            </w:r>
          </w:p>
        </w:tc>
        <w:tc>
          <w:tcPr>
            <w:tcW w:w="0" w:type="dxa"/>
            <w:vAlign w:val="bottom"/>
          </w:tcPr>
          <w:p>
            <w:pPr>
              <w:spacing w:after="0"/>
              <w:rPr>
                <w:sz w:val="1"/>
                <w:szCs w:val="1"/>
                <w:color w:val="auto"/>
              </w:rPr>
            </w:pPr>
          </w:p>
        </w:tc>
      </w:tr>
      <w:tr>
        <w:trPr>
          <w:trHeight w:val="250"/>
        </w:trPr>
        <w:tc>
          <w:tcPr>
            <w:tcW w:w="35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0" w:type="dxa"/>
            <w:vAlign w:val="bottom"/>
          </w:tcPr>
          <w:p>
            <w:pPr>
              <w:jc w:val="center"/>
              <w:ind w:right="121"/>
              <w:spacing w:after="0"/>
              <w:rPr>
                <w:sz w:val="20"/>
                <w:szCs w:val="20"/>
                <w:color w:val="auto"/>
              </w:rPr>
            </w:pPr>
            <w:r>
              <w:rPr>
                <w:rFonts w:ascii="Arial" w:cs="Arial" w:eastAsia="Arial" w:hAnsi="Arial"/>
                <w:sz w:val="14"/>
                <w:szCs w:val="14"/>
                <w:b w:val="1"/>
                <w:bCs w:val="1"/>
                <w:color w:val="auto"/>
                <w:w w:val="96"/>
              </w:rPr>
              <w:t>(In millions)</w:t>
            </w:r>
          </w:p>
        </w:tc>
        <w:tc>
          <w:tcPr>
            <w:tcW w:w="4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Assets</w:t>
            </w:r>
          </w:p>
        </w:tc>
        <w:tc>
          <w:tcPr>
            <w:tcW w:w="30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3540" w:type="dxa"/>
            <w:vAlign w:val="bottom"/>
          </w:tcPr>
          <w:p>
            <w:pPr>
              <w:ind w:left="40"/>
              <w:spacing w:after="0"/>
              <w:rPr>
                <w:sz w:val="20"/>
                <w:szCs w:val="20"/>
                <w:color w:val="auto"/>
              </w:rPr>
            </w:pPr>
            <w:r>
              <w:rPr>
                <w:rFonts w:ascii="Arial" w:cs="Arial" w:eastAsia="Arial" w:hAnsi="Arial"/>
                <w:sz w:val="16"/>
                <w:szCs w:val="16"/>
                <w:color w:val="auto"/>
              </w:rPr>
              <w:t>Mortgage loans</w:t>
            </w: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160"/>
              <w:spacing w:after="0"/>
              <w:rPr>
                <w:sz w:val="20"/>
                <w:szCs w:val="20"/>
                <w:color w:val="auto"/>
              </w:rPr>
            </w:pPr>
            <w:r>
              <w:rPr>
                <w:rFonts w:ascii="Arial" w:cs="Arial" w:eastAsia="Arial" w:hAnsi="Arial"/>
                <w:sz w:val="16"/>
                <w:szCs w:val="16"/>
                <w:color w:val="auto"/>
              </w:rPr>
              <w:t>9,242</w:t>
            </w: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200" w:type="dxa"/>
            <w:vAlign w:val="bottom"/>
          </w:tcPr>
          <w:p>
            <w:pPr>
              <w:ind w:left="900"/>
              <w:spacing w:after="0"/>
              <w:rPr>
                <w:sz w:val="20"/>
                <w:szCs w:val="20"/>
                <w:color w:val="auto"/>
              </w:rPr>
            </w:pPr>
            <w:r>
              <w:rPr>
                <w:rFonts w:ascii="Arial" w:cs="Arial" w:eastAsia="Arial" w:hAnsi="Arial"/>
                <w:sz w:val="16"/>
                <w:szCs w:val="16"/>
                <w:color w:val="auto"/>
              </w:rPr>
              <w:t>—</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400" w:type="dxa"/>
            <w:vAlign w:val="bottom"/>
          </w:tcPr>
          <w:p>
            <w:pPr>
              <w:jc w:val="right"/>
              <w:ind w:right="61"/>
              <w:spacing w:after="0"/>
              <w:rPr>
                <w:sz w:val="20"/>
                <w:szCs w:val="20"/>
                <w:color w:val="auto"/>
              </w:rPr>
            </w:pPr>
            <w:r>
              <w:rPr>
                <w:rFonts w:ascii="Arial" w:cs="Arial" w:eastAsia="Arial" w:hAnsi="Arial"/>
                <w:sz w:val="16"/>
                <w:szCs w:val="16"/>
                <w:color w:val="auto"/>
              </w:rPr>
              <w:t>—</w:t>
            </w:r>
          </w:p>
        </w:tc>
        <w:tc>
          <w:tcPr>
            <w:tcW w:w="40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40"/>
              <w:spacing w:after="0"/>
              <w:rPr>
                <w:sz w:val="20"/>
                <w:szCs w:val="20"/>
                <w:color w:val="auto"/>
              </w:rPr>
            </w:pPr>
            <w:r>
              <w:rPr>
                <w:rFonts w:ascii="Arial" w:cs="Arial" w:eastAsia="Arial" w:hAnsi="Arial"/>
                <w:sz w:val="16"/>
                <w:szCs w:val="16"/>
                <w:color w:val="auto"/>
              </w:rPr>
              <w:t>9,387</w:t>
            </w:r>
          </w:p>
        </w:tc>
        <w:tc>
          <w:tcPr>
            <w:tcW w:w="36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21"/>
              <w:spacing w:after="0"/>
              <w:rPr>
                <w:sz w:val="20"/>
                <w:szCs w:val="20"/>
                <w:color w:val="auto"/>
              </w:rPr>
            </w:pPr>
            <w:r>
              <w:rPr>
                <w:rFonts w:ascii="Arial" w:cs="Arial" w:eastAsia="Arial" w:hAnsi="Arial"/>
                <w:sz w:val="16"/>
                <w:szCs w:val="16"/>
                <w:color w:val="auto"/>
              </w:rPr>
              <w:t>9,387</w:t>
            </w:r>
          </w:p>
        </w:tc>
        <w:tc>
          <w:tcPr>
            <w:tcW w:w="0" w:type="dxa"/>
            <w:vAlign w:val="bottom"/>
          </w:tcPr>
          <w:p>
            <w:pPr>
              <w:spacing w:after="0"/>
              <w:rPr>
                <w:sz w:val="1"/>
                <w:szCs w:val="1"/>
                <w:color w:val="auto"/>
              </w:rPr>
            </w:pPr>
          </w:p>
        </w:tc>
      </w:tr>
      <w:tr>
        <w:trPr>
          <w:trHeight w:val="33"/>
        </w:trPr>
        <w:tc>
          <w:tcPr>
            <w:tcW w:w="35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Policy loans</w:t>
            </w:r>
          </w:p>
        </w:tc>
        <w:tc>
          <w:tcPr>
            <w:tcW w:w="3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CCEEFF"/>
            </w:tcBorders>
            <w:shd w:val="clear" w:color="auto" w:fill="CCEEFF"/>
          </w:tcPr>
          <w:p>
            <w:pPr>
              <w:jc w:val="right"/>
              <w:ind w:right="160"/>
              <w:spacing w:after="0"/>
              <w:rPr>
                <w:sz w:val="20"/>
                <w:szCs w:val="20"/>
                <w:color w:val="auto"/>
              </w:rPr>
            </w:pPr>
            <w:r>
              <w:rPr>
                <w:rFonts w:ascii="Arial" w:cs="Arial" w:eastAsia="Arial" w:hAnsi="Arial"/>
                <w:sz w:val="16"/>
                <w:szCs w:val="16"/>
                <w:color w:val="auto"/>
              </w:rPr>
              <w:t>1,517</w:t>
            </w: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EEFF"/>
            </w:tcBorders>
            <w:shd w:val="clear" w:color="auto" w:fill="CCEEFF"/>
          </w:tcPr>
          <w:p>
            <w:pPr>
              <w:ind w:left="90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780</w:t>
            </w:r>
          </w:p>
        </w:tc>
        <w:tc>
          <w:tcPr>
            <w:tcW w:w="4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978</w:t>
            </w:r>
          </w:p>
        </w:tc>
        <w:tc>
          <w:tcPr>
            <w:tcW w:w="3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1,758</w:t>
            </w:r>
          </w:p>
        </w:tc>
        <w:tc>
          <w:tcPr>
            <w:tcW w:w="0" w:type="dxa"/>
            <w:vAlign w:val="bottom"/>
          </w:tcPr>
          <w:p>
            <w:pPr>
              <w:spacing w:after="0"/>
              <w:rPr>
                <w:sz w:val="1"/>
                <w:szCs w:val="1"/>
                <w:color w:val="auto"/>
              </w:rPr>
            </w:pPr>
          </w:p>
        </w:tc>
      </w:tr>
      <w:tr>
        <w:trPr>
          <w:trHeight w:val="237"/>
        </w:trPr>
        <w:tc>
          <w:tcPr>
            <w:tcW w:w="3540" w:type="dxa"/>
            <w:vAlign w:val="bottom"/>
          </w:tcPr>
          <w:p>
            <w:pPr>
              <w:ind w:left="40"/>
              <w:spacing w:after="0"/>
              <w:rPr>
                <w:sz w:val="20"/>
                <w:szCs w:val="20"/>
                <w:color w:val="auto"/>
              </w:rPr>
            </w:pPr>
            <w:r>
              <w:rPr>
                <w:rFonts w:ascii="Arial" w:cs="Arial" w:eastAsia="Arial" w:hAnsi="Arial"/>
                <w:sz w:val="16"/>
                <w:szCs w:val="16"/>
                <w:color w:val="auto"/>
              </w:rPr>
              <w:t>Real estate joint ventures</w:t>
            </w: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160"/>
              <w:spacing w:after="0"/>
              <w:rPr>
                <w:sz w:val="20"/>
                <w:szCs w:val="20"/>
                <w:color w:val="auto"/>
              </w:rPr>
            </w:pPr>
            <w:r>
              <w:rPr>
                <w:rFonts w:ascii="Arial" w:cs="Arial" w:eastAsia="Arial" w:hAnsi="Arial"/>
                <w:sz w:val="16"/>
                <w:szCs w:val="16"/>
                <w:color w:val="auto"/>
              </w:rPr>
              <w:t>12</w:t>
            </w: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200" w:type="dxa"/>
            <w:vAlign w:val="bottom"/>
          </w:tcPr>
          <w:p>
            <w:pPr>
              <w:ind w:left="900"/>
              <w:spacing w:after="0"/>
              <w:rPr>
                <w:sz w:val="20"/>
                <w:szCs w:val="20"/>
                <w:color w:val="auto"/>
              </w:rPr>
            </w:pPr>
            <w:r>
              <w:rPr>
                <w:rFonts w:ascii="Arial" w:cs="Arial" w:eastAsia="Arial" w:hAnsi="Arial"/>
                <w:sz w:val="16"/>
                <w:szCs w:val="16"/>
                <w:color w:val="auto"/>
              </w:rPr>
              <w:t>—</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400" w:type="dxa"/>
            <w:vAlign w:val="bottom"/>
          </w:tcPr>
          <w:p>
            <w:pPr>
              <w:jc w:val="right"/>
              <w:ind w:right="61"/>
              <w:spacing w:after="0"/>
              <w:rPr>
                <w:sz w:val="20"/>
                <w:szCs w:val="20"/>
                <w:color w:val="auto"/>
              </w:rPr>
            </w:pPr>
            <w:r>
              <w:rPr>
                <w:rFonts w:ascii="Arial" w:cs="Arial" w:eastAsia="Arial" w:hAnsi="Arial"/>
                <w:sz w:val="16"/>
                <w:szCs w:val="16"/>
                <w:color w:val="auto"/>
              </w:rPr>
              <w:t>—</w:t>
            </w:r>
          </w:p>
        </w:tc>
        <w:tc>
          <w:tcPr>
            <w:tcW w:w="40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40"/>
              <w:spacing w:after="0"/>
              <w:rPr>
                <w:sz w:val="20"/>
                <w:szCs w:val="20"/>
                <w:color w:val="auto"/>
              </w:rPr>
            </w:pPr>
            <w:r>
              <w:rPr>
                <w:rFonts w:ascii="Arial" w:cs="Arial" w:eastAsia="Arial" w:hAnsi="Arial"/>
                <w:sz w:val="16"/>
                <w:szCs w:val="16"/>
                <w:color w:val="auto"/>
              </w:rPr>
              <w:t>44</w:t>
            </w:r>
          </w:p>
        </w:tc>
        <w:tc>
          <w:tcPr>
            <w:tcW w:w="36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21"/>
              <w:spacing w:after="0"/>
              <w:rPr>
                <w:sz w:val="20"/>
                <w:szCs w:val="20"/>
                <w:color w:val="auto"/>
              </w:rPr>
            </w:pPr>
            <w:r>
              <w:rPr>
                <w:rFonts w:ascii="Arial" w:cs="Arial" w:eastAsia="Arial" w:hAnsi="Arial"/>
                <w:sz w:val="16"/>
                <w:szCs w:val="16"/>
                <w:color w:val="auto"/>
              </w:rPr>
              <w:t>44</w:t>
            </w:r>
          </w:p>
        </w:tc>
        <w:tc>
          <w:tcPr>
            <w:tcW w:w="0" w:type="dxa"/>
            <w:vAlign w:val="bottom"/>
          </w:tcPr>
          <w:p>
            <w:pPr>
              <w:spacing w:after="0"/>
              <w:rPr>
                <w:sz w:val="1"/>
                <w:szCs w:val="1"/>
                <w:color w:val="auto"/>
              </w:rPr>
            </w:pPr>
          </w:p>
        </w:tc>
      </w:tr>
      <w:tr>
        <w:trPr>
          <w:trHeight w:val="33"/>
        </w:trPr>
        <w:tc>
          <w:tcPr>
            <w:tcW w:w="35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limited partnership interests</w:t>
            </w:r>
          </w:p>
        </w:tc>
        <w:tc>
          <w:tcPr>
            <w:tcW w:w="3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CCEEFF"/>
            </w:tcBorders>
            <w:shd w:val="clear" w:color="auto" w:fill="CCEEFF"/>
          </w:tcPr>
          <w:p>
            <w:pPr>
              <w:jc w:val="right"/>
              <w:ind w:right="160"/>
              <w:spacing w:after="0"/>
              <w:rPr>
                <w:sz w:val="20"/>
                <w:szCs w:val="20"/>
                <w:color w:val="auto"/>
              </w:rPr>
            </w:pPr>
            <w:r>
              <w:rPr>
                <w:rFonts w:ascii="Arial" w:cs="Arial" w:eastAsia="Arial" w:hAnsi="Arial"/>
                <w:sz w:val="16"/>
                <w:szCs w:val="16"/>
                <w:color w:val="auto"/>
              </w:rPr>
              <w:t>44</w:t>
            </w: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EEFF"/>
            </w:tcBorders>
            <w:shd w:val="clear" w:color="auto" w:fill="CCEEFF"/>
          </w:tcPr>
          <w:p>
            <w:pPr>
              <w:ind w:left="90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42</w:t>
            </w:r>
          </w:p>
        </w:tc>
        <w:tc>
          <w:tcPr>
            <w:tcW w:w="3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42</w:t>
            </w:r>
          </w:p>
        </w:tc>
        <w:tc>
          <w:tcPr>
            <w:tcW w:w="0" w:type="dxa"/>
            <w:vAlign w:val="bottom"/>
          </w:tcPr>
          <w:p>
            <w:pPr>
              <w:spacing w:after="0"/>
              <w:rPr>
                <w:sz w:val="1"/>
                <w:szCs w:val="1"/>
                <w:color w:val="auto"/>
              </w:rPr>
            </w:pPr>
          </w:p>
        </w:tc>
      </w:tr>
      <w:tr>
        <w:trPr>
          <w:trHeight w:val="237"/>
        </w:trPr>
        <w:tc>
          <w:tcPr>
            <w:tcW w:w="3540" w:type="dxa"/>
            <w:vAlign w:val="bottom"/>
          </w:tcPr>
          <w:p>
            <w:pPr>
              <w:ind w:left="40"/>
              <w:spacing w:after="0"/>
              <w:rPr>
                <w:sz w:val="20"/>
                <w:szCs w:val="20"/>
                <w:color w:val="auto"/>
              </w:rPr>
            </w:pPr>
            <w:r>
              <w:rPr>
                <w:rFonts w:ascii="Arial" w:cs="Arial" w:eastAsia="Arial" w:hAnsi="Arial"/>
                <w:sz w:val="16"/>
                <w:szCs w:val="16"/>
                <w:color w:val="auto"/>
              </w:rPr>
              <w:t>Premiums, reinsurance and other receivables</w:t>
            </w: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160"/>
              <w:spacing w:after="0"/>
              <w:rPr>
                <w:sz w:val="20"/>
                <w:szCs w:val="20"/>
                <w:color w:val="auto"/>
              </w:rPr>
            </w:pPr>
            <w:r>
              <w:rPr>
                <w:rFonts w:ascii="Arial" w:cs="Arial" w:eastAsia="Arial" w:hAnsi="Arial"/>
                <w:sz w:val="16"/>
                <w:szCs w:val="16"/>
                <w:color w:val="auto"/>
              </w:rPr>
              <w:t>2,789</w:t>
            </w: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200" w:type="dxa"/>
            <w:vAlign w:val="bottom"/>
          </w:tcPr>
          <w:p>
            <w:pPr>
              <w:ind w:left="900"/>
              <w:spacing w:after="0"/>
              <w:rPr>
                <w:sz w:val="20"/>
                <w:szCs w:val="20"/>
                <w:color w:val="auto"/>
              </w:rPr>
            </w:pPr>
            <w:r>
              <w:rPr>
                <w:rFonts w:ascii="Arial" w:cs="Arial" w:eastAsia="Arial" w:hAnsi="Arial"/>
                <w:sz w:val="16"/>
                <w:szCs w:val="16"/>
                <w:color w:val="auto"/>
              </w:rPr>
              <w:t>—</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400" w:type="dxa"/>
            <w:vAlign w:val="bottom"/>
          </w:tcPr>
          <w:p>
            <w:pPr>
              <w:jc w:val="right"/>
              <w:ind w:right="61"/>
              <w:spacing w:after="0"/>
              <w:rPr>
                <w:sz w:val="20"/>
                <w:szCs w:val="20"/>
                <w:color w:val="auto"/>
              </w:rPr>
            </w:pPr>
            <w:r>
              <w:rPr>
                <w:rFonts w:ascii="Arial" w:cs="Arial" w:eastAsia="Arial" w:hAnsi="Arial"/>
                <w:sz w:val="16"/>
                <w:szCs w:val="16"/>
                <w:color w:val="auto"/>
              </w:rPr>
              <w:t>834</w:t>
            </w:r>
          </w:p>
        </w:tc>
        <w:tc>
          <w:tcPr>
            <w:tcW w:w="40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40"/>
              <w:spacing w:after="0"/>
              <w:rPr>
                <w:sz w:val="20"/>
                <w:szCs w:val="20"/>
                <w:color w:val="auto"/>
              </w:rPr>
            </w:pPr>
            <w:r>
              <w:rPr>
                <w:rFonts w:ascii="Arial" w:cs="Arial" w:eastAsia="Arial" w:hAnsi="Arial"/>
                <w:sz w:val="16"/>
                <w:szCs w:val="16"/>
                <w:color w:val="auto"/>
              </w:rPr>
              <w:t>2,449</w:t>
            </w:r>
          </w:p>
        </w:tc>
        <w:tc>
          <w:tcPr>
            <w:tcW w:w="36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21"/>
              <w:spacing w:after="0"/>
              <w:rPr>
                <w:sz w:val="20"/>
                <w:szCs w:val="20"/>
                <w:color w:val="auto"/>
              </w:rPr>
            </w:pPr>
            <w:r>
              <w:rPr>
                <w:rFonts w:ascii="Arial" w:cs="Arial" w:eastAsia="Arial" w:hAnsi="Arial"/>
                <w:sz w:val="16"/>
                <w:szCs w:val="16"/>
                <w:color w:val="auto"/>
              </w:rPr>
              <w:t>3,283</w:t>
            </w:r>
          </w:p>
        </w:tc>
        <w:tc>
          <w:tcPr>
            <w:tcW w:w="0" w:type="dxa"/>
            <w:vAlign w:val="bottom"/>
          </w:tcPr>
          <w:p>
            <w:pPr>
              <w:spacing w:after="0"/>
              <w:rPr>
                <w:sz w:val="1"/>
                <w:szCs w:val="1"/>
                <w:color w:val="auto"/>
              </w:rPr>
            </w:pPr>
          </w:p>
        </w:tc>
      </w:tr>
      <w:tr>
        <w:trPr>
          <w:trHeight w:val="33"/>
        </w:trPr>
        <w:tc>
          <w:tcPr>
            <w:tcW w:w="35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Liabilities</w:t>
            </w:r>
          </w:p>
        </w:tc>
        <w:tc>
          <w:tcPr>
            <w:tcW w:w="3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540" w:type="dxa"/>
            <w:vAlign w:val="bottom"/>
          </w:tcPr>
          <w:p>
            <w:pPr>
              <w:ind w:left="40"/>
              <w:spacing w:after="0"/>
              <w:rPr>
                <w:sz w:val="20"/>
                <w:szCs w:val="20"/>
                <w:color w:val="auto"/>
              </w:rPr>
            </w:pPr>
            <w:r>
              <w:rPr>
                <w:rFonts w:ascii="Arial" w:cs="Arial" w:eastAsia="Arial" w:hAnsi="Arial"/>
                <w:sz w:val="16"/>
                <w:szCs w:val="16"/>
                <w:color w:val="auto"/>
              </w:rPr>
              <w:t>Policyholder account balances</w:t>
            </w: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160"/>
              <w:spacing w:after="0"/>
              <w:rPr>
                <w:sz w:val="20"/>
                <w:szCs w:val="20"/>
                <w:color w:val="auto"/>
              </w:rPr>
            </w:pPr>
            <w:r>
              <w:rPr>
                <w:rFonts w:ascii="Arial" w:cs="Arial" w:eastAsia="Arial" w:hAnsi="Arial"/>
                <w:sz w:val="16"/>
                <w:szCs w:val="16"/>
                <w:color w:val="auto"/>
              </w:rPr>
              <w:t>16,226</w:t>
            </w: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200" w:type="dxa"/>
            <w:vAlign w:val="bottom"/>
          </w:tcPr>
          <w:p>
            <w:pPr>
              <w:ind w:left="900"/>
              <w:spacing w:after="0"/>
              <w:rPr>
                <w:sz w:val="20"/>
                <w:szCs w:val="20"/>
                <w:color w:val="auto"/>
              </w:rPr>
            </w:pPr>
            <w:r>
              <w:rPr>
                <w:rFonts w:ascii="Arial" w:cs="Arial" w:eastAsia="Arial" w:hAnsi="Arial"/>
                <w:sz w:val="16"/>
                <w:szCs w:val="16"/>
                <w:color w:val="auto"/>
              </w:rPr>
              <w:t>—</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400" w:type="dxa"/>
            <w:vAlign w:val="bottom"/>
          </w:tcPr>
          <w:p>
            <w:pPr>
              <w:jc w:val="right"/>
              <w:ind w:right="61"/>
              <w:spacing w:after="0"/>
              <w:rPr>
                <w:sz w:val="20"/>
                <w:szCs w:val="20"/>
                <w:color w:val="auto"/>
              </w:rPr>
            </w:pPr>
            <w:r>
              <w:rPr>
                <w:rFonts w:ascii="Arial" w:cs="Arial" w:eastAsia="Arial" w:hAnsi="Arial"/>
                <w:sz w:val="16"/>
                <w:szCs w:val="16"/>
                <w:color w:val="auto"/>
              </w:rPr>
              <w:t>—</w:t>
            </w:r>
          </w:p>
        </w:tc>
        <w:tc>
          <w:tcPr>
            <w:tcW w:w="40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40"/>
              <w:spacing w:after="0"/>
              <w:rPr>
                <w:sz w:val="20"/>
                <w:szCs w:val="20"/>
                <w:color w:val="auto"/>
              </w:rPr>
            </w:pPr>
            <w:r>
              <w:rPr>
                <w:rFonts w:ascii="Arial" w:cs="Arial" w:eastAsia="Arial" w:hAnsi="Arial"/>
                <w:sz w:val="16"/>
                <w:szCs w:val="16"/>
                <w:color w:val="auto"/>
              </w:rPr>
              <w:t>17,457</w:t>
            </w:r>
          </w:p>
        </w:tc>
        <w:tc>
          <w:tcPr>
            <w:tcW w:w="36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21"/>
              <w:spacing w:after="0"/>
              <w:rPr>
                <w:sz w:val="20"/>
                <w:szCs w:val="20"/>
                <w:color w:val="auto"/>
              </w:rPr>
            </w:pPr>
            <w:r>
              <w:rPr>
                <w:rFonts w:ascii="Arial" w:cs="Arial" w:eastAsia="Arial" w:hAnsi="Arial"/>
                <w:sz w:val="16"/>
                <w:szCs w:val="16"/>
                <w:color w:val="auto"/>
              </w:rPr>
              <w:t>17,457</w:t>
            </w:r>
          </w:p>
        </w:tc>
        <w:tc>
          <w:tcPr>
            <w:tcW w:w="0" w:type="dxa"/>
            <w:vAlign w:val="bottom"/>
          </w:tcPr>
          <w:p>
            <w:pPr>
              <w:spacing w:after="0"/>
              <w:rPr>
                <w:sz w:val="1"/>
                <w:szCs w:val="1"/>
                <w:color w:val="auto"/>
              </w:rPr>
            </w:pPr>
          </w:p>
        </w:tc>
      </w:tr>
      <w:tr>
        <w:trPr>
          <w:trHeight w:val="33"/>
        </w:trPr>
        <w:tc>
          <w:tcPr>
            <w:tcW w:w="35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Long-term debt</w:t>
            </w:r>
          </w:p>
        </w:tc>
        <w:tc>
          <w:tcPr>
            <w:tcW w:w="3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CCEEFF"/>
            </w:tcBorders>
            <w:shd w:val="clear" w:color="auto" w:fill="CCEEFF"/>
          </w:tcPr>
          <w:p>
            <w:pPr>
              <w:jc w:val="right"/>
              <w:ind w:right="160"/>
              <w:spacing w:after="0"/>
              <w:rPr>
                <w:sz w:val="20"/>
                <w:szCs w:val="20"/>
                <w:color w:val="auto"/>
              </w:rPr>
            </w:pPr>
            <w:r>
              <w:rPr>
                <w:rFonts w:ascii="Arial" w:cs="Arial" w:eastAsia="Arial" w:hAnsi="Arial"/>
                <w:sz w:val="16"/>
                <w:szCs w:val="16"/>
                <w:color w:val="auto"/>
              </w:rPr>
              <w:t>1,887</w:t>
            </w: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EEFF"/>
            </w:tcBorders>
            <w:shd w:val="clear" w:color="auto" w:fill="CCEEFF"/>
          </w:tcPr>
          <w:p>
            <w:pPr>
              <w:ind w:left="90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2,117</w:t>
            </w:r>
          </w:p>
        </w:tc>
        <w:tc>
          <w:tcPr>
            <w:tcW w:w="4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2,117</w:t>
            </w:r>
          </w:p>
        </w:tc>
        <w:tc>
          <w:tcPr>
            <w:tcW w:w="0" w:type="dxa"/>
            <w:vAlign w:val="bottom"/>
          </w:tcPr>
          <w:p>
            <w:pPr>
              <w:spacing w:after="0"/>
              <w:rPr>
                <w:sz w:val="1"/>
                <w:szCs w:val="1"/>
                <w:color w:val="auto"/>
              </w:rPr>
            </w:pPr>
          </w:p>
        </w:tc>
      </w:tr>
      <w:tr>
        <w:trPr>
          <w:trHeight w:val="237"/>
        </w:trPr>
        <w:tc>
          <w:tcPr>
            <w:tcW w:w="3540" w:type="dxa"/>
            <w:vAlign w:val="bottom"/>
          </w:tcPr>
          <w:p>
            <w:pPr>
              <w:ind w:left="40"/>
              <w:spacing w:after="0"/>
              <w:rPr>
                <w:sz w:val="20"/>
                <w:szCs w:val="20"/>
                <w:color w:val="auto"/>
              </w:rPr>
            </w:pPr>
            <w:r>
              <w:rPr>
                <w:rFonts w:ascii="Arial" w:cs="Arial" w:eastAsia="Arial" w:hAnsi="Arial"/>
                <w:sz w:val="16"/>
                <w:szCs w:val="16"/>
                <w:color w:val="auto"/>
              </w:rPr>
              <w:t>Collateral financing arrangement</w:t>
            </w: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160"/>
              <w:spacing w:after="0"/>
              <w:rPr>
                <w:sz w:val="20"/>
                <w:szCs w:val="20"/>
                <w:color w:val="auto"/>
              </w:rPr>
            </w:pPr>
            <w:r>
              <w:rPr>
                <w:rFonts w:ascii="Arial" w:cs="Arial" w:eastAsia="Arial" w:hAnsi="Arial"/>
                <w:sz w:val="16"/>
                <w:szCs w:val="16"/>
                <w:color w:val="auto"/>
              </w:rPr>
              <w:t>2,797</w:t>
            </w: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200" w:type="dxa"/>
            <w:vAlign w:val="bottom"/>
          </w:tcPr>
          <w:p>
            <w:pPr>
              <w:ind w:left="900"/>
              <w:spacing w:after="0"/>
              <w:rPr>
                <w:sz w:val="20"/>
                <w:szCs w:val="20"/>
                <w:color w:val="auto"/>
              </w:rPr>
            </w:pPr>
            <w:r>
              <w:rPr>
                <w:rFonts w:ascii="Arial" w:cs="Arial" w:eastAsia="Arial" w:hAnsi="Arial"/>
                <w:sz w:val="16"/>
                <w:szCs w:val="16"/>
                <w:color w:val="auto"/>
              </w:rPr>
              <w:t>—</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400" w:type="dxa"/>
            <w:vAlign w:val="bottom"/>
          </w:tcPr>
          <w:p>
            <w:pPr>
              <w:jc w:val="right"/>
              <w:ind w:right="61"/>
              <w:spacing w:after="0"/>
              <w:rPr>
                <w:sz w:val="20"/>
                <w:szCs w:val="20"/>
                <w:color w:val="auto"/>
              </w:rPr>
            </w:pPr>
            <w:r>
              <w:rPr>
                <w:rFonts w:ascii="Arial" w:cs="Arial" w:eastAsia="Arial" w:hAnsi="Arial"/>
                <w:sz w:val="16"/>
                <w:szCs w:val="16"/>
                <w:color w:val="auto"/>
              </w:rPr>
              <w:t>—</w:t>
            </w:r>
          </w:p>
        </w:tc>
        <w:tc>
          <w:tcPr>
            <w:tcW w:w="40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40"/>
              <w:spacing w:after="0"/>
              <w:rPr>
                <w:sz w:val="20"/>
                <w:szCs w:val="20"/>
                <w:color w:val="auto"/>
              </w:rPr>
            </w:pPr>
            <w:r>
              <w:rPr>
                <w:rFonts w:ascii="Arial" w:cs="Arial" w:eastAsia="Arial" w:hAnsi="Arial"/>
                <w:sz w:val="16"/>
                <w:szCs w:val="16"/>
                <w:color w:val="auto"/>
              </w:rPr>
              <w:t>2,797</w:t>
            </w:r>
          </w:p>
        </w:tc>
        <w:tc>
          <w:tcPr>
            <w:tcW w:w="36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21"/>
              <w:spacing w:after="0"/>
              <w:rPr>
                <w:sz w:val="20"/>
                <w:szCs w:val="20"/>
                <w:color w:val="auto"/>
              </w:rPr>
            </w:pPr>
            <w:r>
              <w:rPr>
                <w:rFonts w:ascii="Arial" w:cs="Arial" w:eastAsia="Arial" w:hAnsi="Arial"/>
                <w:sz w:val="16"/>
                <w:szCs w:val="16"/>
                <w:color w:val="auto"/>
              </w:rPr>
              <w:t>2,797</w:t>
            </w:r>
          </w:p>
        </w:tc>
        <w:tc>
          <w:tcPr>
            <w:tcW w:w="0" w:type="dxa"/>
            <w:vAlign w:val="bottom"/>
          </w:tcPr>
          <w:p>
            <w:pPr>
              <w:spacing w:after="0"/>
              <w:rPr>
                <w:sz w:val="1"/>
                <w:szCs w:val="1"/>
                <w:color w:val="auto"/>
              </w:rPr>
            </w:pPr>
          </w:p>
        </w:tc>
      </w:tr>
      <w:tr>
        <w:trPr>
          <w:trHeight w:val="33"/>
        </w:trPr>
        <w:tc>
          <w:tcPr>
            <w:tcW w:w="35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liabilities</w:t>
            </w:r>
          </w:p>
        </w:tc>
        <w:tc>
          <w:tcPr>
            <w:tcW w:w="3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CCEEFF"/>
            </w:tcBorders>
            <w:shd w:val="clear" w:color="auto" w:fill="CCEEFF"/>
          </w:tcPr>
          <w:p>
            <w:pPr>
              <w:jc w:val="right"/>
              <w:ind w:right="160"/>
              <w:spacing w:after="0"/>
              <w:rPr>
                <w:sz w:val="20"/>
                <w:szCs w:val="20"/>
                <w:color w:val="auto"/>
              </w:rPr>
            </w:pPr>
            <w:r>
              <w:rPr>
                <w:rFonts w:ascii="Arial" w:cs="Arial" w:eastAsia="Arial" w:hAnsi="Arial"/>
                <w:sz w:val="16"/>
                <w:szCs w:val="16"/>
                <w:color w:val="auto"/>
              </w:rPr>
              <w:t>323</w:t>
            </w: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EEFF"/>
            </w:tcBorders>
            <w:shd w:val="clear" w:color="auto" w:fill="CCEEFF"/>
          </w:tcPr>
          <w:p>
            <w:pPr>
              <w:ind w:left="90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110</w:t>
            </w:r>
          </w:p>
        </w:tc>
        <w:tc>
          <w:tcPr>
            <w:tcW w:w="4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213</w:t>
            </w:r>
          </w:p>
        </w:tc>
        <w:tc>
          <w:tcPr>
            <w:tcW w:w="3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323</w:t>
            </w:r>
          </w:p>
        </w:tc>
        <w:tc>
          <w:tcPr>
            <w:tcW w:w="0" w:type="dxa"/>
            <w:vAlign w:val="bottom"/>
          </w:tcPr>
          <w:p>
            <w:pPr>
              <w:spacing w:after="0"/>
              <w:rPr>
                <w:sz w:val="1"/>
                <w:szCs w:val="1"/>
                <w:color w:val="auto"/>
              </w:rPr>
            </w:pPr>
          </w:p>
        </w:tc>
      </w:tr>
      <w:tr>
        <w:trPr>
          <w:trHeight w:val="237"/>
        </w:trPr>
        <w:tc>
          <w:tcPr>
            <w:tcW w:w="3540" w:type="dxa"/>
            <w:vAlign w:val="bottom"/>
          </w:tcPr>
          <w:p>
            <w:pPr>
              <w:ind w:left="40"/>
              <w:spacing w:after="0"/>
              <w:rPr>
                <w:sz w:val="20"/>
                <w:szCs w:val="20"/>
                <w:color w:val="auto"/>
              </w:rPr>
            </w:pPr>
            <w:r>
              <w:rPr>
                <w:rFonts w:ascii="Arial" w:cs="Arial" w:eastAsia="Arial" w:hAnsi="Arial"/>
                <w:sz w:val="16"/>
                <w:szCs w:val="16"/>
                <w:color w:val="auto"/>
              </w:rPr>
              <w:t>Separate account liabilities</w:t>
            </w: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160"/>
              <w:spacing w:after="0"/>
              <w:rPr>
                <w:sz w:val="20"/>
                <w:szCs w:val="20"/>
                <w:color w:val="auto"/>
              </w:rPr>
            </w:pPr>
            <w:r>
              <w:rPr>
                <w:rFonts w:ascii="Arial" w:cs="Arial" w:eastAsia="Arial" w:hAnsi="Arial"/>
                <w:sz w:val="16"/>
                <w:szCs w:val="16"/>
                <w:color w:val="auto"/>
              </w:rPr>
              <w:t>1,114</w:t>
            </w: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200" w:type="dxa"/>
            <w:vAlign w:val="bottom"/>
          </w:tcPr>
          <w:p>
            <w:pPr>
              <w:ind w:left="900"/>
              <w:spacing w:after="0"/>
              <w:rPr>
                <w:sz w:val="20"/>
                <w:szCs w:val="20"/>
                <w:color w:val="auto"/>
              </w:rPr>
            </w:pPr>
            <w:r>
              <w:rPr>
                <w:rFonts w:ascii="Arial" w:cs="Arial" w:eastAsia="Arial" w:hAnsi="Arial"/>
                <w:sz w:val="16"/>
                <w:szCs w:val="16"/>
                <w:color w:val="auto"/>
              </w:rPr>
              <w:t>—</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400" w:type="dxa"/>
            <w:vAlign w:val="bottom"/>
          </w:tcPr>
          <w:p>
            <w:pPr>
              <w:jc w:val="right"/>
              <w:ind w:right="61"/>
              <w:spacing w:after="0"/>
              <w:rPr>
                <w:sz w:val="20"/>
                <w:szCs w:val="20"/>
                <w:color w:val="auto"/>
              </w:rPr>
            </w:pPr>
            <w:r>
              <w:rPr>
                <w:rFonts w:ascii="Arial" w:cs="Arial" w:eastAsia="Arial" w:hAnsi="Arial"/>
                <w:sz w:val="16"/>
                <w:szCs w:val="16"/>
                <w:color w:val="auto"/>
              </w:rPr>
              <w:t>1,114</w:t>
            </w:r>
          </w:p>
        </w:tc>
        <w:tc>
          <w:tcPr>
            <w:tcW w:w="40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36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21"/>
              <w:spacing w:after="0"/>
              <w:rPr>
                <w:sz w:val="20"/>
                <w:szCs w:val="20"/>
                <w:color w:val="auto"/>
              </w:rPr>
            </w:pPr>
            <w:r>
              <w:rPr>
                <w:rFonts w:ascii="Arial" w:cs="Arial" w:eastAsia="Arial" w:hAnsi="Arial"/>
                <w:sz w:val="16"/>
                <w:szCs w:val="16"/>
                <w:color w:val="auto"/>
              </w:rPr>
              <w:t>1,114</w:t>
            </w:r>
          </w:p>
        </w:tc>
        <w:tc>
          <w:tcPr>
            <w:tcW w:w="0" w:type="dxa"/>
            <w:vAlign w:val="bottom"/>
          </w:tcPr>
          <w:p>
            <w:pPr>
              <w:spacing w:after="0"/>
              <w:rPr>
                <w:sz w:val="1"/>
                <w:szCs w:val="1"/>
                <w:color w:val="auto"/>
              </w:rPr>
            </w:pPr>
          </w:p>
        </w:tc>
      </w:tr>
    </w:tbl>
    <w:p>
      <w:pPr>
        <w:spacing w:after="0" w:line="12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methods, assumptions and significant valuation techniques and inputs used to estimate the fair value of financial instruments are summarized as follows:</w:t>
      </w:r>
    </w:p>
    <w:p>
      <w:pPr>
        <w:spacing w:after="0" w:line="62"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Mortgage Loans</w:t>
      </w:r>
    </w:p>
    <w:p>
      <w:pPr>
        <w:spacing w:after="0" w:line="117" w:lineRule="exact"/>
        <w:rPr>
          <w:sz w:val="20"/>
          <w:szCs w:val="20"/>
          <w:color w:val="auto"/>
        </w:rPr>
      </w:pPr>
    </w:p>
    <w:p>
      <w:pPr>
        <w:ind w:left="180" w:firstLine="324"/>
        <w:spacing w:after="0" w:line="277" w:lineRule="auto"/>
        <w:rPr>
          <w:sz w:val="20"/>
          <w:szCs w:val="20"/>
          <w:color w:val="auto"/>
        </w:rPr>
      </w:pPr>
      <w:r>
        <w:rPr>
          <w:rFonts w:ascii="Arial" w:cs="Arial" w:eastAsia="Arial" w:hAnsi="Arial"/>
          <w:sz w:val="18"/>
          <w:szCs w:val="18"/>
          <w:color w:val="auto"/>
        </w:rPr>
        <w:t>The estimated fair value of mortgage loans is primarily determined by estimating expected future cash flows and discounting them using current interest rates for similar mortgage loans with similar credit risk, or is determined from pricing for similar loans.</w:t>
      </w:r>
    </w:p>
    <w:p>
      <w:pPr>
        <w:sectPr>
          <w:pgSz w:w="11900" w:h="16838" w:orient="portrait"/>
          <w:cols w:equalWidth="0" w:num="1">
            <w:col w:w="11420"/>
          </w:cols>
          <w:pgMar w:left="240" w:top="288" w:right="239" w:bottom="1440" w:gutter="0" w:footer="0" w:header="0"/>
        </w:sectPr>
      </w:pP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58</w:t>
      </w:r>
    </w:p>
    <w:p>
      <w:pPr>
        <w:sectPr>
          <w:pgSz w:w="11900" w:h="16838" w:orient="portrait"/>
          <w:cols w:equalWidth="0" w:num="1">
            <w:col w:w="11420"/>
          </w:cols>
          <w:pgMar w:left="240" w:top="288" w:right="239" w:bottom="1440" w:gutter="0" w:footer="0" w:header="0"/>
          <w:type w:val="continuous"/>
        </w:sectPr>
      </w:pPr>
    </w:p>
    <w:bookmarkStart w:id="60" w:name="page61"/>
    <w:bookmarkEnd w:id="60"/>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Brighthouse Financial, Inc.</w:t>
      </w:r>
    </w:p>
    <w:p>
      <w:pPr>
        <w:spacing w:after="0" w:line="117" w:lineRule="exact"/>
        <w:rPr>
          <w:sz w:val="20"/>
          <w:szCs w:val="20"/>
          <w:color w:val="auto"/>
        </w:rPr>
      </w:pPr>
    </w:p>
    <w:p>
      <w:pPr>
        <w:ind w:left="1480"/>
        <w:spacing w:after="0"/>
        <w:rPr>
          <w:sz w:val="20"/>
          <w:szCs w:val="20"/>
          <w:color w:val="auto"/>
        </w:rPr>
      </w:pPr>
      <w:r>
        <w:rPr>
          <w:rFonts w:ascii="Arial" w:cs="Arial" w:eastAsia="Arial" w:hAnsi="Arial"/>
          <w:sz w:val="18"/>
          <w:szCs w:val="18"/>
          <w:b w:val="1"/>
          <w:bCs w:val="1"/>
          <w:color w:val="auto"/>
        </w:rPr>
        <w:t>Notes to the Interim Condensed Consolidated and Combined Financial Statements (Unaudited) — (continued)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Fair Value (continued)</w:t>
      </w:r>
    </w:p>
    <w:p>
      <w:pPr>
        <w:spacing w:after="0" w:line="364"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Policy Loans</w:t>
      </w:r>
    </w:p>
    <w:p>
      <w:pPr>
        <w:spacing w:after="0" w:line="117" w:lineRule="exact"/>
        <w:rPr>
          <w:sz w:val="20"/>
          <w:szCs w:val="20"/>
          <w:color w:val="auto"/>
        </w:rPr>
      </w:pPr>
    </w:p>
    <w:p>
      <w:pPr>
        <w:jc w:val="both"/>
        <w:ind w:left="180" w:firstLine="324"/>
        <w:spacing w:after="0" w:line="271" w:lineRule="auto"/>
        <w:rPr>
          <w:sz w:val="20"/>
          <w:szCs w:val="20"/>
          <w:color w:val="auto"/>
        </w:rPr>
      </w:pPr>
      <w:r>
        <w:rPr>
          <w:rFonts w:ascii="Arial" w:cs="Arial" w:eastAsia="Arial" w:hAnsi="Arial"/>
          <w:sz w:val="17"/>
          <w:szCs w:val="17"/>
          <w:color w:val="auto"/>
        </w:rPr>
        <w:t>Policy loans with fixed interest rates are classified within Level 3. The estimated fair values for these loans are determined using a discounted cash flow model applied to groups of similar policy loans determined by the nature of the underlying insurance liabilities. Cash flow estimates are developed by applying a weighted-average interest rate to the outstanding principal balance of the respective group of policy loans and an estimated average maturity determined through experience studies of the past performance of policyholder repayment behavior for similar loans. These cash flows are discounted using current risk-free interest rates with no adjustment for borrower credit risk, as these loans are fully collateralized by the cash surrender value of the underlying insurance policy. Policy loans with variable interest rates are classified within Level 2 and the estimated fair value approximates carrying value due to the absence of borrower credit risk and the short time period between interest rate resets, which presents minimal risk of a material change in estimated fair value due to changes in market interest rates.</w:t>
      </w:r>
    </w:p>
    <w:p>
      <w:pPr>
        <w:spacing w:after="0" w:line="71"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Real Estate Joint Ventures and Other Limited Partnership Interests</w:t>
      </w:r>
    </w:p>
    <w:p>
      <w:pPr>
        <w:spacing w:after="0" w:line="117" w:lineRule="exact"/>
        <w:rPr>
          <w:sz w:val="20"/>
          <w:szCs w:val="20"/>
          <w:color w:val="auto"/>
        </w:rPr>
      </w:pPr>
    </w:p>
    <w:p>
      <w:pPr>
        <w:jc w:val="both"/>
        <w:ind w:left="180" w:firstLine="324"/>
        <w:spacing w:after="0" w:line="264" w:lineRule="auto"/>
        <w:rPr>
          <w:sz w:val="20"/>
          <w:szCs w:val="20"/>
          <w:color w:val="auto"/>
        </w:rPr>
      </w:pPr>
      <w:r>
        <w:rPr>
          <w:rFonts w:ascii="Arial" w:cs="Arial" w:eastAsia="Arial" w:hAnsi="Arial"/>
          <w:sz w:val="18"/>
          <w:szCs w:val="18"/>
          <w:color w:val="auto"/>
        </w:rPr>
        <w:t>The estimated fair values of these cost method investments are generally based on the Company’s share of the NAV as provided on the financial statements of the investees. In certain circumstances, management may adjust the NAV by a premium or discount when it has sufficient evidence to support applying such adjustments.</w:t>
      </w:r>
    </w:p>
    <w:p>
      <w:pPr>
        <w:spacing w:after="0" w:line="73"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Premiums, Reinsurance and Other Receivables</w:t>
      </w:r>
    </w:p>
    <w:p>
      <w:pPr>
        <w:spacing w:after="0" w:line="117" w:lineRule="exact"/>
        <w:rPr>
          <w:sz w:val="20"/>
          <w:szCs w:val="20"/>
          <w:color w:val="auto"/>
        </w:rPr>
      </w:pPr>
    </w:p>
    <w:p>
      <w:pPr>
        <w:jc w:val="both"/>
        <w:ind w:left="180" w:right="20" w:firstLine="324"/>
        <w:spacing w:after="0" w:line="342" w:lineRule="auto"/>
        <w:rPr>
          <w:sz w:val="20"/>
          <w:szCs w:val="20"/>
          <w:color w:val="auto"/>
        </w:rPr>
      </w:pPr>
      <w:r>
        <w:rPr>
          <w:rFonts w:ascii="Arial" w:cs="Arial" w:eastAsia="Arial" w:hAnsi="Arial"/>
          <w:sz w:val="16"/>
          <w:szCs w:val="16"/>
          <w:color w:val="auto"/>
        </w:rPr>
        <w:t>Premiums, reinsurance and other receivables are principally comprised of certain amounts recoverable under reinsurance agreements, amounts on deposit with financial institutions to facilitate daily settlements related to certain derivatives and amounts receivable for securities sold but not yet settled.</w:t>
      </w:r>
    </w:p>
    <w:p>
      <w:pPr>
        <w:spacing w:after="0" w:line="16" w:lineRule="exact"/>
        <w:rPr>
          <w:sz w:val="20"/>
          <w:szCs w:val="20"/>
          <w:color w:val="auto"/>
        </w:rPr>
      </w:pPr>
    </w:p>
    <w:p>
      <w:pPr>
        <w:jc w:val="both"/>
        <w:ind w:left="180" w:firstLine="324"/>
        <w:spacing w:after="0" w:line="259" w:lineRule="auto"/>
        <w:rPr>
          <w:sz w:val="20"/>
          <w:szCs w:val="20"/>
          <w:color w:val="auto"/>
        </w:rPr>
      </w:pPr>
      <w:r>
        <w:rPr>
          <w:rFonts w:ascii="Arial" w:cs="Arial" w:eastAsia="Arial" w:hAnsi="Arial"/>
          <w:sz w:val="18"/>
          <w:szCs w:val="18"/>
          <w:color w:val="auto"/>
        </w:rPr>
        <w:t>Amounts recoverable under ceded reinsurance agreements, which the Company has determined do not transfer significant risk such that they are accounted for using the deposit method of accounting, have been classified as Level 3. The valuation is based on discounted cash flow methodologies using significant unobservable inputs. The estimated fair value is determined using interest rates determined to reflect the appropriate credit standing of the assuming counterparty.</w:t>
      </w:r>
    </w:p>
    <w:p>
      <w:pPr>
        <w:spacing w:after="0" w:line="79" w:lineRule="exact"/>
        <w:rPr>
          <w:sz w:val="20"/>
          <w:szCs w:val="20"/>
          <w:color w:val="auto"/>
        </w:rPr>
      </w:pPr>
    </w:p>
    <w:p>
      <w:pPr>
        <w:jc w:val="both"/>
        <w:ind w:left="180" w:firstLine="324"/>
        <w:spacing w:after="0" w:line="308" w:lineRule="auto"/>
        <w:rPr>
          <w:sz w:val="20"/>
          <w:szCs w:val="20"/>
          <w:color w:val="auto"/>
        </w:rPr>
      </w:pPr>
      <w:r>
        <w:rPr>
          <w:rFonts w:ascii="Arial" w:cs="Arial" w:eastAsia="Arial" w:hAnsi="Arial"/>
          <w:sz w:val="17"/>
          <w:szCs w:val="17"/>
          <w:color w:val="auto"/>
        </w:rPr>
        <w:t>The amounts on deposit for derivative settlements, classified within Level 2, essentially represent the equivalent of demand deposit balances and amounts due for securities sold are generally received over short periods such that the estimated fair value approximates carrying value.</w:t>
      </w:r>
    </w:p>
    <w:p>
      <w:pPr>
        <w:spacing w:after="0" w:line="38"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Policyholder Account Balances</w:t>
      </w:r>
    </w:p>
    <w:p>
      <w:pPr>
        <w:spacing w:after="0" w:line="117" w:lineRule="exact"/>
        <w:rPr>
          <w:sz w:val="20"/>
          <w:szCs w:val="20"/>
          <w:color w:val="auto"/>
        </w:rPr>
      </w:pPr>
    </w:p>
    <w:p>
      <w:pPr>
        <w:jc w:val="both"/>
        <w:ind w:left="180" w:firstLine="324"/>
        <w:spacing w:after="0" w:line="259" w:lineRule="auto"/>
        <w:rPr>
          <w:sz w:val="20"/>
          <w:szCs w:val="20"/>
          <w:color w:val="auto"/>
        </w:rPr>
      </w:pPr>
      <w:r>
        <w:rPr>
          <w:rFonts w:ascii="Arial" w:cs="Arial" w:eastAsia="Arial" w:hAnsi="Arial"/>
          <w:sz w:val="18"/>
          <w:szCs w:val="18"/>
          <w:color w:val="auto"/>
        </w:rPr>
        <w:t>These policyholder account balances include investment contracts which primarily include certain funding agreements, fixed deferred annuities, modified guaranteed annuities, fixed term payout annuities and total control accounts. The valuation of these investment contracts is based on discounted cash flow methodologies using significant unobservable inputs. The estimated fair value is determined using current market risk-free interest rates adding a spread to reflect the nonperformance risk in the liability.</w:t>
      </w:r>
    </w:p>
    <w:p>
      <w:pPr>
        <w:spacing w:after="0" w:line="79"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Long-term Debt and Collateral Financing Arrangement</w:t>
      </w:r>
    </w:p>
    <w:p>
      <w:pPr>
        <w:spacing w:after="0" w:line="117" w:lineRule="exact"/>
        <w:rPr>
          <w:sz w:val="20"/>
          <w:szCs w:val="20"/>
          <w:color w:val="auto"/>
        </w:rPr>
      </w:pPr>
    </w:p>
    <w:p>
      <w:pPr>
        <w:jc w:val="both"/>
        <w:ind w:left="180" w:firstLine="324"/>
        <w:spacing w:after="0" w:line="257" w:lineRule="auto"/>
        <w:rPr>
          <w:sz w:val="20"/>
          <w:szCs w:val="20"/>
          <w:color w:val="auto"/>
        </w:rPr>
      </w:pPr>
      <w:r>
        <w:rPr>
          <w:rFonts w:ascii="Arial" w:cs="Arial" w:eastAsia="Arial" w:hAnsi="Arial"/>
          <w:sz w:val="18"/>
          <w:szCs w:val="18"/>
          <w:color w:val="auto"/>
        </w:rPr>
        <w:t>The estimated fair values of long-term debt and the collateral financing arrangement are principally determined using market standard valuation methodologies. Valuations of instruments classified as Level 2 are based primarily on quoted prices in markets that are not active or using matrix pricing that use standard market observable inputs such as quoted prices in markets that are not active and observable yields and spreads in the market. Instruments valued using discounted cash flow methodologies use standard market observable inputs including market yield curve, duration, observable prices and spreads for similar publicly traded or privately traded issues.</w:t>
      </w:r>
    </w:p>
    <w:p>
      <w:pPr>
        <w:spacing w:after="0" w:line="80" w:lineRule="exact"/>
        <w:rPr>
          <w:sz w:val="20"/>
          <w:szCs w:val="20"/>
          <w:color w:val="auto"/>
        </w:rPr>
      </w:pPr>
    </w:p>
    <w:p>
      <w:pPr>
        <w:jc w:val="both"/>
        <w:ind w:left="180" w:right="20" w:firstLine="324"/>
        <w:spacing w:after="0" w:line="312" w:lineRule="auto"/>
        <w:rPr>
          <w:sz w:val="20"/>
          <w:szCs w:val="20"/>
          <w:color w:val="auto"/>
        </w:rPr>
      </w:pPr>
      <w:r>
        <w:rPr>
          <w:rFonts w:ascii="Arial" w:cs="Arial" w:eastAsia="Arial" w:hAnsi="Arial"/>
          <w:sz w:val="16"/>
          <w:szCs w:val="16"/>
          <w:color w:val="auto"/>
        </w:rPr>
        <w:t>Valuations of instruments classified as Level 3 are based primarily on discounted cash flow methodologies that utilize unobservable discount rates that can vary significantly based upon the specific terms of each individual arrangement. The determination of estimated fair value of the collateral financing arrangement incorporates valuations obtained from the counterparties to the arrangement, as part of the collateral management process.</w:t>
      </w:r>
    </w:p>
    <w:p>
      <w:pPr>
        <w:spacing w:after="0" w:line="39"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Other Liabilities</w:t>
      </w:r>
    </w:p>
    <w:p>
      <w:pPr>
        <w:spacing w:after="0" w:line="117" w:lineRule="exact"/>
        <w:rPr>
          <w:sz w:val="20"/>
          <w:szCs w:val="20"/>
          <w:color w:val="auto"/>
        </w:rPr>
      </w:pPr>
    </w:p>
    <w:p>
      <w:pPr>
        <w:jc w:val="both"/>
        <w:ind w:left="180" w:firstLine="324"/>
        <w:spacing w:after="0" w:line="259" w:lineRule="auto"/>
        <w:rPr>
          <w:sz w:val="20"/>
          <w:szCs w:val="20"/>
          <w:color w:val="auto"/>
        </w:rPr>
      </w:pPr>
      <w:r>
        <w:rPr>
          <w:rFonts w:ascii="Arial" w:cs="Arial" w:eastAsia="Arial" w:hAnsi="Arial"/>
          <w:sz w:val="18"/>
          <w:szCs w:val="18"/>
          <w:color w:val="auto"/>
        </w:rPr>
        <w:t>Other liabilities consist primarily of interest payable, amounts due for securities purchased but not yet settled, funds withheld amounts payable, which are contractually withheld by the Company in accordance with the terms of the reinsurance agreements, and derivatives payable. The Company evaluates the specific terms, facts and circumstances of each instrument to determine the appropriate estimated fair values, which are not materially different from the carrying values.</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20"/>
          </w:cols>
          <w:pgMar w:left="240" w:top="288" w:right="239" w:bottom="1440" w:gutter="0" w:footer="0" w:header="0"/>
        </w:sectPr>
      </w:pPr>
    </w:p>
    <w:bookmarkStart w:id="61" w:name="page62"/>
    <w:bookmarkEnd w:id="61"/>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Brighthouse Financial,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Interim Condensed Consolidated and Combined Financial Statements (Unaudited) — (continued)</w:t>
      </w:r>
    </w:p>
    <w:p>
      <w:pPr>
        <w:spacing w:after="0" w:line="117" w:lineRule="exact"/>
        <w:rPr>
          <w:sz w:val="20"/>
          <w:szCs w:val="20"/>
          <w:color w:val="auto"/>
        </w:rPr>
      </w:pPr>
    </w:p>
    <w:p>
      <w:pPr>
        <w:ind w:left="180" w:right="9140" w:hanging="172"/>
        <w:spacing w:after="0" w:line="622" w:lineRule="auto"/>
        <w:tabs>
          <w:tab w:leader="none" w:pos="198" w:val="left"/>
        </w:tabs>
        <w:numPr>
          <w:ilvl w:val="0"/>
          <w:numId w:val="40"/>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Fair Value (continued) </w:t>
      </w:r>
      <w:r>
        <w:rPr>
          <w:rFonts w:ascii="Arial" w:cs="Arial" w:eastAsia="Arial" w:hAnsi="Arial"/>
          <w:sz w:val="15"/>
          <w:szCs w:val="15"/>
          <w:b w:val="1"/>
          <w:bCs w:val="1"/>
          <w:i w:val="1"/>
          <w:iCs w:val="1"/>
          <w:u w:val="single" w:color="auto"/>
          <w:color w:val="auto"/>
        </w:rPr>
        <w:t>Separate Account Liabilities</w:t>
      </w:r>
    </w:p>
    <w:p>
      <w:pPr>
        <w:spacing w:after="0" w:line="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Separate account liabilities represent those balances due to policyholders under contracts that are classified as investment contracts.</w:t>
      </w:r>
    </w:p>
    <w:p>
      <w:pPr>
        <w:spacing w:after="0" w:line="117" w:lineRule="exact"/>
        <w:rPr>
          <w:sz w:val="20"/>
          <w:szCs w:val="20"/>
          <w:color w:val="auto"/>
        </w:rPr>
      </w:pPr>
    </w:p>
    <w:p>
      <w:pPr>
        <w:jc w:val="both"/>
        <w:ind w:left="180" w:right="20" w:firstLine="324"/>
        <w:spacing w:after="0" w:line="277" w:lineRule="auto"/>
        <w:rPr>
          <w:sz w:val="20"/>
          <w:szCs w:val="20"/>
          <w:color w:val="auto"/>
        </w:rPr>
      </w:pPr>
      <w:r>
        <w:rPr>
          <w:rFonts w:ascii="Arial" w:cs="Arial" w:eastAsia="Arial" w:hAnsi="Arial"/>
          <w:sz w:val="18"/>
          <w:szCs w:val="18"/>
          <w:color w:val="auto"/>
        </w:rPr>
        <w:t>Separate account liabilities classified as investment contracts primarily represent variable annuities with no significant mortality risk to the Company such that the death benefit is equal to the account balance and certain contracts that provide for benefit funding.</w:t>
      </w:r>
    </w:p>
    <w:p>
      <w:pPr>
        <w:spacing w:after="0" w:line="62" w:lineRule="exact"/>
        <w:rPr>
          <w:sz w:val="20"/>
          <w:szCs w:val="20"/>
          <w:color w:val="auto"/>
        </w:rPr>
      </w:pPr>
    </w:p>
    <w:p>
      <w:pPr>
        <w:jc w:val="both"/>
        <w:ind w:left="180" w:firstLine="324"/>
        <w:spacing w:after="0" w:line="312" w:lineRule="auto"/>
        <w:rPr>
          <w:sz w:val="20"/>
          <w:szCs w:val="20"/>
          <w:color w:val="auto"/>
        </w:rPr>
      </w:pPr>
      <w:r>
        <w:rPr>
          <w:rFonts w:ascii="Arial" w:cs="Arial" w:eastAsia="Arial" w:hAnsi="Arial"/>
          <w:sz w:val="16"/>
          <w:szCs w:val="16"/>
          <w:color w:val="auto"/>
        </w:rPr>
        <w:t>Since separate account liabilities are fully funded by cash flows from the separate account assets which are recognized at estimated fair value as described in the section “— Recurring Fair Value Measurements,” the value of those assets approximates the estimated fair value of the related separate account liabilities. The valuation techniques and inputs for separate account liabilities are similar to those described for separate account assets.</w:t>
      </w:r>
    </w:p>
    <w:p>
      <w:pPr>
        <w:spacing w:after="0" w:line="89" w:lineRule="exact"/>
        <w:rPr>
          <w:sz w:val="20"/>
          <w:szCs w:val="20"/>
          <w:color w:val="auto"/>
        </w:rPr>
      </w:pPr>
    </w:p>
    <w:p>
      <w:pPr>
        <w:ind w:left="340" w:right="7820" w:hanging="332"/>
        <w:spacing w:after="0" w:line="559" w:lineRule="auto"/>
        <w:tabs>
          <w:tab w:leader="none" w:pos="196" w:val="left"/>
        </w:tabs>
        <w:numPr>
          <w:ilvl w:val="0"/>
          <w:numId w:val="41"/>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Debt and Collateral Financing Arrangement </w:t>
      </w:r>
      <w:r>
        <w:rPr>
          <w:rFonts w:ascii="Arial" w:cs="Arial" w:eastAsia="Arial" w:hAnsi="Arial"/>
          <w:sz w:val="16"/>
          <w:szCs w:val="16"/>
          <w:color w:val="auto"/>
        </w:rPr>
        <w:t>Long-term debt outstanding was as follows:</w:t>
      </w:r>
    </w:p>
    <w:tbl>
      <w:tblPr>
        <w:tblLayout w:type="fixed"/>
        <w:tblInd w:w="0" w:type="dxa"/>
        <w:tblCellMar>
          <w:top w:w="0" w:type="dxa"/>
          <w:left w:w="0" w:type="dxa"/>
          <w:bottom w:w="0" w:type="dxa"/>
          <w:right w:w="0" w:type="dxa"/>
        </w:tblCellMar>
      </w:tblPr>
      <w:tr>
        <w:trPr>
          <w:trHeight w:val="151"/>
        </w:trPr>
        <w:tc>
          <w:tcPr>
            <w:tcW w:w="5160" w:type="dxa"/>
            <w:vAlign w:val="bottom"/>
          </w:tcPr>
          <w:p>
            <w:pPr>
              <w:spacing w:after="0"/>
              <w:rPr>
                <w:sz w:val="13"/>
                <w:szCs w:val="13"/>
                <w:color w:val="auto"/>
              </w:rPr>
            </w:pPr>
          </w:p>
        </w:tc>
        <w:tc>
          <w:tcPr>
            <w:tcW w:w="1980" w:type="dxa"/>
            <w:vAlign w:val="bottom"/>
          </w:tcPr>
          <w:p>
            <w:pPr>
              <w:jc w:val="center"/>
              <w:ind w:right="61"/>
              <w:spacing w:after="0" w:line="151" w:lineRule="exact"/>
              <w:rPr>
                <w:sz w:val="20"/>
                <w:szCs w:val="20"/>
                <w:color w:val="auto"/>
              </w:rPr>
            </w:pPr>
            <w:r>
              <w:rPr>
                <w:rFonts w:ascii="Arial" w:cs="Arial" w:eastAsia="Arial" w:hAnsi="Arial"/>
                <w:sz w:val="14"/>
                <w:szCs w:val="14"/>
                <w:b w:val="1"/>
                <w:bCs w:val="1"/>
                <w:color w:val="auto"/>
                <w:w w:val="94"/>
              </w:rPr>
              <w:t>Interest</w:t>
            </w:r>
          </w:p>
        </w:tc>
        <w:tc>
          <w:tcPr>
            <w:tcW w:w="1480" w:type="dxa"/>
            <w:vAlign w:val="bottom"/>
            <w:vMerge w:val="restart"/>
          </w:tcPr>
          <w:p>
            <w:pPr>
              <w:jc w:val="center"/>
              <w:ind w:right="81"/>
              <w:spacing w:after="0"/>
              <w:rPr>
                <w:sz w:val="20"/>
                <w:szCs w:val="20"/>
                <w:color w:val="auto"/>
              </w:rPr>
            </w:pPr>
            <w:r>
              <w:rPr>
                <w:rFonts w:ascii="Arial" w:cs="Arial" w:eastAsia="Arial" w:hAnsi="Arial"/>
                <w:sz w:val="14"/>
                <w:szCs w:val="14"/>
                <w:b w:val="1"/>
                <w:bCs w:val="1"/>
                <w:color w:val="auto"/>
              </w:rPr>
              <w:t>Maturity</w:t>
            </w:r>
          </w:p>
        </w:tc>
        <w:tc>
          <w:tcPr>
            <w:tcW w:w="144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September 30, 2017</w:t>
            </w:r>
          </w:p>
        </w:tc>
        <w:tc>
          <w:tcPr>
            <w:tcW w:w="200" w:type="dxa"/>
            <w:vAlign w:val="bottom"/>
          </w:tcPr>
          <w:p>
            <w:pPr>
              <w:spacing w:after="0"/>
              <w:rPr>
                <w:sz w:val="13"/>
                <w:szCs w:val="13"/>
                <w:color w:val="auto"/>
              </w:rPr>
            </w:pPr>
          </w:p>
        </w:tc>
        <w:tc>
          <w:tcPr>
            <w:tcW w:w="1160" w:type="dxa"/>
            <w:vAlign w:val="bottom"/>
          </w:tcPr>
          <w:p>
            <w:pPr>
              <w:jc w:val="right"/>
              <w:ind w:right="181"/>
              <w:spacing w:after="0" w:line="151" w:lineRule="exact"/>
              <w:rPr>
                <w:sz w:val="20"/>
                <w:szCs w:val="20"/>
                <w:color w:val="auto"/>
              </w:rPr>
            </w:pPr>
            <w:r>
              <w:rPr>
                <w:rFonts w:ascii="Arial" w:cs="Arial" w:eastAsia="Arial" w:hAnsi="Arial"/>
                <w:sz w:val="14"/>
                <w:szCs w:val="14"/>
                <w:b w:val="1"/>
                <w:bCs w:val="1"/>
                <w:color w:val="auto"/>
                <w:w w:val="96"/>
              </w:rPr>
              <w:t>December 31,</w:t>
            </w:r>
          </w:p>
        </w:tc>
        <w:tc>
          <w:tcPr>
            <w:tcW w:w="0" w:type="dxa"/>
            <w:vAlign w:val="bottom"/>
          </w:tcPr>
          <w:p>
            <w:pPr>
              <w:spacing w:after="0"/>
              <w:rPr>
                <w:sz w:val="1"/>
                <w:szCs w:val="1"/>
                <w:color w:val="auto"/>
              </w:rPr>
            </w:pPr>
          </w:p>
        </w:tc>
      </w:tr>
      <w:tr>
        <w:trPr>
          <w:trHeight w:val="192"/>
        </w:trPr>
        <w:tc>
          <w:tcPr>
            <w:tcW w:w="5160" w:type="dxa"/>
            <w:vAlign w:val="bottom"/>
          </w:tcPr>
          <w:p>
            <w:pPr>
              <w:spacing w:after="0"/>
              <w:rPr>
                <w:sz w:val="16"/>
                <w:szCs w:val="16"/>
                <w:color w:val="auto"/>
              </w:rPr>
            </w:pPr>
          </w:p>
        </w:tc>
        <w:tc>
          <w:tcPr>
            <w:tcW w:w="1980" w:type="dxa"/>
            <w:vAlign w:val="bottom"/>
            <w:tcBorders>
              <w:bottom w:val="single" w:sz="8" w:color="auto"/>
            </w:tcBorders>
          </w:tcPr>
          <w:p>
            <w:pPr>
              <w:jc w:val="center"/>
              <w:ind w:right="81"/>
              <w:spacing w:after="0"/>
              <w:rPr>
                <w:sz w:val="20"/>
                <w:szCs w:val="20"/>
                <w:color w:val="auto"/>
              </w:rPr>
            </w:pPr>
            <w:r>
              <w:rPr>
                <w:rFonts w:ascii="Arial" w:cs="Arial" w:eastAsia="Arial" w:hAnsi="Arial"/>
                <w:sz w:val="14"/>
                <w:szCs w:val="14"/>
                <w:b w:val="1"/>
                <w:bCs w:val="1"/>
                <w:color w:val="auto"/>
                <w:w w:val="98"/>
              </w:rPr>
              <w:t>Rate</w:t>
            </w:r>
          </w:p>
        </w:tc>
        <w:tc>
          <w:tcPr>
            <w:tcW w:w="1480" w:type="dxa"/>
            <w:vAlign w:val="bottom"/>
            <w:tcBorders>
              <w:bottom w:val="single" w:sz="8" w:color="auto"/>
            </w:tcBorders>
            <w:vMerge w:val="continue"/>
          </w:tcPr>
          <w:p>
            <w:pPr>
              <w:spacing w:after="0"/>
              <w:rPr>
                <w:sz w:val="16"/>
                <w:szCs w:val="16"/>
                <w:color w:val="auto"/>
              </w:rPr>
            </w:pPr>
          </w:p>
        </w:tc>
        <w:tc>
          <w:tcPr>
            <w:tcW w:w="1440" w:type="dxa"/>
            <w:vAlign w:val="bottom"/>
            <w:tcBorders>
              <w:bottom w:val="single" w:sz="8" w:color="auto"/>
            </w:tcBorders>
            <w:gridSpan w:val="3"/>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61"/>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250"/>
        </w:trPr>
        <w:tc>
          <w:tcPr>
            <w:tcW w:w="5160" w:type="dxa"/>
            <w:vAlign w:val="bottom"/>
          </w:tcPr>
          <w:p>
            <w:pPr>
              <w:spacing w:after="0"/>
              <w:rPr>
                <w:sz w:val="21"/>
                <w:szCs w:val="21"/>
                <w:color w:val="auto"/>
              </w:rPr>
            </w:pPr>
          </w:p>
        </w:tc>
        <w:tc>
          <w:tcPr>
            <w:tcW w:w="1980" w:type="dxa"/>
            <w:vAlign w:val="bottom"/>
          </w:tcPr>
          <w:p>
            <w:pPr>
              <w:spacing w:after="0"/>
              <w:rPr>
                <w:sz w:val="21"/>
                <w:szCs w:val="21"/>
                <w:color w:val="auto"/>
              </w:rPr>
            </w:pPr>
          </w:p>
        </w:tc>
        <w:tc>
          <w:tcPr>
            <w:tcW w:w="2060" w:type="dxa"/>
            <w:vAlign w:val="bottom"/>
            <w:gridSpan w:val="2"/>
          </w:tcPr>
          <w:p>
            <w:pPr>
              <w:jc w:val="right"/>
              <w:ind w:right="221"/>
              <w:spacing w:after="0"/>
              <w:rPr>
                <w:sz w:val="20"/>
                <w:szCs w:val="20"/>
                <w:color w:val="auto"/>
              </w:rPr>
            </w:pPr>
            <w:r>
              <w:rPr>
                <w:rFonts w:ascii="Arial" w:cs="Arial" w:eastAsia="Arial" w:hAnsi="Arial"/>
                <w:sz w:val="14"/>
                <w:szCs w:val="14"/>
                <w:b w:val="1"/>
                <w:bCs w:val="1"/>
                <w:color w:val="auto"/>
              </w:rPr>
              <w:t>(Dollars in millions)</w:t>
            </w: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Senior notes — unaffiliated</w:t>
            </w:r>
          </w:p>
        </w:tc>
        <w:tc>
          <w:tcPr>
            <w:tcW w:w="1980" w:type="dxa"/>
            <w:vAlign w:val="bottom"/>
            <w:tcBorders>
              <w:bottom w:val="single" w:sz="8" w:color="CCEEFF"/>
            </w:tcBorders>
            <w:shd w:val="clear" w:color="auto" w:fill="CCEEFF"/>
          </w:tcPr>
          <w:p>
            <w:pPr>
              <w:jc w:val="center"/>
              <w:ind w:right="81"/>
              <w:spacing w:after="0"/>
              <w:rPr>
                <w:sz w:val="20"/>
                <w:szCs w:val="20"/>
                <w:color w:val="auto"/>
              </w:rPr>
            </w:pPr>
            <w:r>
              <w:rPr>
                <w:rFonts w:ascii="Arial" w:cs="Arial" w:eastAsia="Arial" w:hAnsi="Arial"/>
                <w:sz w:val="16"/>
                <w:szCs w:val="16"/>
                <w:color w:val="auto"/>
                <w:w w:val="92"/>
              </w:rPr>
              <w:t>3.700%</w:t>
            </w:r>
          </w:p>
        </w:tc>
        <w:tc>
          <w:tcPr>
            <w:tcW w:w="1480" w:type="dxa"/>
            <w:vAlign w:val="bottom"/>
            <w:tcBorders>
              <w:bottom w:val="single" w:sz="8" w:color="CCEEFF"/>
            </w:tcBorders>
            <w:shd w:val="clear" w:color="auto" w:fill="CCEEFF"/>
          </w:tcPr>
          <w:p>
            <w:pPr>
              <w:jc w:val="center"/>
              <w:ind w:right="81"/>
              <w:spacing w:after="0"/>
              <w:rPr>
                <w:sz w:val="20"/>
                <w:szCs w:val="20"/>
                <w:color w:val="auto"/>
              </w:rPr>
            </w:pPr>
            <w:r>
              <w:rPr>
                <w:rFonts w:ascii="Arial" w:cs="Arial" w:eastAsia="Arial" w:hAnsi="Arial"/>
                <w:sz w:val="16"/>
                <w:szCs w:val="16"/>
                <w:color w:val="auto"/>
                <w:w w:val="89"/>
              </w:rPr>
              <w:t>2027</w:t>
            </w:r>
          </w:p>
        </w:tc>
        <w:tc>
          <w:tcPr>
            <w:tcW w:w="580" w:type="dxa"/>
            <w:vAlign w:val="bottom"/>
            <w:tcBorders>
              <w:bottom w:val="single" w:sz="8" w:color="CCEEFF"/>
            </w:tcBorders>
            <w:shd w:val="clear" w:color="auto" w:fill="CCEEFF"/>
          </w:tcPr>
          <w:p>
            <w:pPr>
              <w:jc w:val="right"/>
              <w:ind w:right="401"/>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1,489</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5160" w:type="dxa"/>
            <w:vAlign w:val="bottom"/>
          </w:tcPr>
          <w:p>
            <w:pPr>
              <w:ind w:left="40"/>
              <w:spacing w:after="0"/>
              <w:rPr>
                <w:sz w:val="20"/>
                <w:szCs w:val="20"/>
                <w:color w:val="auto"/>
              </w:rPr>
            </w:pPr>
            <w:r>
              <w:rPr>
                <w:rFonts w:ascii="Arial" w:cs="Arial" w:eastAsia="Arial" w:hAnsi="Arial"/>
                <w:sz w:val="16"/>
                <w:szCs w:val="16"/>
                <w:color w:val="auto"/>
              </w:rPr>
              <w:t>Senior notes — unaffiliated</w:t>
            </w:r>
          </w:p>
        </w:tc>
        <w:tc>
          <w:tcPr>
            <w:tcW w:w="1980" w:type="dxa"/>
            <w:vAlign w:val="bottom"/>
          </w:tcPr>
          <w:p>
            <w:pPr>
              <w:jc w:val="center"/>
              <w:ind w:right="81"/>
              <w:spacing w:after="0"/>
              <w:rPr>
                <w:sz w:val="20"/>
                <w:szCs w:val="20"/>
                <w:color w:val="auto"/>
              </w:rPr>
            </w:pPr>
            <w:r>
              <w:rPr>
                <w:rFonts w:ascii="Arial" w:cs="Arial" w:eastAsia="Arial" w:hAnsi="Arial"/>
                <w:sz w:val="16"/>
                <w:szCs w:val="16"/>
                <w:color w:val="auto"/>
                <w:w w:val="92"/>
              </w:rPr>
              <w:t>4.700%</w:t>
            </w:r>
          </w:p>
        </w:tc>
        <w:tc>
          <w:tcPr>
            <w:tcW w:w="1480" w:type="dxa"/>
            <w:vAlign w:val="bottom"/>
          </w:tcPr>
          <w:p>
            <w:pPr>
              <w:jc w:val="center"/>
              <w:ind w:right="81"/>
              <w:spacing w:after="0"/>
              <w:rPr>
                <w:sz w:val="20"/>
                <w:szCs w:val="20"/>
                <w:color w:val="auto"/>
              </w:rPr>
            </w:pPr>
            <w:r>
              <w:rPr>
                <w:rFonts w:ascii="Arial" w:cs="Arial" w:eastAsia="Arial" w:hAnsi="Arial"/>
                <w:sz w:val="16"/>
                <w:szCs w:val="16"/>
                <w:color w:val="auto"/>
                <w:w w:val="89"/>
              </w:rPr>
              <w:t>2047</w:t>
            </w:r>
          </w:p>
        </w:tc>
        <w:tc>
          <w:tcPr>
            <w:tcW w:w="580" w:type="dxa"/>
            <w:vAlign w:val="bottom"/>
          </w:tcPr>
          <w:p>
            <w:pPr>
              <w:spacing w:after="0"/>
              <w:rPr>
                <w:sz w:val="20"/>
                <w:szCs w:val="20"/>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1,476</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516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5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Surplus notes — with MetLife, Inc.</w:t>
            </w:r>
          </w:p>
        </w:tc>
        <w:tc>
          <w:tcPr>
            <w:tcW w:w="1980" w:type="dxa"/>
            <w:vAlign w:val="bottom"/>
            <w:tcBorders>
              <w:bottom w:val="single" w:sz="8" w:color="CCEEFF"/>
            </w:tcBorders>
            <w:shd w:val="clear" w:color="auto" w:fill="CCEEFF"/>
          </w:tcPr>
          <w:p>
            <w:pPr>
              <w:jc w:val="center"/>
              <w:ind w:right="81"/>
              <w:spacing w:after="0"/>
              <w:rPr>
                <w:sz w:val="20"/>
                <w:szCs w:val="20"/>
                <w:color w:val="auto"/>
              </w:rPr>
            </w:pPr>
            <w:r>
              <w:rPr>
                <w:rFonts w:ascii="Arial" w:cs="Arial" w:eastAsia="Arial" w:hAnsi="Arial"/>
                <w:sz w:val="16"/>
                <w:szCs w:val="16"/>
                <w:color w:val="auto"/>
                <w:w w:val="92"/>
              </w:rPr>
              <w:t>8.595%</w:t>
            </w:r>
          </w:p>
        </w:tc>
        <w:tc>
          <w:tcPr>
            <w:tcW w:w="1480" w:type="dxa"/>
            <w:vAlign w:val="bottom"/>
            <w:tcBorders>
              <w:bottom w:val="single" w:sz="8" w:color="CCEEFF"/>
            </w:tcBorders>
            <w:shd w:val="clear" w:color="auto" w:fill="CCEEFF"/>
          </w:tcPr>
          <w:p>
            <w:pPr>
              <w:jc w:val="center"/>
              <w:ind w:right="81"/>
              <w:spacing w:after="0"/>
              <w:rPr>
                <w:sz w:val="20"/>
                <w:szCs w:val="20"/>
                <w:color w:val="auto"/>
              </w:rPr>
            </w:pPr>
            <w:r>
              <w:rPr>
                <w:rFonts w:ascii="Arial" w:cs="Arial" w:eastAsia="Arial" w:hAnsi="Arial"/>
                <w:sz w:val="16"/>
                <w:szCs w:val="16"/>
                <w:color w:val="auto"/>
                <w:w w:val="89"/>
              </w:rPr>
              <w:t>2038</w:t>
            </w:r>
          </w:p>
        </w:tc>
        <w:tc>
          <w:tcPr>
            <w:tcW w:w="5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750</w:t>
            </w:r>
          </w:p>
        </w:tc>
        <w:tc>
          <w:tcPr>
            <w:tcW w:w="0" w:type="dxa"/>
            <w:vAlign w:val="bottom"/>
          </w:tcPr>
          <w:p>
            <w:pPr>
              <w:spacing w:after="0"/>
              <w:rPr>
                <w:sz w:val="1"/>
                <w:szCs w:val="1"/>
                <w:color w:val="auto"/>
              </w:rPr>
            </w:pPr>
          </w:p>
        </w:tc>
      </w:tr>
      <w:tr>
        <w:trPr>
          <w:trHeight w:val="237"/>
        </w:trPr>
        <w:tc>
          <w:tcPr>
            <w:tcW w:w="5160" w:type="dxa"/>
            <w:vAlign w:val="bottom"/>
          </w:tcPr>
          <w:p>
            <w:pPr>
              <w:ind w:left="40"/>
              <w:spacing w:after="0"/>
              <w:rPr>
                <w:sz w:val="20"/>
                <w:szCs w:val="20"/>
                <w:color w:val="auto"/>
              </w:rPr>
            </w:pPr>
            <w:r>
              <w:rPr>
                <w:rFonts w:ascii="Arial" w:cs="Arial" w:eastAsia="Arial" w:hAnsi="Arial"/>
                <w:sz w:val="16"/>
                <w:szCs w:val="16"/>
                <w:color w:val="auto"/>
              </w:rPr>
              <w:t>Surplus note — with MetLife, Inc.</w:t>
            </w:r>
          </w:p>
        </w:tc>
        <w:tc>
          <w:tcPr>
            <w:tcW w:w="1980" w:type="dxa"/>
            <w:vAlign w:val="bottom"/>
          </w:tcPr>
          <w:p>
            <w:pPr>
              <w:jc w:val="center"/>
              <w:ind w:right="81"/>
              <w:spacing w:after="0"/>
              <w:rPr>
                <w:sz w:val="20"/>
                <w:szCs w:val="20"/>
                <w:color w:val="auto"/>
              </w:rPr>
            </w:pPr>
            <w:r>
              <w:rPr>
                <w:rFonts w:ascii="Arial" w:cs="Arial" w:eastAsia="Arial" w:hAnsi="Arial"/>
                <w:sz w:val="16"/>
                <w:szCs w:val="16"/>
                <w:color w:val="auto"/>
                <w:w w:val="92"/>
              </w:rPr>
              <w:t>5.130%</w:t>
            </w:r>
          </w:p>
        </w:tc>
        <w:tc>
          <w:tcPr>
            <w:tcW w:w="1480" w:type="dxa"/>
            <w:vAlign w:val="bottom"/>
          </w:tcPr>
          <w:p>
            <w:pPr>
              <w:jc w:val="center"/>
              <w:ind w:right="81"/>
              <w:spacing w:after="0"/>
              <w:rPr>
                <w:sz w:val="20"/>
                <w:szCs w:val="20"/>
                <w:color w:val="auto"/>
              </w:rPr>
            </w:pPr>
            <w:r>
              <w:rPr>
                <w:rFonts w:ascii="Arial" w:cs="Arial" w:eastAsia="Arial" w:hAnsi="Arial"/>
                <w:sz w:val="16"/>
                <w:szCs w:val="16"/>
                <w:color w:val="auto"/>
                <w:w w:val="89"/>
              </w:rPr>
              <w:t>2032</w:t>
            </w:r>
          </w:p>
        </w:tc>
        <w:tc>
          <w:tcPr>
            <w:tcW w:w="580" w:type="dxa"/>
            <w:vAlign w:val="bottom"/>
          </w:tcPr>
          <w:p>
            <w:pPr>
              <w:spacing w:after="0"/>
              <w:rPr>
                <w:sz w:val="20"/>
                <w:szCs w:val="20"/>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160" w:type="dxa"/>
            <w:vAlign w:val="bottom"/>
          </w:tcPr>
          <w:p>
            <w:pPr>
              <w:jc w:val="right"/>
              <w:ind w:right="21"/>
              <w:spacing w:after="0"/>
              <w:rPr>
                <w:sz w:val="20"/>
                <w:szCs w:val="20"/>
                <w:color w:val="auto"/>
              </w:rPr>
            </w:pPr>
            <w:r>
              <w:rPr>
                <w:rFonts w:ascii="Arial" w:cs="Arial" w:eastAsia="Arial" w:hAnsi="Arial"/>
                <w:sz w:val="16"/>
                <w:szCs w:val="16"/>
                <w:color w:val="auto"/>
              </w:rPr>
              <w:t>750</w:t>
            </w:r>
          </w:p>
        </w:tc>
        <w:tc>
          <w:tcPr>
            <w:tcW w:w="0" w:type="dxa"/>
            <w:vAlign w:val="bottom"/>
          </w:tcPr>
          <w:p>
            <w:pPr>
              <w:spacing w:after="0"/>
              <w:rPr>
                <w:sz w:val="1"/>
                <w:szCs w:val="1"/>
                <w:color w:val="auto"/>
              </w:rPr>
            </w:pPr>
          </w:p>
        </w:tc>
      </w:tr>
      <w:tr>
        <w:trPr>
          <w:trHeight w:val="33"/>
        </w:trPr>
        <w:tc>
          <w:tcPr>
            <w:tcW w:w="516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5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Surplus note — with MetLife, Inc.</w:t>
            </w:r>
          </w:p>
        </w:tc>
        <w:tc>
          <w:tcPr>
            <w:tcW w:w="1980" w:type="dxa"/>
            <w:vAlign w:val="bottom"/>
            <w:tcBorders>
              <w:bottom w:val="single" w:sz="8" w:color="CCEEFF"/>
            </w:tcBorders>
            <w:shd w:val="clear" w:color="auto" w:fill="CCEEFF"/>
          </w:tcPr>
          <w:p>
            <w:pPr>
              <w:jc w:val="center"/>
              <w:ind w:right="81"/>
              <w:spacing w:after="0"/>
              <w:rPr>
                <w:sz w:val="20"/>
                <w:szCs w:val="20"/>
                <w:color w:val="auto"/>
              </w:rPr>
            </w:pPr>
            <w:r>
              <w:rPr>
                <w:rFonts w:ascii="Arial" w:cs="Arial" w:eastAsia="Arial" w:hAnsi="Arial"/>
                <w:sz w:val="16"/>
                <w:szCs w:val="16"/>
                <w:color w:val="auto"/>
                <w:w w:val="92"/>
              </w:rPr>
              <w:t>6.000%</w:t>
            </w:r>
          </w:p>
        </w:tc>
        <w:tc>
          <w:tcPr>
            <w:tcW w:w="1480" w:type="dxa"/>
            <w:vAlign w:val="bottom"/>
            <w:tcBorders>
              <w:bottom w:val="single" w:sz="8" w:color="CCEEFF"/>
            </w:tcBorders>
            <w:shd w:val="clear" w:color="auto" w:fill="CCEEFF"/>
          </w:tcPr>
          <w:p>
            <w:pPr>
              <w:jc w:val="center"/>
              <w:ind w:right="81"/>
              <w:spacing w:after="0"/>
              <w:rPr>
                <w:sz w:val="20"/>
                <w:szCs w:val="20"/>
                <w:color w:val="auto"/>
              </w:rPr>
            </w:pPr>
            <w:r>
              <w:rPr>
                <w:rFonts w:ascii="Arial" w:cs="Arial" w:eastAsia="Arial" w:hAnsi="Arial"/>
                <w:sz w:val="16"/>
                <w:szCs w:val="16"/>
                <w:color w:val="auto"/>
                <w:w w:val="89"/>
              </w:rPr>
              <w:t>2033</w:t>
            </w:r>
          </w:p>
        </w:tc>
        <w:tc>
          <w:tcPr>
            <w:tcW w:w="5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350</w:t>
            </w:r>
          </w:p>
        </w:tc>
        <w:tc>
          <w:tcPr>
            <w:tcW w:w="0" w:type="dxa"/>
            <w:vAlign w:val="bottom"/>
          </w:tcPr>
          <w:p>
            <w:pPr>
              <w:spacing w:after="0"/>
              <w:rPr>
                <w:sz w:val="1"/>
                <w:szCs w:val="1"/>
                <w:color w:val="auto"/>
              </w:rPr>
            </w:pPr>
          </w:p>
        </w:tc>
      </w:tr>
      <w:tr>
        <w:trPr>
          <w:trHeight w:val="237"/>
        </w:trPr>
        <w:tc>
          <w:tcPr>
            <w:tcW w:w="5160" w:type="dxa"/>
            <w:vAlign w:val="bottom"/>
          </w:tcPr>
          <w:p>
            <w:pPr>
              <w:ind w:left="40"/>
              <w:spacing w:after="0"/>
              <w:rPr>
                <w:sz w:val="20"/>
                <w:szCs w:val="20"/>
                <w:color w:val="auto"/>
              </w:rPr>
            </w:pPr>
            <w:r>
              <w:rPr>
                <w:rFonts w:ascii="Arial" w:cs="Arial" w:eastAsia="Arial" w:hAnsi="Arial"/>
                <w:sz w:val="16"/>
                <w:szCs w:val="16"/>
                <w:color w:val="auto"/>
              </w:rPr>
              <w:t>Long-term debt — unaffiliated (1), (2)</w:t>
            </w:r>
          </w:p>
        </w:tc>
        <w:tc>
          <w:tcPr>
            <w:tcW w:w="1980" w:type="dxa"/>
            <w:vAlign w:val="bottom"/>
          </w:tcPr>
          <w:p>
            <w:pPr>
              <w:jc w:val="center"/>
              <w:ind w:right="81"/>
              <w:spacing w:after="0"/>
              <w:rPr>
                <w:sz w:val="20"/>
                <w:szCs w:val="20"/>
                <w:color w:val="auto"/>
              </w:rPr>
            </w:pPr>
            <w:r>
              <w:rPr>
                <w:rFonts w:ascii="Arial" w:cs="Arial" w:eastAsia="Arial" w:hAnsi="Arial"/>
                <w:sz w:val="16"/>
                <w:szCs w:val="16"/>
                <w:color w:val="auto"/>
                <w:w w:val="92"/>
              </w:rPr>
              <w:t>7.028%</w:t>
            </w:r>
          </w:p>
        </w:tc>
        <w:tc>
          <w:tcPr>
            <w:tcW w:w="1480" w:type="dxa"/>
            <w:vAlign w:val="bottom"/>
          </w:tcPr>
          <w:p>
            <w:pPr>
              <w:jc w:val="center"/>
              <w:ind w:right="81"/>
              <w:spacing w:after="0"/>
              <w:rPr>
                <w:sz w:val="20"/>
                <w:szCs w:val="20"/>
                <w:color w:val="auto"/>
              </w:rPr>
            </w:pPr>
            <w:r>
              <w:rPr>
                <w:rFonts w:ascii="Arial" w:cs="Arial" w:eastAsia="Arial" w:hAnsi="Arial"/>
                <w:sz w:val="16"/>
                <w:szCs w:val="16"/>
                <w:color w:val="auto"/>
                <w:w w:val="89"/>
              </w:rPr>
              <w:t>2030</w:t>
            </w:r>
          </w:p>
        </w:tc>
        <w:tc>
          <w:tcPr>
            <w:tcW w:w="580" w:type="dxa"/>
            <w:vAlign w:val="bottom"/>
          </w:tcPr>
          <w:p>
            <w:pPr>
              <w:spacing w:after="0"/>
              <w:rPr>
                <w:sz w:val="20"/>
                <w:szCs w:val="20"/>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36</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jc w:val="right"/>
              <w:ind w:right="21"/>
              <w:spacing w:after="0"/>
              <w:rPr>
                <w:sz w:val="20"/>
                <w:szCs w:val="20"/>
                <w:color w:val="auto"/>
              </w:rPr>
            </w:pPr>
            <w:r>
              <w:rPr>
                <w:rFonts w:ascii="Arial" w:cs="Arial" w:eastAsia="Arial" w:hAnsi="Arial"/>
                <w:sz w:val="16"/>
                <w:szCs w:val="16"/>
                <w:color w:val="auto"/>
              </w:rPr>
              <w:t>37</w:t>
            </w:r>
          </w:p>
        </w:tc>
        <w:tc>
          <w:tcPr>
            <w:tcW w:w="0" w:type="dxa"/>
            <w:vAlign w:val="bottom"/>
          </w:tcPr>
          <w:p>
            <w:pPr>
              <w:spacing w:after="0"/>
              <w:rPr>
                <w:sz w:val="1"/>
                <w:szCs w:val="1"/>
                <w:color w:val="auto"/>
              </w:rPr>
            </w:pPr>
          </w:p>
        </w:tc>
      </w:tr>
      <w:tr>
        <w:trPr>
          <w:trHeight w:val="33"/>
        </w:trPr>
        <w:tc>
          <w:tcPr>
            <w:tcW w:w="516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5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Term loan — unaffiliated</w:t>
            </w:r>
          </w:p>
        </w:tc>
        <w:tc>
          <w:tcPr>
            <w:tcW w:w="1980" w:type="dxa"/>
            <w:vAlign w:val="bottom"/>
            <w:tcBorders>
              <w:bottom w:val="single" w:sz="8" w:color="CCEEFF"/>
            </w:tcBorders>
            <w:shd w:val="clear" w:color="auto" w:fill="CCEEFF"/>
          </w:tcPr>
          <w:p>
            <w:pPr>
              <w:jc w:val="center"/>
              <w:ind w:right="81"/>
              <w:spacing w:after="0"/>
              <w:rPr>
                <w:sz w:val="20"/>
                <w:szCs w:val="20"/>
                <w:color w:val="auto"/>
              </w:rPr>
            </w:pPr>
            <w:r>
              <w:rPr>
                <w:rFonts w:ascii="Arial" w:cs="Arial" w:eastAsia="Arial" w:hAnsi="Arial"/>
                <w:sz w:val="16"/>
                <w:szCs w:val="16"/>
                <w:color w:val="auto"/>
                <w:w w:val="96"/>
              </w:rPr>
              <w:t>LIBOR plus 1.5%</w:t>
            </w:r>
          </w:p>
        </w:tc>
        <w:tc>
          <w:tcPr>
            <w:tcW w:w="1480" w:type="dxa"/>
            <w:vAlign w:val="bottom"/>
            <w:tcBorders>
              <w:bottom w:val="single" w:sz="8" w:color="CCEEFF"/>
            </w:tcBorders>
            <w:shd w:val="clear" w:color="auto" w:fill="CCEEFF"/>
          </w:tcPr>
          <w:p>
            <w:pPr>
              <w:jc w:val="center"/>
              <w:ind w:right="81"/>
              <w:spacing w:after="0"/>
              <w:rPr>
                <w:sz w:val="20"/>
                <w:szCs w:val="20"/>
                <w:color w:val="auto"/>
              </w:rPr>
            </w:pPr>
            <w:r>
              <w:rPr>
                <w:rFonts w:ascii="Arial" w:cs="Arial" w:eastAsia="Arial" w:hAnsi="Arial"/>
                <w:sz w:val="16"/>
                <w:szCs w:val="16"/>
                <w:color w:val="auto"/>
                <w:w w:val="89"/>
              </w:rPr>
              <w:t>2019</w:t>
            </w:r>
          </w:p>
        </w:tc>
        <w:tc>
          <w:tcPr>
            <w:tcW w:w="58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600</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84"/>
        </w:trPr>
        <w:tc>
          <w:tcPr>
            <w:tcW w:w="516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Total long-term debt</w:t>
            </w:r>
          </w:p>
        </w:tc>
        <w:tc>
          <w:tcPr>
            <w:tcW w:w="1980" w:type="dxa"/>
            <w:vAlign w:val="bottom"/>
            <w:tcBorders>
              <w:bottom w:val="single" w:sz="8" w:color="CCEEFF"/>
            </w:tcBorders>
          </w:tcPr>
          <w:p>
            <w:pPr>
              <w:spacing w:after="0"/>
              <w:rPr>
                <w:sz w:val="24"/>
                <w:szCs w:val="24"/>
                <w:color w:val="auto"/>
              </w:rPr>
            </w:pPr>
          </w:p>
        </w:tc>
        <w:tc>
          <w:tcPr>
            <w:tcW w:w="1480" w:type="dxa"/>
            <w:vAlign w:val="bottom"/>
            <w:tcBorders>
              <w:bottom w:val="single" w:sz="8" w:color="CCEEFF"/>
            </w:tcBorders>
          </w:tcPr>
          <w:p>
            <w:pPr>
              <w:spacing w:after="0"/>
              <w:rPr>
                <w:sz w:val="24"/>
                <w:szCs w:val="24"/>
                <w:color w:val="auto"/>
              </w:rPr>
            </w:pPr>
          </w:p>
        </w:tc>
        <w:tc>
          <w:tcPr>
            <w:tcW w:w="580" w:type="dxa"/>
            <w:vAlign w:val="bottom"/>
            <w:tcBorders>
              <w:top w:val="single" w:sz="8" w:color="auto"/>
              <w:bottom w:val="single" w:sz="8" w:color="auto"/>
            </w:tcBorders>
          </w:tcPr>
          <w:p>
            <w:pPr>
              <w:jc w:val="right"/>
              <w:ind w:right="401"/>
              <w:spacing w:after="0"/>
              <w:rPr>
                <w:sz w:val="20"/>
                <w:szCs w:val="20"/>
                <w:color w:val="auto"/>
              </w:rPr>
            </w:pPr>
            <w:r>
              <w:rPr>
                <w:rFonts w:ascii="Arial" w:cs="Arial" w:eastAsia="Arial" w:hAnsi="Arial"/>
                <w:sz w:val="16"/>
                <w:szCs w:val="16"/>
                <w:color w:val="auto"/>
                <w:w w:val="89"/>
              </w:rPr>
              <w:t>$</w:t>
            </w:r>
          </w:p>
        </w:tc>
        <w:tc>
          <w:tcPr>
            <w:tcW w:w="76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3,601</w:t>
            </w:r>
          </w:p>
        </w:tc>
        <w:tc>
          <w:tcPr>
            <w:tcW w:w="10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60" w:type="dxa"/>
            <w:vAlign w:val="bottom"/>
            <w:tcBorders>
              <w:top w:val="single" w:sz="8" w:color="auto"/>
              <w:bottom w:val="single" w:sz="8" w:color="auto"/>
            </w:tcBorders>
          </w:tcPr>
          <w:p>
            <w:pPr>
              <w:jc w:val="right"/>
              <w:ind w:right="21"/>
              <w:spacing w:after="0"/>
              <w:rPr>
                <w:sz w:val="20"/>
                <w:szCs w:val="20"/>
                <w:color w:val="auto"/>
              </w:rPr>
            </w:pPr>
            <w:r>
              <w:rPr>
                <w:rFonts w:ascii="Arial" w:cs="Arial" w:eastAsia="Arial" w:hAnsi="Arial"/>
                <w:sz w:val="16"/>
                <w:szCs w:val="16"/>
                <w:color w:val="auto"/>
              </w:rPr>
              <w:t>1,887</w:t>
            </w:r>
          </w:p>
        </w:tc>
        <w:tc>
          <w:tcPr>
            <w:tcW w:w="0" w:type="dxa"/>
            <w:vAlign w:val="bottom"/>
          </w:tcPr>
          <w:p>
            <w:pPr>
              <w:spacing w:after="0"/>
              <w:rPr>
                <w:sz w:val="1"/>
                <w:szCs w:val="1"/>
                <w:color w:val="auto"/>
              </w:rPr>
            </w:pPr>
          </w:p>
        </w:tc>
      </w:tr>
      <w:tr>
        <w:trPr>
          <w:trHeight w:val="230"/>
        </w:trPr>
        <w:tc>
          <w:tcPr>
            <w:tcW w:w="5160" w:type="dxa"/>
            <w:vAlign w:val="bottom"/>
            <w:shd w:val="clear" w:color="auto" w:fill="CCEEFF"/>
          </w:tcPr>
          <w:p>
            <w:pPr>
              <w:spacing w:after="0"/>
              <w:rPr>
                <w:sz w:val="20"/>
                <w:szCs w:val="20"/>
                <w:color w:val="auto"/>
              </w:rPr>
            </w:pPr>
          </w:p>
        </w:tc>
        <w:tc>
          <w:tcPr>
            <w:tcW w:w="1980" w:type="dxa"/>
            <w:vAlign w:val="bottom"/>
            <w:shd w:val="clear" w:color="auto" w:fill="CCEEFF"/>
          </w:tcPr>
          <w:p>
            <w:pPr>
              <w:spacing w:after="0"/>
              <w:rPr>
                <w:sz w:val="20"/>
                <w:szCs w:val="20"/>
                <w:color w:val="auto"/>
              </w:rPr>
            </w:pPr>
          </w:p>
        </w:tc>
        <w:tc>
          <w:tcPr>
            <w:tcW w:w="148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5160" w:type="dxa"/>
            <w:vAlign w:val="bottom"/>
          </w:tcPr>
          <w:p>
            <w:pPr>
              <w:spacing w:after="0"/>
              <w:rPr>
                <w:sz w:val="19"/>
                <w:szCs w:val="19"/>
                <w:color w:val="auto"/>
              </w:rPr>
            </w:pPr>
          </w:p>
        </w:tc>
        <w:tc>
          <w:tcPr>
            <w:tcW w:w="1980" w:type="dxa"/>
            <w:vAlign w:val="bottom"/>
          </w:tcPr>
          <w:p>
            <w:pPr>
              <w:jc w:val="center"/>
              <w:ind w:right="81"/>
              <w:spacing w:after="0"/>
              <w:rPr>
                <w:sz w:val="20"/>
                <w:szCs w:val="20"/>
                <w:color w:val="auto"/>
              </w:rPr>
            </w:pPr>
            <w:r>
              <w:rPr>
                <w:rFonts w:ascii="Arial" w:cs="Arial" w:eastAsia="Arial" w:hAnsi="Arial"/>
                <w:sz w:val="16"/>
                <w:szCs w:val="16"/>
                <w:color w:val="auto"/>
                <w:w w:val="95"/>
              </w:rPr>
              <w:t>3-month LIBOR plus</w:t>
            </w:r>
          </w:p>
        </w:tc>
        <w:tc>
          <w:tcPr>
            <w:tcW w:w="1480" w:type="dxa"/>
            <w:vAlign w:val="bottom"/>
          </w:tcPr>
          <w:p>
            <w:pPr>
              <w:spacing w:after="0"/>
              <w:rPr>
                <w:sz w:val="19"/>
                <w:szCs w:val="19"/>
                <w:color w:val="auto"/>
              </w:rPr>
            </w:pPr>
          </w:p>
        </w:tc>
        <w:tc>
          <w:tcPr>
            <w:tcW w:w="580" w:type="dxa"/>
            <w:vAlign w:val="bottom"/>
            <w:vMerge w:val="restart"/>
          </w:tcPr>
          <w:p>
            <w:pPr>
              <w:jc w:val="right"/>
              <w:ind w:right="401"/>
              <w:spacing w:after="0"/>
              <w:rPr>
                <w:sz w:val="20"/>
                <w:szCs w:val="20"/>
                <w:color w:val="auto"/>
              </w:rPr>
            </w:pPr>
            <w:r>
              <w:rPr>
                <w:rFonts w:ascii="Arial" w:cs="Arial" w:eastAsia="Arial" w:hAnsi="Arial"/>
                <w:sz w:val="16"/>
                <w:szCs w:val="16"/>
                <w:color w:val="auto"/>
                <w:w w:val="89"/>
              </w:rPr>
              <w:t>$</w:t>
            </w:r>
          </w:p>
        </w:tc>
        <w:tc>
          <w:tcPr>
            <w:tcW w:w="860" w:type="dxa"/>
            <w:vAlign w:val="bottom"/>
            <w:gridSpan w:val="2"/>
            <w:vMerge w:val="restart"/>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160" w:type="dxa"/>
            <w:vAlign w:val="bottom"/>
            <w:vMerge w:val="restart"/>
          </w:tcPr>
          <w:p>
            <w:pPr>
              <w:jc w:val="right"/>
              <w:ind w:right="21"/>
              <w:spacing w:after="0"/>
              <w:rPr>
                <w:sz w:val="20"/>
                <w:szCs w:val="20"/>
                <w:color w:val="auto"/>
              </w:rPr>
            </w:pPr>
            <w:r>
              <w:rPr>
                <w:rFonts w:ascii="Arial" w:cs="Arial" w:eastAsia="Arial" w:hAnsi="Arial"/>
                <w:sz w:val="16"/>
                <w:szCs w:val="16"/>
                <w:color w:val="auto"/>
              </w:rPr>
              <w:t>2,797</w:t>
            </w:r>
          </w:p>
        </w:tc>
        <w:tc>
          <w:tcPr>
            <w:tcW w:w="0" w:type="dxa"/>
            <w:vAlign w:val="bottom"/>
          </w:tcPr>
          <w:p>
            <w:pPr>
              <w:spacing w:after="0"/>
              <w:rPr>
                <w:sz w:val="1"/>
                <w:szCs w:val="1"/>
                <w:color w:val="auto"/>
              </w:rPr>
            </w:pPr>
          </w:p>
        </w:tc>
      </w:tr>
      <w:tr>
        <w:trPr>
          <w:trHeight w:val="206"/>
        </w:trPr>
        <w:tc>
          <w:tcPr>
            <w:tcW w:w="5160" w:type="dxa"/>
            <w:vAlign w:val="bottom"/>
          </w:tcPr>
          <w:p>
            <w:pPr>
              <w:ind w:left="40"/>
              <w:spacing w:after="0"/>
              <w:rPr>
                <w:sz w:val="20"/>
                <w:szCs w:val="20"/>
                <w:color w:val="auto"/>
              </w:rPr>
            </w:pPr>
            <w:r>
              <w:rPr>
                <w:rFonts w:ascii="Arial" w:cs="Arial" w:eastAsia="Arial" w:hAnsi="Arial"/>
                <w:sz w:val="16"/>
                <w:szCs w:val="16"/>
                <w:color w:val="auto"/>
              </w:rPr>
              <w:t>Collateral financing arrangement</w:t>
            </w:r>
          </w:p>
        </w:tc>
        <w:tc>
          <w:tcPr>
            <w:tcW w:w="1980" w:type="dxa"/>
            <w:vAlign w:val="bottom"/>
          </w:tcPr>
          <w:p>
            <w:pPr>
              <w:jc w:val="center"/>
              <w:ind w:right="81"/>
              <w:spacing w:after="0"/>
              <w:rPr>
                <w:sz w:val="20"/>
                <w:szCs w:val="20"/>
                <w:color w:val="auto"/>
              </w:rPr>
            </w:pPr>
            <w:r>
              <w:rPr>
                <w:rFonts w:ascii="Arial" w:cs="Arial" w:eastAsia="Arial" w:hAnsi="Arial"/>
                <w:sz w:val="16"/>
                <w:szCs w:val="16"/>
                <w:color w:val="auto"/>
                <w:w w:val="92"/>
              </w:rPr>
              <w:t>0.70%</w:t>
            </w:r>
          </w:p>
        </w:tc>
        <w:tc>
          <w:tcPr>
            <w:tcW w:w="1480" w:type="dxa"/>
            <w:vAlign w:val="bottom"/>
          </w:tcPr>
          <w:p>
            <w:pPr>
              <w:jc w:val="center"/>
              <w:ind w:right="81"/>
              <w:spacing w:after="0"/>
              <w:rPr>
                <w:sz w:val="20"/>
                <w:szCs w:val="20"/>
                <w:color w:val="auto"/>
              </w:rPr>
            </w:pPr>
            <w:r>
              <w:rPr>
                <w:rFonts w:ascii="Arial" w:cs="Arial" w:eastAsia="Arial" w:hAnsi="Arial"/>
                <w:sz w:val="16"/>
                <w:szCs w:val="16"/>
                <w:color w:val="auto"/>
                <w:w w:val="89"/>
              </w:rPr>
              <w:t>2037</w:t>
            </w:r>
          </w:p>
        </w:tc>
        <w:tc>
          <w:tcPr>
            <w:tcW w:w="580" w:type="dxa"/>
            <w:vAlign w:val="bottom"/>
            <w:vMerge w:val="continue"/>
          </w:tcPr>
          <w:p>
            <w:pPr>
              <w:spacing w:after="0"/>
              <w:rPr>
                <w:sz w:val="17"/>
                <w:szCs w:val="17"/>
                <w:color w:val="auto"/>
              </w:rPr>
            </w:pPr>
          </w:p>
        </w:tc>
        <w:tc>
          <w:tcPr>
            <w:tcW w:w="860" w:type="dxa"/>
            <w:vAlign w:val="bottom"/>
            <w:gridSpan w:val="2"/>
            <w:vMerge w:val="continue"/>
          </w:tcPr>
          <w:p>
            <w:pPr>
              <w:spacing w:after="0"/>
              <w:rPr>
                <w:sz w:val="17"/>
                <w:szCs w:val="17"/>
                <w:color w:val="auto"/>
              </w:rPr>
            </w:pPr>
          </w:p>
        </w:tc>
        <w:tc>
          <w:tcPr>
            <w:tcW w:w="200" w:type="dxa"/>
            <w:vAlign w:val="bottom"/>
            <w:vMerge w:val="continue"/>
          </w:tcPr>
          <w:p>
            <w:pPr>
              <w:spacing w:after="0"/>
              <w:rPr>
                <w:sz w:val="17"/>
                <w:szCs w:val="17"/>
                <w:color w:val="auto"/>
              </w:rPr>
            </w:pPr>
          </w:p>
        </w:tc>
        <w:tc>
          <w:tcPr>
            <w:tcW w:w="11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5467985</wp:posOffset>
            </wp:positionH>
            <wp:positionV relativeFrom="paragraph">
              <wp:posOffset>12700</wp:posOffset>
            </wp:positionV>
            <wp:extent cx="1783715"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783715" cy="8890"/>
                    </a:xfrm>
                    <a:prstGeom prst="rect">
                      <a:avLst/>
                    </a:prstGeom>
                    <a:noFill/>
                  </pic:spPr>
                </pic:pic>
              </a:graphicData>
            </a:graphic>
          </wp:anchor>
        </w:drawing>
      </w:r>
    </w:p>
    <w:p>
      <w:pPr>
        <w:spacing w:after="0" w:line="21" w:lineRule="exact"/>
        <w:rPr>
          <w:sz w:val="20"/>
          <w:szCs w:val="20"/>
          <w:color w:val="auto"/>
        </w:rPr>
      </w:pPr>
    </w:p>
    <w:p>
      <w:pPr>
        <w:spacing w:after="0"/>
        <w:rPr>
          <w:sz w:val="20"/>
          <w:szCs w:val="20"/>
          <w:color w:val="auto"/>
        </w:rPr>
      </w:pPr>
      <w:r>
        <w:rPr>
          <w:rFonts w:ascii="Arial" w:cs="Arial" w:eastAsia="Arial" w:hAnsi="Arial"/>
          <w:sz w:val="14"/>
          <w:szCs w:val="14"/>
          <w:color w:val="auto"/>
        </w:rPr>
        <w:t>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5467985</wp:posOffset>
            </wp:positionH>
            <wp:positionV relativeFrom="paragraph">
              <wp:posOffset>-98425</wp:posOffset>
            </wp:positionV>
            <wp:extent cx="1783715"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783715" cy="8890"/>
                    </a:xfrm>
                    <a:prstGeom prst="rect">
                      <a:avLst/>
                    </a:prstGeom>
                    <a:noFill/>
                  </pic:spPr>
                </pic:pic>
              </a:graphicData>
            </a:graphic>
          </wp:anchor>
        </w:drawing>
      </w:r>
    </w:p>
    <w:p>
      <w:pPr>
        <w:spacing w:after="0" w:line="93" w:lineRule="exact"/>
        <w:rPr>
          <w:sz w:val="20"/>
          <w:szCs w:val="20"/>
          <w:color w:val="auto"/>
        </w:rPr>
      </w:pPr>
    </w:p>
    <w:p>
      <w:pPr>
        <w:ind w:left="500" w:hanging="492"/>
        <w:spacing w:after="0"/>
        <w:tabs>
          <w:tab w:leader="none" w:pos="500" w:val="left"/>
        </w:tabs>
        <w:numPr>
          <w:ilvl w:val="0"/>
          <w:numId w:val="42"/>
        </w:numPr>
        <w:rPr>
          <w:rFonts w:ascii="Arial" w:cs="Arial" w:eastAsia="Arial" w:hAnsi="Arial"/>
          <w:sz w:val="17"/>
          <w:szCs w:val="17"/>
          <w:color w:val="auto"/>
        </w:rPr>
      </w:pPr>
      <w:r>
        <w:rPr>
          <w:rFonts w:ascii="Arial" w:cs="Arial" w:eastAsia="Arial" w:hAnsi="Arial"/>
          <w:sz w:val="17"/>
          <w:szCs w:val="17"/>
          <w:color w:val="auto"/>
        </w:rPr>
        <w:t>Excludes $14 million and $23 million at September 30, 2017 and December 31, 2016, respectively, of long-term debt relating to CSEs — FVO.</w:t>
      </w:r>
    </w:p>
    <w:p>
      <w:pPr>
        <w:spacing w:after="0" w:line="128" w:lineRule="exact"/>
        <w:rPr>
          <w:rFonts w:ascii="Arial" w:cs="Arial" w:eastAsia="Arial" w:hAnsi="Arial"/>
          <w:sz w:val="17"/>
          <w:szCs w:val="17"/>
          <w:color w:val="auto"/>
        </w:rPr>
      </w:pPr>
    </w:p>
    <w:p>
      <w:pPr>
        <w:ind w:left="500" w:right="20" w:hanging="492"/>
        <w:spacing w:after="0" w:line="277" w:lineRule="auto"/>
        <w:tabs>
          <w:tab w:leader="none" w:pos="5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Represents non-recourse debt for which creditors have no access, subject to customary exceptions, to the general assets of the Company other than recourse to certain investment companies.</w:t>
      </w:r>
    </w:p>
    <w:p>
      <w:pPr>
        <w:spacing w:after="0" w:line="62" w:lineRule="exact"/>
        <w:rPr>
          <w:sz w:val="20"/>
          <w:szCs w:val="20"/>
          <w:color w:val="auto"/>
        </w:rPr>
      </w:pPr>
    </w:p>
    <w:p>
      <w:pPr>
        <w:ind w:left="340"/>
        <w:spacing w:after="0"/>
        <w:rPr>
          <w:sz w:val="20"/>
          <w:szCs w:val="20"/>
          <w:color w:val="auto"/>
        </w:rPr>
      </w:pPr>
      <w:r>
        <w:rPr>
          <w:rFonts w:ascii="Arial" w:cs="Arial" w:eastAsia="Arial" w:hAnsi="Arial"/>
          <w:sz w:val="18"/>
          <w:szCs w:val="18"/>
          <w:i w:val="1"/>
          <w:iCs w:val="1"/>
          <w:u w:val="single" w:color="auto"/>
          <w:color w:val="auto"/>
        </w:rPr>
        <w:t>Senior Notes</w:t>
      </w:r>
    </w:p>
    <w:p>
      <w:pPr>
        <w:spacing w:after="0" w:line="117" w:lineRule="exact"/>
        <w:rPr>
          <w:sz w:val="20"/>
          <w:szCs w:val="20"/>
          <w:color w:val="auto"/>
        </w:rPr>
      </w:pPr>
    </w:p>
    <w:p>
      <w:pPr>
        <w:jc w:val="both"/>
        <w:ind w:left="340" w:firstLine="324"/>
        <w:spacing w:after="0" w:line="264" w:lineRule="auto"/>
        <w:rPr>
          <w:sz w:val="20"/>
          <w:szCs w:val="20"/>
          <w:color w:val="auto"/>
        </w:rPr>
      </w:pPr>
      <w:r>
        <w:rPr>
          <w:rFonts w:ascii="Arial" w:cs="Arial" w:eastAsia="Arial" w:hAnsi="Arial"/>
          <w:sz w:val="18"/>
          <w:szCs w:val="18"/>
          <w:color w:val="auto"/>
        </w:rPr>
        <w:t>On June 22, 2017, Brighthouse Financial, Inc. issued $1.5 billion of senior notes due June 2027, which bear interest at a fixed rate of 3.70%, payable semi-annually, and $1.5 billion of senior notes due June 2047, which bear interest at a fixed rate of 4.70%, payable semi-annually (collectively, the “Senior Notes”).</w:t>
      </w:r>
    </w:p>
    <w:p>
      <w:pPr>
        <w:spacing w:after="0" w:line="73" w:lineRule="exact"/>
        <w:rPr>
          <w:sz w:val="20"/>
          <w:szCs w:val="20"/>
          <w:color w:val="auto"/>
        </w:rPr>
      </w:pPr>
    </w:p>
    <w:p>
      <w:pPr>
        <w:ind w:left="340"/>
        <w:spacing w:after="0"/>
        <w:rPr>
          <w:sz w:val="20"/>
          <w:szCs w:val="20"/>
          <w:color w:val="auto"/>
        </w:rPr>
      </w:pPr>
      <w:r>
        <w:rPr>
          <w:rFonts w:ascii="Arial" w:cs="Arial" w:eastAsia="Arial" w:hAnsi="Arial"/>
          <w:sz w:val="18"/>
          <w:szCs w:val="18"/>
          <w:i w:val="1"/>
          <w:iCs w:val="1"/>
          <w:u w:val="single" w:color="auto"/>
          <w:color w:val="auto"/>
        </w:rPr>
        <w:t>Surplus Notes</w:t>
      </w:r>
    </w:p>
    <w:p>
      <w:pPr>
        <w:spacing w:after="0" w:line="117" w:lineRule="exact"/>
        <w:rPr>
          <w:sz w:val="20"/>
          <w:szCs w:val="20"/>
          <w:color w:val="auto"/>
        </w:rPr>
      </w:pPr>
    </w:p>
    <w:p>
      <w:pPr>
        <w:jc w:val="both"/>
        <w:ind w:left="340" w:firstLine="324"/>
        <w:spacing w:after="0" w:line="264" w:lineRule="auto"/>
        <w:rPr>
          <w:sz w:val="20"/>
          <w:szCs w:val="20"/>
          <w:color w:val="auto"/>
        </w:rPr>
      </w:pPr>
      <w:r>
        <w:rPr>
          <w:rFonts w:ascii="Arial" w:cs="Arial" w:eastAsia="Arial" w:hAnsi="Arial"/>
          <w:sz w:val="18"/>
          <w:szCs w:val="18"/>
          <w:color w:val="auto"/>
        </w:rPr>
        <w:t>On June 16, 2017, MetLife, Inc. forgave the Company’s obligation to pay the principal amount of $750 million, 8.595% surplus notes held by MetLife, Inc. The forgiveness of the surplus notes was treated as a capital transaction and recorded as an increase to additional paid-in-capital. See Note 8.</w:t>
      </w:r>
    </w:p>
    <w:p>
      <w:pPr>
        <w:spacing w:after="0" w:line="73" w:lineRule="exact"/>
        <w:rPr>
          <w:sz w:val="20"/>
          <w:szCs w:val="20"/>
          <w:color w:val="auto"/>
        </w:rPr>
      </w:pPr>
    </w:p>
    <w:p>
      <w:pPr>
        <w:jc w:val="both"/>
        <w:ind w:left="340" w:firstLine="324"/>
        <w:spacing w:after="0" w:line="342" w:lineRule="auto"/>
        <w:rPr>
          <w:sz w:val="20"/>
          <w:szCs w:val="20"/>
          <w:color w:val="auto"/>
        </w:rPr>
      </w:pPr>
      <w:r>
        <w:rPr>
          <w:rFonts w:ascii="Arial" w:cs="Arial" w:eastAsia="Arial" w:hAnsi="Arial"/>
          <w:sz w:val="16"/>
          <w:szCs w:val="16"/>
          <w:color w:val="auto"/>
        </w:rPr>
        <w:t>On April 28, 2017, two surplus note obligations with MetLife, Inc. totaling $1.1 billion, which were due on September 30, 2032 and December 31, 2033 and bore interest at 5.13% and 6.00%, respectively, were satisfied in a non-cash exchange for $1.1 billion of loans outstanding from MetLife.</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20"/>
          </w:cols>
          <w:pgMar w:left="240" w:top="288" w:right="239" w:bottom="1440" w:gutter="0" w:footer="0" w:header="0"/>
        </w:sectPr>
      </w:pPr>
    </w:p>
    <w:bookmarkStart w:id="62" w:name="page63"/>
    <w:bookmarkEnd w:id="62"/>
    <w:p>
      <w:pPr>
        <w:ind w:left="340"/>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Brighthouse Financial,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Interim Condensed Consolidated and Combined Financial Statements (Unaudited) — (continued)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Debt and Collateral Financing Arrangement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340"/>
        <w:spacing w:after="0"/>
        <w:rPr>
          <w:sz w:val="20"/>
          <w:szCs w:val="20"/>
          <w:color w:val="auto"/>
        </w:rPr>
      </w:pPr>
      <w:r>
        <w:rPr>
          <w:rFonts w:ascii="Arial" w:cs="Arial" w:eastAsia="Arial" w:hAnsi="Arial"/>
          <w:sz w:val="18"/>
          <w:szCs w:val="18"/>
          <w:i w:val="1"/>
          <w:iCs w:val="1"/>
          <w:u w:val="single" w:color="auto"/>
          <w:color w:val="auto"/>
        </w:rPr>
        <w:t>Term Loan Facilities</w:t>
      </w:r>
    </w:p>
    <w:p>
      <w:pPr>
        <w:spacing w:after="0" w:line="117" w:lineRule="exact"/>
        <w:rPr>
          <w:sz w:val="20"/>
          <w:szCs w:val="20"/>
          <w:color w:val="auto"/>
        </w:rPr>
      </w:pPr>
    </w:p>
    <w:p>
      <w:pPr>
        <w:jc w:val="both"/>
        <w:ind w:left="340" w:right="20" w:firstLine="324"/>
        <w:spacing w:after="0" w:line="277" w:lineRule="auto"/>
        <w:rPr>
          <w:sz w:val="20"/>
          <w:szCs w:val="20"/>
          <w:color w:val="auto"/>
        </w:rPr>
      </w:pPr>
      <w:r>
        <w:rPr>
          <w:rFonts w:ascii="Arial" w:cs="Arial" w:eastAsia="Arial" w:hAnsi="Arial"/>
          <w:sz w:val="18"/>
          <w:szCs w:val="18"/>
          <w:color w:val="auto"/>
        </w:rPr>
        <w:t>Effective upon the issuances of the Senior Notes, total commitments under Brighthouse Financial, Inc.’s former $3.0 billion term loan facility entered into on December 2, 2016 (the “2016 Term Loan Facility”) were reduced by approximately $2.5 billion.</w:t>
      </w:r>
    </w:p>
    <w:p>
      <w:pPr>
        <w:spacing w:after="0" w:line="62" w:lineRule="exact"/>
        <w:rPr>
          <w:sz w:val="20"/>
          <w:szCs w:val="20"/>
          <w:color w:val="auto"/>
        </w:rPr>
      </w:pPr>
    </w:p>
    <w:p>
      <w:pPr>
        <w:jc w:val="both"/>
        <w:ind w:left="340" w:firstLine="324"/>
        <w:spacing w:after="0" w:line="255" w:lineRule="auto"/>
        <w:rPr>
          <w:sz w:val="20"/>
          <w:szCs w:val="20"/>
          <w:color w:val="auto"/>
        </w:rPr>
      </w:pPr>
      <w:r>
        <w:rPr>
          <w:rFonts w:ascii="Arial" w:cs="Arial" w:eastAsia="Arial" w:hAnsi="Arial"/>
          <w:sz w:val="18"/>
          <w:szCs w:val="18"/>
          <w:color w:val="auto"/>
        </w:rPr>
        <w:t>On July 21, 2017, Brighthouse Financial, Inc. entered into a new term loan agreement (the “2017 Term Loan Agreement”) with respect to a new $600 million unsecured delayed draw term loan facility (the “2017 Term Loan Facility”). The 2017 Term Loan Facility provides for borrowings up to a maximum of $600 million which may be used for general corporate purposes, including in connection with the Separation, of which $500 million was available prior to the Separation. On August 2, 2017, Brighthouse Financial, Inc. borrowed $500 million under the 2017 Term Loan Facility in connection with the Separation. On August 14, 2017, Brighthouse Financial, Inc. borrowed the remaining $100 million available under the 2017 Term Loan Facility.</w:t>
      </w:r>
    </w:p>
    <w:p>
      <w:pPr>
        <w:spacing w:after="0" w:line="85" w:lineRule="exact"/>
        <w:rPr>
          <w:sz w:val="20"/>
          <w:szCs w:val="20"/>
          <w:color w:val="auto"/>
        </w:rPr>
      </w:pPr>
    </w:p>
    <w:p>
      <w:pPr>
        <w:jc w:val="both"/>
        <w:ind w:left="340" w:firstLine="324"/>
        <w:spacing w:after="0" w:line="264" w:lineRule="auto"/>
        <w:rPr>
          <w:sz w:val="20"/>
          <w:szCs w:val="20"/>
          <w:color w:val="auto"/>
        </w:rPr>
      </w:pPr>
      <w:r>
        <w:rPr>
          <w:rFonts w:ascii="Arial" w:cs="Arial" w:eastAsia="Arial" w:hAnsi="Arial"/>
          <w:sz w:val="18"/>
          <w:szCs w:val="18"/>
          <w:color w:val="auto"/>
        </w:rPr>
        <w:t>On July 21, 2017, concurrently with entering into the 2017 Term Loan Agreement, Brighthouse Financial, Inc. terminated the 2016 Term Loan Facility, without penalty. Brighthouse Financial, Inc. recognized $7 million of capitalized costs, included in other expenses, related to the termination in the third quarter of 2017.</w:t>
      </w:r>
    </w:p>
    <w:p>
      <w:pPr>
        <w:spacing w:after="0" w:line="73" w:lineRule="exact"/>
        <w:rPr>
          <w:sz w:val="20"/>
          <w:szCs w:val="20"/>
          <w:color w:val="auto"/>
        </w:rPr>
      </w:pPr>
    </w:p>
    <w:p>
      <w:pPr>
        <w:ind w:left="340"/>
        <w:spacing w:after="0"/>
        <w:rPr>
          <w:sz w:val="20"/>
          <w:szCs w:val="20"/>
          <w:color w:val="auto"/>
        </w:rPr>
      </w:pPr>
      <w:r>
        <w:rPr>
          <w:rFonts w:ascii="Arial" w:cs="Arial" w:eastAsia="Arial" w:hAnsi="Arial"/>
          <w:sz w:val="18"/>
          <w:szCs w:val="18"/>
          <w:i w:val="1"/>
          <w:iCs w:val="1"/>
          <w:u w:val="single" w:color="auto"/>
          <w:color w:val="auto"/>
        </w:rPr>
        <w:t>Collateral Financing Arrangement</w:t>
      </w:r>
    </w:p>
    <w:p>
      <w:pPr>
        <w:spacing w:after="0" w:line="117" w:lineRule="exact"/>
        <w:rPr>
          <w:sz w:val="20"/>
          <w:szCs w:val="20"/>
          <w:color w:val="auto"/>
        </w:rPr>
      </w:pPr>
    </w:p>
    <w:p>
      <w:pPr>
        <w:jc w:val="both"/>
        <w:ind w:left="340" w:firstLine="324"/>
        <w:spacing w:after="0" w:line="286" w:lineRule="auto"/>
        <w:rPr>
          <w:sz w:val="20"/>
          <w:szCs w:val="20"/>
          <w:color w:val="auto"/>
        </w:rPr>
      </w:pPr>
      <w:r>
        <w:rPr>
          <w:rFonts w:ascii="Arial" w:cs="Arial" w:eastAsia="Arial" w:hAnsi="Arial"/>
          <w:sz w:val="17"/>
          <w:szCs w:val="17"/>
          <w:color w:val="auto"/>
        </w:rPr>
        <w:t>On April 28, 2017, MetLife, Inc. and MRSC terminated the collateral financing arrangement associated with secondary guarantees. As a result, the $2.8 billion collateral financing arrangement liability outstanding was extinguished utilizing $2.8 billion of assets held in trust, which had been repositioned into short-term investments and cash equivalents, with the remaining assets held in trust returned to MetLife, Inc. See Note 4.</w:t>
      </w:r>
    </w:p>
    <w:p>
      <w:pPr>
        <w:spacing w:after="0" w:line="57" w:lineRule="exact"/>
        <w:rPr>
          <w:sz w:val="20"/>
          <w:szCs w:val="20"/>
          <w:color w:val="auto"/>
        </w:rPr>
      </w:pPr>
    </w:p>
    <w:p>
      <w:pPr>
        <w:ind w:left="340"/>
        <w:spacing w:after="0"/>
        <w:rPr>
          <w:sz w:val="20"/>
          <w:szCs w:val="20"/>
          <w:color w:val="auto"/>
        </w:rPr>
      </w:pPr>
      <w:r>
        <w:rPr>
          <w:rFonts w:ascii="Arial" w:cs="Arial" w:eastAsia="Arial" w:hAnsi="Arial"/>
          <w:sz w:val="18"/>
          <w:szCs w:val="18"/>
          <w:i w:val="1"/>
          <w:iCs w:val="1"/>
          <w:u w:val="single" w:color="auto"/>
          <w:color w:val="auto"/>
        </w:rPr>
        <w:t>Committed Facilities and Reinsurance Financing Arrangement</w:t>
      </w:r>
    </w:p>
    <w:p>
      <w:pPr>
        <w:spacing w:after="0" w:line="117" w:lineRule="exact"/>
        <w:rPr>
          <w:sz w:val="20"/>
          <w:szCs w:val="20"/>
          <w:color w:val="auto"/>
        </w:rPr>
      </w:pPr>
    </w:p>
    <w:p>
      <w:pPr>
        <w:jc w:val="both"/>
        <w:ind w:left="340" w:firstLine="324"/>
        <w:spacing w:after="0" w:line="277" w:lineRule="auto"/>
        <w:rPr>
          <w:sz w:val="20"/>
          <w:szCs w:val="20"/>
          <w:color w:val="auto"/>
        </w:rPr>
      </w:pPr>
      <w:r>
        <w:rPr>
          <w:rFonts w:ascii="Arial" w:cs="Arial" w:eastAsia="Arial" w:hAnsi="Arial"/>
          <w:sz w:val="18"/>
          <w:szCs w:val="18"/>
          <w:color w:val="auto"/>
        </w:rPr>
        <w:t>On April 28, 2017, MetLife, Inc. and MetLife Reinsurance of Vermont terminated the $4.3 billion committed facility, and MetLife, Inc. and MRSC terminated the $3.5 billion committed facility.</w:t>
      </w:r>
    </w:p>
    <w:p>
      <w:pPr>
        <w:spacing w:after="0" w:line="62" w:lineRule="exact"/>
        <w:rPr>
          <w:sz w:val="20"/>
          <w:szCs w:val="20"/>
          <w:color w:val="auto"/>
        </w:rPr>
      </w:pPr>
    </w:p>
    <w:p>
      <w:pPr>
        <w:jc w:val="both"/>
        <w:ind w:left="340" w:firstLine="324"/>
        <w:spacing w:after="0" w:line="264" w:lineRule="auto"/>
        <w:rPr>
          <w:sz w:val="20"/>
          <w:szCs w:val="20"/>
          <w:color w:val="auto"/>
        </w:rPr>
      </w:pPr>
      <w:r>
        <w:rPr>
          <w:rFonts w:ascii="Arial" w:cs="Arial" w:eastAsia="Arial" w:hAnsi="Arial"/>
          <w:sz w:val="18"/>
          <w:szCs w:val="18"/>
          <w:color w:val="auto"/>
        </w:rPr>
        <w:t>On April 28, 2017, BRCD entered into a financing arrangement with a pool of highly rated third party reinsurers and a total capacity of $10.0 billion. This financing arrangement consists of credit-linked notes that each have a term of 20 years. At September 30, 2017, there were no drawdowns on such notes and there was $8.1 billion of funding available under this arrangement.</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Equity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w:t>
      </w:r>
    </w:p>
    <w:p>
      <w:pPr>
        <w:spacing w:after="0" w:line="117" w:lineRule="exact"/>
        <w:rPr>
          <w:sz w:val="20"/>
          <w:szCs w:val="20"/>
          <w:color w:val="auto"/>
        </w:rPr>
      </w:pPr>
    </w:p>
    <w:p>
      <w:pPr>
        <w:jc w:val="both"/>
        <w:ind w:left="180" w:firstLine="324"/>
        <w:spacing w:after="0" w:line="279" w:lineRule="auto"/>
        <w:rPr>
          <w:sz w:val="20"/>
          <w:szCs w:val="20"/>
          <w:color w:val="auto"/>
        </w:rPr>
      </w:pPr>
      <w:r>
        <w:rPr>
          <w:rFonts w:ascii="Arial" w:cs="Arial" w:eastAsia="Arial" w:hAnsi="Arial"/>
          <w:sz w:val="17"/>
          <w:szCs w:val="17"/>
          <w:color w:val="auto"/>
        </w:rPr>
        <w:t>On August 4, 2017, Brighthouse Financial, Inc. issued an additional 119,673,106 shares of common stock to MetLife, Inc. Also on August 4, 2017, MetLife, Inc. distributed 96,776,670 of its 119,773,106 shares of Brighthouse Financial, Inc. common stock, representing 80.8% of MetLife Inc.’s interest in Brighthouse Financial, Inc., to holders of MetLife, Inc. common stock. MetLife, Inc. retained the remaining 22,996,436 shares, representing 19.2% of Brighthouse Financial, Inc.’s common stock. See Note 10 for information on earnings per share for Brighthouse Financial, Inc.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Capital Contributions</w:t>
      </w:r>
    </w:p>
    <w:p>
      <w:pPr>
        <w:spacing w:after="0" w:line="117" w:lineRule="exact"/>
        <w:rPr>
          <w:sz w:val="20"/>
          <w:szCs w:val="20"/>
          <w:color w:val="auto"/>
        </w:rPr>
      </w:pPr>
    </w:p>
    <w:p>
      <w:pPr>
        <w:jc w:val="both"/>
        <w:ind w:left="180" w:firstLine="324"/>
        <w:spacing w:after="0" w:line="264" w:lineRule="auto"/>
        <w:rPr>
          <w:sz w:val="20"/>
          <w:szCs w:val="20"/>
          <w:color w:val="auto"/>
        </w:rPr>
      </w:pPr>
      <w:r>
        <w:rPr>
          <w:rFonts w:ascii="Arial" w:cs="Arial" w:eastAsia="Arial" w:hAnsi="Arial"/>
          <w:sz w:val="18"/>
          <w:szCs w:val="18"/>
          <w:color w:val="auto"/>
        </w:rPr>
        <w:t>The Company recorded a non-cash tax expense and corresponding capital contribution of $1.1 billion in the third quarter of 2017 related to a tax obligation triggered prior to the Separation. Our former parent, through our tax separation agreement (the “Tax Separation Agreement”), is responsible for this tax liability.</w:t>
      </w:r>
    </w:p>
    <w:p>
      <w:pPr>
        <w:spacing w:after="0" w:line="73" w:lineRule="exact"/>
        <w:rPr>
          <w:sz w:val="20"/>
          <w:szCs w:val="20"/>
          <w:color w:val="auto"/>
        </w:rPr>
      </w:pPr>
    </w:p>
    <w:p>
      <w:pPr>
        <w:ind w:right="180" w:firstLine="486"/>
        <w:spacing w:after="0" w:line="375" w:lineRule="auto"/>
        <w:rPr>
          <w:sz w:val="20"/>
          <w:szCs w:val="20"/>
          <w:color w:val="auto"/>
        </w:rPr>
      </w:pPr>
      <w:r>
        <w:rPr>
          <w:rFonts w:ascii="Arial" w:cs="Arial" w:eastAsia="Arial" w:hAnsi="Arial"/>
          <w:sz w:val="18"/>
          <w:szCs w:val="18"/>
          <w:color w:val="auto"/>
        </w:rPr>
        <w:t xml:space="preserve">On June 16, 2017, MetLife, Inc. made a non-cash capital contribution of $750 million in the form of forgiveness of debt to the Company. See Note 7. </w:t>
      </w:r>
      <w:r>
        <w:rPr>
          <w:rFonts w:ascii="Arial" w:cs="Arial" w:eastAsia="Arial" w:hAnsi="Arial"/>
          <w:sz w:val="18"/>
          <w:szCs w:val="18"/>
          <w:b w:val="1"/>
          <w:bCs w:val="1"/>
          <w:i w:val="1"/>
          <w:iCs w:val="1"/>
          <w:color w:val="auto"/>
        </w:rPr>
        <w:t>Cash Distribution</w:t>
      </w:r>
    </w:p>
    <w:p>
      <w:pPr>
        <w:spacing w:after="0" w:line="1" w:lineRule="exact"/>
        <w:rPr>
          <w:sz w:val="20"/>
          <w:szCs w:val="20"/>
          <w:color w:val="auto"/>
        </w:rPr>
      </w:pPr>
    </w:p>
    <w:p>
      <w:pPr>
        <w:jc w:val="both"/>
        <w:ind w:left="180" w:firstLine="324"/>
        <w:spacing w:after="0" w:line="277" w:lineRule="auto"/>
        <w:rPr>
          <w:sz w:val="20"/>
          <w:szCs w:val="20"/>
          <w:color w:val="auto"/>
        </w:rPr>
      </w:pPr>
      <w:r>
        <w:rPr>
          <w:rFonts w:ascii="Arial" w:cs="Arial" w:eastAsia="Arial" w:hAnsi="Arial"/>
          <w:sz w:val="18"/>
          <w:szCs w:val="18"/>
          <w:color w:val="auto"/>
        </w:rPr>
        <w:t>On August 3, 2017, Brighthouse Financial, Inc. made a cash distribution in an aggregate amount of $1.8 billion to MetLife, Inc., the sole holder of Brighthouse Financial, Inc. common stock as of the record date for the distribution.</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20"/>
          </w:cols>
          <w:pgMar w:left="240" w:top="288" w:right="239" w:bottom="1440" w:gutter="0" w:footer="0" w:header="0"/>
        </w:sectPr>
      </w:pPr>
    </w:p>
    <w:bookmarkStart w:id="63" w:name="page64"/>
    <w:bookmarkEnd w:id="63"/>
    <w:p>
      <w:pPr>
        <w:ind w:left="340"/>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Brighthouse Financial, Inc.</w:t>
      </w:r>
    </w:p>
    <w:p>
      <w:pPr>
        <w:spacing w:after="0" w:line="117"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Notes to the Interim Condensed Consolidated and Combined Financial Statements (Unaudited) — (continued)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Equity (continued)</w:t>
      </w:r>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Noncontrolling Interest</w:t>
      </w:r>
    </w:p>
    <w:p>
      <w:pPr>
        <w:spacing w:after="0" w:line="171"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On June 20, 2017, Brighthouse Holdings, LLC issued $50 million aggregate liquidation preference of fixed rate cumulative preferred units to MetLife, Inc., which MetLife subsequently resold to unaffiliated third parties. These preferred units are reported as noncontrolling interests on the interim condensed consolidated and combined balance sheet.</w:t>
      </w:r>
    </w:p>
    <w:p>
      <w:pPr>
        <w:spacing w:after="0" w:line="127"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On April 28, 2017, Brighthouse Reinsurance Company of Delaware issued $15 million of fixed to floating rate cumulative preferred stock, Series A preferred stock, to an affiliate of MetLife, Inc. These Series A preferred stock are reported as noncontrolling interests on the interim condensed consolidated and combined balance sheet.</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Accumulated Other Comprehensive Income (Loss)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Information regarding changes in the balances of each component of AOCI was as follows:</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80" w:type="dxa"/>
            <w:vAlign w:val="bottom"/>
          </w:tcPr>
          <w:p>
            <w:pPr>
              <w:spacing w:after="0"/>
              <w:rPr>
                <w:sz w:val="13"/>
                <w:szCs w:val="13"/>
                <w:color w:val="auto"/>
              </w:rPr>
            </w:pPr>
          </w:p>
        </w:tc>
        <w:tc>
          <w:tcPr>
            <w:tcW w:w="40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jc w:val="center"/>
              <w:ind w:right="117"/>
              <w:spacing w:after="0"/>
              <w:rPr>
                <w:sz w:val="20"/>
                <w:szCs w:val="20"/>
                <w:color w:val="auto"/>
              </w:rPr>
            </w:pPr>
            <w:r>
              <w:rPr>
                <w:rFonts w:ascii="Arial" w:cs="Arial" w:eastAsia="Arial" w:hAnsi="Arial"/>
                <w:sz w:val="13"/>
                <w:szCs w:val="13"/>
                <w:b w:val="1"/>
                <w:bCs w:val="1"/>
                <w:color w:val="auto"/>
                <w:w w:val="89"/>
              </w:rPr>
              <w:t>Three Months</w:t>
            </w:r>
          </w:p>
        </w:tc>
        <w:tc>
          <w:tcPr>
            <w:tcW w:w="3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80" w:type="dxa"/>
            <w:vAlign w:val="bottom"/>
          </w:tcPr>
          <w:p>
            <w:pPr>
              <w:spacing w:after="0"/>
              <w:rPr>
                <w:sz w:val="11"/>
                <w:szCs w:val="11"/>
                <w:color w:val="auto"/>
              </w:rPr>
            </w:pPr>
          </w:p>
        </w:tc>
        <w:tc>
          <w:tcPr>
            <w:tcW w:w="40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jc w:val="center"/>
              <w:ind w:right="77"/>
              <w:spacing w:after="0" w:line="135" w:lineRule="exact"/>
              <w:rPr>
                <w:sz w:val="20"/>
                <w:szCs w:val="20"/>
                <w:color w:val="auto"/>
              </w:rPr>
            </w:pPr>
            <w:r>
              <w:rPr>
                <w:rFonts w:ascii="Arial" w:cs="Arial" w:eastAsia="Arial" w:hAnsi="Arial"/>
                <w:sz w:val="13"/>
                <w:szCs w:val="13"/>
                <w:b w:val="1"/>
                <w:bCs w:val="1"/>
                <w:color w:val="auto"/>
                <w:w w:val="90"/>
              </w:rPr>
              <w:t>Ended</w:t>
            </w:r>
          </w:p>
        </w:tc>
        <w:tc>
          <w:tcPr>
            <w:tcW w:w="3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4"/>
        </w:trPr>
        <w:tc>
          <w:tcPr>
            <w:tcW w:w="80" w:type="dxa"/>
            <w:vAlign w:val="bottom"/>
          </w:tcPr>
          <w:p>
            <w:pPr>
              <w:spacing w:after="0"/>
              <w:rPr>
                <w:sz w:val="15"/>
                <w:szCs w:val="15"/>
                <w:color w:val="auto"/>
              </w:rPr>
            </w:pPr>
          </w:p>
        </w:tc>
        <w:tc>
          <w:tcPr>
            <w:tcW w:w="40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gridSpan w:val="2"/>
          </w:tcPr>
          <w:p>
            <w:pPr>
              <w:jc w:val="center"/>
              <w:spacing w:after="0"/>
              <w:rPr>
                <w:sz w:val="20"/>
                <w:szCs w:val="20"/>
                <w:color w:val="auto"/>
              </w:rPr>
            </w:pPr>
            <w:r>
              <w:rPr>
                <w:rFonts w:ascii="Arial" w:cs="Arial" w:eastAsia="Arial" w:hAnsi="Arial"/>
                <w:sz w:val="13"/>
                <w:szCs w:val="13"/>
                <w:b w:val="1"/>
                <w:bCs w:val="1"/>
                <w:color w:val="auto"/>
                <w:w w:val="85"/>
              </w:rPr>
              <w:t>September 30, 2017</w:t>
            </w:r>
          </w:p>
        </w:tc>
        <w:tc>
          <w:tcPr>
            <w:tcW w:w="32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4"/>
        </w:trPr>
        <w:tc>
          <w:tcPr>
            <w:tcW w:w="80" w:type="dxa"/>
            <w:vAlign w:val="bottom"/>
          </w:tcPr>
          <w:p>
            <w:pPr>
              <w:spacing w:after="0"/>
              <w:rPr>
                <w:sz w:val="12"/>
                <w:szCs w:val="12"/>
                <w:color w:val="auto"/>
              </w:rPr>
            </w:pPr>
          </w:p>
        </w:tc>
        <w:tc>
          <w:tcPr>
            <w:tcW w:w="40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gridSpan w:val="2"/>
          </w:tcPr>
          <w:p>
            <w:pPr>
              <w:jc w:val="center"/>
              <w:ind w:right="360"/>
              <w:spacing w:after="0" w:line="144" w:lineRule="exact"/>
              <w:rPr>
                <w:sz w:val="20"/>
                <w:szCs w:val="20"/>
                <w:color w:val="auto"/>
              </w:rPr>
            </w:pPr>
            <w:r>
              <w:rPr>
                <w:rFonts w:ascii="Arial" w:cs="Arial" w:eastAsia="Arial" w:hAnsi="Arial"/>
                <w:sz w:val="13"/>
                <w:szCs w:val="13"/>
                <w:b w:val="1"/>
                <w:bCs w:val="1"/>
                <w:color w:val="auto"/>
                <w:w w:val="88"/>
              </w:rPr>
              <w:t>Unrealized</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jc w:val="center"/>
              <w:ind w:left="177"/>
              <w:spacing w:after="0" w:line="144" w:lineRule="exact"/>
              <w:rPr>
                <w:sz w:val="20"/>
                <w:szCs w:val="20"/>
                <w:color w:val="auto"/>
              </w:rPr>
            </w:pPr>
            <w:r>
              <w:rPr>
                <w:rFonts w:ascii="Arial" w:cs="Arial" w:eastAsia="Arial" w:hAnsi="Arial"/>
                <w:sz w:val="13"/>
                <w:szCs w:val="13"/>
                <w:b w:val="1"/>
                <w:bCs w:val="1"/>
                <w:color w:val="auto"/>
                <w:w w:val="88"/>
              </w:rPr>
              <w:t>Foreign</w:t>
            </w:r>
          </w:p>
        </w:tc>
        <w:tc>
          <w:tcPr>
            <w:tcW w:w="3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80" w:type="dxa"/>
            <w:vAlign w:val="bottom"/>
          </w:tcPr>
          <w:p>
            <w:pPr>
              <w:spacing w:after="0"/>
              <w:rPr>
                <w:sz w:val="11"/>
                <w:szCs w:val="11"/>
                <w:color w:val="auto"/>
              </w:rPr>
            </w:pPr>
          </w:p>
        </w:tc>
        <w:tc>
          <w:tcPr>
            <w:tcW w:w="40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80" w:type="dxa"/>
            <w:vAlign w:val="bottom"/>
            <w:gridSpan w:val="2"/>
          </w:tcPr>
          <w:p>
            <w:pPr>
              <w:jc w:val="center"/>
              <w:ind w:right="340"/>
              <w:spacing w:after="0" w:line="135" w:lineRule="exact"/>
              <w:rPr>
                <w:sz w:val="20"/>
                <w:szCs w:val="20"/>
                <w:color w:val="auto"/>
              </w:rPr>
            </w:pPr>
            <w:r>
              <w:rPr>
                <w:rFonts w:ascii="Arial" w:cs="Arial" w:eastAsia="Arial" w:hAnsi="Arial"/>
                <w:sz w:val="13"/>
                <w:szCs w:val="13"/>
                <w:b w:val="1"/>
                <w:bCs w:val="1"/>
                <w:color w:val="auto"/>
                <w:w w:val="88"/>
              </w:rPr>
              <w:t>Investment Gains</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60" w:type="dxa"/>
            <w:vAlign w:val="bottom"/>
            <w:gridSpan w:val="3"/>
          </w:tcPr>
          <w:p>
            <w:pPr>
              <w:ind w:left="160"/>
              <w:spacing w:after="0" w:line="135" w:lineRule="exact"/>
              <w:rPr>
                <w:sz w:val="20"/>
                <w:szCs w:val="20"/>
                <w:color w:val="auto"/>
              </w:rPr>
            </w:pPr>
            <w:r>
              <w:rPr>
                <w:rFonts w:ascii="Arial" w:cs="Arial" w:eastAsia="Arial" w:hAnsi="Arial"/>
                <w:sz w:val="13"/>
                <w:szCs w:val="13"/>
                <w:b w:val="1"/>
                <w:bCs w:val="1"/>
                <w:color w:val="auto"/>
              </w:rPr>
              <w:t>Unrealized</w:t>
            </w:r>
          </w:p>
        </w:tc>
        <w:tc>
          <w:tcPr>
            <w:tcW w:w="100" w:type="dxa"/>
            <w:vAlign w:val="bottom"/>
          </w:tcPr>
          <w:p>
            <w:pPr>
              <w:spacing w:after="0"/>
              <w:rPr>
                <w:sz w:val="11"/>
                <w:szCs w:val="11"/>
                <w:color w:val="auto"/>
              </w:rPr>
            </w:pPr>
          </w:p>
        </w:tc>
        <w:tc>
          <w:tcPr>
            <w:tcW w:w="1020" w:type="dxa"/>
            <w:vAlign w:val="bottom"/>
          </w:tcPr>
          <w:p>
            <w:pPr>
              <w:jc w:val="center"/>
              <w:ind w:left="197"/>
              <w:spacing w:after="0" w:line="135" w:lineRule="exact"/>
              <w:rPr>
                <w:sz w:val="20"/>
                <w:szCs w:val="20"/>
                <w:color w:val="auto"/>
              </w:rPr>
            </w:pPr>
            <w:r>
              <w:rPr>
                <w:rFonts w:ascii="Arial" w:cs="Arial" w:eastAsia="Arial" w:hAnsi="Arial"/>
                <w:sz w:val="13"/>
                <w:szCs w:val="13"/>
                <w:b w:val="1"/>
                <w:bCs w:val="1"/>
                <w:color w:val="auto"/>
                <w:w w:val="91"/>
              </w:rPr>
              <w:t>Currency</w:t>
            </w:r>
          </w:p>
        </w:tc>
        <w:tc>
          <w:tcPr>
            <w:tcW w:w="3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80" w:type="dxa"/>
            <w:vAlign w:val="bottom"/>
          </w:tcPr>
          <w:p>
            <w:pPr>
              <w:spacing w:after="0"/>
              <w:rPr>
                <w:sz w:val="11"/>
                <w:szCs w:val="11"/>
                <w:color w:val="auto"/>
              </w:rPr>
            </w:pPr>
          </w:p>
        </w:tc>
        <w:tc>
          <w:tcPr>
            <w:tcW w:w="40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80" w:type="dxa"/>
            <w:vAlign w:val="bottom"/>
            <w:gridSpan w:val="2"/>
          </w:tcPr>
          <w:p>
            <w:pPr>
              <w:jc w:val="center"/>
              <w:ind w:right="360"/>
              <w:spacing w:after="0" w:line="135" w:lineRule="exact"/>
              <w:rPr>
                <w:sz w:val="20"/>
                <w:szCs w:val="20"/>
                <w:color w:val="auto"/>
              </w:rPr>
            </w:pPr>
            <w:r>
              <w:rPr>
                <w:rFonts w:ascii="Arial" w:cs="Arial" w:eastAsia="Arial" w:hAnsi="Arial"/>
                <w:sz w:val="13"/>
                <w:szCs w:val="13"/>
                <w:b w:val="1"/>
                <w:bCs w:val="1"/>
                <w:color w:val="auto"/>
                <w:w w:val="84"/>
              </w:rPr>
              <w:t>(Losses), Net of</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60" w:type="dxa"/>
            <w:vAlign w:val="bottom"/>
            <w:gridSpan w:val="3"/>
          </w:tcPr>
          <w:p>
            <w:pPr>
              <w:ind w:left="60"/>
              <w:spacing w:after="0" w:line="135" w:lineRule="exact"/>
              <w:rPr>
                <w:sz w:val="20"/>
                <w:szCs w:val="20"/>
                <w:color w:val="auto"/>
              </w:rPr>
            </w:pPr>
            <w:r>
              <w:rPr>
                <w:rFonts w:ascii="Arial" w:cs="Arial" w:eastAsia="Arial" w:hAnsi="Arial"/>
                <w:sz w:val="13"/>
                <w:szCs w:val="13"/>
                <w:b w:val="1"/>
                <w:bCs w:val="1"/>
                <w:color w:val="auto"/>
              </w:rPr>
              <w:t>Gains (Losses)</w:t>
            </w:r>
          </w:p>
        </w:tc>
        <w:tc>
          <w:tcPr>
            <w:tcW w:w="100" w:type="dxa"/>
            <w:vAlign w:val="bottom"/>
          </w:tcPr>
          <w:p>
            <w:pPr>
              <w:spacing w:after="0"/>
              <w:rPr>
                <w:sz w:val="11"/>
                <w:szCs w:val="11"/>
                <w:color w:val="auto"/>
              </w:rPr>
            </w:pPr>
          </w:p>
        </w:tc>
        <w:tc>
          <w:tcPr>
            <w:tcW w:w="1020" w:type="dxa"/>
            <w:vAlign w:val="bottom"/>
          </w:tcPr>
          <w:p>
            <w:pPr>
              <w:jc w:val="center"/>
              <w:ind w:left="177"/>
              <w:spacing w:after="0" w:line="135" w:lineRule="exact"/>
              <w:rPr>
                <w:sz w:val="20"/>
                <w:szCs w:val="20"/>
                <w:color w:val="auto"/>
              </w:rPr>
            </w:pPr>
            <w:r>
              <w:rPr>
                <w:rFonts w:ascii="Arial" w:cs="Arial" w:eastAsia="Arial" w:hAnsi="Arial"/>
                <w:sz w:val="13"/>
                <w:szCs w:val="13"/>
                <w:b w:val="1"/>
                <w:bCs w:val="1"/>
                <w:color w:val="auto"/>
                <w:w w:val="88"/>
              </w:rPr>
              <w:t>Translation</w:t>
            </w:r>
          </w:p>
        </w:tc>
        <w:tc>
          <w:tcPr>
            <w:tcW w:w="3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88"/>
              </w:rPr>
              <w:t>Defined Benefit</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4"/>
        </w:trPr>
        <w:tc>
          <w:tcPr>
            <w:tcW w:w="80" w:type="dxa"/>
            <w:vAlign w:val="bottom"/>
          </w:tcPr>
          <w:p>
            <w:pPr>
              <w:spacing w:after="0"/>
              <w:rPr>
                <w:sz w:val="15"/>
                <w:szCs w:val="15"/>
                <w:color w:val="auto"/>
              </w:rPr>
            </w:pPr>
          </w:p>
        </w:tc>
        <w:tc>
          <w:tcPr>
            <w:tcW w:w="40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3"/>
                <w:szCs w:val="13"/>
                <w:b w:val="1"/>
                <w:bCs w:val="1"/>
                <w:color w:val="auto"/>
                <w:w w:val="87"/>
              </w:rPr>
              <w:t>Related Offsets (1)</w:t>
            </w:r>
          </w:p>
        </w:tc>
        <w:tc>
          <w:tcPr>
            <w:tcW w:w="1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gridSpan w:val="3"/>
          </w:tcPr>
          <w:p>
            <w:pPr>
              <w:ind w:left="60"/>
              <w:spacing w:after="0"/>
              <w:rPr>
                <w:sz w:val="20"/>
                <w:szCs w:val="20"/>
                <w:color w:val="auto"/>
              </w:rPr>
            </w:pPr>
            <w:r>
              <w:rPr>
                <w:rFonts w:ascii="Arial" w:cs="Arial" w:eastAsia="Arial" w:hAnsi="Arial"/>
                <w:sz w:val="13"/>
                <w:szCs w:val="13"/>
                <w:b w:val="1"/>
                <w:bCs w:val="1"/>
                <w:color w:val="auto"/>
              </w:rPr>
              <w:t>on Derivatives</w:t>
            </w:r>
          </w:p>
        </w:tc>
        <w:tc>
          <w:tcPr>
            <w:tcW w:w="1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center"/>
              <w:ind w:left="197"/>
              <w:spacing w:after="0"/>
              <w:rPr>
                <w:sz w:val="20"/>
                <w:szCs w:val="20"/>
                <w:color w:val="auto"/>
              </w:rPr>
            </w:pPr>
            <w:r>
              <w:rPr>
                <w:rFonts w:ascii="Arial" w:cs="Arial" w:eastAsia="Arial" w:hAnsi="Arial"/>
                <w:sz w:val="13"/>
                <w:szCs w:val="13"/>
                <w:b w:val="1"/>
                <w:bCs w:val="1"/>
                <w:color w:val="auto"/>
                <w:w w:val="86"/>
              </w:rPr>
              <w:t>Adjustments</w:t>
            </w:r>
          </w:p>
        </w:tc>
        <w:tc>
          <w:tcPr>
            <w:tcW w:w="32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gridSpan w:val="3"/>
          </w:tcPr>
          <w:p>
            <w:pPr>
              <w:jc w:val="center"/>
              <w:spacing w:after="0"/>
              <w:rPr>
                <w:sz w:val="20"/>
                <w:szCs w:val="20"/>
                <w:color w:val="auto"/>
              </w:rPr>
            </w:pPr>
            <w:r>
              <w:rPr>
                <w:rFonts w:ascii="Arial" w:cs="Arial" w:eastAsia="Arial" w:hAnsi="Arial"/>
                <w:sz w:val="13"/>
                <w:szCs w:val="13"/>
                <w:b w:val="1"/>
                <w:bCs w:val="1"/>
                <w:color w:val="auto"/>
                <w:w w:val="87"/>
              </w:rPr>
              <w:t>Plans Adjustment</w:t>
            </w:r>
          </w:p>
        </w:tc>
        <w:tc>
          <w:tcPr>
            <w:tcW w:w="6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gridSpan w:val="2"/>
          </w:tcPr>
          <w:p>
            <w:pPr>
              <w:ind w:left="240"/>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249"/>
        </w:trPr>
        <w:tc>
          <w:tcPr>
            <w:tcW w:w="80" w:type="dxa"/>
            <w:vAlign w:val="bottom"/>
          </w:tcPr>
          <w:p>
            <w:pPr>
              <w:spacing w:after="0"/>
              <w:rPr>
                <w:sz w:val="21"/>
                <w:szCs w:val="21"/>
                <w:color w:val="auto"/>
              </w:rPr>
            </w:pPr>
          </w:p>
        </w:tc>
        <w:tc>
          <w:tcPr>
            <w:tcW w:w="40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tcPr>
          <w:p>
            <w:pPr>
              <w:jc w:val="center"/>
              <w:ind w:right="97"/>
              <w:spacing w:after="0"/>
              <w:rPr>
                <w:sz w:val="20"/>
                <w:szCs w:val="20"/>
                <w:color w:val="auto"/>
              </w:rPr>
            </w:pPr>
            <w:r>
              <w:rPr>
                <w:rFonts w:ascii="Arial" w:cs="Arial" w:eastAsia="Arial" w:hAnsi="Arial"/>
                <w:sz w:val="13"/>
                <w:szCs w:val="13"/>
                <w:b w:val="1"/>
                <w:bCs w:val="1"/>
                <w:color w:val="auto"/>
                <w:w w:val="90"/>
              </w:rPr>
              <w:t>(In millions)</w:t>
            </w:r>
          </w:p>
        </w:tc>
        <w:tc>
          <w:tcPr>
            <w:tcW w:w="3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9"/>
        </w:trPr>
        <w:tc>
          <w:tcPr>
            <w:tcW w:w="41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Balance, beginning of period</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1260" w:type="dxa"/>
            <w:vAlign w:val="bottom"/>
            <w:vMerge w:val="restart"/>
            <w:shd w:val="clear" w:color="auto" w:fill="CCEEFF"/>
          </w:tcPr>
          <w:p>
            <w:pPr>
              <w:jc w:val="right"/>
              <w:ind w:right="51"/>
              <w:spacing w:after="0"/>
              <w:rPr>
                <w:sz w:val="20"/>
                <w:szCs w:val="20"/>
                <w:color w:val="auto"/>
              </w:rPr>
            </w:pPr>
            <w:r>
              <w:rPr>
                <w:rFonts w:ascii="Arial" w:cs="Arial" w:eastAsia="Arial" w:hAnsi="Arial"/>
                <w:sz w:val="14"/>
                <w:szCs w:val="14"/>
                <w:color w:val="auto"/>
              </w:rPr>
              <w:t>1,721</w:t>
            </w:r>
          </w:p>
        </w:tc>
        <w:tc>
          <w:tcPr>
            <w:tcW w:w="120" w:type="dxa"/>
            <w:vAlign w:val="bottom"/>
            <w:shd w:val="clear" w:color="auto" w:fill="CCEEFF"/>
          </w:tcPr>
          <w:p>
            <w:pPr>
              <w:spacing w:after="0"/>
              <w:rPr>
                <w:sz w:val="17"/>
                <w:szCs w:val="17"/>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1140" w:type="dxa"/>
            <w:vAlign w:val="bottom"/>
            <w:vMerge w:val="restart"/>
            <w:shd w:val="clear" w:color="auto" w:fill="CCEEFF"/>
          </w:tcPr>
          <w:p>
            <w:pPr>
              <w:jc w:val="right"/>
              <w:ind w:right="50"/>
              <w:spacing w:after="0"/>
              <w:rPr>
                <w:sz w:val="20"/>
                <w:szCs w:val="20"/>
                <w:color w:val="auto"/>
              </w:rPr>
            </w:pPr>
            <w:r>
              <w:rPr>
                <w:rFonts w:ascii="Arial" w:cs="Arial" w:eastAsia="Arial" w:hAnsi="Arial"/>
                <w:sz w:val="14"/>
                <w:szCs w:val="14"/>
                <w:color w:val="auto"/>
              </w:rPr>
              <w:t>223</w:t>
            </w: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spacing w:after="0"/>
              <w:rPr>
                <w:sz w:val="17"/>
                <w:szCs w:val="17"/>
                <w:color w:val="auto"/>
              </w:rPr>
            </w:pPr>
          </w:p>
        </w:tc>
        <w:tc>
          <w:tcPr>
            <w:tcW w:w="3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(33)</w:t>
            </w:r>
          </w:p>
        </w:tc>
        <w:tc>
          <w:tcPr>
            <w:tcW w:w="40" w:type="dxa"/>
            <w:vAlign w:val="bottom"/>
            <w:shd w:val="clear" w:color="auto" w:fill="CCEEFF"/>
          </w:tcPr>
          <w:p>
            <w:pPr>
              <w:spacing w:after="0"/>
              <w:rPr>
                <w:sz w:val="17"/>
                <w:szCs w:val="17"/>
                <w:color w:val="auto"/>
              </w:rPr>
            </w:pPr>
          </w:p>
        </w:tc>
        <w:tc>
          <w:tcPr>
            <w:tcW w:w="200" w:type="dxa"/>
            <w:vAlign w:val="bottom"/>
            <w:gridSpan w:val="3"/>
            <w:vMerge w:val="restart"/>
            <w:shd w:val="clear" w:color="auto" w:fill="CCEEFF"/>
          </w:tcPr>
          <w:p>
            <w:pPr>
              <w:ind w:left="120"/>
              <w:spacing w:after="0"/>
              <w:rPr>
                <w:sz w:val="20"/>
                <w:szCs w:val="20"/>
                <w:color w:val="auto"/>
              </w:rPr>
            </w:pPr>
            <w:r>
              <w:rPr>
                <w:rFonts w:ascii="Arial" w:cs="Arial" w:eastAsia="Arial" w:hAnsi="Arial"/>
                <w:sz w:val="14"/>
                <w:szCs w:val="14"/>
                <w:color w:val="auto"/>
                <w:w w:val="76"/>
              </w:rPr>
              <w:t>$</w:t>
            </w: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(17)</w:t>
            </w:r>
          </w:p>
        </w:tc>
        <w:tc>
          <w:tcPr>
            <w:tcW w:w="40" w:type="dxa"/>
            <w:vAlign w:val="bottom"/>
            <w:shd w:val="clear" w:color="auto" w:fill="CCEEFF"/>
          </w:tcPr>
          <w:p>
            <w:pPr>
              <w:spacing w:after="0"/>
              <w:rPr>
                <w:sz w:val="17"/>
                <w:szCs w:val="17"/>
                <w:color w:val="auto"/>
              </w:rPr>
            </w:pPr>
          </w:p>
        </w:tc>
        <w:tc>
          <w:tcPr>
            <w:tcW w:w="400" w:type="dxa"/>
            <w:vAlign w:val="bottom"/>
            <w:gridSpan w:val="3"/>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1,894</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80"/>
        </w:trPr>
        <w:tc>
          <w:tcPr>
            <w:tcW w:w="80" w:type="dxa"/>
            <w:vAlign w:val="bottom"/>
            <w:shd w:val="clear" w:color="auto" w:fill="CCEEFF"/>
          </w:tcPr>
          <w:p>
            <w:pPr>
              <w:spacing w:after="0"/>
              <w:rPr>
                <w:sz w:val="6"/>
                <w:szCs w:val="6"/>
                <w:color w:val="auto"/>
              </w:rPr>
            </w:pPr>
          </w:p>
        </w:tc>
        <w:tc>
          <w:tcPr>
            <w:tcW w:w="4040" w:type="dxa"/>
            <w:vAlign w:val="bottom"/>
            <w:shd w:val="clear" w:color="auto" w:fill="CCEEFF"/>
          </w:tcPr>
          <w:p>
            <w:pPr>
              <w:spacing w:after="0"/>
              <w:rPr>
                <w:sz w:val="6"/>
                <w:szCs w:val="6"/>
                <w:color w:val="auto"/>
              </w:rPr>
            </w:pPr>
          </w:p>
        </w:tc>
        <w:tc>
          <w:tcPr>
            <w:tcW w:w="14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6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0" w:type="dxa"/>
            <w:vAlign w:val="bottom"/>
            <w:vMerge w:val="continue"/>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14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100" w:type="dxa"/>
            <w:vAlign w:val="bottom"/>
            <w:vMerge w:val="continue"/>
            <w:shd w:val="clear" w:color="auto" w:fill="CCEEFF"/>
          </w:tcPr>
          <w:p>
            <w:pPr>
              <w:spacing w:after="0"/>
              <w:rPr>
                <w:sz w:val="6"/>
                <w:szCs w:val="6"/>
                <w:color w:val="auto"/>
              </w:rPr>
            </w:pPr>
          </w:p>
        </w:tc>
        <w:tc>
          <w:tcPr>
            <w:tcW w:w="1020" w:type="dxa"/>
            <w:vAlign w:val="bottom"/>
            <w:shd w:val="clear" w:color="auto" w:fill="CCEEFF"/>
          </w:tcPr>
          <w:p>
            <w:pPr>
              <w:spacing w:after="0"/>
              <w:rPr>
                <w:sz w:val="6"/>
                <w:szCs w:val="6"/>
                <w:color w:val="auto"/>
              </w:rPr>
            </w:pPr>
          </w:p>
        </w:tc>
        <w:tc>
          <w:tcPr>
            <w:tcW w:w="320" w:type="dxa"/>
            <w:vAlign w:val="bottom"/>
            <w:vMerge w:val="continue"/>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200" w:type="dxa"/>
            <w:vAlign w:val="bottom"/>
            <w:gridSpan w:val="3"/>
            <w:vMerge w:val="continue"/>
            <w:shd w:val="clear" w:color="auto" w:fill="CCEEFF"/>
          </w:tcPr>
          <w:p>
            <w:pPr>
              <w:spacing w:after="0"/>
              <w:rPr>
                <w:sz w:val="6"/>
                <w:szCs w:val="6"/>
                <w:color w:val="auto"/>
              </w:rPr>
            </w:pPr>
          </w:p>
        </w:tc>
        <w:tc>
          <w:tcPr>
            <w:tcW w:w="980" w:type="dxa"/>
            <w:vAlign w:val="bottom"/>
            <w:vMerge w:val="continue"/>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400" w:type="dxa"/>
            <w:vAlign w:val="bottom"/>
            <w:gridSpan w:val="3"/>
            <w:vMerge w:val="continue"/>
            <w:shd w:val="clear" w:color="auto" w:fill="CCEEFF"/>
          </w:tcPr>
          <w:p>
            <w:pPr>
              <w:spacing w:after="0"/>
              <w:rPr>
                <w:sz w:val="6"/>
                <w:szCs w:val="6"/>
                <w:color w:val="auto"/>
              </w:rPr>
            </w:pPr>
          </w:p>
        </w:tc>
        <w:tc>
          <w:tcPr>
            <w:tcW w:w="1000" w:type="dxa"/>
            <w:vAlign w:val="bottom"/>
            <w:vMerge w:val="continue"/>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64"/>
        </w:trPr>
        <w:tc>
          <w:tcPr>
            <w:tcW w:w="4120" w:type="dxa"/>
            <w:vAlign w:val="bottom"/>
            <w:gridSpan w:val="2"/>
          </w:tcPr>
          <w:p>
            <w:pPr>
              <w:ind w:left="40"/>
              <w:spacing w:after="0"/>
              <w:rPr>
                <w:sz w:val="20"/>
                <w:szCs w:val="20"/>
                <w:color w:val="auto"/>
              </w:rPr>
            </w:pPr>
            <w:r>
              <w:rPr>
                <w:rFonts w:ascii="Arial" w:cs="Arial" w:eastAsia="Arial" w:hAnsi="Arial"/>
                <w:sz w:val="14"/>
                <w:szCs w:val="14"/>
                <w:color w:val="auto"/>
              </w:rPr>
              <w:t>OCI before reclassifications</w:t>
            </w: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(844)</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40" w:type="dxa"/>
            <w:vAlign w:val="bottom"/>
          </w:tcPr>
          <w:p>
            <w:pPr>
              <w:jc w:val="right"/>
              <w:ind w:right="10"/>
              <w:spacing w:after="0"/>
              <w:rPr>
                <w:sz w:val="20"/>
                <w:szCs w:val="20"/>
                <w:color w:val="auto"/>
              </w:rPr>
            </w:pPr>
            <w:r>
              <w:rPr>
                <w:rFonts w:ascii="Arial" w:cs="Arial" w:eastAsia="Arial" w:hAnsi="Arial"/>
                <w:sz w:val="14"/>
                <w:szCs w:val="14"/>
                <w:color w:val="auto"/>
              </w:rPr>
              <w:t>(52)</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320" w:type="dxa"/>
            <w:vAlign w:val="bottom"/>
          </w:tcPr>
          <w:p>
            <w:pPr>
              <w:jc w:val="right"/>
              <w:ind w:right="8"/>
              <w:spacing w:after="0"/>
              <w:rPr>
                <w:sz w:val="20"/>
                <w:szCs w:val="20"/>
                <w:color w:val="auto"/>
              </w:rPr>
            </w:pPr>
            <w:r>
              <w:rPr>
                <w:rFonts w:ascii="Arial" w:cs="Arial" w:eastAsia="Arial" w:hAnsi="Arial"/>
                <w:sz w:val="14"/>
                <w:szCs w:val="14"/>
                <w:color w:val="auto"/>
              </w:rPr>
              <w:t>9</w:t>
            </w: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(887)</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41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Deferred income tax benefit (expense)</w:t>
            </w:r>
          </w:p>
        </w:tc>
        <w:tc>
          <w:tcPr>
            <w:tcW w:w="140" w:type="dxa"/>
            <w:vAlign w:val="bottom"/>
            <w:tcBorders>
              <w:bottom w:val="single" w:sz="8" w:color="auto"/>
            </w:tcBorders>
            <w:shd w:val="clear" w:color="auto" w:fill="CCEEFF"/>
          </w:tcPr>
          <w:p>
            <w:pPr>
              <w:spacing w:after="0"/>
              <w:rPr>
                <w:sz w:val="24"/>
                <w:szCs w:val="24"/>
                <w:color w:val="auto"/>
              </w:rPr>
            </w:pPr>
          </w:p>
        </w:tc>
        <w:tc>
          <w:tcPr>
            <w:tcW w:w="100" w:type="dxa"/>
            <w:vAlign w:val="bottom"/>
            <w:tcBorders>
              <w:bottom w:val="single" w:sz="8" w:color="auto"/>
            </w:tcBorders>
            <w:shd w:val="clear" w:color="auto" w:fill="CCEEFF"/>
          </w:tcPr>
          <w:p>
            <w:pPr>
              <w:spacing w:after="0"/>
              <w:rPr>
                <w:sz w:val="24"/>
                <w:szCs w:val="24"/>
                <w:color w:val="auto"/>
              </w:rPr>
            </w:pPr>
          </w:p>
        </w:tc>
        <w:tc>
          <w:tcPr>
            <w:tcW w:w="126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4"/>
                <w:szCs w:val="14"/>
                <w:color w:val="auto"/>
              </w:rPr>
              <w:t>302</w:t>
            </w:r>
          </w:p>
        </w:tc>
        <w:tc>
          <w:tcPr>
            <w:tcW w:w="120" w:type="dxa"/>
            <w:vAlign w:val="bottom"/>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spacing w:after="0"/>
              <w:rPr>
                <w:sz w:val="24"/>
                <w:szCs w:val="24"/>
                <w:color w:val="auto"/>
              </w:rPr>
            </w:pPr>
          </w:p>
        </w:tc>
        <w:tc>
          <w:tcPr>
            <w:tcW w:w="11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rPr>
              <w:t>18</w:t>
            </w: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00" w:type="dxa"/>
            <w:vAlign w:val="bottom"/>
            <w:tcBorders>
              <w:bottom w:val="single" w:sz="8" w:color="auto"/>
            </w:tcBorders>
            <w:shd w:val="clear" w:color="auto" w:fill="CCEEFF"/>
          </w:tcPr>
          <w:p>
            <w:pPr>
              <w:spacing w:after="0"/>
              <w:rPr>
                <w:sz w:val="24"/>
                <w:szCs w:val="24"/>
                <w:color w:val="auto"/>
              </w:rPr>
            </w:pPr>
          </w:p>
        </w:tc>
        <w:tc>
          <w:tcPr>
            <w:tcW w:w="1020" w:type="dxa"/>
            <w:vAlign w:val="bottom"/>
            <w:tcBorders>
              <w:bottom w:val="single" w:sz="8" w:color="auto"/>
            </w:tcBorders>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40" w:type="dxa"/>
            <w:vAlign w:val="bottom"/>
            <w:tcBorders>
              <w:bottom w:val="single" w:sz="8" w:color="auto"/>
            </w:tcBorders>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00" w:type="dxa"/>
            <w:vAlign w:val="bottom"/>
            <w:tcBorders>
              <w:bottom w:val="single" w:sz="8" w:color="auto"/>
            </w:tcBorders>
            <w:shd w:val="clear" w:color="auto" w:fill="CCEEFF"/>
          </w:tcPr>
          <w:p>
            <w:pPr>
              <w:spacing w:after="0"/>
              <w:rPr>
                <w:sz w:val="24"/>
                <w:szCs w:val="24"/>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40" w:type="dxa"/>
            <w:vAlign w:val="bottom"/>
            <w:tcBorders>
              <w:bottom w:val="single" w:sz="8" w:color="auto"/>
            </w:tcBorders>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spacing w:after="0"/>
              <w:rPr>
                <w:sz w:val="24"/>
                <w:szCs w:val="24"/>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317</w:t>
            </w:r>
          </w:p>
        </w:tc>
        <w:tc>
          <w:tcPr>
            <w:tcW w:w="60" w:type="dxa"/>
            <w:vAlign w:val="bottom"/>
            <w:tcBorders>
              <w:bottom w:val="single" w:sz="8" w:color="auto"/>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80" w:type="dxa"/>
            <w:vAlign w:val="bottom"/>
          </w:tcPr>
          <w:p>
            <w:pPr>
              <w:spacing w:after="0"/>
              <w:rPr>
                <w:sz w:val="14"/>
                <w:szCs w:val="14"/>
                <w:color w:val="auto"/>
              </w:rPr>
            </w:pPr>
          </w:p>
        </w:tc>
        <w:tc>
          <w:tcPr>
            <w:tcW w:w="4040" w:type="dxa"/>
            <w:vAlign w:val="bottom"/>
          </w:tcPr>
          <w:p>
            <w:pPr>
              <w:ind w:left="120"/>
              <w:spacing w:after="0"/>
              <w:rPr>
                <w:sz w:val="20"/>
                <w:szCs w:val="20"/>
                <w:color w:val="auto"/>
              </w:rPr>
            </w:pPr>
            <w:r>
              <w:rPr>
                <w:rFonts w:ascii="Arial" w:cs="Arial" w:eastAsia="Arial" w:hAnsi="Arial"/>
                <w:sz w:val="14"/>
                <w:szCs w:val="14"/>
                <w:color w:val="auto"/>
              </w:rPr>
              <w:t>AOCI before reclassifications, net of income tax</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vMerge w:val="restart"/>
          </w:tcPr>
          <w:p>
            <w:pPr>
              <w:jc w:val="right"/>
              <w:ind w:right="51"/>
              <w:spacing w:after="0"/>
              <w:rPr>
                <w:sz w:val="20"/>
                <w:szCs w:val="20"/>
                <w:color w:val="auto"/>
              </w:rPr>
            </w:pPr>
            <w:r>
              <w:rPr>
                <w:rFonts w:ascii="Arial" w:cs="Arial" w:eastAsia="Arial" w:hAnsi="Arial"/>
                <w:sz w:val="14"/>
                <w:szCs w:val="14"/>
                <w:color w:val="auto"/>
              </w:rPr>
              <w:t>1,179</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vMerge w:val="restart"/>
          </w:tcPr>
          <w:p>
            <w:pPr>
              <w:jc w:val="right"/>
              <w:ind w:right="50"/>
              <w:spacing w:after="0"/>
              <w:rPr>
                <w:sz w:val="20"/>
                <w:szCs w:val="20"/>
                <w:color w:val="auto"/>
              </w:rPr>
            </w:pPr>
            <w:r>
              <w:rPr>
                <w:rFonts w:ascii="Arial" w:cs="Arial" w:eastAsia="Arial" w:hAnsi="Arial"/>
                <w:sz w:val="14"/>
                <w:szCs w:val="14"/>
                <w:color w:val="auto"/>
              </w:rPr>
              <w:t>189</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20" w:type="dxa"/>
            <w:vAlign w:val="bottom"/>
            <w:vMerge w:val="restart"/>
          </w:tcPr>
          <w:p>
            <w:pPr>
              <w:jc w:val="right"/>
              <w:spacing w:after="0"/>
              <w:rPr>
                <w:sz w:val="20"/>
                <w:szCs w:val="20"/>
                <w:color w:val="auto"/>
              </w:rPr>
            </w:pPr>
            <w:r>
              <w:rPr>
                <w:rFonts w:ascii="Arial" w:cs="Arial" w:eastAsia="Arial" w:hAnsi="Arial"/>
                <w:sz w:val="14"/>
                <w:szCs w:val="14"/>
                <w:color w:val="auto"/>
              </w:rPr>
              <w:t>(26)</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vMerge w:val="restart"/>
          </w:tcPr>
          <w:p>
            <w:pPr>
              <w:jc w:val="right"/>
              <w:spacing w:after="0"/>
              <w:rPr>
                <w:sz w:val="20"/>
                <w:szCs w:val="20"/>
                <w:color w:val="auto"/>
              </w:rPr>
            </w:pPr>
            <w:r>
              <w:rPr>
                <w:rFonts w:ascii="Arial" w:cs="Arial" w:eastAsia="Arial" w:hAnsi="Arial"/>
                <w:sz w:val="14"/>
                <w:szCs w:val="14"/>
                <w:color w:val="auto"/>
              </w:rPr>
              <w:t>(18)</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1,324</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74"/>
        </w:trPr>
        <w:tc>
          <w:tcPr>
            <w:tcW w:w="80" w:type="dxa"/>
            <w:vAlign w:val="bottom"/>
            <w:tcBorders>
              <w:bottom w:val="single" w:sz="8" w:color="CCEEFF"/>
            </w:tcBorders>
          </w:tcPr>
          <w:p>
            <w:pPr>
              <w:spacing w:after="0"/>
              <w:rPr>
                <w:sz w:val="6"/>
                <w:szCs w:val="6"/>
                <w:color w:val="auto"/>
              </w:rPr>
            </w:pPr>
          </w:p>
        </w:tc>
        <w:tc>
          <w:tcPr>
            <w:tcW w:w="4040" w:type="dxa"/>
            <w:vAlign w:val="bottom"/>
            <w:tcBorders>
              <w:bottom w:val="single" w:sz="8" w:color="CCEEFF"/>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126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114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20" w:type="dxa"/>
            <w:vAlign w:val="bottom"/>
            <w:tcBorders>
              <w:bottom w:val="single" w:sz="8" w:color="CCEEFF"/>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1020" w:type="dxa"/>
            <w:vAlign w:val="bottom"/>
            <w:tcBorders>
              <w:bottom w:val="single" w:sz="8" w:color="auto"/>
            </w:tcBorders>
          </w:tcPr>
          <w:p>
            <w:pPr>
              <w:spacing w:after="0"/>
              <w:rPr>
                <w:sz w:val="6"/>
                <w:szCs w:val="6"/>
                <w:color w:val="auto"/>
              </w:rPr>
            </w:pPr>
          </w:p>
        </w:tc>
        <w:tc>
          <w:tcPr>
            <w:tcW w:w="320" w:type="dxa"/>
            <w:vAlign w:val="bottom"/>
            <w:tcBorders>
              <w:bottom w:val="single" w:sz="8" w:color="auto"/>
            </w:tcBorders>
            <w:vMerge w:val="continue"/>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80" w:type="dxa"/>
            <w:vAlign w:val="bottom"/>
            <w:tcBorders>
              <w:bottom w:val="single" w:sz="8" w:color="CCEEFF"/>
            </w:tcBorders>
          </w:tcPr>
          <w:p>
            <w:pPr>
              <w:spacing w:after="0"/>
              <w:rPr>
                <w:sz w:val="6"/>
                <w:szCs w:val="6"/>
                <w:color w:val="auto"/>
              </w:rPr>
            </w:pPr>
          </w:p>
        </w:tc>
        <w:tc>
          <w:tcPr>
            <w:tcW w:w="20" w:type="dxa"/>
            <w:vAlign w:val="bottom"/>
            <w:tcBorders>
              <w:bottom w:val="single" w:sz="8" w:color="CCEEFF"/>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980" w:type="dxa"/>
            <w:vAlign w:val="bottom"/>
            <w:tcBorders>
              <w:bottom w:val="single" w:sz="8" w:color="auto"/>
            </w:tcBorders>
            <w:vMerge w:val="continue"/>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60" w:type="dxa"/>
            <w:vAlign w:val="bottom"/>
            <w:tcBorders>
              <w:bottom w:val="single" w:sz="8" w:color="CCEEFF"/>
            </w:tcBorders>
          </w:tcPr>
          <w:p>
            <w:pPr>
              <w:spacing w:after="0"/>
              <w:rPr>
                <w:sz w:val="6"/>
                <w:szCs w:val="6"/>
                <w:color w:val="auto"/>
              </w:rPr>
            </w:pPr>
          </w:p>
        </w:tc>
        <w:tc>
          <w:tcPr>
            <w:tcW w:w="40" w:type="dxa"/>
            <w:vAlign w:val="bottom"/>
            <w:tcBorders>
              <w:bottom w:val="single" w:sz="8" w:color="CCEEFF"/>
            </w:tcBorders>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1000" w:type="dxa"/>
            <w:vAlign w:val="bottom"/>
            <w:tcBorders>
              <w:bottom w:val="single" w:sz="8" w:color="auto"/>
            </w:tcBorders>
            <w:vMerge w:val="continue"/>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56"/>
        </w:trPr>
        <w:tc>
          <w:tcPr>
            <w:tcW w:w="41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Amounts reclassified from AOCI</w:t>
            </w:r>
          </w:p>
        </w:tc>
        <w:tc>
          <w:tcPr>
            <w:tcW w:w="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3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w:t>
            </w:r>
          </w:p>
        </w:tc>
        <w:tc>
          <w:tcPr>
            <w:tcW w:w="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4120" w:type="dxa"/>
            <w:vAlign w:val="bottom"/>
            <w:tcBorders>
              <w:bottom w:val="single" w:sz="8" w:color="CCEEFF"/>
            </w:tcBorders>
            <w:gridSpan w:val="2"/>
          </w:tcPr>
          <w:p>
            <w:pPr>
              <w:ind w:left="40"/>
              <w:spacing w:after="0"/>
              <w:rPr>
                <w:sz w:val="20"/>
                <w:szCs w:val="20"/>
                <w:color w:val="auto"/>
              </w:rPr>
            </w:pPr>
            <w:r>
              <w:rPr>
                <w:rFonts w:ascii="Arial" w:cs="Arial" w:eastAsia="Arial" w:hAnsi="Arial"/>
                <w:sz w:val="14"/>
                <w:szCs w:val="14"/>
                <w:color w:val="auto"/>
              </w:rPr>
              <w:t>Deferred income tax benefit (expense)</w:t>
            </w:r>
          </w:p>
        </w:tc>
        <w:tc>
          <w:tcPr>
            <w:tcW w:w="14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color w:val="auto"/>
              </w:rPr>
              <w:t>9</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rPr>
              <w:t>2</w:t>
            </w:r>
          </w:p>
        </w:tc>
        <w:tc>
          <w:tcPr>
            <w:tcW w:w="10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6"/>
                <w:szCs w:val="16"/>
                <w:color w:val="auto"/>
              </w:rPr>
              <w:t>—</w:t>
            </w:r>
          </w:p>
        </w:tc>
        <w:tc>
          <w:tcPr>
            <w:tcW w:w="60" w:type="dxa"/>
            <w:vAlign w:val="bottom"/>
            <w:tcBorders>
              <w:bottom w:val="single" w:sz="8" w:color="CCEEFF"/>
            </w:tcBorders>
          </w:tcPr>
          <w:p>
            <w:pPr>
              <w:spacing w:after="0"/>
              <w:rPr>
                <w:sz w:val="22"/>
                <w:szCs w:val="22"/>
                <w:color w:val="auto"/>
              </w:rPr>
            </w:pPr>
          </w:p>
        </w:tc>
        <w:tc>
          <w:tcPr>
            <w:tcW w:w="4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w:t>
            </w:r>
          </w:p>
        </w:tc>
        <w:tc>
          <w:tcPr>
            <w:tcW w:w="6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77"/>
        </w:trPr>
        <w:tc>
          <w:tcPr>
            <w:tcW w:w="80" w:type="dxa"/>
            <w:vAlign w:val="bottom"/>
            <w:shd w:val="clear" w:color="auto" w:fill="CCEEFF"/>
          </w:tcPr>
          <w:p>
            <w:pPr>
              <w:spacing w:after="0"/>
              <w:rPr>
                <w:sz w:val="15"/>
                <w:szCs w:val="15"/>
                <w:color w:val="auto"/>
              </w:rPr>
            </w:pPr>
          </w:p>
        </w:tc>
        <w:tc>
          <w:tcPr>
            <w:tcW w:w="40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Amounts reclassified from AOCI, net of income tax</w:t>
            </w: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(17)</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40" w:type="dxa"/>
            <w:vAlign w:val="bottom"/>
            <w:vMerge w:val="restart"/>
            <w:shd w:val="clear" w:color="auto" w:fill="CCEEFF"/>
          </w:tcPr>
          <w:p>
            <w:pPr>
              <w:jc w:val="right"/>
              <w:ind w:right="50"/>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36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2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(16)</w:t>
            </w: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80"/>
        </w:trPr>
        <w:tc>
          <w:tcPr>
            <w:tcW w:w="80" w:type="dxa"/>
            <w:vAlign w:val="bottom"/>
            <w:shd w:val="clear" w:color="auto" w:fill="CCEEFF"/>
          </w:tcPr>
          <w:p>
            <w:pPr>
              <w:spacing w:after="0"/>
              <w:rPr>
                <w:sz w:val="6"/>
                <w:szCs w:val="6"/>
                <w:color w:val="auto"/>
              </w:rPr>
            </w:pPr>
          </w:p>
        </w:tc>
        <w:tc>
          <w:tcPr>
            <w:tcW w:w="4040" w:type="dxa"/>
            <w:vAlign w:val="bottom"/>
            <w:shd w:val="clear" w:color="auto" w:fill="CCEEFF"/>
          </w:tcPr>
          <w:p>
            <w:pPr>
              <w:spacing w:after="0"/>
              <w:rPr>
                <w:sz w:val="6"/>
                <w:szCs w:val="6"/>
                <w:color w:val="auto"/>
              </w:rPr>
            </w:pPr>
          </w:p>
        </w:tc>
        <w:tc>
          <w:tcPr>
            <w:tcW w:w="140" w:type="dxa"/>
            <w:vAlign w:val="bottom"/>
            <w:tcBorders>
              <w:bottom w:val="single" w:sz="8" w:color="auto"/>
            </w:tcBorders>
            <w:shd w:val="clear" w:color="auto" w:fill="CCEEFF"/>
          </w:tcPr>
          <w:p>
            <w:pPr>
              <w:spacing w:after="0"/>
              <w:rPr>
                <w:sz w:val="6"/>
                <w:szCs w:val="6"/>
                <w:color w:val="auto"/>
              </w:rPr>
            </w:pPr>
          </w:p>
        </w:tc>
        <w:tc>
          <w:tcPr>
            <w:tcW w:w="100" w:type="dxa"/>
            <w:vAlign w:val="bottom"/>
            <w:tcBorders>
              <w:bottom w:val="single" w:sz="8" w:color="auto"/>
            </w:tcBorders>
            <w:shd w:val="clear" w:color="auto" w:fill="CCEEFF"/>
          </w:tcPr>
          <w:p>
            <w:pPr>
              <w:spacing w:after="0"/>
              <w:rPr>
                <w:sz w:val="6"/>
                <w:szCs w:val="6"/>
                <w:color w:val="auto"/>
              </w:rPr>
            </w:pPr>
          </w:p>
        </w:tc>
        <w:tc>
          <w:tcPr>
            <w:tcW w:w="126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0" w:type="dxa"/>
            <w:vAlign w:val="bottom"/>
            <w:tcBorders>
              <w:bottom w:val="single" w:sz="8" w:color="auto"/>
            </w:tcBorders>
            <w:shd w:val="clear" w:color="auto" w:fill="CCEEFF"/>
          </w:tcPr>
          <w:p>
            <w:pPr>
              <w:spacing w:after="0"/>
              <w:rPr>
                <w:sz w:val="6"/>
                <w:szCs w:val="6"/>
                <w:color w:val="auto"/>
              </w:rPr>
            </w:pPr>
          </w:p>
        </w:tc>
        <w:tc>
          <w:tcPr>
            <w:tcW w:w="140" w:type="dxa"/>
            <w:vAlign w:val="bottom"/>
            <w:tcBorders>
              <w:bottom w:val="single" w:sz="8" w:color="auto"/>
            </w:tcBorders>
            <w:shd w:val="clear" w:color="auto" w:fill="CCEEFF"/>
          </w:tcPr>
          <w:p>
            <w:pPr>
              <w:spacing w:after="0"/>
              <w:rPr>
                <w:sz w:val="6"/>
                <w:szCs w:val="6"/>
                <w:color w:val="auto"/>
              </w:rPr>
            </w:pPr>
          </w:p>
        </w:tc>
        <w:tc>
          <w:tcPr>
            <w:tcW w:w="114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100" w:type="dxa"/>
            <w:vAlign w:val="bottom"/>
            <w:tcBorders>
              <w:bottom w:val="single" w:sz="8" w:color="auto"/>
            </w:tcBorders>
            <w:shd w:val="clear" w:color="auto" w:fill="CCEEFF"/>
          </w:tcPr>
          <w:p>
            <w:pPr>
              <w:spacing w:after="0"/>
              <w:rPr>
                <w:sz w:val="6"/>
                <w:szCs w:val="6"/>
                <w:color w:val="auto"/>
              </w:rPr>
            </w:pPr>
          </w:p>
        </w:tc>
        <w:tc>
          <w:tcPr>
            <w:tcW w:w="1020" w:type="dxa"/>
            <w:vAlign w:val="bottom"/>
            <w:tcBorders>
              <w:bottom w:val="single" w:sz="8" w:color="auto"/>
            </w:tcBorders>
            <w:shd w:val="clear" w:color="auto" w:fill="CCEEFF"/>
          </w:tcPr>
          <w:p>
            <w:pPr>
              <w:spacing w:after="0"/>
              <w:rPr>
                <w:sz w:val="6"/>
                <w:szCs w:val="6"/>
                <w:color w:val="auto"/>
              </w:rPr>
            </w:pPr>
          </w:p>
        </w:tc>
        <w:tc>
          <w:tcPr>
            <w:tcW w:w="360" w:type="dxa"/>
            <w:vAlign w:val="bottom"/>
            <w:tcBorders>
              <w:bottom w:val="single" w:sz="8" w:color="auto"/>
            </w:tcBorders>
            <w:gridSpan w:val="2"/>
            <w:vMerge w:val="continue"/>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100" w:type="dxa"/>
            <w:vAlign w:val="bottom"/>
            <w:tcBorders>
              <w:bottom w:val="single" w:sz="8" w:color="auto"/>
            </w:tcBorders>
            <w:shd w:val="clear" w:color="auto" w:fill="CCEEFF"/>
          </w:tcPr>
          <w:p>
            <w:pPr>
              <w:spacing w:after="0"/>
              <w:rPr>
                <w:sz w:val="6"/>
                <w:szCs w:val="6"/>
                <w:color w:val="auto"/>
              </w:rPr>
            </w:pPr>
          </w:p>
        </w:tc>
        <w:tc>
          <w:tcPr>
            <w:tcW w:w="1020" w:type="dxa"/>
            <w:vAlign w:val="bottom"/>
            <w:tcBorders>
              <w:bottom w:val="single" w:sz="8" w:color="auto"/>
            </w:tcBorders>
            <w:gridSpan w:val="2"/>
            <w:vMerge w:val="continue"/>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300" w:type="dxa"/>
            <w:vAlign w:val="bottom"/>
            <w:tcBorders>
              <w:bottom w:val="single" w:sz="8" w:color="auto"/>
            </w:tcBorders>
            <w:shd w:val="clear" w:color="auto" w:fill="CCEEFF"/>
          </w:tcPr>
          <w:p>
            <w:pPr>
              <w:spacing w:after="0"/>
              <w:rPr>
                <w:sz w:val="6"/>
                <w:szCs w:val="6"/>
                <w:color w:val="auto"/>
              </w:rPr>
            </w:pPr>
          </w:p>
        </w:tc>
        <w:tc>
          <w:tcPr>
            <w:tcW w:w="1000" w:type="dxa"/>
            <w:vAlign w:val="bottom"/>
            <w:tcBorders>
              <w:bottom w:val="single" w:sz="8" w:color="auto"/>
            </w:tcBorders>
            <w:vMerge w:val="continue"/>
            <w:shd w:val="clear" w:color="auto" w:fill="CCEEFF"/>
          </w:tcPr>
          <w:p>
            <w:pPr>
              <w:spacing w:after="0"/>
              <w:rPr>
                <w:sz w:val="6"/>
                <w:szCs w:val="6"/>
                <w:color w:val="auto"/>
              </w:rPr>
            </w:pPr>
          </w:p>
        </w:tc>
        <w:tc>
          <w:tcPr>
            <w:tcW w:w="60" w:type="dxa"/>
            <w:vAlign w:val="bottom"/>
            <w:tcBorders>
              <w:bottom w:val="single" w:sz="8" w:color="auto"/>
            </w:tcBorders>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1"/>
        </w:trPr>
        <w:tc>
          <w:tcPr>
            <w:tcW w:w="4120" w:type="dxa"/>
            <w:vAlign w:val="bottom"/>
            <w:gridSpan w:val="2"/>
          </w:tcPr>
          <w:p>
            <w:pPr>
              <w:ind w:left="40"/>
              <w:spacing w:after="0"/>
              <w:rPr>
                <w:sz w:val="20"/>
                <w:szCs w:val="20"/>
                <w:color w:val="auto"/>
              </w:rPr>
            </w:pPr>
            <w:r>
              <w:rPr>
                <w:rFonts w:ascii="Arial" w:cs="Arial" w:eastAsia="Arial" w:hAnsi="Arial"/>
                <w:sz w:val="14"/>
                <w:szCs w:val="14"/>
                <w:color w:val="auto"/>
              </w:rPr>
              <w:t>Balance, end of period</w:t>
            </w:r>
          </w:p>
        </w:tc>
        <w:tc>
          <w:tcPr>
            <w:tcW w:w="1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260" w:type="dxa"/>
            <w:vAlign w:val="bottom"/>
            <w:vMerge w:val="restart"/>
          </w:tcPr>
          <w:p>
            <w:pPr>
              <w:jc w:val="right"/>
              <w:ind w:right="51"/>
              <w:spacing w:after="0"/>
              <w:rPr>
                <w:sz w:val="20"/>
                <w:szCs w:val="20"/>
                <w:color w:val="auto"/>
              </w:rPr>
            </w:pPr>
            <w:r>
              <w:rPr>
                <w:rFonts w:ascii="Arial" w:cs="Arial" w:eastAsia="Arial" w:hAnsi="Arial"/>
                <w:sz w:val="14"/>
                <w:szCs w:val="14"/>
                <w:color w:val="auto"/>
              </w:rPr>
              <w:t>1,162</w:t>
            </w:r>
          </w:p>
        </w:tc>
        <w:tc>
          <w:tcPr>
            <w:tcW w:w="120" w:type="dxa"/>
            <w:vAlign w:val="bottom"/>
          </w:tcPr>
          <w:p>
            <w:pPr>
              <w:spacing w:after="0"/>
              <w:rPr>
                <w:sz w:val="14"/>
                <w:szCs w:val="14"/>
                <w:color w:val="auto"/>
              </w:rPr>
            </w:pPr>
          </w:p>
        </w:tc>
        <w:tc>
          <w:tcPr>
            <w:tcW w:w="1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1140" w:type="dxa"/>
            <w:vAlign w:val="bottom"/>
            <w:vMerge w:val="restart"/>
          </w:tcPr>
          <w:p>
            <w:pPr>
              <w:jc w:val="right"/>
              <w:ind w:right="50"/>
              <w:spacing w:after="0"/>
              <w:rPr>
                <w:sz w:val="20"/>
                <w:szCs w:val="20"/>
                <w:color w:val="auto"/>
              </w:rPr>
            </w:pPr>
            <w:r>
              <w:rPr>
                <w:rFonts w:ascii="Arial" w:cs="Arial" w:eastAsia="Arial" w:hAnsi="Arial"/>
                <w:sz w:val="14"/>
                <w:szCs w:val="14"/>
                <w:color w:val="auto"/>
              </w:rPr>
              <w:t>190</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020" w:type="dxa"/>
            <w:vAlign w:val="bottom"/>
          </w:tcPr>
          <w:p>
            <w:pPr>
              <w:spacing w:after="0"/>
              <w:rPr>
                <w:sz w:val="14"/>
                <w:szCs w:val="14"/>
                <w:color w:val="auto"/>
              </w:rPr>
            </w:pPr>
          </w:p>
        </w:tc>
        <w:tc>
          <w:tcPr>
            <w:tcW w:w="320" w:type="dxa"/>
            <w:vAlign w:val="bottom"/>
            <w:vMerge w:val="restart"/>
          </w:tcPr>
          <w:p>
            <w:pPr>
              <w:jc w:val="right"/>
              <w:spacing w:after="0"/>
              <w:rPr>
                <w:sz w:val="20"/>
                <w:szCs w:val="20"/>
                <w:color w:val="auto"/>
              </w:rPr>
            </w:pPr>
            <w:r>
              <w:rPr>
                <w:rFonts w:ascii="Arial" w:cs="Arial" w:eastAsia="Arial" w:hAnsi="Arial"/>
                <w:sz w:val="14"/>
                <w:szCs w:val="14"/>
                <w:color w:val="auto"/>
              </w:rPr>
              <w:t>(26)</w:t>
            </w:r>
          </w:p>
        </w:tc>
        <w:tc>
          <w:tcPr>
            <w:tcW w:w="40" w:type="dxa"/>
            <w:vAlign w:val="bottom"/>
          </w:tcPr>
          <w:p>
            <w:pPr>
              <w:spacing w:after="0"/>
              <w:rPr>
                <w:sz w:val="14"/>
                <w:szCs w:val="14"/>
                <w:color w:val="auto"/>
              </w:rPr>
            </w:pPr>
          </w:p>
        </w:tc>
        <w:tc>
          <w:tcPr>
            <w:tcW w:w="200" w:type="dxa"/>
            <w:vAlign w:val="bottom"/>
            <w:gridSpan w:val="3"/>
            <w:vMerge w:val="restart"/>
          </w:tcPr>
          <w:p>
            <w:pPr>
              <w:ind w:left="120"/>
              <w:spacing w:after="0"/>
              <w:rPr>
                <w:sz w:val="20"/>
                <w:szCs w:val="20"/>
                <w:color w:val="auto"/>
              </w:rPr>
            </w:pPr>
            <w:r>
              <w:rPr>
                <w:rFonts w:ascii="Arial" w:cs="Arial" w:eastAsia="Arial" w:hAnsi="Arial"/>
                <w:sz w:val="14"/>
                <w:szCs w:val="14"/>
                <w:color w:val="auto"/>
                <w:w w:val="76"/>
              </w:rPr>
              <w:t>$</w:t>
            </w:r>
          </w:p>
        </w:tc>
        <w:tc>
          <w:tcPr>
            <w:tcW w:w="980" w:type="dxa"/>
            <w:vAlign w:val="bottom"/>
            <w:vMerge w:val="restart"/>
          </w:tcPr>
          <w:p>
            <w:pPr>
              <w:jc w:val="right"/>
              <w:spacing w:after="0"/>
              <w:rPr>
                <w:sz w:val="20"/>
                <w:szCs w:val="20"/>
                <w:color w:val="auto"/>
              </w:rPr>
            </w:pPr>
            <w:r>
              <w:rPr>
                <w:rFonts w:ascii="Arial" w:cs="Arial" w:eastAsia="Arial" w:hAnsi="Arial"/>
                <w:sz w:val="14"/>
                <w:szCs w:val="14"/>
                <w:color w:val="auto"/>
              </w:rPr>
              <w:t>(18)</w:t>
            </w:r>
          </w:p>
        </w:tc>
        <w:tc>
          <w:tcPr>
            <w:tcW w:w="40" w:type="dxa"/>
            <w:vAlign w:val="bottom"/>
          </w:tcPr>
          <w:p>
            <w:pPr>
              <w:spacing w:after="0"/>
              <w:rPr>
                <w:sz w:val="14"/>
                <w:szCs w:val="14"/>
                <w:color w:val="auto"/>
              </w:rPr>
            </w:pPr>
          </w:p>
        </w:tc>
        <w:tc>
          <w:tcPr>
            <w:tcW w:w="400" w:type="dxa"/>
            <w:vAlign w:val="bottom"/>
            <w:gridSpan w:val="3"/>
            <w:vMerge w:val="restart"/>
          </w:tcPr>
          <w:p>
            <w:pPr>
              <w:jc w:val="right"/>
              <w:ind w:right="200"/>
              <w:spacing w:after="0"/>
              <w:rPr>
                <w:sz w:val="20"/>
                <w:szCs w:val="20"/>
                <w:color w:val="auto"/>
              </w:rPr>
            </w:pPr>
            <w:r>
              <w:rPr>
                <w:rFonts w:ascii="Arial" w:cs="Arial" w:eastAsia="Arial" w:hAnsi="Arial"/>
                <w:sz w:val="14"/>
                <w:szCs w:val="14"/>
                <w:color w:val="auto"/>
              </w:rPr>
              <w:t>$</w:t>
            </w: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1,308</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0"/>
        </w:trPr>
        <w:tc>
          <w:tcPr>
            <w:tcW w:w="80" w:type="dxa"/>
            <w:vAlign w:val="bottom"/>
          </w:tcPr>
          <w:p>
            <w:pPr>
              <w:spacing w:after="0"/>
              <w:rPr>
                <w:sz w:val="5"/>
                <w:szCs w:val="5"/>
                <w:color w:val="auto"/>
              </w:rPr>
            </w:pPr>
          </w:p>
        </w:tc>
        <w:tc>
          <w:tcPr>
            <w:tcW w:w="4040" w:type="dxa"/>
            <w:vAlign w:val="bottom"/>
          </w:tcPr>
          <w:p>
            <w:pPr>
              <w:spacing w:after="0"/>
              <w:rPr>
                <w:sz w:val="5"/>
                <w:szCs w:val="5"/>
                <w:color w:val="auto"/>
              </w:rPr>
            </w:pPr>
          </w:p>
        </w:tc>
        <w:tc>
          <w:tcPr>
            <w:tcW w:w="14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26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vMerge w:val="continue"/>
          </w:tcPr>
          <w:p>
            <w:pPr>
              <w:spacing w:after="0"/>
              <w:rPr>
                <w:sz w:val="5"/>
                <w:szCs w:val="5"/>
                <w:color w:val="auto"/>
              </w:rPr>
            </w:pPr>
          </w:p>
        </w:tc>
        <w:tc>
          <w:tcPr>
            <w:tcW w:w="1020" w:type="dxa"/>
            <w:vAlign w:val="bottom"/>
          </w:tcPr>
          <w:p>
            <w:pPr>
              <w:spacing w:after="0"/>
              <w:rPr>
                <w:sz w:val="5"/>
                <w:szCs w:val="5"/>
                <w:color w:val="auto"/>
              </w:rPr>
            </w:pPr>
          </w:p>
        </w:tc>
        <w:tc>
          <w:tcPr>
            <w:tcW w:w="32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200" w:type="dxa"/>
            <w:vAlign w:val="bottom"/>
            <w:gridSpan w:val="3"/>
            <w:vMerge w:val="continue"/>
          </w:tcPr>
          <w:p>
            <w:pPr>
              <w:spacing w:after="0"/>
              <w:rPr>
                <w:sz w:val="5"/>
                <w:szCs w:val="5"/>
                <w:color w:val="auto"/>
              </w:rPr>
            </w:pPr>
          </w:p>
        </w:tc>
        <w:tc>
          <w:tcPr>
            <w:tcW w:w="98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400" w:type="dxa"/>
            <w:vAlign w:val="bottom"/>
            <w:gridSpan w:val="3"/>
            <w:vMerge w:val="continue"/>
          </w:tcPr>
          <w:p>
            <w:pPr>
              <w:spacing w:after="0"/>
              <w:rPr>
                <w:sz w:val="5"/>
                <w:szCs w:val="5"/>
                <w:color w:val="auto"/>
              </w:rPr>
            </w:pPr>
          </w:p>
        </w:tc>
        <w:tc>
          <w:tcPr>
            <w:tcW w:w="100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3"/>
        </w:trPr>
        <w:tc>
          <w:tcPr>
            <w:tcW w:w="80" w:type="dxa"/>
            <w:vAlign w:val="bottom"/>
          </w:tcPr>
          <w:p>
            <w:pPr>
              <w:spacing w:after="0"/>
              <w:rPr>
                <w:sz w:val="24"/>
                <w:szCs w:val="24"/>
                <w:color w:val="auto"/>
              </w:rPr>
            </w:pPr>
          </w:p>
        </w:tc>
        <w:tc>
          <w:tcPr>
            <w:tcW w:w="4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jc w:val="center"/>
              <w:ind w:right="37"/>
              <w:spacing w:after="0"/>
              <w:rPr>
                <w:sz w:val="20"/>
                <w:szCs w:val="20"/>
                <w:color w:val="auto"/>
              </w:rPr>
            </w:pPr>
            <w:r>
              <w:rPr>
                <w:rFonts w:ascii="Arial" w:cs="Arial" w:eastAsia="Arial" w:hAnsi="Arial"/>
                <w:sz w:val="13"/>
                <w:szCs w:val="13"/>
                <w:b w:val="1"/>
                <w:bCs w:val="1"/>
                <w:color w:val="auto"/>
                <w:w w:val="89"/>
              </w:rPr>
              <w:t>Three Months</w:t>
            </w: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80" w:type="dxa"/>
            <w:vAlign w:val="bottom"/>
          </w:tcPr>
          <w:p>
            <w:pPr>
              <w:spacing w:after="0"/>
              <w:rPr>
                <w:sz w:val="11"/>
                <w:szCs w:val="11"/>
                <w:color w:val="auto"/>
              </w:rPr>
            </w:pPr>
          </w:p>
        </w:tc>
        <w:tc>
          <w:tcPr>
            <w:tcW w:w="40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0"/>
              </w:rPr>
              <w:t>Ended</w:t>
            </w:r>
          </w:p>
        </w:tc>
        <w:tc>
          <w:tcPr>
            <w:tcW w:w="3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4"/>
        </w:trPr>
        <w:tc>
          <w:tcPr>
            <w:tcW w:w="80" w:type="dxa"/>
            <w:vAlign w:val="bottom"/>
          </w:tcPr>
          <w:p>
            <w:pPr>
              <w:spacing w:after="0"/>
              <w:rPr>
                <w:sz w:val="15"/>
                <w:szCs w:val="15"/>
                <w:color w:val="auto"/>
              </w:rPr>
            </w:pPr>
          </w:p>
        </w:tc>
        <w:tc>
          <w:tcPr>
            <w:tcW w:w="4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gridSpan w:val="2"/>
          </w:tcPr>
          <w:p>
            <w:pPr>
              <w:jc w:val="center"/>
              <w:spacing w:after="0"/>
              <w:rPr>
                <w:sz w:val="20"/>
                <w:szCs w:val="20"/>
                <w:color w:val="auto"/>
              </w:rPr>
            </w:pPr>
            <w:r>
              <w:rPr>
                <w:rFonts w:ascii="Arial" w:cs="Arial" w:eastAsia="Arial" w:hAnsi="Arial"/>
                <w:sz w:val="13"/>
                <w:szCs w:val="13"/>
                <w:b w:val="1"/>
                <w:bCs w:val="1"/>
                <w:color w:val="auto"/>
                <w:w w:val="85"/>
              </w:rPr>
              <w:t>September 30, 2016</w:t>
            </w:r>
          </w:p>
        </w:tc>
        <w:tc>
          <w:tcPr>
            <w:tcW w:w="32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4"/>
        </w:trPr>
        <w:tc>
          <w:tcPr>
            <w:tcW w:w="80" w:type="dxa"/>
            <w:vAlign w:val="bottom"/>
          </w:tcPr>
          <w:p>
            <w:pPr>
              <w:spacing w:after="0"/>
              <w:rPr>
                <w:sz w:val="12"/>
                <w:szCs w:val="12"/>
                <w:color w:val="auto"/>
              </w:rPr>
            </w:pPr>
          </w:p>
        </w:tc>
        <w:tc>
          <w:tcPr>
            <w:tcW w:w="40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gridSpan w:val="2"/>
          </w:tcPr>
          <w:p>
            <w:pPr>
              <w:jc w:val="center"/>
              <w:ind w:right="100"/>
              <w:spacing w:after="0" w:line="144" w:lineRule="exact"/>
              <w:rPr>
                <w:sz w:val="20"/>
                <w:szCs w:val="20"/>
                <w:color w:val="auto"/>
              </w:rPr>
            </w:pPr>
            <w:r>
              <w:rPr>
                <w:rFonts w:ascii="Arial" w:cs="Arial" w:eastAsia="Arial" w:hAnsi="Arial"/>
                <w:sz w:val="13"/>
                <w:szCs w:val="13"/>
                <w:b w:val="1"/>
                <w:bCs w:val="1"/>
                <w:color w:val="auto"/>
                <w:w w:val="91"/>
              </w:rPr>
              <w:t>Unrealized</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jc w:val="center"/>
              <w:ind w:left="257"/>
              <w:spacing w:after="0" w:line="144" w:lineRule="exact"/>
              <w:rPr>
                <w:sz w:val="20"/>
                <w:szCs w:val="20"/>
                <w:color w:val="auto"/>
              </w:rPr>
            </w:pPr>
            <w:r>
              <w:rPr>
                <w:rFonts w:ascii="Arial" w:cs="Arial" w:eastAsia="Arial" w:hAnsi="Arial"/>
                <w:sz w:val="13"/>
                <w:szCs w:val="13"/>
                <w:b w:val="1"/>
                <w:bCs w:val="1"/>
                <w:color w:val="auto"/>
                <w:w w:val="88"/>
              </w:rPr>
              <w:t>Foreign</w:t>
            </w:r>
          </w:p>
        </w:tc>
        <w:tc>
          <w:tcPr>
            <w:tcW w:w="3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80" w:type="dxa"/>
            <w:vAlign w:val="bottom"/>
          </w:tcPr>
          <w:p>
            <w:pPr>
              <w:spacing w:after="0"/>
              <w:rPr>
                <w:sz w:val="11"/>
                <w:szCs w:val="11"/>
                <w:color w:val="auto"/>
              </w:rPr>
            </w:pPr>
          </w:p>
        </w:tc>
        <w:tc>
          <w:tcPr>
            <w:tcW w:w="40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8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88"/>
              </w:rPr>
              <w:t>Investment Gains</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60" w:type="dxa"/>
            <w:vAlign w:val="bottom"/>
            <w:gridSpan w:val="3"/>
          </w:tcPr>
          <w:p>
            <w:pPr>
              <w:ind w:left="260"/>
              <w:spacing w:after="0" w:line="135" w:lineRule="exact"/>
              <w:rPr>
                <w:sz w:val="20"/>
                <w:szCs w:val="20"/>
                <w:color w:val="auto"/>
              </w:rPr>
            </w:pPr>
            <w:r>
              <w:rPr>
                <w:rFonts w:ascii="Arial" w:cs="Arial" w:eastAsia="Arial" w:hAnsi="Arial"/>
                <w:sz w:val="13"/>
                <w:szCs w:val="13"/>
                <w:b w:val="1"/>
                <w:bCs w:val="1"/>
                <w:color w:val="auto"/>
              </w:rPr>
              <w:t>Unrealized</w:t>
            </w:r>
          </w:p>
        </w:tc>
        <w:tc>
          <w:tcPr>
            <w:tcW w:w="100" w:type="dxa"/>
            <w:vAlign w:val="bottom"/>
          </w:tcPr>
          <w:p>
            <w:pPr>
              <w:spacing w:after="0"/>
              <w:rPr>
                <w:sz w:val="11"/>
                <w:szCs w:val="11"/>
                <w:color w:val="auto"/>
              </w:rPr>
            </w:pPr>
          </w:p>
        </w:tc>
        <w:tc>
          <w:tcPr>
            <w:tcW w:w="1020" w:type="dxa"/>
            <w:vAlign w:val="bottom"/>
          </w:tcPr>
          <w:p>
            <w:pPr>
              <w:jc w:val="center"/>
              <w:ind w:left="257"/>
              <w:spacing w:after="0" w:line="135" w:lineRule="exact"/>
              <w:rPr>
                <w:sz w:val="20"/>
                <w:szCs w:val="20"/>
                <w:color w:val="auto"/>
              </w:rPr>
            </w:pPr>
            <w:r>
              <w:rPr>
                <w:rFonts w:ascii="Arial" w:cs="Arial" w:eastAsia="Arial" w:hAnsi="Arial"/>
                <w:sz w:val="13"/>
                <w:szCs w:val="13"/>
                <w:b w:val="1"/>
                <w:bCs w:val="1"/>
                <w:color w:val="auto"/>
                <w:w w:val="87"/>
              </w:rPr>
              <w:t>Currency</w:t>
            </w:r>
          </w:p>
        </w:tc>
        <w:tc>
          <w:tcPr>
            <w:tcW w:w="3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80" w:type="dxa"/>
            <w:vAlign w:val="bottom"/>
          </w:tcPr>
          <w:p>
            <w:pPr>
              <w:spacing w:after="0"/>
              <w:rPr>
                <w:sz w:val="11"/>
                <w:szCs w:val="11"/>
                <w:color w:val="auto"/>
              </w:rPr>
            </w:pPr>
          </w:p>
        </w:tc>
        <w:tc>
          <w:tcPr>
            <w:tcW w:w="40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8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84"/>
              </w:rPr>
              <w:t>(Losses), Net of</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60" w:type="dxa"/>
            <w:vAlign w:val="bottom"/>
            <w:gridSpan w:val="3"/>
          </w:tcPr>
          <w:p>
            <w:pPr>
              <w:ind w:left="160"/>
              <w:spacing w:after="0" w:line="135" w:lineRule="exact"/>
              <w:rPr>
                <w:sz w:val="20"/>
                <w:szCs w:val="20"/>
                <w:color w:val="auto"/>
              </w:rPr>
            </w:pPr>
            <w:r>
              <w:rPr>
                <w:rFonts w:ascii="Arial" w:cs="Arial" w:eastAsia="Arial" w:hAnsi="Arial"/>
                <w:sz w:val="13"/>
                <w:szCs w:val="13"/>
                <w:b w:val="1"/>
                <w:bCs w:val="1"/>
                <w:color w:val="auto"/>
              </w:rPr>
              <w:t>Gains (Losses)</w:t>
            </w:r>
          </w:p>
        </w:tc>
        <w:tc>
          <w:tcPr>
            <w:tcW w:w="100" w:type="dxa"/>
            <w:vAlign w:val="bottom"/>
          </w:tcPr>
          <w:p>
            <w:pPr>
              <w:spacing w:after="0"/>
              <w:rPr>
                <w:sz w:val="11"/>
                <w:szCs w:val="11"/>
                <w:color w:val="auto"/>
              </w:rPr>
            </w:pPr>
          </w:p>
        </w:tc>
        <w:tc>
          <w:tcPr>
            <w:tcW w:w="1020" w:type="dxa"/>
            <w:vAlign w:val="bottom"/>
          </w:tcPr>
          <w:p>
            <w:pPr>
              <w:jc w:val="center"/>
              <w:ind w:left="257"/>
              <w:spacing w:after="0" w:line="135" w:lineRule="exact"/>
              <w:rPr>
                <w:sz w:val="20"/>
                <w:szCs w:val="20"/>
                <w:color w:val="auto"/>
              </w:rPr>
            </w:pPr>
            <w:r>
              <w:rPr>
                <w:rFonts w:ascii="Arial" w:cs="Arial" w:eastAsia="Arial" w:hAnsi="Arial"/>
                <w:sz w:val="13"/>
                <w:szCs w:val="13"/>
                <w:b w:val="1"/>
                <w:bCs w:val="1"/>
                <w:color w:val="auto"/>
                <w:w w:val="88"/>
              </w:rPr>
              <w:t>Translation</w:t>
            </w:r>
          </w:p>
        </w:tc>
        <w:tc>
          <w:tcPr>
            <w:tcW w:w="3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gridSpan w:val="2"/>
          </w:tcPr>
          <w:p>
            <w:pPr>
              <w:spacing w:after="0" w:line="135" w:lineRule="exact"/>
              <w:rPr>
                <w:sz w:val="20"/>
                <w:szCs w:val="20"/>
                <w:color w:val="auto"/>
              </w:rPr>
            </w:pPr>
            <w:r>
              <w:rPr>
                <w:rFonts w:ascii="Arial" w:cs="Arial" w:eastAsia="Arial" w:hAnsi="Arial"/>
                <w:sz w:val="13"/>
                <w:szCs w:val="13"/>
                <w:b w:val="1"/>
                <w:bCs w:val="1"/>
                <w:color w:val="auto"/>
              </w:rPr>
              <w:t>Defined Benefit</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4"/>
        </w:trPr>
        <w:tc>
          <w:tcPr>
            <w:tcW w:w="80" w:type="dxa"/>
            <w:vAlign w:val="bottom"/>
          </w:tcPr>
          <w:p>
            <w:pPr>
              <w:spacing w:after="0"/>
              <w:rPr>
                <w:sz w:val="15"/>
                <w:szCs w:val="15"/>
                <w:color w:val="auto"/>
              </w:rPr>
            </w:pPr>
          </w:p>
        </w:tc>
        <w:tc>
          <w:tcPr>
            <w:tcW w:w="4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8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87"/>
              </w:rPr>
              <w:t>Related Offsets (1)</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60" w:type="dxa"/>
            <w:vAlign w:val="bottom"/>
            <w:gridSpan w:val="3"/>
          </w:tcPr>
          <w:p>
            <w:pPr>
              <w:ind w:left="160"/>
              <w:spacing w:after="0"/>
              <w:rPr>
                <w:sz w:val="20"/>
                <w:szCs w:val="20"/>
                <w:color w:val="auto"/>
              </w:rPr>
            </w:pPr>
            <w:r>
              <w:rPr>
                <w:rFonts w:ascii="Arial" w:cs="Arial" w:eastAsia="Arial" w:hAnsi="Arial"/>
                <w:sz w:val="13"/>
                <w:szCs w:val="13"/>
                <w:b w:val="1"/>
                <w:bCs w:val="1"/>
                <w:color w:val="auto"/>
              </w:rPr>
              <w:t>on Derivatives</w:t>
            </w:r>
          </w:p>
        </w:tc>
        <w:tc>
          <w:tcPr>
            <w:tcW w:w="100" w:type="dxa"/>
            <w:vAlign w:val="bottom"/>
          </w:tcPr>
          <w:p>
            <w:pPr>
              <w:spacing w:after="0"/>
              <w:rPr>
                <w:sz w:val="15"/>
                <w:szCs w:val="15"/>
                <w:color w:val="auto"/>
              </w:rPr>
            </w:pPr>
          </w:p>
        </w:tc>
        <w:tc>
          <w:tcPr>
            <w:tcW w:w="1020" w:type="dxa"/>
            <w:vAlign w:val="bottom"/>
          </w:tcPr>
          <w:p>
            <w:pPr>
              <w:jc w:val="center"/>
              <w:ind w:left="257"/>
              <w:spacing w:after="0"/>
              <w:rPr>
                <w:sz w:val="20"/>
                <w:szCs w:val="20"/>
                <w:color w:val="auto"/>
              </w:rPr>
            </w:pPr>
            <w:r>
              <w:rPr>
                <w:rFonts w:ascii="Arial" w:cs="Arial" w:eastAsia="Arial" w:hAnsi="Arial"/>
                <w:sz w:val="13"/>
                <w:szCs w:val="13"/>
                <w:b w:val="1"/>
                <w:bCs w:val="1"/>
                <w:color w:val="auto"/>
                <w:w w:val="88"/>
              </w:rPr>
              <w:t>Adjustments</w:t>
            </w:r>
          </w:p>
        </w:tc>
        <w:tc>
          <w:tcPr>
            <w:tcW w:w="3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20" w:type="dxa"/>
            <w:vAlign w:val="bottom"/>
            <w:gridSpan w:val="3"/>
          </w:tcPr>
          <w:p>
            <w:pPr>
              <w:ind w:left="40"/>
              <w:spacing w:after="0"/>
              <w:rPr>
                <w:sz w:val="20"/>
                <w:szCs w:val="20"/>
                <w:color w:val="auto"/>
              </w:rPr>
            </w:pPr>
            <w:r>
              <w:rPr>
                <w:rFonts w:ascii="Arial" w:cs="Arial" w:eastAsia="Arial" w:hAnsi="Arial"/>
                <w:sz w:val="13"/>
                <w:szCs w:val="13"/>
                <w:b w:val="1"/>
                <w:bCs w:val="1"/>
                <w:color w:val="auto"/>
                <w:w w:val="96"/>
              </w:rPr>
              <w:t>Plans Adjustment</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60" w:type="dxa"/>
            <w:vAlign w:val="bottom"/>
            <w:gridSpan w:val="2"/>
          </w:tcPr>
          <w:p>
            <w:pPr>
              <w:ind w:left="200"/>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249"/>
        </w:trPr>
        <w:tc>
          <w:tcPr>
            <w:tcW w:w="80" w:type="dxa"/>
            <w:vAlign w:val="bottom"/>
          </w:tcPr>
          <w:p>
            <w:pPr>
              <w:spacing w:after="0"/>
              <w:rPr>
                <w:sz w:val="21"/>
                <w:szCs w:val="21"/>
                <w:color w:val="auto"/>
              </w:rPr>
            </w:pPr>
          </w:p>
        </w:tc>
        <w:tc>
          <w:tcPr>
            <w:tcW w:w="40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126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114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1020" w:type="dxa"/>
            <w:vAlign w:val="bottom"/>
            <w:tcBorders>
              <w:top w:val="single" w:sz="8" w:color="auto"/>
            </w:tcBorders>
          </w:tcPr>
          <w:p>
            <w:pPr>
              <w:jc w:val="center"/>
              <w:ind w:right="17"/>
              <w:spacing w:after="0"/>
              <w:rPr>
                <w:sz w:val="20"/>
                <w:szCs w:val="20"/>
                <w:color w:val="auto"/>
              </w:rPr>
            </w:pPr>
            <w:r>
              <w:rPr>
                <w:rFonts w:ascii="Arial" w:cs="Arial" w:eastAsia="Arial" w:hAnsi="Arial"/>
                <w:sz w:val="13"/>
                <w:szCs w:val="13"/>
                <w:b w:val="1"/>
                <w:bCs w:val="1"/>
                <w:color w:val="auto"/>
                <w:w w:val="90"/>
              </w:rPr>
              <w:t>(In millions)</w:t>
            </w:r>
          </w:p>
        </w:tc>
        <w:tc>
          <w:tcPr>
            <w:tcW w:w="320" w:type="dxa"/>
            <w:vAlign w:val="bottom"/>
            <w:tcBorders>
              <w:top w:val="single" w:sz="8" w:color="auto"/>
            </w:tcBorders>
          </w:tcPr>
          <w:p>
            <w:pPr>
              <w:spacing w:after="0"/>
              <w:rPr>
                <w:sz w:val="21"/>
                <w:szCs w:val="21"/>
                <w:color w:val="auto"/>
              </w:rPr>
            </w:pPr>
          </w:p>
        </w:tc>
        <w:tc>
          <w:tcPr>
            <w:tcW w:w="40" w:type="dxa"/>
            <w:vAlign w:val="bottom"/>
            <w:tcBorders>
              <w:top w:val="single" w:sz="8" w:color="auto"/>
            </w:tcBorders>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980" w:type="dxa"/>
            <w:vAlign w:val="bottom"/>
            <w:tcBorders>
              <w:top w:val="single" w:sz="8" w:color="auto"/>
            </w:tcBorders>
          </w:tcPr>
          <w:p>
            <w:pPr>
              <w:spacing w:after="0"/>
              <w:rPr>
                <w:sz w:val="21"/>
                <w:szCs w:val="21"/>
                <w:color w:val="auto"/>
              </w:rPr>
            </w:pPr>
          </w:p>
        </w:tc>
        <w:tc>
          <w:tcPr>
            <w:tcW w:w="40" w:type="dxa"/>
            <w:vAlign w:val="bottom"/>
            <w:tcBorders>
              <w:top w:val="single" w:sz="8" w:color="auto"/>
            </w:tcBorders>
          </w:tcPr>
          <w:p>
            <w:pPr>
              <w:spacing w:after="0"/>
              <w:rPr>
                <w:sz w:val="21"/>
                <w:szCs w:val="21"/>
                <w:color w:val="auto"/>
              </w:rPr>
            </w:pPr>
          </w:p>
        </w:tc>
        <w:tc>
          <w:tcPr>
            <w:tcW w:w="60" w:type="dxa"/>
            <w:vAlign w:val="bottom"/>
            <w:tcBorders>
              <w:top w:val="single" w:sz="8" w:color="auto"/>
            </w:tcBorders>
          </w:tcPr>
          <w:p>
            <w:pPr>
              <w:spacing w:after="0"/>
              <w:rPr>
                <w:sz w:val="21"/>
                <w:szCs w:val="21"/>
                <w:color w:val="auto"/>
              </w:rPr>
            </w:pPr>
          </w:p>
        </w:tc>
        <w:tc>
          <w:tcPr>
            <w:tcW w:w="40" w:type="dxa"/>
            <w:vAlign w:val="bottom"/>
            <w:tcBorders>
              <w:top w:val="single" w:sz="8" w:color="auto"/>
            </w:tcBorders>
          </w:tcPr>
          <w:p>
            <w:pPr>
              <w:spacing w:after="0"/>
              <w:rPr>
                <w:sz w:val="21"/>
                <w:szCs w:val="21"/>
                <w:color w:val="auto"/>
              </w:rPr>
            </w:pPr>
          </w:p>
        </w:tc>
        <w:tc>
          <w:tcPr>
            <w:tcW w:w="300" w:type="dxa"/>
            <w:vAlign w:val="bottom"/>
            <w:tcBorders>
              <w:top w:val="single" w:sz="8" w:color="auto"/>
            </w:tcBorders>
          </w:tcPr>
          <w:p>
            <w:pPr>
              <w:spacing w:after="0"/>
              <w:rPr>
                <w:sz w:val="21"/>
                <w:szCs w:val="21"/>
                <w:color w:val="auto"/>
              </w:rPr>
            </w:pPr>
          </w:p>
        </w:tc>
        <w:tc>
          <w:tcPr>
            <w:tcW w:w="1000" w:type="dxa"/>
            <w:vAlign w:val="bottom"/>
            <w:tcBorders>
              <w:top w:val="single" w:sz="8" w:color="auto"/>
            </w:tcBorders>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8"/>
        </w:trPr>
        <w:tc>
          <w:tcPr>
            <w:tcW w:w="80" w:type="dxa"/>
            <w:vAlign w:val="bottom"/>
          </w:tcPr>
          <w:p>
            <w:pPr>
              <w:spacing w:after="0"/>
              <w:rPr>
                <w:sz w:val="24"/>
                <w:szCs w:val="24"/>
                <w:color w:val="auto"/>
              </w:rPr>
            </w:pPr>
          </w:p>
        </w:tc>
        <w:tc>
          <w:tcPr>
            <w:tcW w:w="4040" w:type="dxa"/>
            <w:vAlign w:val="bottom"/>
            <w:shd w:val="clear" w:color="auto" w:fill="CCEEFF"/>
          </w:tcPr>
          <w:p>
            <w:pPr>
              <w:ind w:left="20"/>
              <w:spacing w:after="0"/>
              <w:rPr>
                <w:sz w:val="20"/>
                <w:szCs w:val="20"/>
                <w:color w:val="auto"/>
              </w:rPr>
            </w:pPr>
            <w:r>
              <w:rPr>
                <w:rFonts w:ascii="Arial" w:cs="Arial" w:eastAsia="Arial" w:hAnsi="Arial"/>
                <w:sz w:val="14"/>
                <w:szCs w:val="14"/>
                <w:color w:val="auto"/>
              </w:rPr>
              <w:t>Balance, beginning of period</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2,368</w:t>
            </w:r>
          </w:p>
        </w:tc>
        <w:tc>
          <w:tcPr>
            <w:tcW w:w="120" w:type="dxa"/>
            <w:vAlign w:val="bottom"/>
            <w:shd w:val="clear" w:color="auto" w:fill="CCEEFF"/>
          </w:tcPr>
          <w:p>
            <w:pPr>
              <w:spacing w:after="0"/>
              <w:rPr>
                <w:sz w:val="24"/>
                <w:szCs w:val="24"/>
                <w:color w:val="auto"/>
              </w:rPr>
            </w:pP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300</w:t>
            </w: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857"/>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6"/>
              </w:rPr>
              <w:t>(21)</w:t>
            </w:r>
          </w:p>
        </w:tc>
        <w:tc>
          <w:tcPr>
            <w:tcW w:w="40" w:type="dxa"/>
            <w:vAlign w:val="bottom"/>
            <w:shd w:val="clear" w:color="auto" w:fill="CCEEFF"/>
          </w:tcPr>
          <w:p>
            <w:pPr>
              <w:spacing w:after="0"/>
              <w:rPr>
                <w:sz w:val="24"/>
                <w:szCs w:val="24"/>
                <w:color w:val="auto"/>
              </w:rPr>
            </w:pPr>
          </w:p>
        </w:tc>
        <w:tc>
          <w:tcPr>
            <w:tcW w:w="200" w:type="dxa"/>
            <w:vAlign w:val="bottom"/>
            <w:gridSpan w:val="3"/>
            <w:shd w:val="clear" w:color="auto" w:fill="CCEEFF"/>
          </w:tcPr>
          <w:p>
            <w:pPr>
              <w:ind w:left="100"/>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40" w:type="dxa"/>
            <w:vAlign w:val="bottom"/>
            <w:shd w:val="clear" w:color="auto" w:fill="CCEEFF"/>
          </w:tcPr>
          <w:p>
            <w:pPr>
              <w:spacing w:after="0"/>
              <w:rPr>
                <w:sz w:val="24"/>
                <w:szCs w:val="24"/>
                <w:color w:val="auto"/>
              </w:rPr>
            </w:pPr>
          </w:p>
        </w:tc>
        <w:tc>
          <w:tcPr>
            <w:tcW w:w="400" w:type="dxa"/>
            <w:vAlign w:val="bottom"/>
            <w:gridSpan w:val="3"/>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2,632</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80" w:type="dxa"/>
            <w:vAlign w:val="bottom"/>
          </w:tcPr>
          <w:p>
            <w:pPr>
              <w:spacing w:after="0"/>
              <w:rPr>
                <w:sz w:val="22"/>
                <w:szCs w:val="22"/>
                <w:color w:val="auto"/>
              </w:rPr>
            </w:pPr>
          </w:p>
        </w:tc>
        <w:tc>
          <w:tcPr>
            <w:tcW w:w="4040" w:type="dxa"/>
            <w:vAlign w:val="bottom"/>
          </w:tcPr>
          <w:p>
            <w:pPr>
              <w:ind w:left="20"/>
              <w:spacing w:after="0"/>
              <w:rPr>
                <w:sz w:val="20"/>
                <w:szCs w:val="20"/>
                <w:color w:val="auto"/>
              </w:rPr>
            </w:pPr>
            <w:r>
              <w:rPr>
                <w:rFonts w:ascii="Arial" w:cs="Arial" w:eastAsia="Arial" w:hAnsi="Arial"/>
                <w:sz w:val="14"/>
                <w:szCs w:val="14"/>
                <w:color w:val="auto"/>
              </w:rPr>
              <w:t>OCI before reclassifications</w:t>
            </w: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80" w:type="dxa"/>
            <w:vAlign w:val="bottom"/>
            <w:gridSpan w:val="2"/>
          </w:tcPr>
          <w:p>
            <w:pPr>
              <w:jc w:val="right"/>
              <w:ind w:right="80"/>
              <w:spacing w:after="0"/>
              <w:rPr>
                <w:sz w:val="20"/>
                <w:szCs w:val="20"/>
                <w:color w:val="auto"/>
              </w:rPr>
            </w:pPr>
            <w:r>
              <w:rPr>
                <w:rFonts w:ascii="Arial" w:cs="Arial" w:eastAsia="Arial" w:hAnsi="Arial"/>
                <w:sz w:val="14"/>
                <w:szCs w:val="14"/>
                <w:color w:val="auto"/>
              </w:rPr>
              <w:t>(188)</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40" w:type="dxa"/>
            <w:vAlign w:val="bottom"/>
            <w:gridSpan w:val="2"/>
          </w:tcPr>
          <w:p>
            <w:pPr>
              <w:jc w:val="right"/>
              <w:ind w:right="80"/>
              <w:spacing w:after="0"/>
              <w:rPr>
                <w:sz w:val="20"/>
                <w:szCs w:val="20"/>
                <w:color w:val="auto"/>
              </w:rPr>
            </w:pPr>
            <w:r>
              <w:rPr>
                <w:rFonts w:ascii="Arial" w:cs="Arial" w:eastAsia="Arial" w:hAnsi="Arial"/>
                <w:sz w:val="14"/>
                <w:szCs w:val="14"/>
                <w:color w:val="auto"/>
              </w:rPr>
              <w:t>(16)</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320" w:type="dxa"/>
            <w:vAlign w:val="bottom"/>
          </w:tcPr>
          <w:p>
            <w:pPr>
              <w:jc w:val="right"/>
              <w:spacing w:after="0"/>
              <w:rPr>
                <w:sz w:val="20"/>
                <w:szCs w:val="20"/>
                <w:color w:val="auto"/>
              </w:rPr>
            </w:pPr>
            <w:r>
              <w:rPr>
                <w:rFonts w:ascii="Arial" w:cs="Arial" w:eastAsia="Arial" w:hAnsi="Arial"/>
                <w:sz w:val="14"/>
                <w:szCs w:val="14"/>
                <w:color w:val="auto"/>
                <w:w w:val="96"/>
              </w:rPr>
              <w:t>(13)</w:t>
            </w: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(6)</w:t>
            </w: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(223)</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80" w:type="dxa"/>
            <w:vAlign w:val="bottom"/>
          </w:tcPr>
          <w:p>
            <w:pPr>
              <w:spacing w:after="0"/>
              <w:rPr>
                <w:sz w:val="17"/>
                <w:szCs w:val="17"/>
                <w:color w:val="auto"/>
              </w:rPr>
            </w:pPr>
          </w:p>
        </w:tc>
        <w:tc>
          <w:tcPr>
            <w:tcW w:w="404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Deferred income tax benefit (expense)</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63</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w:t>
            </w: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32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vMerge w:val="restart"/>
            <w:shd w:val="clear" w:color="auto" w:fill="CCEEFF"/>
          </w:tcPr>
          <w:p>
            <w:pPr>
              <w:jc w:val="right"/>
              <w:ind w:right="45"/>
              <w:spacing w:after="0"/>
              <w:rPr>
                <w:sz w:val="20"/>
                <w:szCs w:val="20"/>
                <w:color w:val="auto"/>
              </w:rPr>
            </w:pPr>
            <w:r>
              <w:rPr>
                <w:rFonts w:ascii="Arial" w:cs="Arial" w:eastAsia="Arial" w:hAnsi="Arial"/>
                <w:sz w:val="14"/>
                <w:szCs w:val="14"/>
                <w:color w:val="auto"/>
              </w:rPr>
              <w:t>2</w:t>
            </w: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72</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0"/>
        </w:trPr>
        <w:tc>
          <w:tcPr>
            <w:tcW w:w="80" w:type="dxa"/>
            <w:vAlign w:val="bottom"/>
          </w:tcPr>
          <w:p>
            <w:pPr>
              <w:spacing w:after="0"/>
              <w:rPr>
                <w:sz w:val="6"/>
                <w:szCs w:val="6"/>
                <w:color w:val="auto"/>
              </w:rPr>
            </w:pPr>
          </w:p>
        </w:tc>
        <w:tc>
          <w:tcPr>
            <w:tcW w:w="404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00" w:type="dxa"/>
            <w:vAlign w:val="bottom"/>
            <w:tcBorders>
              <w:bottom w:val="single" w:sz="8" w:color="auto"/>
            </w:tcBorders>
            <w:shd w:val="clear" w:color="auto" w:fill="CCEEFF"/>
          </w:tcPr>
          <w:p>
            <w:pPr>
              <w:spacing w:after="0"/>
              <w:rPr>
                <w:sz w:val="6"/>
                <w:szCs w:val="6"/>
                <w:color w:val="auto"/>
              </w:rPr>
            </w:pPr>
          </w:p>
        </w:tc>
        <w:tc>
          <w:tcPr>
            <w:tcW w:w="126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tcBorders>
              <w:bottom w:val="single" w:sz="8" w:color="auto"/>
            </w:tcBorders>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tcBorders>
              <w:bottom w:val="single" w:sz="8" w:color="auto"/>
            </w:tcBorders>
            <w:shd w:val="clear" w:color="auto" w:fill="CCEEFF"/>
          </w:tcPr>
          <w:p>
            <w:pPr>
              <w:spacing w:after="0"/>
              <w:rPr>
                <w:sz w:val="6"/>
                <w:szCs w:val="6"/>
                <w:color w:val="auto"/>
              </w:rPr>
            </w:pPr>
          </w:p>
        </w:tc>
        <w:tc>
          <w:tcPr>
            <w:tcW w:w="114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tcBorders>
              <w:bottom w:val="single" w:sz="8" w:color="auto"/>
            </w:tcBorders>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20" w:type="dxa"/>
            <w:vAlign w:val="bottom"/>
            <w:tcBorders>
              <w:bottom w:val="single" w:sz="8" w:color="auto"/>
            </w:tcBorders>
            <w:shd w:val="clear" w:color="auto" w:fill="CCEEFF"/>
          </w:tcPr>
          <w:p>
            <w:pPr>
              <w:spacing w:after="0"/>
              <w:rPr>
                <w:sz w:val="6"/>
                <w:szCs w:val="6"/>
                <w:color w:val="auto"/>
              </w:rPr>
            </w:pPr>
          </w:p>
        </w:tc>
        <w:tc>
          <w:tcPr>
            <w:tcW w:w="320" w:type="dxa"/>
            <w:vAlign w:val="bottom"/>
            <w:tcBorders>
              <w:bottom w:val="single" w:sz="8" w:color="auto"/>
            </w:tcBorders>
            <w:vMerge w:val="continue"/>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20" w:type="dxa"/>
            <w:vAlign w:val="bottom"/>
            <w:tcBorders>
              <w:bottom w:val="single" w:sz="8" w:color="auto"/>
            </w:tcBorders>
            <w:shd w:val="clear" w:color="auto" w:fill="CCEEFF"/>
          </w:tcPr>
          <w:p>
            <w:pPr>
              <w:spacing w:after="0"/>
              <w:rPr>
                <w:sz w:val="6"/>
                <w:szCs w:val="6"/>
                <w:color w:val="auto"/>
              </w:rPr>
            </w:pPr>
          </w:p>
        </w:tc>
        <w:tc>
          <w:tcPr>
            <w:tcW w:w="100" w:type="dxa"/>
            <w:vAlign w:val="bottom"/>
            <w:tcBorders>
              <w:bottom w:val="single" w:sz="8" w:color="auto"/>
            </w:tcBorders>
            <w:shd w:val="clear" w:color="auto" w:fill="CCEEFF"/>
          </w:tcPr>
          <w:p>
            <w:pPr>
              <w:spacing w:after="0"/>
              <w:rPr>
                <w:sz w:val="6"/>
                <w:szCs w:val="6"/>
                <w:color w:val="auto"/>
              </w:rPr>
            </w:pPr>
          </w:p>
        </w:tc>
        <w:tc>
          <w:tcPr>
            <w:tcW w:w="980" w:type="dxa"/>
            <w:vAlign w:val="bottom"/>
            <w:tcBorders>
              <w:bottom w:val="single" w:sz="8" w:color="auto"/>
            </w:tcBorders>
            <w:vMerge w:val="continue"/>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c>
          <w:tcPr>
            <w:tcW w:w="40" w:type="dxa"/>
            <w:vAlign w:val="bottom"/>
            <w:tcBorders>
              <w:bottom w:val="single" w:sz="8" w:color="auto"/>
            </w:tcBorders>
            <w:shd w:val="clear" w:color="auto" w:fill="CCEEFF"/>
          </w:tcPr>
          <w:p>
            <w:pPr>
              <w:spacing w:after="0"/>
              <w:rPr>
                <w:sz w:val="6"/>
                <w:szCs w:val="6"/>
                <w:color w:val="auto"/>
              </w:rPr>
            </w:pPr>
          </w:p>
        </w:tc>
        <w:tc>
          <w:tcPr>
            <w:tcW w:w="300" w:type="dxa"/>
            <w:vAlign w:val="bottom"/>
            <w:tcBorders>
              <w:bottom w:val="single" w:sz="8" w:color="auto"/>
            </w:tcBorders>
            <w:shd w:val="clear" w:color="auto" w:fill="CCEEFF"/>
          </w:tcPr>
          <w:p>
            <w:pPr>
              <w:spacing w:after="0"/>
              <w:rPr>
                <w:sz w:val="6"/>
                <w:szCs w:val="6"/>
                <w:color w:val="auto"/>
              </w:rPr>
            </w:pPr>
          </w:p>
        </w:tc>
        <w:tc>
          <w:tcPr>
            <w:tcW w:w="1000" w:type="dxa"/>
            <w:vAlign w:val="bottom"/>
            <w:tcBorders>
              <w:bottom w:val="single" w:sz="8" w:color="auto"/>
            </w:tcBorders>
            <w:vMerge w:val="continue"/>
            <w:shd w:val="clear" w:color="auto" w:fill="CCEEFF"/>
          </w:tcPr>
          <w:p>
            <w:pPr>
              <w:spacing w:after="0"/>
              <w:rPr>
                <w:sz w:val="6"/>
                <w:szCs w:val="6"/>
                <w:color w:val="auto"/>
              </w:rPr>
            </w:pP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71"/>
        </w:trPr>
        <w:tc>
          <w:tcPr>
            <w:tcW w:w="80" w:type="dxa"/>
            <w:vAlign w:val="bottom"/>
          </w:tcPr>
          <w:p>
            <w:pPr>
              <w:spacing w:after="0"/>
              <w:rPr>
                <w:sz w:val="14"/>
                <w:szCs w:val="14"/>
                <w:color w:val="auto"/>
              </w:rPr>
            </w:pPr>
          </w:p>
        </w:tc>
        <w:tc>
          <w:tcPr>
            <w:tcW w:w="4040" w:type="dxa"/>
            <w:vAlign w:val="bottom"/>
          </w:tcPr>
          <w:p>
            <w:pPr>
              <w:ind w:left="180"/>
              <w:spacing w:after="0"/>
              <w:rPr>
                <w:sz w:val="20"/>
                <w:szCs w:val="20"/>
                <w:color w:val="auto"/>
              </w:rPr>
            </w:pPr>
            <w:r>
              <w:rPr>
                <w:rFonts w:ascii="Arial" w:cs="Arial" w:eastAsia="Arial" w:hAnsi="Arial"/>
                <w:sz w:val="14"/>
                <w:szCs w:val="14"/>
                <w:color w:val="auto"/>
              </w:rPr>
              <w:t>AOCI before reclassifications, net of income tax</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vMerge w:val="restart"/>
          </w:tcPr>
          <w:p>
            <w:pPr>
              <w:jc w:val="right"/>
              <w:spacing w:after="0"/>
              <w:rPr>
                <w:sz w:val="20"/>
                <w:szCs w:val="20"/>
                <w:color w:val="auto"/>
              </w:rPr>
            </w:pPr>
            <w:r>
              <w:rPr>
                <w:rFonts w:ascii="Arial" w:cs="Arial" w:eastAsia="Arial" w:hAnsi="Arial"/>
                <w:sz w:val="14"/>
                <w:szCs w:val="14"/>
                <w:color w:val="auto"/>
              </w:rPr>
              <w:t>2,243</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vMerge w:val="restart"/>
          </w:tcPr>
          <w:p>
            <w:pPr>
              <w:jc w:val="right"/>
              <w:spacing w:after="0"/>
              <w:rPr>
                <w:sz w:val="20"/>
                <w:szCs w:val="20"/>
                <w:color w:val="auto"/>
              </w:rPr>
            </w:pPr>
            <w:r>
              <w:rPr>
                <w:rFonts w:ascii="Arial" w:cs="Arial" w:eastAsia="Arial" w:hAnsi="Arial"/>
                <w:sz w:val="14"/>
                <w:szCs w:val="14"/>
                <w:color w:val="auto"/>
              </w:rPr>
              <w:t>290</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20" w:type="dxa"/>
            <w:vAlign w:val="bottom"/>
            <w:vMerge w:val="restart"/>
          </w:tcPr>
          <w:p>
            <w:pPr>
              <w:jc w:val="right"/>
              <w:spacing w:after="0"/>
              <w:rPr>
                <w:sz w:val="20"/>
                <w:szCs w:val="20"/>
                <w:color w:val="auto"/>
              </w:rPr>
            </w:pPr>
            <w:r>
              <w:rPr>
                <w:rFonts w:ascii="Arial" w:cs="Arial" w:eastAsia="Arial" w:hAnsi="Arial"/>
                <w:sz w:val="14"/>
                <w:szCs w:val="14"/>
                <w:color w:val="auto"/>
                <w:w w:val="96"/>
              </w:rPr>
              <w:t>(33)</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vMerge w:val="restart"/>
          </w:tcPr>
          <w:p>
            <w:pPr>
              <w:jc w:val="right"/>
              <w:spacing w:after="0"/>
              <w:rPr>
                <w:sz w:val="20"/>
                <w:szCs w:val="20"/>
                <w:color w:val="auto"/>
              </w:rPr>
            </w:pPr>
            <w:r>
              <w:rPr>
                <w:rFonts w:ascii="Arial" w:cs="Arial" w:eastAsia="Arial" w:hAnsi="Arial"/>
                <w:sz w:val="14"/>
                <w:szCs w:val="14"/>
                <w:color w:val="auto"/>
              </w:rPr>
              <w:t>(19)</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vMerge w:val="restart"/>
          </w:tcPr>
          <w:p>
            <w:pPr>
              <w:jc w:val="right"/>
              <w:ind w:right="29"/>
              <w:spacing w:after="0"/>
              <w:rPr>
                <w:sz w:val="20"/>
                <w:szCs w:val="20"/>
                <w:color w:val="auto"/>
              </w:rPr>
            </w:pPr>
            <w:r>
              <w:rPr>
                <w:rFonts w:ascii="Arial" w:cs="Arial" w:eastAsia="Arial" w:hAnsi="Arial"/>
                <w:sz w:val="14"/>
                <w:szCs w:val="14"/>
                <w:color w:val="auto"/>
              </w:rPr>
              <w:t>2,481</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74"/>
        </w:trPr>
        <w:tc>
          <w:tcPr>
            <w:tcW w:w="80" w:type="dxa"/>
            <w:vAlign w:val="bottom"/>
          </w:tcPr>
          <w:p>
            <w:pPr>
              <w:spacing w:after="0"/>
              <w:rPr>
                <w:sz w:val="6"/>
                <w:szCs w:val="6"/>
                <w:color w:val="auto"/>
              </w:rPr>
            </w:pPr>
          </w:p>
        </w:tc>
        <w:tc>
          <w:tcPr>
            <w:tcW w:w="4040" w:type="dxa"/>
            <w:vAlign w:val="bottom"/>
            <w:tcBorders>
              <w:bottom w:val="single" w:sz="8" w:color="CCEEFF"/>
            </w:tcBorders>
          </w:tcPr>
          <w:p>
            <w:pPr>
              <w:spacing w:after="0"/>
              <w:rPr>
                <w:sz w:val="6"/>
                <w:szCs w:val="6"/>
                <w:color w:val="auto"/>
              </w:rPr>
            </w:pPr>
          </w:p>
        </w:tc>
        <w:tc>
          <w:tcPr>
            <w:tcW w:w="140" w:type="dxa"/>
            <w:vAlign w:val="bottom"/>
            <w:tcBorders>
              <w:bottom w:val="single" w:sz="8" w:color="CCEEFF"/>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126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114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20" w:type="dxa"/>
            <w:vAlign w:val="bottom"/>
            <w:tcBorders>
              <w:bottom w:val="single" w:sz="8" w:color="CCEEFF"/>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020" w:type="dxa"/>
            <w:vAlign w:val="bottom"/>
            <w:tcBorders>
              <w:bottom w:val="single" w:sz="8" w:color="auto"/>
            </w:tcBorders>
          </w:tcPr>
          <w:p>
            <w:pPr>
              <w:spacing w:after="0"/>
              <w:rPr>
                <w:sz w:val="6"/>
                <w:szCs w:val="6"/>
                <w:color w:val="auto"/>
              </w:rPr>
            </w:pPr>
          </w:p>
        </w:tc>
        <w:tc>
          <w:tcPr>
            <w:tcW w:w="320" w:type="dxa"/>
            <w:vAlign w:val="bottom"/>
            <w:tcBorders>
              <w:bottom w:val="single" w:sz="8" w:color="auto"/>
            </w:tcBorders>
            <w:vMerge w:val="continue"/>
          </w:tcPr>
          <w:p>
            <w:pPr>
              <w:spacing w:after="0"/>
              <w:rPr>
                <w:sz w:val="6"/>
                <w:szCs w:val="6"/>
                <w:color w:val="auto"/>
              </w:rPr>
            </w:pPr>
          </w:p>
        </w:tc>
        <w:tc>
          <w:tcPr>
            <w:tcW w:w="40" w:type="dxa"/>
            <w:vAlign w:val="bottom"/>
            <w:tcBorders>
              <w:bottom w:val="single" w:sz="8" w:color="CCEEFF"/>
            </w:tcBorders>
          </w:tcPr>
          <w:p>
            <w:pPr>
              <w:spacing w:after="0"/>
              <w:rPr>
                <w:sz w:val="6"/>
                <w:szCs w:val="6"/>
                <w:color w:val="auto"/>
              </w:rPr>
            </w:pPr>
          </w:p>
        </w:tc>
        <w:tc>
          <w:tcPr>
            <w:tcW w:w="80" w:type="dxa"/>
            <w:vAlign w:val="bottom"/>
            <w:tcBorders>
              <w:bottom w:val="single" w:sz="8" w:color="CCEEFF"/>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980" w:type="dxa"/>
            <w:vAlign w:val="bottom"/>
            <w:tcBorders>
              <w:bottom w:val="single" w:sz="8" w:color="auto"/>
            </w:tcBorders>
            <w:vMerge w:val="continue"/>
          </w:tcPr>
          <w:p>
            <w:pPr>
              <w:spacing w:after="0"/>
              <w:rPr>
                <w:sz w:val="6"/>
                <w:szCs w:val="6"/>
                <w:color w:val="auto"/>
              </w:rPr>
            </w:pPr>
          </w:p>
        </w:tc>
        <w:tc>
          <w:tcPr>
            <w:tcW w:w="40" w:type="dxa"/>
            <w:vAlign w:val="bottom"/>
            <w:tcBorders>
              <w:bottom w:val="single" w:sz="8" w:color="CCEEFF"/>
            </w:tcBorders>
          </w:tcPr>
          <w:p>
            <w:pPr>
              <w:spacing w:after="0"/>
              <w:rPr>
                <w:sz w:val="6"/>
                <w:szCs w:val="6"/>
                <w:color w:val="auto"/>
              </w:rPr>
            </w:pPr>
          </w:p>
        </w:tc>
        <w:tc>
          <w:tcPr>
            <w:tcW w:w="60" w:type="dxa"/>
            <w:vAlign w:val="bottom"/>
            <w:tcBorders>
              <w:bottom w:val="single" w:sz="8" w:color="CCEEFF"/>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1000" w:type="dxa"/>
            <w:vAlign w:val="bottom"/>
            <w:tcBorders>
              <w:bottom w:val="single" w:sz="8" w:color="auto"/>
            </w:tcBorders>
            <w:vMerge w:val="continue"/>
          </w:tcPr>
          <w:p>
            <w:pPr>
              <w:spacing w:after="0"/>
              <w:rPr>
                <w:sz w:val="6"/>
                <w:szCs w:val="6"/>
                <w:color w:val="auto"/>
              </w:rPr>
            </w:pP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56"/>
        </w:trPr>
        <w:tc>
          <w:tcPr>
            <w:tcW w:w="80" w:type="dxa"/>
            <w:vAlign w:val="bottom"/>
          </w:tcPr>
          <w:p>
            <w:pPr>
              <w:spacing w:after="0"/>
              <w:rPr>
                <w:sz w:val="22"/>
                <w:szCs w:val="22"/>
                <w:color w:val="auto"/>
              </w:rPr>
            </w:pPr>
          </w:p>
        </w:tc>
        <w:tc>
          <w:tcPr>
            <w:tcW w:w="4040" w:type="dxa"/>
            <w:vAlign w:val="bottom"/>
            <w:shd w:val="clear" w:color="auto" w:fill="CCEEFF"/>
          </w:tcPr>
          <w:p>
            <w:pPr>
              <w:ind w:left="20"/>
              <w:spacing w:after="0"/>
              <w:rPr>
                <w:sz w:val="20"/>
                <w:szCs w:val="20"/>
                <w:color w:val="auto"/>
              </w:rPr>
            </w:pPr>
            <w:r>
              <w:rPr>
                <w:rFonts w:ascii="Arial" w:cs="Arial" w:eastAsia="Arial" w:hAnsi="Arial"/>
                <w:sz w:val="14"/>
                <w:szCs w:val="14"/>
                <w:color w:val="auto"/>
              </w:rPr>
              <w:t>Amounts reclassified from AOCI</w:t>
            </w:r>
          </w:p>
        </w:tc>
        <w:tc>
          <w:tcPr>
            <w:tcW w:w="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3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(56)</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2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(8)</w:t>
            </w: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3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(64)</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1"/>
        </w:trPr>
        <w:tc>
          <w:tcPr>
            <w:tcW w:w="80" w:type="dxa"/>
            <w:vAlign w:val="bottom"/>
          </w:tcPr>
          <w:p>
            <w:pPr>
              <w:spacing w:after="0"/>
              <w:rPr>
                <w:sz w:val="16"/>
                <w:szCs w:val="16"/>
                <w:color w:val="auto"/>
              </w:rPr>
            </w:pPr>
          </w:p>
        </w:tc>
        <w:tc>
          <w:tcPr>
            <w:tcW w:w="4040" w:type="dxa"/>
            <w:vAlign w:val="bottom"/>
          </w:tcPr>
          <w:p>
            <w:pPr>
              <w:ind w:left="20"/>
              <w:spacing w:after="0"/>
              <w:rPr>
                <w:sz w:val="20"/>
                <w:szCs w:val="20"/>
                <w:color w:val="auto"/>
              </w:rPr>
            </w:pPr>
            <w:r>
              <w:rPr>
                <w:rFonts w:ascii="Arial" w:cs="Arial" w:eastAsia="Arial" w:hAnsi="Arial"/>
                <w:sz w:val="14"/>
                <w:szCs w:val="14"/>
                <w:color w:val="auto"/>
              </w:rPr>
              <w:t>Deferred income tax benefit (expense)</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vMerge w:val="restart"/>
          </w:tcPr>
          <w:p>
            <w:pPr>
              <w:jc w:val="right"/>
              <w:spacing w:after="0"/>
              <w:rPr>
                <w:sz w:val="20"/>
                <w:szCs w:val="20"/>
                <w:color w:val="auto"/>
              </w:rPr>
            </w:pPr>
            <w:r>
              <w:rPr>
                <w:rFonts w:ascii="Arial" w:cs="Arial" w:eastAsia="Arial" w:hAnsi="Arial"/>
                <w:sz w:val="14"/>
                <w:szCs w:val="14"/>
                <w:color w:val="auto"/>
              </w:rPr>
              <w:t>20</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vMerge w:val="restart"/>
          </w:tcPr>
          <w:p>
            <w:pPr>
              <w:jc w:val="right"/>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32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40" w:type="dxa"/>
            <w:vAlign w:val="bottom"/>
            <w:vMerge w:val="restart"/>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vMerge w:val="restart"/>
          </w:tcPr>
          <w:p>
            <w:pPr>
              <w:jc w:val="right"/>
              <w:ind w:right="45"/>
              <w:spacing w:after="0"/>
              <w:rPr>
                <w:sz w:val="20"/>
                <w:szCs w:val="20"/>
                <w:color w:val="auto"/>
              </w:rPr>
            </w:pPr>
            <w:r>
              <w:rPr>
                <w:rFonts w:ascii="Arial" w:cs="Arial" w:eastAsia="Arial" w:hAnsi="Arial"/>
                <w:sz w:val="14"/>
                <w:szCs w:val="14"/>
                <w:color w:val="auto"/>
              </w:rPr>
              <w:t>—</w:t>
            </w:r>
          </w:p>
        </w:tc>
        <w:tc>
          <w:tcPr>
            <w:tcW w:w="40" w:type="dxa"/>
            <w:vAlign w:val="bottom"/>
            <w:vMerge w:val="restart"/>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vMerge w:val="restart"/>
          </w:tcPr>
          <w:p>
            <w:pPr>
              <w:jc w:val="right"/>
              <w:ind w:right="29"/>
              <w:spacing w:after="0"/>
              <w:rPr>
                <w:sz w:val="20"/>
                <w:szCs w:val="20"/>
                <w:color w:val="auto"/>
              </w:rPr>
            </w:pPr>
            <w:r>
              <w:rPr>
                <w:rFonts w:ascii="Arial" w:cs="Arial" w:eastAsia="Arial" w:hAnsi="Arial"/>
                <w:sz w:val="14"/>
                <w:szCs w:val="14"/>
                <w:color w:val="auto"/>
              </w:rPr>
              <w:t>22</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4"/>
        </w:trPr>
        <w:tc>
          <w:tcPr>
            <w:tcW w:w="80" w:type="dxa"/>
            <w:vAlign w:val="bottom"/>
          </w:tcPr>
          <w:p>
            <w:pPr>
              <w:spacing w:after="0"/>
              <w:rPr>
                <w:sz w:val="6"/>
                <w:szCs w:val="6"/>
                <w:color w:val="auto"/>
              </w:rPr>
            </w:pPr>
          </w:p>
        </w:tc>
        <w:tc>
          <w:tcPr>
            <w:tcW w:w="4040" w:type="dxa"/>
            <w:vAlign w:val="bottom"/>
            <w:tcBorders>
              <w:bottom w:val="single" w:sz="8" w:color="CCEEFF"/>
            </w:tcBorders>
          </w:tcPr>
          <w:p>
            <w:pPr>
              <w:spacing w:after="0"/>
              <w:rPr>
                <w:sz w:val="6"/>
                <w:szCs w:val="6"/>
                <w:color w:val="auto"/>
              </w:rPr>
            </w:pPr>
          </w:p>
        </w:tc>
        <w:tc>
          <w:tcPr>
            <w:tcW w:w="140" w:type="dxa"/>
            <w:vAlign w:val="bottom"/>
            <w:tcBorders>
              <w:bottom w:val="single" w:sz="8" w:color="CCEEFF"/>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126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114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20" w:type="dxa"/>
            <w:vAlign w:val="bottom"/>
            <w:tcBorders>
              <w:bottom w:val="single" w:sz="8" w:color="CCEEFF"/>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020" w:type="dxa"/>
            <w:vAlign w:val="bottom"/>
            <w:tcBorders>
              <w:bottom w:val="single" w:sz="8" w:color="auto"/>
            </w:tcBorders>
          </w:tcPr>
          <w:p>
            <w:pPr>
              <w:spacing w:after="0"/>
              <w:rPr>
                <w:sz w:val="6"/>
                <w:szCs w:val="6"/>
                <w:color w:val="auto"/>
              </w:rPr>
            </w:pPr>
          </w:p>
        </w:tc>
        <w:tc>
          <w:tcPr>
            <w:tcW w:w="320" w:type="dxa"/>
            <w:vAlign w:val="bottom"/>
            <w:tcBorders>
              <w:bottom w:val="single" w:sz="8" w:color="auto"/>
            </w:tcBorders>
            <w:vMerge w:val="continue"/>
          </w:tcPr>
          <w:p>
            <w:pPr>
              <w:spacing w:after="0"/>
              <w:rPr>
                <w:sz w:val="6"/>
                <w:szCs w:val="6"/>
                <w:color w:val="auto"/>
              </w:rPr>
            </w:pPr>
          </w:p>
        </w:tc>
        <w:tc>
          <w:tcPr>
            <w:tcW w:w="40" w:type="dxa"/>
            <w:vAlign w:val="bottom"/>
            <w:tcBorders>
              <w:bottom w:val="single" w:sz="8" w:color="CCEEFF"/>
            </w:tcBorders>
            <w:vMerge w:val="continue"/>
          </w:tcPr>
          <w:p>
            <w:pPr>
              <w:spacing w:after="0"/>
              <w:rPr>
                <w:sz w:val="6"/>
                <w:szCs w:val="6"/>
                <w:color w:val="auto"/>
              </w:rPr>
            </w:pPr>
          </w:p>
        </w:tc>
        <w:tc>
          <w:tcPr>
            <w:tcW w:w="80" w:type="dxa"/>
            <w:vAlign w:val="bottom"/>
            <w:tcBorders>
              <w:bottom w:val="single" w:sz="8" w:color="CCEEFF"/>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980" w:type="dxa"/>
            <w:vAlign w:val="bottom"/>
            <w:tcBorders>
              <w:bottom w:val="single" w:sz="8" w:color="auto"/>
            </w:tcBorders>
            <w:vMerge w:val="continue"/>
          </w:tcPr>
          <w:p>
            <w:pPr>
              <w:spacing w:after="0"/>
              <w:rPr>
                <w:sz w:val="6"/>
                <w:szCs w:val="6"/>
                <w:color w:val="auto"/>
              </w:rPr>
            </w:pPr>
          </w:p>
        </w:tc>
        <w:tc>
          <w:tcPr>
            <w:tcW w:w="40" w:type="dxa"/>
            <w:vAlign w:val="bottom"/>
            <w:tcBorders>
              <w:bottom w:val="single" w:sz="8" w:color="CCEEFF"/>
            </w:tcBorders>
            <w:vMerge w:val="continue"/>
          </w:tcPr>
          <w:p>
            <w:pPr>
              <w:spacing w:after="0"/>
              <w:rPr>
                <w:sz w:val="6"/>
                <w:szCs w:val="6"/>
                <w:color w:val="auto"/>
              </w:rPr>
            </w:pPr>
          </w:p>
        </w:tc>
        <w:tc>
          <w:tcPr>
            <w:tcW w:w="60" w:type="dxa"/>
            <w:vAlign w:val="bottom"/>
            <w:tcBorders>
              <w:bottom w:val="single" w:sz="8" w:color="CCEEFF"/>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1000" w:type="dxa"/>
            <w:vAlign w:val="bottom"/>
            <w:tcBorders>
              <w:bottom w:val="single" w:sz="8" w:color="auto"/>
            </w:tcBorders>
            <w:vMerge w:val="continue"/>
          </w:tcPr>
          <w:p>
            <w:pPr>
              <w:spacing w:after="0"/>
              <w:rPr>
                <w:sz w:val="6"/>
                <w:szCs w:val="6"/>
                <w:color w:val="auto"/>
              </w:rPr>
            </w:pP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80" w:type="dxa"/>
            <w:vAlign w:val="bottom"/>
          </w:tcPr>
          <w:p>
            <w:pPr>
              <w:spacing w:after="0"/>
              <w:rPr>
                <w:sz w:val="15"/>
                <w:szCs w:val="15"/>
                <w:color w:val="auto"/>
              </w:rPr>
            </w:pPr>
          </w:p>
        </w:tc>
        <w:tc>
          <w:tcPr>
            <w:tcW w:w="40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Amounts reclassified from AOCI, net of income tax</w:t>
            </w: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8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4"/>
                <w:szCs w:val="14"/>
                <w:color w:val="auto"/>
              </w:rPr>
              <w:t>(36)</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4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4"/>
                <w:szCs w:val="14"/>
                <w:color w:val="auto"/>
              </w:rPr>
              <w:t>(6)</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32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40" w:type="dxa"/>
            <w:vAlign w:val="bottom"/>
            <w:vMerge w:val="restart"/>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80" w:type="dxa"/>
            <w:vAlign w:val="bottom"/>
            <w:vMerge w:val="restart"/>
            <w:shd w:val="clear" w:color="auto" w:fill="CCEEFF"/>
          </w:tcPr>
          <w:p>
            <w:pPr>
              <w:jc w:val="right"/>
              <w:ind w:right="45"/>
              <w:spacing w:after="0"/>
              <w:rPr>
                <w:sz w:val="20"/>
                <w:szCs w:val="20"/>
                <w:color w:val="auto"/>
              </w:rPr>
            </w:pPr>
            <w:r>
              <w:rPr>
                <w:rFonts w:ascii="Arial" w:cs="Arial" w:eastAsia="Arial" w:hAnsi="Arial"/>
                <w:sz w:val="14"/>
                <w:szCs w:val="14"/>
                <w:color w:val="auto"/>
              </w:rPr>
              <w:t>—</w:t>
            </w:r>
          </w:p>
        </w:tc>
        <w:tc>
          <w:tcPr>
            <w:tcW w:w="40" w:type="dxa"/>
            <w:vAlign w:val="bottom"/>
            <w:vMerge w:val="restart"/>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(42)</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0"/>
        </w:trPr>
        <w:tc>
          <w:tcPr>
            <w:tcW w:w="80" w:type="dxa"/>
            <w:vAlign w:val="bottom"/>
          </w:tcPr>
          <w:p>
            <w:pPr>
              <w:spacing w:after="0"/>
              <w:rPr>
                <w:sz w:val="6"/>
                <w:szCs w:val="6"/>
                <w:color w:val="auto"/>
              </w:rPr>
            </w:pPr>
          </w:p>
        </w:tc>
        <w:tc>
          <w:tcPr>
            <w:tcW w:w="404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00" w:type="dxa"/>
            <w:vAlign w:val="bottom"/>
            <w:tcBorders>
              <w:bottom w:val="single" w:sz="8" w:color="auto"/>
            </w:tcBorders>
            <w:shd w:val="clear" w:color="auto" w:fill="CCEEFF"/>
          </w:tcPr>
          <w:p>
            <w:pPr>
              <w:spacing w:after="0"/>
              <w:rPr>
                <w:sz w:val="6"/>
                <w:szCs w:val="6"/>
                <w:color w:val="auto"/>
              </w:rPr>
            </w:pPr>
          </w:p>
        </w:tc>
        <w:tc>
          <w:tcPr>
            <w:tcW w:w="1380" w:type="dxa"/>
            <w:vAlign w:val="bottom"/>
            <w:tcBorders>
              <w:bottom w:val="single" w:sz="8" w:color="auto"/>
            </w:tcBorders>
            <w:gridSpan w:val="2"/>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tcBorders>
              <w:bottom w:val="single" w:sz="8" w:color="auto"/>
            </w:tcBorders>
            <w:shd w:val="clear" w:color="auto" w:fill="CCEEFF"/>
          </w:tcPr>
          <w:p>
            <w:pPr>
              <w:spacing w:after="0"/>
              <w:rPr>
                <w:sz w:val="6"/>
                <w:szCs w:val="6"/>
                <w:color w:val="auto"/>
              </w:rPr>
            </w:pPr>
          </w:p>
        </w:tc>
        <w:tc>
          <w:tcPr>
            <w:tcW w:w="1240" w:type="dxa"/>
            <w:vAlign w:val="bottom"/>
            <w:tcBorders>
              <w:bottom w:val="single" w:sz="8" w:color="auto"/>
            </w:tcBorders>
            <w:gridSpan w:val="2"/>
            <w:vMerge w:val="continue"/>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20" w:type="dxa"/>
            <w:vAlign w:val="bottom"/>
            <w:tcBorders>
              <w:bottom w:val="single" w:sz="8" w:color="auto"/>
            </w:tcBorders>
            <w:shd w:val="clear" w:color="auto" w:fill="CCEEFF"/>
          </w:tcPr>
          <w:p>
            <w:pPr>
              <w:spacing w:after="0"/>
              <w:rPr>
                <w:sz w:val="6"/>
                <w:szCs w:val="6"/>
                <w:color w:val="auto"/>
              </w:rPr>
            </w:pPr>
          </w:p>
        </w:tc>
        <w:tc>
          <w:tcPr>
            <w:tcW w:w="320" w:type="dxa"/>
            <w:vAlign w:val="bottom"/>
            <w:tcBorders>
              <w:bottom w:val="single" w:sz="8" w:color="auto"/>
            </w:tcBorders>
            <w:vMerge w:val="continue"/>
            <w:shd w:val="clear" w:color="auto" w:fill="CCEEFF"/>
          </w:tcPr>
          <w:p>
            <w:pPr>
              <w:spacing w:after="0"/>
              <w:rPr>
                <w:sz w:val="6"/>
                <w:szCs w:val="6"/>
                <w:color w:val="auto"/>
              </w:rPr>
            </w:pPr>
          </w:p>
        </w:tc>
        <w:tc>
          <w:tcPr>
            <w:tcW w:w="40" w:type="dxa"/>
            <w:vAlign w:val="bottom"/>
            <w:vMerge w:val="continue"/>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20" w:type="dxa"/>
            <w:vAlign w:val="bottom"/>
            <w:tcBorders>
              <w:bottom w:val="single" w:sz="8" w:color="auto"/>
            </w:tcBorders>
            <w:shd w:val="clear" w:color="auto" w:fill="CCEEFF"/>
          </w:tcPr>
          <w:p>
            <w:pPr>
              <w:spacing w:after="0"/>
              <w:rPr>
                <w:sz w:val="6"/>
                <w:szCs w:val="6"/>
                <w:color w:val="auto"/>
              </w:rPr>
            </w:pPr>
          </w:p>
        </w:tc>
        <w:tc>
          <w:tcPr>
            <w:tcW w:w="100" w:type="dxa"/>
            <w:vAlign w:val="bottom"/>
            <w:tcBorders>
              <w:bottom w:val="single" w:sz="8" w:color="auto"/>
            </w:tcBorders>
            <w:shd w:val="clear" w:color="auto" w:fill="CCEEFF"/>
          </w:tcPr>
          <w:p>
            <w:pPr>
              <w:spacing w:after="0"/>
              <w:rPr>
                <w:sz w:val="6"/>
                <w:szCs w:val="6"/>
                <w:color w:val="auto"/>
              </w:rPr>
            </w:pPr>
          </w:p>
        </w:tc>
        <w:tc>
          <w:tcPr>
            <w:tcW w:w="980" w:type="dxa"/>
            <w:vAlign w:val="bottom"/>
            <w:tcBorders>
              <w:bottom w:val="single" w:sz="8" w:color="auto"/>
            </w:tcBorders>
            <w:vMerge w:val="continue"/>
            <w:shd w:val="clear" w:color="auto" w:fill="CCEEFF"/>
          </w:tcPr>
          <w:p>
            <w:pPr>
              <w:spacing w:after="0"/>
              <w:rPr>
                <w:sz w:val="6"/>
                <w:szCs w:val="6"/>
                <w:color w:val="auto"/>
              </w:rPr>
            </w:pPr>
          </w:p>
        </w:tc>
        <w:tc>
          <w:tcPr>
            <w:tcW w:w="40" w:type="dxa"/>
            <w:vAlign w:val="bottom"/>
            <w:vMerge w:val="continue"/>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c>
          <w:tcPr>
            <w:tcW w:w="40" w:type="dxa"/>
            <w:vAlign w:val="bottom"/>
            <w:tcBorders>
              <w:bottom w:val="single" w:sz="8" w:color="auto"/>
            </w:tcBorders>
            <w:shd w:val="clear" w:color="auto" w:fill="CCEEFF"/>
          </w:tcPr>
          <w:p>
            <w:pPr>
              <w:spacing w:after="0"/>
              <w:rPr>
                <w:sz w:val="6"/>
                <w:szCs w:val="6"/>
                <w:color w:val="auto"/>
              </w:rPr>
            </w:pPr>
          </w:p>
        </w:tc>
        <w:tc>
          <w:tcPr>
            <w:tcW w:w="300" w:type="dxa"/>
            <w:vAlign w:val="bottom"/>
            <w:tcBorders>
              <w:bottom w:val="single" w:sz="8" w:color="auto"/>
            </w:tcBorders>
            <w:shd w:val="clear" w:color="auto" w:fill="CCEEFF"/>
          </w:tcPr>
          <w:p>
            <w:pPr>
              <w:spacing w:after="0"/>
              <w:rPr>
                <w:sz w:val="6"/>
                <w:szCs w:val="6"/>
                <w:color w:val="auto"/>
              </w:rPr>
            </w:pPr>
          </w:p>
        </w:tc>
        <w:tc>
          <w:tcPr>
            <w:tcW w:w="1000" w:type="dxa"/>
            <w:vAlign w:val="bottom"/>
            <w:tcBorders>
              <w:bottom w:val="single" w:sz="8" w:color="auto"/>
            </w:tcBorders>
            <w:vMerge w:val="continue"/>
            <w:shd w:val="clear" w:color="auto" w:fill="CCEEFF"/>
          </w:tcPr>
          <w:p>
            <w:pPr>
              <w:spacing w:after="0"/>
              <w:rPr>
                <w:sz w:val="6"/>
                <w:szCs w:val="6"/>
                <w:color w:val="auto"/>
              </w:rPr>
            </w:pP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71"/>
        </w:trPr>
        <w:tc>
          <w:tcPr>
            <w:tcW w:w="80" w:type="dxa"/>
            <w:vAlign w:val="bottom"/>
          </w:tcPr>
          <w:p>
            <w:pPr>
              <w:spacing w:after="0"/>
              <w:rPr>
                <w:sz w:val="14"/>
                <w:szCs w:val="14"/>
                <w:color w:val="auto"/>
              </w:rPr>
            </w:pPr>
          </w:p>
        </w:tc>
        <w:tc>
          <w:tcPr>
            <w:tcW w:w="4040" w:type="dxa"/>
            <w:vAlign w:val="bottom"/>
          </w:tcPr>
          <w:p>
            <w:pPr>
              <w:ind w:left="20"/>
              <w:spacing w:after="0"/>
              <w:rPr>
                <w:sz w:val="20"/>
                <w:szCs w:val="20"/>
                <w:color w:val="auto"/>
              </w:rPr>
            </w:pPr>
            <w:r>
              <w:rPr>
                <w:rFonts w:ascii="Arial" w:cs="Arial" w:eastAsia="Arial" w:hAnsi="Arial"/>
                <w:sz w:val="14"/>
                <w:szCs w:val="14"/>
                <w:color w:val="auto"/>
              </w:rPr>
              <w:t>Balance, end of period</w:t>
            </w:r>
          </w:p>
        </w:tc>
        <w:tc>
          <w:tcPr>
            <w:tcW w:w="240" w:type="dxa"/>
            <w:vAlign w:val="bottom"/>
            <w:gridSpan w:val="2"/>
            <w:vMerge w:val="restart"/>
          </w:tcPr>
          <w:p>
            <w:pPr>
              <w:jc w:val="right"/>
              <w:spacing w:after="0"/>
              <w:rPr>
                <w:sz w:val="20"/>
                <w:szCs w:val="20"/>
                <w:color w:val="auto"/>
              </w:rPr>
            </w:pPr>
            <w:r>
              <w:rPr>
                <w:rFonts w:ascii="Arial" w:cs="Arial" w:eastAsia="Arial" w:hAnsi="Arial"/>
                <w:sz w:val="14"/>
                <w:szCs w:val="14"/>
                <w:color w:val="auto"/>
              </w:rPr>
              <w:t>$</w:t>
            </w:r>
          </w:p>
        </w:tc>
        <w:tc>
          <w:tcPr>
            <w:tcW w:w="1260" w:type="dxa"/>
            <w:vAlign w:val="bottom"/>
            <w:vMerge w:val="restart"/>
          </w:tcPr>
          <w:p>
            <w:pPr>
              <w:jc w:val="right"/>
              <w:spacing w:after="0"/>
              <w:rPr>
                <w:sz w:val="20"/>
                <w:szCs w:val="20"/>
                <w:color w:val="auto"/>
              </w:rPr>
            </w:pPr>
            <w:r>
              <w:rPr>
                <w:rFonts w:ascii="Arial" w:cs="Arial" w:eastAsia="Arial" w:hAnsi="Arial"/>
                <w:sz w:val="14"/>
                <w:szCs w:val="14"/>
                <w:color w:val="auto"/>
              </w:rPr>
              <w:t>2,207</w:t>
            </w:r>
          </w:p>
        </w:tc>
        <w:tc>
          <w:tcPr>
            <w:tcW w:w="120" w:type="dxa"/>
            <w:vAlign w:val="bottom"/>
          </w:tcPr>
          <w:p>
            <w:pPr>
              <w:spacing w:after="0"/>
              <w:rPr>
                <w:sz w:val="14"/>
                <w:szCs w:val="14"/>
                <w:color w:val="auto"/>
              </w:rPr>
            </w:pPr>
          </w:p>
        </w:tc>
        <w:tc>
          <w:tcPr>
            <w:tcW w:w="260" w:type="dxa"/>
            <w:vAlign w:val="bottom"/>
            <w:gridSpan w:val="2"/>
            <w:vMerge w:val="restart"/>
          </w:tcPr>
          <w:p>
            <w:pPr>
              <w:jc w:val="right"/>
              <w:ind w:right="40"/>
              <w:spacing w:after="0"/>
              <w:rPr>
                <w:sz w:val="20"/>
                <w:szCs w:val="20"/>
                <w:color w:val="auto"/>
              </w:rPr>
            </w:pPr>
            <w:r>
              <w:rPr>
                <w:rFonts w:ascii="Arial" w:cs="Arial" w:eastAsia="Arial" w:hAnsi="Arial"/>
                <w:sz w:val="14"/>
                <w:szCs w:val="14"/>
                <w:color w:val="auto"/>
              </w:rPr>
              <w:t>$</w:t>
            </w:r>
          </w:p>
        </w:tc>
        <w:tc>
          <w:tcPr>
            <w:tcW w:w="1140" w:type="dxa"/>
            <w:vAlign w:val="bottom"/>
            <w:vMerge w:val="restart"/>
          </w:tcPr>
          <w:p>
            <w:pPr>
              <w:jc w:val="right"/>
              <w:spacing w:after="0"/>
              <w:rPr>
                <w:sz w:val="20"/>
                <w:szCs w:val="20"/>
                <w:color w:val="auto"/>
              </w:rPr>
            </w:pPr>
            <w:r>
              <w:rPr>
                <w:rFonts w:ascii="Arial" w:cs="Arial" w:eastAsia="Arial" w:hAnsi="Arial"/>
                <w:sz w:val="14"/>
                <w:szCs w:val="14"/>
                <w:color w:val="auto"/>
              </w:rPr>
              <w:t>284</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20" w:type="dxa"/>
            <w:vAlign w:val="bottom"/>
            <w:gridSpan w:val="2"/>
            <w:vMerge w:val="restart"/>
          </w:tcPr>
          <w:p>
            <w:pPr>
              <w:jc w:val="right"/>
              <w:ind w:right="857"/>
              <w:spacing w:after="0"/>
              <w:rPr>
                <w:sz w:val="20"/>
                <w:szCs w:val="20"/>
                <w:color w:val="auto"/>
              </w:rPr>
            </w:pPr>
            <w:r>
              <w:rPr>
                <w:rFonts w:ascii="Arial" w:cs="Arial" w:eastAsia="Arial" w:hAnsi="Arial"/>
                <w:sz w:val="14"/>
                <w:szCs w:val="14"/>
                <w:color w:val="auto"/>
              </w:rPr>
              <w:t>$</w:t>
            </w:r>
          </w:p>
        </w:tc>
        <w:tc>
          <w:tcPr>
            <w:tcW w:w="320" w:type="dxa"/>
            <w:vAlign w:val="bottom"/>
            <w:vMerge w:val="restart"/>
          </w:tcPr>
          <w:p>
            <w:pPr>
              <w:jc w:val="right"/>
              <w:spacing w:after="0"/>
              <w:rPr>
                <w:sz w:val="20"/>
                <w:szCs w:val="20"/>
                <w:color w:val="auto"/>
              </w:rPr>
            </w:pPr>
            <w:r>
              <w:rPr>
                <w:rFonts w:ascii="Arial" w:cs="Arial" w:eastAsia="Arial" w:hAnsi="Arial"/>
                <w:sz w:val="14"/>
                <w:szCs w:val="14"/>
                <w:color w:val="auto"/>
                <w:w w:val="96"/>
              </w:rPr>
              <w:t>(33)</w:t>
            </w:r>
          </w:p>
        </w:tc>
        <w:tc>
          <w:tcPr>
            <w:tcW w:w="40" w:type="dxa"/>
            <w:vAlign w:val="bottom"/>
          </w:tcPr>
          <w:p>
            <w:pPr>
              <w:spacing w:after="0"/>
              <w:rPr>
                <w:sz w:val="14"/>
                <w:szCs w:val="14"/>
                <w:color w:val="auto"/>
              </w:rPr>
            </w:pPr>
          </w:p>
        </w:tc>
        <w:tc>
          <w:tcPr>
            <w:tcW w:w="200" w:type="dxa"/>
            <w:vAlign w:val="bottom"/>
            <w:gridSpan w:val="3"/>
            <w:vMerge w:val="restart"/>
          </w:tcPr>
          <w:p>
            <w:pPr>
              <w:ind w:left="100"/>
              <w:spacing w:after="0"/>
              <w:rPr>
                <w:sz w:val="20"/>
                <w:szCs w:val="20"/>
                <w:color w:val="auto"/>
              </w:rPr>
            </w:pPr>
            <w:r>
              <w:rPr>
                <w:rFonts w:ascii="Arial" w:cs="Arial" w:eastAsia="Arial" w:hAnsi="Arial"/>
                <w:sz w:val="14"/>
                <w:szCs w:val="14"/>
                <w:color w:val="auto"/>
              </w:rPr>
              <w:t>$</w:t>
            </w:r>
          </w:p>
        </w:tc>
        <w:tc>
          <w:tcPr>
            <w:tcW w:w="980" w:type="dxa"/>
            <w:vAlign w:val="bottom"/>
            <w:vMerge w:val="restart"/>
          </w:tcPr>
          <w:p>
            <w:pPr>
              <w:jc w:val="right"/>
              <w:spacing w:after="0"/>
              <w:rPr>
                <w:sz w:val="20"/>
                <w:szCs w:val="20"/>
                <w:color w:val="auto"/>
              </w:rPr>
            </w:pPr>
            <w:r>
              <w:rPr>
                <w:rFonts w:ascii="Arial" w:cs="Arial" w:eastAsia="Arial" w:hAnsi="Arial"/>
                <w:sz w:val="14"/>
                <w:szCs w:val="14"/>
                <w:color w:val="auto"/>
              </w:rPr>
              <w:t>(19)</w:t>
            </w:r>
          </w:p>
        </w:tc>
        <w:tc>
          <w:tcPr>
            <w:tcW w:w="40" w:type="dxa"/>
            <w:vAlign w:val="bottom"/>
          </w:tcPr>
          <w:p>
            <w:pPr>
              <w:spacing w:after="0"/>
              <w:rPr>
                <w:sz w:val="14"/>
                <w:szCs w:val="14"/>
                <w:color w:val="auto"/>
              </w:rPr>
            </w:pPr>
          </w:p>
        </w:tc>
        <w:tc>
          <w:tcPr>
            <w:tcW w:w="400" w:type="dxa"/>
            <w:vAlign w:val="bottom"/>
            <w:gridSpan w:val="3"/>
            <w:vMerge w:val="restart"/>
          </w:tcPr>
          <w:p>
            <w:pPr>
              <w:jc w:val="right"/>
              <w:ind w:right="240"/>
              <w:spacing w:after="0"/>
              <w:rPr>
                <w:sz w:val="20"/>
                <w:szCs w:val="20"/>
                <w:color w:val="auto"/>
              </w:rPr>
            </w:pPr>
            <w:r>
              <w:rPr>
                <w:rFonts w:ascii="Arial" w:cs="Arial" w:eastAsia="Arial" w:hAnsi="Arial"/>
                <w:sz w:val="14"/>
                <w:szCs w:val="14"/>
                <w:color w:val="auto"/>
              </w:rPr>
              <w:t>$</w:t>
            </w:r>
          </w:p>
        </w:tc>
        <w:tc>
          <w:tcPr>
            <w:tcW w:w="1000" w:type="dxa"/>
            <w:vAlign w:val="bottom"/>
            <w:vMerge w:val="restart"/>
          </w:tcPr>
          <w:p>
            <w:pPr>
              <w:jc w:val="right"/>
              <w:ind w:right="29"/>
              <w:spacing w:after="0"/>
              <w:rPr>
                <w:sz w:val="20"/>
                <w:szCs w:val="20"/>
                <w:color w:val="auto"/>
              </w:rPr>
            </w:pPr>
            <w:r>
              <w:rPr>
                <w:rFonts w:ascii="Arial" w:cs="Arial" w:eastAsia="Arial" w:hAnsi="Arial"/>
                <w:sz w:val="14"/>
                <w:szCs w:val="14"/>
                <w:color w:val="auto"/>
              </w:rPr>
              <w:t>2,439</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0"/>
        </w:trPr>
        <w:tc>
          <w:tcPr>
            <w:tcW w:w="80" w:type="dxa"/>
            <w:vAlign w:val="bottom"/>
          </w:tcPr>
          <w:p>
            <w:pPr>
              <w:spacing w:after="0"/>
              <w:rPr>
                <w:sz w:val="5"/>
                <w:szCs w:val="5"/>
                <w:color w:val="auto"/>
              </w:rPr>
            </w:pPr>
          </w:p>
        </w:tc>
        <w:tc>
          <w:tcPr>
            <w:tcW w:w="4040" w:type="dxa"/>
            <w:vAlign w:val="bottom"/>
          </w:tcPr>
          <w:p>
            <w:pPr>
              <w:spacing w:after="0"/>
              <w:rPr>
                <w:sz w:val="5"/>
                <w:szCs w:val="5"/>
                <w:color w:val="auto"/>
              </w:rPr>
            </w:pPr>
          </w:p>
        </w:tc>
        <w:tc>
          <w:tcPr>
            <w:tcW w:w="240" w:type="dxa"/>
            <w:vAlign w:val="bottom"/>
            <w:gridSpan w:val="2"/>
            <w:vMerge w:val="continue"/>
          </w:tcPr>
          <w:p>
            <w:pPr>
              <w:spacing w:after="0"/>
              <w:rPr>
                <w:sz w:val="5"/>
                <w:szCs w:val="5"/>
                <w:color w:val="auto"/>
              </w:rPr>
            </w:pPr>
          </w:p>
        </w:tc>
        <w:tc>
          <w:tcPr>
            <w:tcW w:w="126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260" w:type="dxa"/>
            <w:vAlign w:val="bottom"/>
            <w:gridSpan w:val="2"/>
            <w:vMerge w:val="continue"/>
          </w:tcPr>
          <w:p>
            <w:pPr>
              <w:spacing w:after="0"/>
              <w:rPr>
                <w:sz w:val="5"/>
                <w:szCs w:val="5"/>
                <w:color w:val="auto"/>
              </w:rPr>
            </w:pPr>
          </w:p>
        </w:tc>
        <w:tc>
          <w:tcPr>
            <w:tcW w:w="114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120" w:type="dxa"/>
            <w:vAlign w:val="bottom"/>
            <w:gridSpan w:val="2"/>
            <w:vMerge w:val="continue"/>
          </w:tcPr>
          <w:p>
            <w:pPr>
              <w:spacing w:after="0"/>
              <w:rPr>
                <w:sz w:val="5"/>
                <w:szCs w:val="5"/>
                <w:color w:val="auto"/>
              </w:rPr>
            </w:pPr>
          </w:p>
        </w:tc>
        <w:tc>
          <w:tcPr>
            <w:tcW w:w="32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200" w:type="dxa"/>
            <w:vAlign w:val="bottom"/>
            <w:gridSpan w:val="3"/>
            <w:vMerge w:val="continue"/>
          </w:tcPr>
          <w:p>
            <w:pPr>
              <w:spacing w:after="0"/>
              <w:rPr>
                <w:sz w:val="5"/>
                <w:szCs w:val="5"/>
                <w:color w:val="auto"/>
              </w:rPr>
            </w:pPr>
          </w:p>
        </w:tc>
        <w:tc>
          <w:tcPr>
            <w:tcW w:w="98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400" w:type="dxa"/>
            <w:vAlign w:val="bottom"/>
            <w:gridSpan w:val="3"/>
            <w:vMerge w:val="continue"/>
          </w:tcPr>
          <w:p>
            <w:pPr>
              <w:spacing w:after="0"/>
              <w:rPr>
                <w:sz w:val="5"/>
                <w:szCs w:val="5"/>
                <w:color w:val="auto"/>
              </w:rPr>
            </w:pPr>
          </w:p>
        </w:tc>
        <w:tc>
          <w:tcPr>
            <w:tcW w:w="100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20"/>
          </w:cols>
          <w:pgMar w:left="240" w:top="288" w:right="239" w:bottom="1440" w:gutter="0" w:footer="0" w:header="0"/>
        </w:sectPr>
      </w:pPr>
    </w:p>
    <w:bookmarkStart w:id="64" w:name="page65"/>
    <w:bookmarkEnd w:id="64"/>
    <w:p>
      <w:pPr>
        <w:ind w:left="340"/>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Brighthouse Financial, Inc.</w:t>
      </w:r>
    </w:p>
    <w:p>
      <w:pPr>
        <w:spacing w:after="0" w:line="117"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Notes to the Interim Condensed Consolidated and Combined Financial Statements (Unaudited) — (continued)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Equity (continued)</w:t>
      </w:r>
    </w:p>
    <w:p>
      <w:pPr>
        <w:spacing w:after="0" w:line="200" w:lineRule="exact"/>
        <w:rPr>
          <w:sz w:val="20"/>
          <w:szCs w:val="20"/>
          <w:color w:val="auto"/>
        </w:rPr>
      </w:pP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40" w:type="dxa"/>
            <w:vAlign w:val="bottom"/>
          </w:tcPr>
          <w:p>
            <w:pPr>
              <w:jc w:val="center"/>
              <w:spacing w:after="0"/>
              <w:rPr>
                <w:sz w:val="20"/>
                <w:szCs w:val="20"/>
                <w:color w:val="auto"/>
              </w:rPr>
            </w:pPr>
            <w:r>
              <w:rPr>
                <w:rFonts w:ascii="Arial" w:cs="Arial" w:eastAsia="Arial" w:hAnsi="Arial"/>
                <w:sz w:val="13"/>
                <w:szCs w:val="13"/>
                <w:b w:val="1"/>
                <w:bCs w:val="1"/>
                <w:color w:val="auto"/>
                <w:w w:val="89"/>
              </w:rPr>
              <w:t>Nine Months</w:t>
            </w: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4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40" w:type="dxa"/>
            <w:vAlign w:val="bottom"/>
          </w:tcPr>
          <w:p>
            <w:pPr>
              <w:jc w:val="right"/>
              <w:ind w:right="297"/>
              <w:spacing w:after="0" w:line="135" w:lineRule="exact"/>
              <w:rPr>
                <w:sz w:val="20"/>
                <w:szCs w:val="20"/>
                <w:color w:val="auto"/>
              </w:rPr>
            </w:pPr>
            <w:r>
              <w:rPr>
                <w:rFonts w:ascii="Arial" w:cs="Arial" w:eastAsia="Arial" w:hAnsi="Arial"/>
                <w:sz w:val="13"/>
                <w:szCs w:val="13"/>
                <w:b w:val="1"/>
                <w:bCs w:val="1"/>
                <w:color w:val="auto"/>
              </w:rPr>
              <w:t>Ended</w:t>
            </w: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4"/>
        </w:trPr>
        <w:tc>
          <w:tcPr>
            <w:tcW w:w="412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gridSpan w:val="2"/>
          </w:tcPr>
          <w:p>
            <w:pPr>
              <w:ind w:left="20"/>
              <w:spacing w:after="0"/>
              <w:rPr>
                <w:sz w:val="20"/>
                <w:szCs w:val="20"/>
                <w:color w:val="auto"/>
              </w:rPr>
            </w:pPr>
            <w:r>
              <w:rPr>
                <w:rFonts w:ascii="Arial" w:cs="Arial" w:eastAsia="Arial" w:hAnsi="Arial"/>
                <w:sz w:val="13"/>
                <w:szCs w:val="13"/>
                <w:b w:val="1"/>
                <w:bCs w:val="1"/>
                <w:color w:val="auto"/>
                <w:w w:val="85"/>
              </w:rPr>
              <w:t>September 30, 2017</w:t>
            </w:r>
          </w:p>
        </w:tc>
        <w:tc>
          <w:tcPr>
            <w:tcW w:w="3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4"/>
        </w:trPr>
        <w:tc>
          <w:tcPr>
            <w:tcW w:w="4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0" w:type="dxa"/>
            <w:vAlign w:val="bottom"/>
            <w:gridSpan w:val="3"/>
          </w:tcPr>
          <w:p>
            <w:pPr>
              <w:jc w:val="center"/>
              <w:ind w:right="340"/>
              <w:spacing w:after="0" w:line="144" w:lineRule="exact"/>
              <w:rPr>
                <w:sz w:val="20"/>
                <w:szCs w:val="20"/>
                <w:color w:val="auto"/>
              </w:rPr>
            </w:pPr>
            <w:r>
              <w:rPr>
                <w:rFonts w:ascii="Arial" w:cs="Arial" w:eastAsia="Arial" w:hAnsi="Arial"/>
                <w:sz w:val="13"/>
                <w:szCs w:val="13"/>
                <w:b w:val="1"/>
                <w:bCs w:val="1"/>
                <w:color w:val="auto"/>
                <w:w w:val="88"/>
              </w:rPr>
              <w:t>Unrealized</w:t>
            </w: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40" w:type="dxa"/>
            <w:vAlign w:val="bottom"/>
          </w:tcPr>
          <w:p>
            <w:pPr>
              <w:jc w:val="center"/>
              <w:ind w:left="277"/>
              <w:spacing w:after="0" w:line="144" w:lineRule="exact"/>
              <w:rPr>
                <w:sz w:val="20"/>
                <w:szCs w:val="20"/>
                <w:color w:val="auto"/>
              </w:rPr>
            </w:pPr>
            <w:r>
              <w:rPr>
                <w:rFonts w:ascii="Arial" w:cs="Arial" w:eastAsia="Arial" w:hAnsi="Arial"/>
                <w:sz w:val="13"/>
                <w:szCs w:val="13"/>
                <w:b w:val="1"/>
                <w:bCs w:val="1"/>
                <w:color w:val="auto"/>
                <w:w w:val="88"/>
              </w:rPr>
              <w:t>Foreign</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4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0" w:type="dxa"/>
            <w:vAlign w:val="bottom"/>
            <w:gridSpan w:val="3"/>
          </w:tcPr>
          <w:p>
            <w:pPr>
              <w:jc w:val="center"/>
              <w:ind w:right="320"/>
              <w:spacing w:after="0" w:line="135" w:lineRule="exact"/>
              <w:rPr>
                <w:sz w:val="20"/>
                <w:szCs w:val="20"/>
                <w:color w:val="auto"/>
              </w:rPr>
            </w:pPr>
            <w:r>
              <w:rPr>
                <w:rFonts w:ascii="Arial" w:cs="Arial" w:eastAsia="Arial" w:hAnsi="Arial"/>
                <w:sz w:val="13"/>
                <w:szCs w:val="13"/>
                <w:b w:val="1"/>
                <w:bCs w:val="1"/>
                <w:color w:val="auto"/>
                <w:w w:val="88"/>
              </w:rPr>
              <w:t>Investment Gains</w:t>
            </w: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60" w:type="dxa"/>
            <w:vAlign w:val="bottom"/>
          </w:tcPr>
          <w:p>
            <w:pPr>
              <w:jc w:val="right"/>
              <w:ind w:right="330"/>
              <w:spacing w:after="0" w:line="135" w:lineRule="exact"/>
              <w:rPr>
                <w:sz w:val="20"/>
                <w:szCs w:val="20"/>
                <w:color w:val="auto"/>
              </w:rPr>
            </w:pPr>
            <w:r>
              <w:rPr>
                <w:rFonts w:ascii="Arial" w:cs="Arial" w:eastAsia="Arial" w:hAnsi="Arial"/>
                <w:sz w:val="13"/>
                <w:szCs w:val="13"/>
                <w:b w:val="1"/>
                <w:bCs w:val="1"/>
                <w:color w:val="auto"/>
              </w:rPr>
              <w:t>Unrealized</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40" w:type="dxa"/>
            <w:vAlign w:val="bottom"/>
          </w:tcPr>
          <w:p>
            <w:pPr>
              <w:jc w:val="center"/>
              <w:ind w:left="297"/>
              <w:spacing w:after="0" w:line="135" w:lineRule="exact"/>
              <w:rPr>
                <w:sz w:val="20"/>
                <w:szCs w:val="20"/>
                <w:color w:val="auto"/>
              </w:rPr>
            </w:pPr>
            <w:r>
              <w:rPr>
                <w:rFonts w:ascii="Arial" w:cs="Arial" w:eastAsia="Arial" w:hAnsi="Arial"/>
                <w:sz w:val="13"/>
                <w:szCs w:val="13"/>
                <w:b w:val="1"/>
                <w:bCs w:val="1"/>
                <w:color w:val="auto"/>
                <w:w w:val="91"/>
              </w:rPr>
              <w:t>Currency</w:t>
            </w: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0" w:type="dxa"/>
            <w:vAlign w:val="bottom"/>
            <w:gridSpan w:val="3"/>
          </w:tcPr>
          <w:p>
            <w:pPr>
              <w:jc w:val="center"/>
              <w:ind w:right="340"/>
              <w:spacing w:after="0" w:line="135" w:lineRule="exact"/>
              <w:rPr>
                <w:sz w:val="20"/>
                <w:szCs w:val="20"/>
                <w:color w:val="auto"/>
              </w:rPr>
            </w:pPr>
            <w:r>
              <w:rPr>
                <w:rFonts w:ascii="Arial" w:cs="Arial" w:eastAsia="Arial" w:hAnsi="Arial"/>
                <w:sz w:val="13"/>
                <w:szCs w:val="13"/>
                <w:b w:val="1"/>
                <w:bCs w:val="1"/>
                <w:color w:val="auto"/>
                <w:w w:val="84"/>
              </w:rPr>
              <w:t>(Losses), Net of</w:t>
            </w: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60" w:type="dxa"/>
            <w:vAlign w:val="bottom"/>
          </w:tcPr>
          <w:p>
            <w:pPr>
              <w:jc w:val="right"/>
              <w:ind w:right="230"/>
              <w:spacing w:after="0" w:line="135" w:lineRule="exact"/>
              <w:rPr>
                <w:sz w:val="20"/>
                <w:szCs w:val="20"/>
                <w:color w:val="auto"/>
              </w:rPr>
            </w:pPr>
            <w:r>
              <w:rPr>
                <w:rFonts w:ascii="Arial" w:cs="Arial" w:eastAsia="Arial" w:hAnsi="Arial"/>
                <w:sz w:val="13"/>
                <w:szCs w:val="13"/>
                <w:b w:val="1"/>
                <w:bCs w:val="1"/>
                <w:color w:val="auto"/>
                <w:w w:val="90"/>
              </w:rPr>
              <w:t>Gains (Losses)</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40" w:type="dxa"/>
            <w:vAlign w:val="bottom"/>
          </w:tcPr>
          <w:p>
            <w:pPr>
              <w:jc w:val="center"/>
              <w:ind w:left="277"/>
              <w:spacing w:after="0" w:line="135" w:lineRule="exact"/>
              <w:rPr>
                <w:sz w:val="20"/>
                <w:szCs w:val="20"/>
                <w:color w:val="auto"/>
              </w:rPr>
            </w:pPr>
            <w:r>
              <w:rPr>
                <w:rFonts w:ascii="Arial" w:cs="Arial" w:eastAsia="Arial" w:hAnsi="Arial"/>
                <w:sz w:val="13"/>
                <w:szCs w:val="13"/>
                <w:b w:val="1"/>
                <w:bCs w:val="1"/>
                <w:color w:val="auto"/>
                <w:w w:val="88"/>
              </w:rPr>
              <w:t>Translation</w:t>
            </w: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gridSpan w:val="2"/>
          </w:tcPr>
          <w:p>
            <w:pPr>
              <w:jc w:val="right"/>
              <w:ind w:right="140"/>
              <w:spacing w:after="0" w:line="135" w:lineRule="exact"/>
              <w:rPr>
                <w:sz w:val="20"/>
                <w:szCs w:val="20"/>
                <w:color w:val="auto"/>
              </w:rPr>
            </w:pPr>
            <w:r>
              <w:rPr>
                <w:rFonts w:ascii="Arial" w:cs="Arial" w:eastAsia="Arial" w:hAnsi="Arial"/>
                <w:sz w:val="13"/>
                <w:szCs w:val="13"/>
                <w:b w:val="1"/>
                <w:bCs w:val="1"/>
                <w:color w:val="auto"/>
                <w:w w:val="88"/>
              </w:rPr>
              <w:t>Defined Benefit</w:t>
            </w: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4"/>
        </w:trPr>
        <w:tc>
          <w:tcPr>
            <w:tcW w:w="412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gridSpan w:val="3"/>
          </w:tcPr>
          <w:p>
            <w:pPr>
              <w:jc w:val="center"/>
              <w:ind w:right="320"/>
              <w:spacing w:after="0"/>
              <w:rPr>
                <w:sz w:val="20"/>
                <w:szCs w:val="20"/>
                <w:color w:val="auto"/>
              </w:rPr>
            </w:pPr>
            <w:r>
              <w:rPr>
                <w:rFonts w:ascii="Arial" w:cs="Arial" w:eastAsia="Arial" w:hAnsi="Arial"/>
                <w:sz w:val="13"/>
                <w:szCs w:val="13"/>
                <w:b w:val="1"/>
                <w:bCs w:val="1"/>
                <w:color w:val="auto"/>
                <w:w w:val="87"/>
              </w:rPr>
              <w:t>Related Offsets (1)</w:t>
            </w:r>
          </w:p>
        </w:tc>
        <w:tc>
          <w:tcPr>
            <w:tcW w:w="6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230"/>
              <w:spacing w:after="0"/>
              <w:rPr>
                <w:sz w:val="20"/>
                <w:szCs w:val="20"/>
                <w:color w:val="auto"/>
              </w:rPr>
            </w:pPr>
            <w:r>
              <w:rPr>
                <w:rFonts w:ascii="Arial" w:cs="Arial" w:eastAsia="Arial" w:hAnsi="Arial"/>
                <w:sz w:val="13"/>
                <w:szCs w:val="13"/>
                <w:b w:val="1"/>
                <w:bCs w:val="1"/>
                <w:color w:val="auto"/>
                <w:w w:val="94"/>
              </w:rPr>
              <w:t>on Derivatives</w:t>
            </w:r>
          </w:p>
        </w:tc>
        <w:tc>
          <w:tcPr>
            <w:tcW w:w="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center"/>
              <w:ind w:left="297"/>
              <w:spacing w:after="0"/>
              <w:rPr>
                <w:sz w:val="20"/>
                <w:szCs w:val="20"/>
                <w:color w:val="auto"/>
              </w:rPr>
            </w:pPr>
            <w:r>
              <w:rPr>
                <w:rFonts w:ascii="Arial" w:cs="Arial" w:eastAsia="Arial" w:hAnsi="Arial"/>
                <w:sz w:val="13"/>
                <w:szCs w:val="13"/>
                <w:b w:val="1"/>
                <w:bCs w:val="1"/>
                <w:color w:val="auto"/>
                <w:w w:val="86"/>
              </w:rPr>
              <w:t>Adjustments</w:t>
            </w:r>
          </w:p>
        </w:tc>
        <w:tc>
          <w:tcPr>
            <w:tcW w:w="3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3"/>
                <w:szCs w:val="13"/>
                <w:b w:val="1"/>
                <w:bCs w:val="1"/>
                <w:color w:val="auto"/>
                <w:w w:val="92"/>
              </w:rPr>
              <w:t>Plans Adjustment</w:t>
            </w:r>
          </w:p>
        </w:tc>
        <w:tc>
          <w:tcPr>
            <w:tcW w:w="10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gridSpan w:val="2"/>
          </w:tcPr>
          <w:p>
            <w:pPr>
              <w:jc w:val="right"/>
              <w:ind w:right="540"/>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249"/>
        </w:trPr>
        <w:tc>
          <w:tcPr>
            <w:tcW w:w="4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40" w:type="dxa"/>
            <w:vAlign w:val="bottom"/>
          </w:tcPr>
          <w:p>
            <w:pPr>
              <w:jc w:val="center"/>
              <w:spacing w:after="0"/>
              <w:rPr>
                <w:sz w:val="20"/>
                <w:szCs w:val="20"/>
                <w:color w:val="auto"/>
              </w:rPr>
            </w:pPr>
            <w:r>
              <w:rPr>
                <w:rFonts w:ascii="Arial" w:cs="Arial" w:eastAsia="Arial" w:hAnsi="Arial"/>
                <w:sz w:val="13"/>
                <w:szCs w:val="13"/>
                <w:b w:val="1"/>
                <w:bCs w:val="1"/>
                <w:color w:val="auto"/>
                <w:w w:val="90"/>
              </w:rPr>
              <w:t>(In millions)</w:t>
            </w:r>
          </w:p>
        </w:tc>
        <w:tc>
          <w:tcPr>
            <w:tcW w:w="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9"/>
        </w:trPr>
        <w:tc>
          <w:tcPr>
            <w:tcW w:w="4120" w:type="dxa"/>
            <w:vAlign w:val="bottom"/>
            <w:shd w:val="clear" w:color="auto" w:fill="CCEEFF"/>
          </w:tcPr>
          <w:p>
            <w:pPr>
              <w:ind w:left="40"/>
              <w:spacing w:after="0"/>
              <w:rPr>
                <w:sz w:val="20"/>
                <w:szCs w:val="20"/>
                <w:color w:val="auto"/>
              </w:rPr>
            </w:pPr>
            <w:r>
              <w:rPr>
                <w:rFonts w:ascii="Arial" w:cs="Arial" w:eastAsia="Arial" w:hAnsi="Arial"/>
                <w:sz w:val="14"/>
                <w:szCs w:val="14"/>
                <w:color w:val="auto"/>
              </w:rPr>
              <w:t>Balance, beginning of period</w:t>
            </w:r>
          </w:p>
        </w:tc>
        <w:tc>
          <w:tcPr>
            <w:tcW w:w="22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280" w:type="dxa"/>
            <w:vAlign w:val="bottom"/>
            <w:vMerge w:val="restart"/>
            <w:shd w:val="clear" w:color="auto" w:fill="CCEEFF"/>
          </w:tcPr>
          <w:p>
            <w:pPr>
              <w:jc w:val="right"/>
              <w:ind w:right="51"/>
              <w:spacing w:after="0"/>
              <w:rPr>
                <w:sz w:val="20"/>
                <w:szCs w:val="20"/>
                <w:color w:val="auto"/>
              </w:rPr>
            </w:pPr>
            <w:r>
              <w:rPr>
                <w:rFonts w:ascii="Arial" w:cs="Arial" w:eastAsia="Arial" w:hAnsi="Arial"/>
                <w:sz w:val="14"/>
                <w:szCs w:val="14"/>
                <w:color w:val="auto"/>
              </w:rPr>
              <w:t>1,044</w:t>
            </w: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160" w:type="dxa"/>
            <w:vAlign w:val="bottom"/>
            <w:vMerge w:val="restart"/>
            <w:shd w:val="clear" w:color="auto" w:fill="CCEEFF"/>
          </w:tcPr>
          <w:p>
            <w:pPr>
              <w:jc w:val="right"/>
              <w:ind w:right="50"/>
              <w:spacing w:after="0"/>
              <w:rPr>
                <w:sz w:val="20"/>
                <w:szCs w:val="20"/>
                <w:color w:val="auto"/>
              </w:rPr>
            </w:pPr>
            <w:r>
              <w:rPr>
                <w:rFonts w:ascii="Arial" w:cs="Arial" w:eastAsia="Arial" w:hAnsi="Arial"/>
                <w:sz w:val="14"/>
                <w:szCs w:val="14"/>
                <w:color w:val="auto"/>
              </w:rPr>
              <w:t>268</w:t>
            </w:r>
          </w:p>
        </w:tc>
        <w:tc>
          <w:tcPr>
            <w:tcW w:w="1200" w:type="dxa"/>
            <w:vAlign w:val="bottom"/>
            <w:gridSpan w:val="4"/>
            <w:vMerge w:val="restart"/>
            <w:shd w:val="clear" w:color="auto" w:fill="CCEEFF"/>
          </w:tcPr>
          <w:p>
            <w:pPr>
              <w:ind w:left="140"/>
              <w:spacing w:after="0"/>
              <w:rPr>
                <w:sz w:val="20"/>
                <w:szCs w:val="20"/>
                <w:color w:val="auto"/>
              </w:rPr>
            </w:pPr>
            <w:r>
              <w:rPr>
                <w:rFonts w:ascii="Arial" w:cs="Arial" w:eastAsia="Arial" w:hAnsi="Arial"/>
                <w:sz w:val="14"/>
                <w:szCs w:val="14"/>
                <w:color w:val="auto"/>
              </w:rPr>
              <w:t>$</w:t>
            </w:r>
          </w:p>
        </w:tc>
        <w:tc>
          <w:tcPr>
            <w:tcW w:w="40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4"/>
                <w:szCs w:val="14"/>
                <w:color w:val="auto"/>
              </w:rPr>
              <w:t>(31)</w:t>
            </w:r>
          </w:p>
        </w:tc>
        <w:tc>
          <w:tcPr>
            <w:tcW w:w="220" w:type="dxa"/>
            <w:vAlign w:val="bottom"/>
            <w:gridSpan w:val="2"/>
            <w:vMerge w:val="restart"/>
            <w:shd w:val="clear" w:color="auto" w:fill="CCEEFF"/>
          </w:tcPr>
          <w:p>
            <w:pPr>
              <w:ind w:left="120"/>
              <w:spacing w:after="0"/>
              <w:rPr>
                <w:sz w:val="20"/>
                <w:szCs w:val="20"/>
                <w:color w:val="auto"/>
              </w:rPr>
            </w:pPr>
            <w:r>
              <w:rPr>
                <w:rFonts w:ascii="Arial" w:cs="Arial" w:eastAsia="Arial" w:hAnsi="Arial"/>
                <w:sz w:val="14"/>
                <w:szCs w:val="14"/>
                <w:color w:val="auto"/>
              </w:rPr>
              <w:t>$</w:t>
            </w:r>
          </w:p>
        </w:tc>
        <w:tc>
          <w:tcPr>
            <w:tcW w:w="100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4"/>
                <w:szCs w:val="14"/>
                <w:color w:val="auto"/>
              </w:rPr>
              <w:t>(16)</w:t>
            </w:r>
          </w:p>
        </w:tc>
        <w:tc>
          <w:tcPr>
            <w:tcW w:w="3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8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4"/>
                <w:szCs w:val="14"/>
                <w:color w:val="auto"/>
              </w:rPr>
              <w:t>1,265</w:t>
            </w:r>
          </w:p>
        </w:tc>
        <w:tc>
          <w:tcPr>
            <w:tcW w:w="0" w:type="dxa"/>
            <w:vAlign w:val="bottom"/>
          </w:tcPr>
          <w:p>
            <w:pPr>
              <w:spacing w:after="0"/>
              <w:rPr>
                <w:sz w:val="1"/>
                <w:szCs w:val="1"/>
                <w:color w:val="auto"/>
              </w:rPr>
            </w:pPr>
          </w:p>
        </w:tc>
      </w:tr>
      <w:tr>
        <w:trPr>
          <w:trHeight w:val="80"/>
        </w:trPr>
        <w:tc>
          <w:tcPr>
            <w:tcW w:w="4120" w:type="dxa"/>
            <w:vAlign w:val="bottom"/>
            <w:shd w:val="clear" w:color="auto" w:fill="CCEEFF"/>
          </w:tcPr>
          <w:p>
            <w:pPr>
              <w:spacing w:after="0"/>
              <w:rPr>
                <w:sz w:val="6"/>
                <w:szCs w:val="6"/>
                <w:color w:val="auto"/>
              </w:rPr>
            </w:pPr>
          </w:p>
        </w:tc>
        <w:tc>
          <w:tcPr>
            <w:tcW w:w="220" w:type="dxa"/>
            <w:vAlign w:val="bottom"/>
            <w:gridSpan w:val="2"/>
            <w:vMerge w:val="continue"/>
            <w:shd w:val="clear" w:color="auto" w:fill="CCEEFF"/>
          </w:tcPr>
          <w:p>
            <w:pPr>
              <w:spacing w:after="0"/>
              <w:rPr>
                <w:sz w:val="6"/>
                <w:szCs w:val="6"/>
                <w:color w:val="auto"/>
              </w:rPr>
            </w:pPr>
          </w:p>
        </w:tc>
        <w:tc>
          <w:tcPr>
            <w:tcW w:w="1280" w:type="dxa"/>
            <w:vAlign w:val="bottom"/>
            <w:vMerge w:val="continue"/>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c>
          <w:tcPr>
            <w:tcW w:w="240" w:type="dxa"/>
            <w:vAlign w:val="bottom"/>
            <w:gridSpan w:val="2"/>
            <w:vMerge w:val="continue"/>
            <w:shd w:val="clear" w:color="auto" w:fill="CCEEFF"/>
          </w:tcPr>
          <w:p>
            <w:pPr>
              <w:spacing w:after="0"/>
              <w:rPr>
                <w:sz w:val="6"/>
                <w:szCs w:val="6"/>
                <w:color w:val="auto"/>
              </w:rPr>
            </w:pPr>
          </w:p>
        </w:tc>
        <w:tc>
          <w:tcPr>
            <w:tcW w:w="1160" w:type="dxa"/>
            <w:vAlign w:val="bottom"/>
            <w:vMerge w:val="continue"/>
            <w:shd w:val="clear" w:color="auto" w:fill="CCEEFF"/>
          </w:tcPr>
          <w:p>
            <w:pPr>
              <w:spacing w:after="0"/>
              <w:rPr>
                <w:sz w:val="6"/>
                <w:szCs w:val="6"/>
                <w:color w:val="auto"/>
              </w:rPr>
            </w:pPr>
          </w:p>
        </w:tc>
        <w:tc>
          <w:tcPr>
            <w:tcW w:w="1200" w:type="dxa"/>
            <w:vAlign w:val="bottom"/>
            <w:gridSpan w:val="4"/>
            <w:vMerge w:val="continue"/>
            <w:shd w:val="clear" w:color="auto" w:fill="CCEEFF"/>
          </w:tcPr>
          <w:p>
            <w:pPr>
              <w:spacing w:after="0"/>
              <w:rPr>
                <w:sz w:val="6"/>
                <w:szCs w:val="6"/>
                <w:color w:val="auto"/>
              </w:rPr>
            </w:pPr>
          </w:p>
        </w:tc>
        <w:tc>
          <w:tcPr>
            <w:tcW w:w="400" w:type="dxa"/>
            <w:vAlign w:val="bottom"/>
            <w:gridSpan w:val="2"/>
            <w:vMerge w:val="continue"/>
            <w:shd w:val="clear" w:color="auto" w:fill="CCEEFF"/>
          </w:tcPr>
          <w:p>
            <w:pPr>
              <w:spacing w:after="0"/>
              <w:rPr>
                <w:sz w:val="6"/>
                <w:szCs w:val="6"/>
                <w:color w:val="auto"/>
              </w:rPr>
            </w:pPr>
          </w:p>
        </w:tc>
        <w:tc>
          <w:tcPr>
            <w:tcW w:w="220" w:type="dxa"/>
            <w:vAlign w:val="bottom"/>
            <w:gridSpan w:val="2"/>
            <w:vMerge w:val="continue"/>
            <w:shd w:val="clear" w:color="auto" w:fill="CCEEFF"/>
          </w:tcPr>
          <w:p>
            <w:pPr>
              <w:spacing w:after="0"/>
              <w:rPr>
                <w:sz w:val="6"/>
                <w:szCs w:val="6"/>
                <w:color w:val="auto"/>
              </w:rPr>
            </w:pPr>
          </w:p>
        </w:tc>
        <w:tc>
          <w:tcPr>
            <w:tcW w:w="1000" w:type="dxa"/>
            <w:vAlign w:val="bottom"/>
            <w:gridSpan w:val="2"/>
            <w:vMerge w:val="continue"/>
            <w:shd w:val="clear" w:color="auto" w:fill="CCEEFF"/>
          </w:tcPr>
          <w:p>
            <w:pPr>
              <w:spacing w:after="0"/>
              <w:rPr>
                <w:sz w:val="6"/>
                <w:szCs w:val="6"/>
                <w:color w:val="auto"/>
              </w:rPr>
            </w:pPr>
          </w:p>
        </w:tc>
        <w:tc>
          <w:tcPr>
            <w:tcW w:w="380" w:type="dxa"/>
            <w:vAlign w:val="bottom"/>
            <w:gridSpan w:val="2"/>
            <w:vMerge w:val="continue"/>
            <w:shd w:val="clear" w:color="auto" w:fill="CCEEFF"/>
          </w:tcPr>
          <w:p>
            <w:pPr>
              <w:spacing w:after="0"/>
              <w:rPr>
                <w:sz w:val="6"/>
                <w:szCs w:val="6"/>
                <w:color w:val="auto"/>
              </w:rPr>
            </w:pPr>
          </w:p>
        </w:tc>
        <w:tc>
          <w:tcPr>
            <w:tcW w:w="1080" w:type="dxa"/>
            <w:vAlign w:val="bottom"/>
            <w:gridSpan w:val="2"/>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4120" w:type="dxa"/>
            <w:vAlign w:val="bottom"/>
          </w:tcPr>
          <w:p>
            <w:pPr>
              <w:ind w:left="40"/>
              <w:spacing w:after="0"/>
              <w:rPr>
                <w:sz w:val="20"/>
                <w:szCs w:val="20"/>
                <w:color w:val="auto"/>
              </w:rPr>
            </w:pPr>
            <w:r>
              <w:rPr>
                <w:rFonts w:ascii="Arial" w:cs="Arial" w:eastAsia="Arial" w:hAnsi="Arial"/>
                <w:sz w:val="14"/>
                <w:szCs w:val="14"/>
                <w:color w:val="auto"/>
              </w:rPr>
              <w:t>OCI before reclassifications</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vMerge w:val="restart"/>
          </w:tcPr>
          <w:p>
            <w:pPr>
              <w:jc w:val="right"/>
              <w:ind w:right="51"/>
              <w:spacing w:after="0"/>
              <w:rPr>
                <w:sz w:val="20"/>
                <w:szCs w:val="20"/>
                <w:color w:val="auto"/>
              </w:rPr>
            </w:pPr>
            <w:r>
              <w:rPr>
                <w:rFonts w:ascii="Arial" w:cs="Arial" w:eastAsia="Arial" w:hAnsi="Arial"/>
                <w:sz w:val="14"/>
                <w:szCs w:val="14"/>
                <w:color w:val="auto"/>
              </w:rPr>
              <w:t>118</w:t>
            </w: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vMerge w:val="restart"/>
          </w:tcPr>
          <w:p>
            <w:pPr>
              <w:jc w:val="right"/>
              <w:ind w:right="10"/>
              <w:spacing w:after="0"/>
              <w:rPr>
                <w:sz w:val="20"/>
                <w:szCs w:val="20"/>
                <w:color w:val="auto"/>
              </w:rPr>
            </w:pPr>
            <w:r>
              <w:rPr>
                <w:rFonts w:ascii="Arial" w:cs="Arial" w:eastAsia="Arial" w:hAnsi="Arial"/>
                <w:sz w:val="14"/>
                <w:szCs w:val="14"/>
                <w:color w:val="auto"/>
              </w:rPr>
              <w:t>(104)</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300" w:type="dxa"/>
            <w:vAlign w:val="bottom"/>
            <w:vMerge w:val="restart"/>
          </w:tcPr>
          <w:p>
            <w:pPr>
              <w:jc w:val="right"/>
              <w:spacing w:after="0"/>
              <w:rPr>
                <w:sz w:val="20"/>
                <w:szCs w:val="20"/>
                <w:color w:val="auto"/>
              </w:rPr>
            </w:pPr>
            <w:r>
              <w:rPr>
                <w:rFonts w:ascii="Arial" w:cs="Arial" w:eastAsia="Arial" w:hAnsi="Arial"/>
                <w:sz w:val="14"/>
                <w:szCs w:val="14"/>
                <w:color w:val="auto"/>
              </w:rPr>
              <w:t>5</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gridSpan w:val="2"/>
            <w:vMerge w:val="restart"/>
          </w:tcPr>
          <w:p>
            <w:pPr>
              <w:jc w:val="right"/>
              <w:ind w:right="60"/>
              <w:spacing w:after="0"/>
              <w:rPr>
                <w:sz w:val="20"/>
                <w:szCs w:val="20"/>
                <w:color w:val="auto"/>
              </w:rPr>
            </w:pPr>
            <w:r>
              <w:rPr>
                <w:rFonts w:ascii="Arial" w:cs="Arial" w:eastAsia="Arial" w:hAnsi="Arial"/>
                <w:sz w:val="14"/>
                <w:szCs w:val="14"/>
                <w:color w:val="auto"/>
              </w:rPr>
              <w:t>(14)</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80" w:type="dxa"/>
            <w:vAlign w:val="bottom"/>
            <w:gridSpan w:val="2"/>
            <w:vMerge w:val="restart"/>
          </w:tcPr>
          <w:p>
            <w:pPr>
              <w:jc w:val="right"/>
              <w:ind w:right="100"/>
              <w:spacing w:after="0"/>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74"/>
        </w:trPr>
        <w:tc>
          <w:tcPr>
            <w:tcW w:w="4120" w:type="dxa"/>
            <w:vAlign w:val="bottom"/>
          </w:tcPr>
          <w:p>
            <w:pPr>
              <w:spacing w:after="0"/>
              <w:rPr>
                <w:sz w:val="6"/>
                <w:szCs w:val="6"/>
                <w:color w:val="auto"/>
              </w:rPr>
            </w:pPr>
          </w:p>
        </w:tc>
        <w:tc>
          <w:tcPr>
            <w:tcW w:w="80" w:type="dxa"/>
            <w:vAlign w:val="bottom"/>
          </w:tcPr>
          <w:p>
            <w:pPr>
              <w:spacing w:after="0"/>
              <w:rPr>
                <w:sz w:val="6"/>
                <w:szCs w:val="6"/>
                <w:color w:val="auto"/>
              </w:rPr>
            </w:pPr>
          </w:p>
        </w:tc>
        <w:tc>
          <w:tcPr>
            <w:tcW w:w="140" w:type="dxa"/>
            <w:vAlign w:val="bottom"/>
          </w:tcPr>
          <w:p>
            <w:pPr>
              <w:spacing w:after="0"/>
              <w:rPr>
                <w:sz w:val="6"/>
                <w:szCs w:val="6"/>
                <w:color w:val="auto"/>
              </w:rPr>
            </w:pPr>
          </w:p>
        </w:tc>
        <w:tc>
          <w:tcPr>
            <w:tcW w:w="128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180" w:type="dxa"/>
            <w:vAlign w:val="bottom"/>
          </w:tcPr>
          <w:p>
            <w:pPr>
              <w:spacing w:after="0"/>
              <w:rPr>
                <w:sz w:val="6"/>
                <w:szCs w:val="6"/>
                <w:color w:val="auto"/>
              </w:rPr>
            </w:pPr>
          </w:p>
        </w:tc>
        <w:tc>
          <w:tcPr>
            <w:tcW w:w="116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30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0" w:type="dxa"/>
            <w:vAlign w:val="bottom"/>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280" w:type="dxa"/>
            <w:vAlign w:val="bottom"/>
          </w:tcPr>
          <w:p>
            <w:pPr>
              <w:spacing w:after="0"/>
              <w:rPr>
                <w:sz w:val="6"/>
                <w:szCs w:val="6"/>
                <w:color w:val="auto"/>
              </w:rPr>
            </w:pPr>
          </w:p>
        </w:tc>
        <w:tc>
          <w:tcPr>
            <w:tcW w:w="108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4120" w:type="dxa"/>
            <w:vAlign w:val="bottom"/>
            <w:shd w:val="clear" w:color="auto" w:fill="CCEEFF"/>
          </w:tcPr>
          <w:p>
            <w:pPr>
              <w:ind w:left="40"/>
              <w:spacing w:after="0"/>
              <w:rPr>
                <w:sz w:val="20"/>
                <w:szCs w:val="20"/>
                <w:color w:val="auto"/>
              </w:rPr>
            </w:pPr>
            <w:r>
              <w:rPr>
                <w:rFonts w:ascii="Arial" w:cs="Arial" w:eastAsia="Arial" w:hAnsi="Arial"/>
                <w:sz w:val="14"/>
                <w:szCs w:val="14"/>
                <w:color w:val="auto"/>
              </w:rPr>
              <w:t>Deferred income tax benefit (expense)</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(41)</w:t>
            </w: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60" w:type="dxa"/>
            <w:vAlign w:val="bottom"/>
            <w:vMerge w:val="restart"/>
            <w:shd w:val="clear" w:color="auto" w:fill="CCEEFF"/>
          </w:tcPr>
          <w:p>
            <w:pPr>
              <w:jc w:val="right"/>
              <w:ind w:right="50"/>
              <w:spacing w:after="0"/>
              <w:rPr>
                <w:sz w:val="20"/>
                <w:szCs w:val="20"/>
                <w:color w:val="auto"/>
              </w:rPr>
            </w:pPr>
            <w:r>
              <w:rPr>
                <w:rFonts w:ascii="Arial" w:cs="Arial" w:eastAsia="Arial" w:hAnsi="Arial"/>
                <w:sz w:val="14"/>
                <w:szCs w:val="14"/>
                <w:color w:val="auto"/>
              </w:rPr>
              <w:t>36</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40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4"/>
                <w:szCs w:val="14"/>
                <w:color w:val="auto"/>
              </w:rPr>
              <w:t>12</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8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4"/>
                <w:szCs w:val="14"/>
                <w:color w:val="auto"/>
              </w:rPr>
              <w:t>7</w:t>
            </w:r>
          </w:p>
        </w:tc>
        <w:tc>
          <w:tcPr>
            <w:tcW w:w="0" w:type="dxa"/>
            <w:vAlign w:val="bottom"/>
          </w:tcPr>
          <w:p>
            <w:pPr>
              <w:spacing w:after="0"/>
              <w:rPr>
                <w:sz w:val="1"/>
                <w:szCs w:val="1"/>
                <w:color w:val="auto"/>
              </w:rPr>
            </w:pPr>
          </w:p>
        </w:tc>
      </w:tr>
      <w:tr>
        <w:trPr>
          <w:trHeight w:val="80"/>
        </w:trPr>
        <w:tc>
          <w:tcPr>
            <w:tcW w:w="4120" w:type="dxa"/>
            <w:vAlign w:val="bottom"/>
            <w:shd w:val="clear" w:color="auto" w:fill="CCEEFF"/>
          </w:tcPr>
          <w:p>
            <w:pPr>
              <w:spacing w:after="0"/>
              <w:rPr>
                <w:sz w:val="6"/>
                <w:szCs w:val="6"/>
                <w:color w:val="auto"/>
              </w:rPr>
            </w:pPr>
          </w:p>
        </w:tc>
        <w:tc>
          <w:tcPr>
            <w:tcW w:w="80" w:type="dxa"/>
            <w:vAlign w:val="bottom"/>
            <w:tcBorders>
              <w:bottom w:val="single" w:sz="8" w:color="auto"/>
            </w:tcBorders>
            <w:shd w:val="clear" w:color="auto" w:fill="CCEEFF"/>
          </w:tcPr>
          <w:p>
            <w:pPr>
              <w:spacing w:after="0"/>
              <w:rPr>
                <w:sz w:val="6"/>
                <w:szCs w:val="6"/>
                <w:color w:val="auto"/>
              </w:rPr>
            </w:pPr>
          </w:p>
        </w:tc>
        <w:tc>
          <w:tcPr>
            <w:tcW w:w="140" w:type="dxa"/>
            <w:vAlign w:val="bottom"/>
            <w:tcBorders>
              <w:bottom w:val="single" w:sz="8" w:color="auto"/>
            </w:tcBorders>
            <w:shd w:val="clear" w:color="auto" w:fill="CCEEFF"/>
          </w:tcPr>
          <w:p>
            <w:pPr>
              <w:spacing w:after="0"/>
              <w:rPr>
                <w:sz w:val="6"/>
                <w:szCs w:val="6"/>
                <w:color w:val="auto"/>
              </w:rPr>
            </w:pPr>
          </w:p>
        </w:tc>
        <w:tc>
          <w:tcPr>
            <w:tcW w:w="1280" w:type="dxa"/>
            <w:vAlign w:val="bottom"/>
            <w:tcBorders>
              <w:bottom w:val="single" w:sz="8" w:color="auto"/>
            </w:tcBorders>
            <w:vMerge w:val="continue"/>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c>
          <w:tcPr>
            <w:tcW w:w="60" w:type="dxa"/>
            <w:vAlign w:val="bottom"/>
            <w:tcBorders>
              <w:bottom w:val="single" w:sz="8" w:color="auto"/>
            </w:tcBorders>
            <w:shd w:val="clear" w:color="auto" w:fill="CCEEFF"/>
          </w:tcPr>
          <w:p>
            <w:pPr>
              <w:spacing w:after="0"/>
              <w:rPr>
                <w:sz w:val="6"/>
                <w:szCs w:val="6"/>
                <w:color w:val="auto"/>
              </w:rPr>
            </w:pPr>
          </w:p>
        </w:tc>
        <w:tc>
          <w:tcPr>
            <w:tcW w:w="180" w:type="dxa"/>
            <w:vAlign w:val="bottom"/>
            <w:tcBorders>
              <w:bottom w:val="single" w:sz="8" w:color="auto"/>
            </w:tcBorders>
            <w:shd w:val="clear" w:color="auto" w:fill="CCEEFF"/>
          </w:tcPr>
          <w:p>
            <w:pPr>
              <w:spacing w:after="0"/>
              <w:rPr>
                <w:sz w:val="6"/>
                <w:szCs w:val="6"/>
                <w:color w:val="auto"/>
              </w:rPr>
            </w:pPr>
          </w:p>
        </w:tc>
        <w:tc>
          <w:tcPr>
            <w:tcW w:w="1160" w:type="dxa"/>
            <w:vAlign w:val="bottom"/>
            <w:tcBorders>
              <w:bottom w:val="single" w:sz="8" w:color="auto"/>
            </w:tcBorders>
            <w:vMerge w:val="continue"/>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40" w:type="dxa"/>
            <w:vAlign w:val="bottom"/>
            <w:tcBorders>
              <w:bottom w:val="single" w:sz="8" w:color="auto"/>
            </w:tcBorders>
            <w:shd w:val="clear" w:color="auto" w:fill="CCEEFF"/>
          </w:tcPr>
          <w:p>
            <w:pPr>
              <w:spacing w:after="0"/>
              <w:rPr>
                <w:sz w:val="6"/>
                <w:szCs w:val="6"/>
                <w:color w:val="auto"/>
              </w:rPr>
            </w:pPr>
          </w:p>
        </w:tc>
        <w:tc>
          <w:tcPr>
            <w:tcW w:w="1040" w:type="dxa"/>
            <w:vAlign w:val="bottom"/>
            <w:tcBorders>
              <w:bottom w:val="single" w:sz="8" w:color="auto"/>
            </w:tcBorders>
            <w:shd w:val="clear" w:color="auto" w:fill="CCEEFF"/>
          </w:tcPr>
          <w:p>
            <w:pPr>
              <w:spacing w:after="0"/>
              <w:rPr>
                <w:sz w:val="6"/>
                <w:szCs w:val="6"/>
                <w:color w:val="auto"/>
              </w:rPr>
            </w:pPr>
          </w:p>
        </w:tc>
        <w:tc>
          <w:tcPr>
            <w:tcW w:w="400" w:type="dxa"/>
            <w:vAlign w:val="bottom"/>
            <w:tcBorders>
              <w:bottom w:val="single" w:sz="8" w:color="auto"/>
            </w:tcBorders>
            <w:gridSpan w:val="2"/>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tcBorders>
              <w:bottom w:val="single" w:sz="8" w:color="auto"/>
            </w:tcBorders>
            <w:shd w:val="clear" w:color="auto" w:fill="CCEEFF"/>
          </w:tcPr>
          <w:p>
            <w:pPr>
              <w:spacing w:after="0"/>
              <w:rPr>
                <w:sz w:val="6"/>
                <w:szCs w:val="6"/>
                <w:color w:val="auto"/>
              </w:rPr>
            </w:pPr>
          </w:p>
        </w:tc>
        <w:tc>
          <w:tcPr>
            <w:tcW w:w="1000" w:type="dxa"/>
            <w:vAlign w:val="bottom"/>
            <w:tcBorders>
              <w:bottom w:val="single" w:sz="8" w:color="auto"/>
            </w:tcBorders>
            <w:gridSpan w:val="2"/>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80" w:type="dxa"/>
            <w:vAlign w:val="bottom"/>
            <w:tcBorders>
              <w:bottom w:val="single" w:sz="8" w:color="auto"/>
            </w:tcBorders>
            <w:shd w:val="clear" w:color="auto" w:fill="CCEEFF"/>
          </w:tcPr>
          <w:p>
            <w:pPr>
              <w:spacing w:after="0"/>
              <w:rPr>
                <w:sz w:val="6"/>
                <w:szCs w:val="6"/>
                <w:color w:val="auto"/>
              </w:rPr>
            </w:pPr>
          </w:p>
        </w:tc>
        <w:tc>
          <w:tcPr>
            <w:tcW w:w="1080" w:type="dxa"/>
            <w:vAlign w:val="bottom"/>
            <w:tcBorders>
              <w:bottom w:val="single" w:sz="8" w:color="auto"/>
            </w:tcBorders>
            <w:gridSpan w:val="2"/>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1"/>
        </w:trPr>
        <w:tc>
          <w:tcPr>
            <w:tcW w:w="4120" w:type="dxa"/>
            <w:vAlign w:val="bottom"/>
          </w:tcPr>
          <w:p>
            <w:pPr>
              <w:ind w:left="200"/>
              <w:spacing w:after="0"/>
              <w:rPr>
                <w:sz w:val="20"/>
                <w:szCs w:val="20"/>
                <w:color w:val="auto"/>
              </w:rPr>
            </w:pPr>
            <w:r>
              <w:rPr>
                <w:rFonts w:ascii="Arial" w:cs="Arial" w:eastAsia="Arial" w:hAnsi="Arial"/>
                <w:sz w:val="14"/>
                <w:szCs w:val="14"/>
                <w:color w:val="auto"/>
              </w:rPr>
              <w:t>AOCI before reclassifications, net of income tax</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vMerge w:val="restart"/>
          </w:tcPr>
          <w:p>
            <w:pPr>
              <w:jc w:val="right"/>
              <w:ind w:right="51"/>
              <w:spacing w:after="0"/>
              <w:rPr>
                <w:sz w:val="20"/>
                <w:szCs w:val="20"/>
                <w:color w:val="auto"/>
              </w:rPr>
            </w:pPr>
            <w:r>
              <w:rPr>
                <w:rFonts w:ascii="Arial" w:cs="Arial" w:eastAsia="Arial" w:hAnsi="Arial"/>
                <w:sz w:val="14"/>
                <w:szCs w:val="14"/>
                <w:color w:val="auto"/>
              </w:rPr>
              <w:t>1,121</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vMerge w:val="restart"/>
          </w:tcPr>
          <w:p>
            <w:pPr>
              <w:jc w:val="right"/>
              <w:ind w:right="50"/>
              <w:spacing w:after="0"/>
              <w:rPr>
                <w:sz w:val="20"/>
                <w:szCs w:val="20"/>
                <w:color w:val="auto"/>
              </w:rPr>
            </w:pPr>
            <w:r>
              <w:rPr>
                <w:rFonts w:ascii="Arial" w:cs="Arial" w:eastAsia="Arial" w:hAnsi="Arial"/>
                <w:sz w:val="14"/>
                <w:szCs w:val="14"/>
                <w:color w:val="auto"/>
              </w:rPr>
              <w:t>200</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00" w:type="dxa"/>
            <w:vAlign w:val="bottom"/>
            <w:gridSpan w:val="2"/>
            <w:vMerge w:val="restart"/>
          </w:tcPr>
          <w:p>
            <w:pPr>
              <w:jc w:val="right"/>
              <w:ind w:right="60"/>
              <w:spacing w:after="0"/>
              <w:rPr>
                <w:sz w:val="20"/>
                <w:szCs w:val="20"/>
                <w:color w:val="auto"/>
              </w:rPr>
            </w:pPr>
            <w:r>
              <w:rPr>
                <w:rFonts w:ascii="Arial" w:cs="Arial" w:eastAsia="Arial" w:hAnsi="Arial"/>
                <w:sz w:val="14"/>
                <w:szCs w:val="14"/>
                <w:color w:val="auto"/>
              </w:rPr>
              <w:t>(26)</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vMerge w:val="restart"/>
          </w:tcPr>
          <w:p>
            <w:pPr>
              <w:jc w:val="right"/>
              <w:ind w:right="60"/>
              <w:spacing w:after="0"/>
              <w:rPr>
                <w:sz w:val="20"/>
                <w:szCs w:val="20"/>
                <w:color w:val="auto"/>
              </w:rPr>
            </w:pPr>
            <w:r>
              <w:rPr>
                <w:rFonts w:ascii="Arial" w:cs="Arial" w:eastAsia="Arial" w:hAnsi="Arial"/>
                <w:sz w:val="14"/>
                <w:szCs w:val="14"/>
                <w:color w:val="auto"/>
              </w:rPr>
              <w:t>(18)</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80" w:type="dxa"/>
            <w:vAlign w:val="bottom"/>
            <w:gridSpan w:val="2"/>
            <w:vMerge w:val="restart"/>
          </w:tcPr>
          <w:p>
            <w:pPr>
              <w:jc w:val="right"/>
              <w:ind w:right="100"/>
              <w:spacing w:after="0"/>
              <w:rPr>
                <w:sz w:val="20"/>
                <w:szCs w:val="20"/>
                <w:color w:val="auto"/>
              </w:rPr>
            </w:pPr>
            <w:r>
              <w:rPr>
                <w:rFonts w:ascii="Arial" w:cs="Arial" w:eastAsia="Arial" w:hAnsi="Arial"/>
                <w:sz w:val="14"/>
                <w:szCs w:val="14"/>
                <w:color w:val="auto"/>
              </w:rPr>
              <w:t>1,277</w:t>
            </w:r>
          </w:p>
        </w:tc>
        <w:tc>
          <w:tcPr>
            <w:tcW w:w="0" w:type="dxa"/>
            <w:vAlign w:val="bottom"/>
          </w:tcPr>
          <w:p>
            <w:pPr>
              <w:spacing w:after="0"/>
              <w:rPr>
                <w:sz w:val="1"/>
                <w:szCs w:val="1"/>
                <w:color w:val="auto"/>
              </w:rPr>
            </w:pPr>
          </w:p>
        </w:tc>
      </w:tr>
      <w:tr>
        <w:trPr>
          <w:trHeight w:val="74"/>
        </w:trPr>
        <w:tc>
          <w:tcPr>
            <w:tcW w:w="4120" w:type="dxa"/>
            <w:vAlign w:val="bottom"/>
            <w:tcBorders>
              <w:bottom w:val="single" w:sz="8" w:color="CCEEFF"/>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1280" w:type="dxa"/>
            <w:vAlign w:val="bottom"/>
            <w:tcBorders>
              <w:bottom w:val="single" w:sz="8" w:color="auto"/>
            </w:tcBorders>
            <w:vMerge w:val="continue"/>
          </w:tcPr>
          <w:p>
            <w:pPr>
              <w:spacing w:after="0"/>
              <w:rPr>
                <w:sz w:val="6"/>
                <w:szCs w:val="6"/>
                <w:color w:val="auto"/>
              </w:rPr>
            </w:pPr>
          </w:p>
        </w:tc>
        <w:tc>
          <w:tcPr>
            <w:tcW w:w="60" w:type="dxa"/>
            <w:vAlign w:val="bottom"/>
            <w:tcBorders>
              <w:bottom w:val="single" w:sz="8" w:color="CCEEFF"/>
            </w:tcBorders>
          </w:tcPr>
          <w:p>
            <w:pPr>
              <w:spacing w:after="0"/>
              <w:rPr>
                <w:sz w:val="6"/>
                <w:szCs w:val="6"/>
                <w:color w:val="auto"/>
              </w:rPr>
            </w:pPr>
          </w:p>
        </w:tc>
        <w:tc>
          <w:tcPr>
            <w:tcW w:w="60" w:type="dxa"/>
            <w:vAlign w:val="bottom"/>
            <w:tcBorders>
              <w:bottom w:val="single" w:sz="8" w:color="CCEEFF"/>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1160" w:type="dxa"/>
            <w:vAlign w:val="bottom"/>
            <w:tcBorders>
              <w:bottom w:val="single" w:sz="8" w:color="auto"/>
            </w:tcBorders>
            <w:vMerge w:val="continue"/>
          </w:tcPr>
          <w:p>
            <w:pPr>
              <w:spacing w:after="0"/>
              <w:rPr>
                <w:sz w:val="6"/>
                <w:szCs w:val="6"/>
                <w:color w:val="auto"/>
              </w:rPr>
            </w:pPr>
          </w:p>
        </w:tc>
        <w:tc>
          <w:tcPr>
            <w:tcW w:w="40" w:type="dxa"/>
            <w:vAlign w:val="bottom"/>
            <w:tcBorders>
              <w:bottom w:val="single" w:sz="8" w:color="CCEEFF"/>
            </w:tcBorders>
          </w:tcPr>
          <w:p>
            <w:pPr>
              <w:spacing w:after="0"/>
              <w:rPr>
                <w:sz w:val="6"/>
                <w:szCs w:val="6"/>
                <w:color w:val="auto"/>
              </w:rPr>
            </w:pPr>
          </w:p>
        </w:tc>
        <w:tc>
          <w:tcPr>
            <w:tcW w:w="80" w:type="dxa"/>
            <w:vAlign w:val="bottom"/>
            <w:tcBorders>
              <w:bottom w:val="single" w:sz="8" w:color="CCEEFF"/>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1040" w:type="dxa"/>
            <w:vAlign w:val="bottom"/>
            <w:tcBorders>
              <w:bottom w:val="single" w:sz="8" w:color="auto"/>
            </w:tcBorders>
          </w:tcPr>
          <w:p>
            <w:pPr>
              <w:spacing w:after="0"/>
              <w:rPr>
                <w:sz w:val="6"/>
                <w:szCs w:val="6"/>
                <w:color w:val="auto"/>
              </w:rPr>
            </w:pPr>
          </w:p>
        </w:tc>
        <w:tc>
          <w:tcPr>
            <w:tcW w:w="400" w:type="dxa"/>
            <w:vAlign w:val="bottom"/>
            <w:tcBorders>
              <w:bottom w:val="single" w:sz="8" w:color="auto"/>
            </w:tcBorders>
            <w:gridSpan w:val="2"/>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1000" w:type="dxa"/>
            <w:vAlign w:val="bottom"/>
            <w:tcBorders>
              <w:bottom w:val="single" w:sz="8" w:color="auto"/>
            </w:tcBorders>
            <w:gridSpan w:val="2"/>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1080" w:type="dxa"/>
            <w:vAlign w:val="bottom"/>
            <w:tcBorders>
              <w:bottom w:val="single" w:sz="8" w:color="auto"/>
            </w:tcBorders>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4120" w:type="dxa"/>
            <w:vAlign w:val="bottom"/>
            <w:shd w:val="clear" w:color="auto" w:fill="CCEEFF"/>
          </w:tcPr>
          <w:p>
            <w:pPr>
              <w:ind w:left="40"/>
              <w:spacing w:after="0"/>
              <w:rPr>
                <w:sz w:val="20"/>
                <w:szCs w:val="20"/>
                <w:color w:val="auto"/>
              </w:rPr>
            </w:pPr>
            <w:r>
              <w:rPr>
                <w:rFonts w:ascii="Arial" w:cs="Arial" w:eastAsia="Arial" w:hAnsi="Arial"/>
                <w:sz w:val="14"/>
                <w:szCs w:val="14"/>
                <w:color w:val="auto"/>
              </w:rPr>
              <w:t>Amounts reclassified from AOCI</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80" w:type="dxa"/>
            <w:vAlign w:val="bottom"/>
            <w:vMerge w:val="restart"/>
            <w:shd w:val="clear" w:color="auto" w:fill="CCEEFF"/>
          </w:tcPr>
          <w:p>
            <w:pPr>
              <w:jc w:val="right"/>
              <w:ind w:right="51"/>
              <w:spacing w:after="0"/>
              <w:rPr>
                <w:sz w:val="20"/>
                <w:szCs w:val="20"/>
                <w:color w:val="auto"/>
              </w:rPr>
            </w:pPr>
            <w:r>
              <w:rPr>
                <w:rFonts w:ascii="Arial" w:cs="Arial" w:eastAsia="Arial" w:hAnsi="Arial"/>
                <w:sz w:val="14"/>
                <w:szCs w:val="14"/>
                <w:color w:val="auto"/>
              </w:rPr>
              <w:t>64</w:t>
            </w:r>
          </w:p>
        </w:tc>
        <w:tc>
          <w:tcPr>
            <w:tcW w:w="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60" w:type="dxa"/>
            <w:vAlign w:val="bottom"/>
            <w:vMerge w:val="restart"/>
            <w:shd w:val="clear" w:color="auto" w:fill="CCEEFF"/>
          </w:tcPr>
          <w:p>
            <w:pPr>
              <w:jc w:val="right"/>
              <w:ind w:right="10"/>
              <w:spacing w:after="0"/>
              <w:rPr>
                <w:sz w:val="20"/>
                <w:szCs w:val="20"/>
                <w:color w:val="auto"/>
              </w:rPr>
            </w:pPr>
            <w:r>
              <w:rPr>
                <w:rFonts w:ascii="Arial" w:cs="Arial" w:eastAsia="Arial" w:hAnsi="Arial"/>
                <w:sz w:val="14"/>
                <w:szCs w:val="14"/>
                <w:color w:val="auto"/>
              </w:rPr>
              <w:t>(17)</w:t>
            </w: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40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8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4"/>
                <w:szCs w:val="14"/>
                <w:color w:val="auto"/>
              </w:rPr>
              <w:t>47</w:t>
            </w:r>
          </w:p>
        </w:tc>
        <w:tc>
          <w:tcPr>
            <w:tcW w:w="0" w:type="dxa"/>
            <w:vAlign w:val="bottom"/>
          </w:tcPr>
          <w:p>
            <w:pPr>
              <w:spacing w:after="0"/>
              <w:rPr>
                <w:sz w:val="1"/>
                <w:szCs w:val="1"/>
                <w:color w:val="auto"/>
              </w:rPr>
            </w:pPr>
          </w:p>
        </w:tc>
      </w:tr>
      <w:tr>
        <w:trPr>
          <w:trHeight w:val="80"/>
        </w:trPr>
        <w:tc>
          <w:tcPr>
            <w:tcW w:w="412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280" w:type="dxa"/>
            <w:vAlign w:val="bottom"/>
            <w:vMerge w:val="continue"/>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1160" w:type="dxa"/>
            <w:vAlign w:val="bottom"/>
            <w:vMerge w:val="continue"/>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1040" w:type="dxa"/>
            <w:vAlign w:val="bottom"/>
            <w:shd w:val="clear" w:color="auto" w:fill="CCEEFF"/>
          </w:tcPr>
          <w:p>
            <w:pPr>
              <w:spacing w:after="0"/>
              <w:rPr>
                <w:sz w:val="6"/>
                <w:szCs w:val="6"/>
                <w:color w:val="auto"/>
              </w:rPr>
            </w:pPr>
          </w:p>
        </w:tc>
        <w:tc>
          <w:tcPr>
            <w:tcW w:w="400" w:type="dxa"/>
            <w:vAlign w:val="bottom"/>
            <w:gridSpan w:val="2"/>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00" w:type="dxa"/>
            <w:vAlign w:val="bottom"/>
            <w:gridSpan w:val="2"/>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1080" w:type="dxa"/>
            <w:vAlign w:val="bottom"/>
            <w:gridSpan w:val="2"/>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4120" w:type="dxa"/>
            <w:vAlign w:val="bottom"/>
          </w:tcPr>
          <w:p>
            <w:pPr>
              <w:ind w:left="40"/>
              <w:spacing w:after="0"/>
              <w:rPr>
                <w:sz w:val="20"/>
                <w:szCs w:val="20"/>
                <w:color w:val="auto"/>
              </w:rPr>
            </w:pPr>
            <w:r>
              <w:rPr>
                <w:rFonts w:ascii="Arial" w:cs="Arial" w:eastAsia="Arial" w:hAnsi="Arial"/>
                <w:sz w:val="14"/>
                <w:szCs w:val="14"/>
                <w:color w:val="auto"/>
              </w:rPr>
              <w:t>Deferred income tax benefit (expense)</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vMerge w:val="restart"/>
          </w:tcPr>
          <w:p>
            <w:pPr>
              <w:jc w:val="right"/>
              <w:spacing w:after="0"/>
              <w:rPr>
                <w:sz w:val="20"/>
                <w:szCs w:val="20"/>
                <w:color w:val="auto"/>
              </w:rPr>
            </w:pPr>
            <w:r>
              <w:rPr>
                <w:rFonts w:ascii="Arial" w:cs="Arial" w:eastAsia="Arial" w:hAnsi="Arial"/>
                <w:sz w:val="14"/>
                <w:szCs w:val="14"/>
                <w:color w:val="auto"/>
              </w:rPr>
              <w:t>(23)</w:t>
            </w: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vMerge w:val="restart"/>
          </w:tcPr>
          <w:p>
            <w:pPr>
              <w:jc w:val="right"/>
              <w:ind w:right="50"/>
              <w:spacing w:after="0"/>
              <w:rPr>
                <w:sz w:val="20"/>
                <w:szCs w:val="20"/>
                <w:color w:val="auto"/>
              </w:rPr>
            </w:pPr>
            <w:r>
              <w:rPr>
                <w:rFonts w:ascii="Arial" w:cs="Arial" w:eastAsia="Arial" w:hAnsi="Arial"/>
                <w:sz w:val="14"/>
                <w:szCs w:val="14"/>
                <w:color w:val="auto"/>
              </w:rPr>
              <w:t>7</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400" w:type="dxa"/>
            <w:vAlign w:val="bottom"/>
            <w:gridSpan w:val="2"/>
            <w:vMerge w:val="restart"/>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gridSpan w:val="2"/>
            <w:vMerge w:val="restart"/>
          </w:tcPr>
          <w:p>
            <w:pPr>
              <w:jc w:val="right"/>
              <w:ind w:right="1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80" w:type="dxa"/>
            <w:vAlign w:val="bottom"/>
            <w:gridSpan w:val="2"/>
            <w:vMerge w:val="restart"/>
          </w:tcPr>
          <w:p>
            <w:pPr>
              <w:jc w:val="right"/>
              <w:ind w:right="60"/>
              <w:spacing w:after="0"/>
              <w:rPr>
                <w:sz w:val="20"/>
                <w:szCs w:val="20"/>
                <w:color w:val="auto"/>
              </w:rPr>
            </w:pPr>
            <w:r>
              <w:rPr>
                <w:rFonts w:ascii="Arial" w:cs="Arial" w:eastAsia="Arial" w:hAnsi="Arial"/>
                <w:sz w:val="14"/>
                <w:szCs w:val="14"/>
                <w:color w:val="auto"/>
              </w:rPr>
              <w:t>(16)</w:t>
            </w:r>
          </w:p>
        </w:tc>
        <w:tc>
          <w:tcPr>
            <w:tcW w:w="0" w:type="dxa"/>
            <w:vAlign w:val="bottom"/>
          </w:tcPr>
          <w:p>
            <w:pPr>
              <w:spacing w:after="0"/>
              <w:rPr>
                <w:sz w:val="1"/>
                <w:szCs w:val="1"/>
                <w:color w:val="auto"/>
              </w:rPr>
            </w:pPr>
          </w:p>
        </w:tc>
      </w:tr>
      <w:tr>
        <w:trPr>
          <w:trHeight w:val="74"/>
        </w:trPr>
        <w:tc>
          <w:tcPr>
            <w:tcW w:w="4120" w:type="dxa"/>
            <w:vAlign w:val="bottom"/>
            <w:tcBorders>
              <w:bottom w:val="single" w:sz="8" w:color="CCEEFF"/>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1280" w:type="dxa"/>
            <w:vAlign w:val="bottom"/>
            <w:tcBorders>
              <w:bottom w:val="single" w:sz="8" w:color="auto"/>
            </w:tcBorders>
            <w:vMerge w:val="continue"/>
          </w:tcPr>
          <w:p>
            <w:pPr>
              <w:spacing w:after="0"/>
              <w:rPr>
                <w:sz w:val="6"/>
                <w:szCs w:val="6"/>
                <w:color w:val="auto"/>
              </w:rPr>
            </w:pPr>
          </w:p>
        </w:tc>
        <w:tc>
          <w:tcPr>
            <w:tcW w:w="60" w:type="dxa"/>
            <w:vAlign w:val="bottom"/>
            <w:tcBorders>
              <w:bottom w:val="single" w:sz="8" w:color="CCEEFF"/>
            </w:tcBorders>
          </w:tcPr>
          <w:p>
            <w:pPr>
              <w:spacing w:after="0"/>
              <w:rPr>
                <w:sz w:val="6"/>
                <w:szCs w:val="6"/>
                <w:color w:val="auto"/>
              </w:rPr>
            </w:pPr>
          </w:p>
        </w:tc>
        <w:tc>
          <w:tcPr>
            <w:tcW w:w="60" w:type="dxa"/>
            <w:vAlign w:val="bottom"/>
            <w:tcBorders>
              <w:bottom w:val="single" w:sz="8" w:color="CCEEFF"/>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1160" w:type="dxa"/>
            <w:vAlign w:val="bottom"/>
            <w:tcBorders>
              <w:bottom w:val="single" w:sz="8" w:color="auto"/>
            </w:tcBorders>
            <w:vMerge w:val="continue"/>
          </w:tcPr>
          <w:p>
            <w:pPr>
              <w:spacing w:after="0"/>
              <w:rPr>
                <w:sz w:val="6"/>
                <w:szCs w:val="6"/>
                <w:color w:val="auto"/>
              </w:rPr>
            </w:pPr>
          </w:p>
        </w:tc>
        <w:tc>
          <w:tcPr>
            <w:tcW w:w="40" w:type="dxa"/>
            <w:vAlign w:val="bottom"/>
            <w:tcBorders>
              <w:bottom w:val="single" w:sz="8" w:color="CCEEFF"/>
            </w:tcBorders>
          </w:tcPr>
          <w:p>
            <w:pPr>
              <w:spacing w:after="0"/>
              <w:rPr>
                <w:sz w:val="6"/>
                <w:szCs w:val="6"/>
                <w:color w:val="auto"/>
              </w:rPr>
            </w:pPr>
          </w:p>
        </w:tc>
        <w:tc>
          <w:tcPr>
            <w:tcW w:w="80" w:type="dxa"/>
            <w:vAlign w:val="bottom"/>
            <w:tcBorders>
              <w:bottom w:val="single" w:sz="8" w:color="CCEEFF"/>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1040" w:type="dxa"/>
            <w:vAlign w:val="bottom"/>
            <w:tcBorders>
              <w:bottom w:val="single" w:sz="8" w:color="auto"/>
            </w:tcBorders>
          </w:tcPr>
          <w:p>
            <w:pPr>
              <w:spacing w:after="0"/>
              <w:rPr>
                <w:sz w:val="6"/>
                <w:szCs w:val="6"/>
                <w:color w:val="auto"/>
              </w:rPr>
            </w:pPr>
          </w:p>
        </w:tc>
        <w:tc>
          <w:tcPr>
            <w:tcW w:w="400" w:type="dxa"/>
            <w:vAlign w:val="bottom"/>
            <w:tcBorders>
              <w:bottom w:val="single" w:sz="8" w:color="auto"/>
            </w:tcBorders>
            <w:gridSpan w:val="2"/>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1000" w:type="dxa"/>
            <w:vAlign w:val="bottom"/>
            <w:tcBorders>
              <w:bottom w:val="single" w:sz="8" w:color="auto"/>
            </w:tcBorders>
            <w:gridSpan w:val="2"/>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1080" w:type="dxa"/>
            <w:vAlign w:val="bottom"/>
            <w:tcBorders>
              <w:bottom w:val="single" w:sz="8" w:color="auto"/>
            </w:tcBorders>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4120" w:type="dxa"/>
            <w:vAlign w:val="bottom"/>
            <w:shd w:val="clear" w:color="auto" w:fill="CCEEFF"/>
          </w:tcPr>
          <w:p>
            <w:pPr>
              <w:ind w:left="200"/>
              <w:spacing w:after="0"/>
              <w:rPr>
                <w:sz w:val="20"/>
                <w:szCs w:val="20"/>
                <w:color w:val="auto"/>
              </w:rPr>
            </w:pPr>
            <w:r>
              <w:rPr>
                <w:rFonts w:ascii="Arial" w:cs="Arial" w:eastAsia="Arial" w:hAnsi="Arial"/>
                <w:sz w:val="14"/>
                <w:szCs w:val="14"/>
                <w:color w:val="auto"/>
              </w:rPr>
              <w:t>Amounts reclassified from AOCI, net of income tax</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80" w:type="dxa"/>
            <w:vAlign w:val="bottom"/>
            <w:vMerge w:val="restart"/>
            <w:shd w:val="clear" w:color="auto" w:fill="CCEEFF"/>
          </w:tcPr>
          <w:p>
            <w:pPr>
              <w:jc w:val="right"/>
              <w:ind w:right="51"/>
              <w:spacing w:after="0"/>
              <w:rPr>
                <w:sz w:val="20"/>
                <w:szCs w:val="20"/>
                <w:color w:val="auto"/>
              </w:rPr>
            </w:pPr>
            <w:r>
              <w:rPr>
                <w:rFonts w:ascii="Arial" w:cs="Arial" w:eastAsia="Arial" w:hAnsi="Arial"/>
                <w:sz w:val="14"/>
                <w:szCs w:val="14"/>
                <w:color w:val="auto"/>
              </w:rPr>
              <w:t>41</w:t>
            </w:r>
          </w:p>
        </w:tc>
        <w:tc>
          <w:tcPr>
            <w:tcW w:w="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60" w:type="dxa"/>
            <w:vAlign w:val="bottom"/>
            <w:vMerge w:val="restart"/>
            <w:shd w:val="clear" w:color="auto" w:fill="CCEEFF"/>
          </w:tcPr>
          <w:p>
            <w:pPr>
              <w:jc w:val="right"/>
              <w:ind w:right="10"/>
              <w:spacing w:after="0"/>
              <w:rPr>
                <w:sz w:val="20"/>
                <w:szCs w:val="20"/>
                <w:color w:val="auto"/>
              </w:rPr>
            </w:pPr>
            <w:r>
              <w:rPr>
                <w:rFonts w:ascii="Arial" w:cs="Arial" w:eastAsia="Arial" w:hAnsi="Arial"/>
                <w:sz w:val="14"/>
                <w:szCs w:val="14"/>
                <w:color w:val="auto"/>
              </w:rPr>
              <w:t>(10)</w:t>
            </w: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40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8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4"/>
                <w:szCs w:val="14"/>
                <w:color w:val="auto"/>
              </w:rPr>
              <w:t>31</w:t>
            </w:r>
          </w:p>
        </w:tc>
        <w:tc>
          <w:tcPr>
            <w:tcW w:w="0" w:type="dxa"/>
            <w:vAlign w:val="bottom"/>
          </w:tcPr>
          <w:p>
            <w:pPr>
              <w:spacing w:after="0"/>
              <w:rPr>
                <w:sz w:val="1"/>
                <w:szCs w:val="1"/>
                <w:color w:val="auto"/>
              </w:rPr>
            </w:pPr>
          </w:p>
        </w:tc>
      </w:tr>
      <w:tr>
        <w:trPr>
          <w:trHeight w:val="80"/>
        </w:trPr>
        <w:tc>
          <w:tcPr>
            <w:tcW w:w="4120" w:type="dxa"/>
            <w:vAlign w:val="bottom"/>
            <w:shd w:val="clear" w:color="auto" w:fill="CCEEFF"/>
          </w:tcPr>
          <w:p>
            <w:pPr>
              <w:spacing w:after="0"/>
              <w:rPr>
                <w:sz w:val="6"/>
                <w:szCs w:val="6"/>
                <w:color w:val="auto"/>
              </w:rPr>
            </w:pPr>
          </w:p>
        </w:tc>
        <w:tc>
          <w:tcPr>
            <w:tcW w:w="80" w:type="dxa"/>
            <w:vAlign w:val="bottom"/>
            <w:tcBorders>
              <w:bottom w:val="single" w:sz="8" w:color="auto"/>
            </w:tcBorders>
            <w:shd w:val="clear" w:color="auto" w:fill="CCEEFF"/>
          </w:tcPr>
          <w:p>
            <w:pPr>
              <w:spacing w:after="0"/>
              <w:rPr>
                <w:sz w:val="6"/>
                <w:szCs w:val="6"/>
                <w:color w:val="auto"/>
              </w:rPr>
            </w:pPr>
          </w:p>
        </w:tc>
        <w:tc>
          <w:tcPr>
            <w:tcW w:w="140" w:type="dxa"/>
            <w:vAlign w:val="bottom"/>
            <w:tcBorders>
              <w:bottom w:val="single" w:sz="8" w:color="auto"/>
            </w:tcBorders>
            <w:shd w:val="clear" w:color="auto" w:fill="CCEEFF"/>
          </w:tcPr>
          <w:p>
            <w:pPr>
              <w:spacing w:after="0"/>
              <w:rPr>
                <w:sz w:val="6"/>
                <w:szCs w:val="6"/>
                <w:color w:val="auto"/>
              </w:rPr>
            </w:pPr>
          </w:p>
        </w:tc>
        <w:tc>
          <w:tcPr>
            <w:tcW w:w="1280" w:type="dxa"/>
            <w:vAlign w:val="bottom"/>
            <w:tcBorders>
              <w:bottom w:val="single" w:sz="8" w:color="auto"/>
            </w:tcBorders>
            <w:vMerge w:val="continue"/>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c>
          <w:tcPr>
            <w:tcW w:w="60" w:type="dxa"/>
            <w:vAlign w:val="bottom"/>
            <w:tcBorders>
              <w:bottom w:val="single" w:sz="8" w:color="auto"/>
            </w:tcBorders>
            <w:shd w:val="clear" w:color="auto" w:fill="CCEEFF"/>
          </w:tcPr>
          <w:p>
            <w:pPr>
              <w:spacing w:after="0"/>
              <w:rPr>
                <w:sz w:val="6"/>
                <w:szCs w:val="6"/>
                <w:color w:val="auto"/>
              </w:rPr>
            </w:pPr>
          </w:p>
        </w:tc>
        <w:tc>
          <w:tcPr>
            <w:tcW w:w="180" w:type="dxa"/>
            <w:vAlign w:val="bottom"/>
            <w:tcBorders>
              <w:bottom w:val="single" w:sz="8" w:color="auto"/>
            </w:tcBorders>
            <w:shd w:val="clear" w:color="auto" w:fill="CCEEFF"/>
          </w:tcPr>
          <w:p>
            <w:pPr>
              <w:spacing w:after="0"/>
              <w:rPr>
                <w:sz w:val="6"/>
                <w:szCs w:val="6"/>
                <w:color w:val="auto"/>
              </w:rPr>
            </w:pPr>
          </w:p>
        </w:tc>
        <w:tc>
          <w:tcPr>
            <w:tcW w:w="1160" w:type="dxa"/>
            <w:vAlign w:val="bottom"/>
            <w:tcBorders>
              <w:bottom w:val="single" w:sz="8" w:color="auto"/>
            </w:tcBorders>
            <w:vMerge w:val="continue"/>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40" w:type="dxa"/>
            <w:vAlign w:val="bottom"/>
            <w:tcBorders>
              <w:bottom w:val="single" w:sz="8" w:color="auto"/>
            </w:tcBorders>
            <w:shd w:val="clear" w:color="auto" w:fill="CCEEFF"/>
          </w:tcPr>
          <w:p>
            <w:pPr>
              <w:spacing w:after="0"/>
              <w:rPr>
                <w:sz w:val="6"/>
                <w:szCs w:val="6"/>
                <w:color w:val="auto"/>
              </w:rPr>
            </w:pPr>
          </w:p>
        </w:tc>
        <w:tc>
          <w:tcPr>
            <w:tcW w:w="1040" w:type="dxa"/>
            <w:vAlign w:val="bottom"/>
            <w:tcBorders>
              <w:bottom w:val="single" w:sz="8" w:color="auto"/>
            </w:tcBorders>
            <w:shd w:val="clear" w:color="auto" w:fill="CCEEFF"/>
          </w:tcPr>
          <w:p>
            <w:pPr>
              <w:spacing w:after="0"/>
              <w:rPr>
                <w:sz w:val="6"/>
                <w:szCs w:val="6"/>
                <w:color w:val="auto"/>
              </w:rPr>
            </w:pPr>
          </w:p>
        </w:tc>
        <w:tc>
          <w:tcPr>
            <w:tcW w:w="400" w:type="dxa"/>
            <w:vAlign w:val="bottom"/>
            <w:tcBorders>
              <w:bottom w:val="single" w:sz="8" w:color="auto"/>
            </w:tcBorders>
            <w:gridSpan w:val="2"/>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tcBorders>
              <w:bottom w:val="single" w:sz="8" w:color="auto"/>
            </w:tcBorders>
            <w:shd w:val="clear" w:color="auto" w:fill="CCEEFF"/>
          </w:tcPr>
          <w:p>
            <w:pPr>
              <w:spacing w:after="0"/>
              <w:rPr>
                <w:sz w:val="6"/>
                <w:szCs w:val="6"/>
                <w:color w:val="auto"/>
              </w:rPr>
            </w:pPr>
          </w:p>
        </w:tc>
        <w:tc>
          <w:tcPr>
            <w:tcW w:w="1000" w:type="dxa"/>
            <w:vAlign w:val="bottom"/>
            <w:tcBorders>
              <w:bottom w:val="single" w:sz="8" w:color="auto"/>
            </w:tcBorders>
            <w:gridSpan w:val="2"/>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80" w:type="dxa"/>
            <w:vAlign w:val="bottom"/>
            <w:tcBorders>
              <w:bottom w:val="single" w:sz="8" w:color="auto"/>
            </w:tcBorders>
            <w:shd w:val="clear" w:color="auto" w:fill="CCEEFF"/>
          </w:tcPr>
          <w:p>
            <w:pPr>
              <w:spacing w:after="0"/>
              <w:rPr>
                <w:sz w:val="6"/>
                <w:szCs w:val="6"/>
                <w:color w:val="auto"/>
              </w:rPr>
            </w:pPr>
          </w:p>
        </w:tc>
        <w:tc>
          <w:tcPr>
            <w:tcW w:w="1080" w:type="dxa"/>
            <w:vAlign w:val="bottom"/>
            <w:tcBorders>
              <w:bottom w:val="single" w:sz="8" w:color="auto"/>
            </w:tcBorders>
            <w:gridSpan w:val="2"/>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1"/>
        </w:trPr>
        <w:tc>
          <w:tcPr>
            <w:tcW w:w="4120" w:type="dxa"/>
            <w:vAlign w:val="bottom"/>
          </w:tcPr>
          <w:p>
            <w:pPr>
              <w:ind w:left="40"/>
              <w:spacing w:after="0"/>
              <w:rPr>
                <w:sz w:val="20"/>
                <w:szCs w:val="20"/>
                <w:color w:val="auto"/>
              </w:rPr>
            </w:pPr>
            <w:r>
              <w:rPr>
                <w:rFonts w:ascii="Arial" w:cs="Arial" w:eastAsia="Arial" w:hAnsi="Arial"/>
                <w:sz w:val="14"/>
                <w:szCs w:val="14"/>
                <w:color w:val="auto"/>
              </w:rPr>
              <w:t>Balance, end of period</w:t>
            </w:r>
          </w:p>
        </w:tc>
        <w:tc>
          <w:tcPr>
            <w:tcW w:w="220" w:type="dxa"/>
            <w:vAlign w:val="bottom"/>
            <w:gridSpan w:val="2"/>
            <w:vMerge w:val="restart"/>
          </w:tcPr>
          <w:p>
            <w:pPr>
              <w:jc w:val="right"/>
              <w:ind w:right="120"/>
              <w:spacing w:after="0"/>
              <w:rPr>
                <w:sz w:val="20"/>
                <w:szCs w:val="20"/>
                <w:color w:val="auto"/>
              </w:rPr>
            </w:pPr>
            <w:r>
              <w:rPr>
                <w:rFonts w:ascii="Arial" w:cs="Arial" w:eastAsia="Arial" w:hAnsi="Arial"/>
                <w:sz w:val="14"/>
                <w:szCs w:val="14"/>
                <w:color w:val="auto"/>
              </w:rPr>
              <w:t>$</w:t>
            </w:r>
          </w:p>
        </w:tc>
        <w:tc>
          <w:tcPr>
            <w:tcW w:w="1280" w:type="dxa"/>
            <w:vAlign w:val="bottom"/>
            <w:vMerge w:val="restart"/>
          </w:tcPr>
          <w:p>
            <w:pPr>
              <w:jc w:val="right"/>
              <w:ind w:right="51"/>
              <w:spacing w:after="0"/>
              <w:rPr>
                <w:sz w:val="20"/>
                <w:szCs w:val="20"/>
                <w:color w:val="auto"/>
              </w:rPr>
            </w:pPr>
            <w:r>
              <w:rPr>
                <w:rFonts w:ascii="Arial" w:cs="Arial" w:eastAsia="Arial" w:hAnsi="Arial"/>
                <w:sz w:val="14"/>
                <w:szCs w:val="14"/>
                <w:color w:val="auto"/>
              </w:rPr>
              <w:t>1,162</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4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160" w:type="dxa"/>
            <w:vAlign w:val="bottom"/>
            <w:vMerge w:val="restart"/>
          </w:tcPr>
          <w:p>
            <w:pPr>
              <w:jc w:val="right"/>
              <w:ind w:right="50"/>
              <w:spacing w:after="0"/>
              <w:rPr>
                <w:sz w:val="20"/>
                <w:szCs w:val="20"/>
                <w:color w:val="auto"/>
              </w:rPr>
            </w:pPr>
            <w:r>
              <w:rPr>
                <w:rFonts w:ascii="Arial" w:cs="Arial" w:eastAsia="Arial" w:hAnsi="Arial"/>
                <w:sz w:val="14"/>
                <w:szCs w:val="14"/>
                <w:color w:val="auto"/>
              </w:rPr>
              <w:t>190</w:t>
            </w:r>
          </w:p>
        </w:tc>
        <w:tc>
          <w:tcPr>
            <w:tcW w:w="1200" w:type="dxa"/>
            <w:vAlign w:val="bottom"/>
            <w:gridSpan w:val="4"/>
            <w:vMerge w:val="restart"/>
          </w:tcPr>
          <w:p>
            <w:pPr>
              <w:ind w:left="140"/>
              <w:spacing w:after="0"/>
              <w:rPr>
                <w:sz w:val="20"/>
                <w:szCs w:val="20"/>
                <w:color w:val="auto"/>
              </w:rPr>
            </w:pPr>
            <w:r>
              <w:rPr>
                <w:rFonts w:ascii="Arial" w:cs="Arial" w:eastAsia="Arial" w:hAnsi="Arial"/>
                <w:sz w:val="14"/>
                <w:szCs w:val="14"/>
                <w:color w:val="auto"/>
              </w:rPr>
              <w:t>$</w:t>
            </w:r>
          </w:p>
        </w:tc>
        <w:tc>
          <w:tcPr>
            <w:tcW w:w="400" w:type="dxa"/>
            <w:vAlign w:val="bottom"/>
            <w:gridSpan w:val="2"/>
            <w:vMerge w:val="restart"/>
          </w:tcPr>
          <w:p>
            <w:pPr>
              <w:jc w:val="right"/>
              <w:ind w:right="60"/>
              <w:spacing w:after="0"/>
              <w:rPr>
                <w:sz w:val="20"/>
                <w:szCs w:val="20"/>
                <w:color w:val="auto"/>
              </w:rPr>
            </w:pPr>
            <w:r>
              <w:rPr>
                <w:rFonts w:ascii="Arial" w:cs="Arial" w:eastAsia="Arial" w:hAnsi="Arial"/>
                <w:sz w:val="14"/>
                <w:szCs w:val="14"/>
                <w:color w:val="auto"/>
              </w:rPr>
              <w:t>(26)</w:t>
            </w:r>
          </w:p>
        </w:tc>
        <w:tc>
          <w:tcPr>
            <w:tcW w:w="220" w:type="dxa"/>
            <w:vAlign w:val="bottom"/>
            <w:gridSpan w:val="2"/>
            <w:vMerge w:val="restart"/>
          </w:tcPr>
          <w:p>
            <w:pPr>
              <w:ind w:left="120"/>
              <w:spacing w:after="0"/>
              <w:rPr>
                <w:sz w:val="20"/>
                <w:szCs w:val="20"/>
                <w:color w:val="auto"/>
              </w:rPr>
            </w:pPr>
            <w:r>
              <w:rPr>
                <w:rFonts w:ascii="Arial" w:cs="Arial" w:eastAsia="Arial" w:hAnsi="Arial"/>
                <w:sz w:val="14"/>
                <w:szCs w:val="14"/>
                <w:color w:val="auto"/>
              </w:rPr>
              <w:t>$</w:t>
            </w:r>
          </w:p>
        </w:tc>
        <w:tc>
          <w:tcPr>
            <w:tcW w:w="1000" w:type="dxa"/>
            <w:vAlign w:val="bottom"/>
            <w:gridSpan w:val="2"/>
            <w:vMerge w:val="restart"/>
          </w:tcPr>
          <w:p>
            <w:pPr>
              <w:jc w:val="right"/>
              <w:ind w:right="60"/>
              <w:spacing w:after="0"/>
              <w:rPr>
                <w:sz w:val="20"/>
                <w:szCs w:val="20"/>
                <w:color w:val="auto"/>
              </w:rPr>
            </w:pPr>
            <w:r>
              <w:rPr>
                <w:rFonts w:ascii="Arial" w:cs="Arial" w:eastAsia="Arial" w:hAnsi="Arial"/>
                <w:sz w:val="14"/>
                <w:szCs w:val="14"/>
                <w:color w:val="auto"/>
              </w:rPr>
              <w:t>(18)</w:t>
            </w:r>
          </w:p>
        </w:tc>
        <w:tc>
          <w:tcPr>
            <w:tcW w:w="38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080" w:type="dxa"/>
            <w:vAlign w:val="bottom"/>
            <w:gridSpan w:val="2"/>
            <w:vMerge w:val="restart"/>
          </w:tcPr>
          <w:p>
            <w:pPr>
              <w:jc w:val="right"/>
              <w:ind w:right="100"/>
              <w:spacing w:after="0"/>
              <w:rPr>
                <w:sz w:val="20"/>
                <w:szCs w:val="20"/>
                <w:color w:val="auto"/>
              </w:rPr>
            </w:pPr>
            <w:r>
              <w:rPr>
                <w:rFonts w:ascii="Arial" w:cs="Arial" w:eastAsia="Arial" w:hAnsi="Arial"/>
                <w:sz w:val="14"/>
                <w:szCs w:val="14"/>
                <w:color w:val="auto"/>
              </w:rPr>
              <w:t>1,308</w:t>
            </w:r>
          </w:p>
        </w:tc>
        <w:tc>
          <w:tcPr>
            <w:tcW w:w="0" w:type="dxa"/>
            <w:vAlign w:val="bottom"/>
          </w:tcPr>
          <w:p>
            <w:pPr>
              <w:spacing w:after="0"/>
              <w:rPr>
                <w:sz w:val="1"/>
                <w:szCs w:val="1"/>
                <w:color w:val="auto"/>
              </w:rPr>
            </w:pPr>
          </w:p>
        </w:tc>
      </w:tr>
      <w:tr>
        <w:trPr>
          <w:trHeight w:val="60"/>
        </w:trPr>
        <w:tc>
          <w:tcPr>
            <w:tcW w:w="4120" w:type="dxa"/>
            <w:vAlign w:val="bottom"/>
          </w:tcPr>
          <w:p>
            <w:pPr>
              <w:spacing w:after="0"/>
              <w:rPr>
                <w:sz w:val="5"/>
                <w:szCs w:val="5"/>
                <w:color w:val="auto"/>
              </w:rPr>
            </w:pPr>
          </w:p>
        </w:tc>
        <w:tc>
          <w:tcPr>
            <w:tcW w:w="220" w:type="dxa"/>
            <w:vAlign w:val="bottom"/>
            <w:gridSpan w:val="2"/>
            <w:vMerge w:val="continue"/>
          </w:tcPr>
          <w:p>
            <w:pPr>
              <w:spacing w:after="0"/>
              <w:rPr>
                <w:sz w:val="5"/>
                <w:szCs w:val="5"/>
                <w:color w:val="auto"/>
              </w:rPr>
            </w:pPr>
          </w:p>
        </w:tc>
        <w:tc>
          <w:tcPr>
            <w:tcW w:w="128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240" w:type="dxa"/>
            <w:vAlign w:val="bottom"/>
            <w:gridSpan w:val="2"/>
            <w:vMerge w:val="continue"/>
          </w:tcPr>
          <w:p>
            <w:pPr>
              <w:spacing w:after="0"/>
              <w:rPr>
                <w:sz w:val="5"/>
                <w:szCs w:val="5"/>
                <w:color w:val="auto"/>
              </w:rPr>
            </w:pPr>
          </w:p>
        </w:tc>
        <w:tc>
          <w:tcPr>
            <w:tcW w:w="1160" w:type="dxa"/>
            <w:vAlign w:val="bottom"/>
            <w:vMerge w:val="continue"/>
          </w:tcPr>
          <w:p>
            <w:pPr>
              <w:spacing w:after="0"/>
              <w:rPr>
                <w:sz w:val="5"/>
                <w:szCs w:val="5"/>
                <w:color w:val="auto"/>
              </w:rPr>
            </w:pPr>
          </w:p>
        </w:tc>
        <w:tc>
          <w:tcPr>
            <w:tcW w:w="1200" w:type="dxa"/>
            <w:vAlign w:val="bottom"/>
            <w:gridSpan w:val="4"/>
            <w:vMerge w:val="continue"/>
          </w:tcPr>
          <w:p>
            <w:pPr>
              <w:spacing w:after="0"/>
              <w:rPr>
                <w:sz w:val="5"/>
                <w:szCs w:val="5"/>
                <w:color w:val="auto"/>
              </w:rPr>
            </w:pPr>
          </w:p>
        </w:tc>
        <w:tc>
          <w:tcPr>
            <w:tcW w:w="400" w:type="dxa"/>
            <w:vAlign w:val="bottom"/>
            <w:gridSpan w:val="2"/>
            <w:vMerge w:val="continue"/>
          </w:tcPr>
          <w:p>
            <w:pPr>
              <w:spacing w:after="0"/>
              <w:rPr>
                <w:sz w:val="5"/>
                <w:szCs w:val="5"/>
                <w:color w:val="auto"/>
              </w:rPr>
            </w:pPr>
          </w:p>
        </w:tc>
        <w:tc>
          <w:tcPr>
            <w:tcW w:w="220" w:type="dxa"/>
            <w:vAlign w:val="bottom"/>
            <w:gridSpan w:val="2"/>
            <w:vMerge w:val="continue"/>
          </w:tcPr>
          <w:p>
            <w:pPr>
              <w:spacing w:after="0"/>
              <w:rPr>
                <w:sz w:val="5"/>
                <w:szCs w:val="5"/>
                <w:color w:val="auto"/>
              </w:rPr>
            </w:pPr>
          </w:p>
        </w:tc>
        <w:tc>
          <w:tcPr>
            <w:tcW w:w="1000" w:type="dxa"/>
            <w:vAlign w:val="bottom"/>
            <w:gridSpan w:val="2"/>
            <w:vMerge w:val="continue"/>
          </w:tcPr>
          <w:p>
            <w:pPr>
              <w:spacing w:after="0"/>
              <w:rPr>
                <w:sz w:val="5"/>
                <w:szCs w:val="5"/>
                <w:color w:val="auto"/>
              </w:rPr>
            </w:pPr>
          </w:p>
        </w:tc>
        <w:tc>
          <w:tcPr>
            <w:tcW w:w="380" w:type="dxa"/>
            <w:vAlign w:val="bottom"/>
            <w:gridSpan w:val="2"/>
            <w:vMerge w:val="continue"/>
          </w:tcPr>
          <w:p>
            <w:pPr>
              <w:spacing w:after="0"/>
              <w:rPr>
                <w:sz w:val="5"/>
                <w:szCs w:val="5"/>
                <w:color w:val="auto"/>
              </w:rPr>
            </w:pPr>
          </w:p>
        </w:tc>
        <w:tc>
          <w:tcPr>
            <w:tcW w:w="108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5"/>
        </w:trPr>
        <w:tc>
          <w:tcPr>
            <w:tcW w:w="4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40" w:type="dxa"/>
            <w:vAlign w:val="bottom"/>
          </w:tcPr>
          <w:p>
            <w:pPr>
              <w:jc w:val="center"/>
              <w:ind w:right="57"/>
              <w:spacing w:after="0"/>
              <w:rPr>
                <w:sz w:val="20"/>
                <w:szCs w:val="20"/>
                <w:color w:val="auto"/>
              </w:rPr>
            </w:pPr>
            <w:r>
              <w:rPr>
                <w:rFonts w:ascii="Arial" w:cs="Arial" w:eastAsia="Arial" w:hAnsi="Arial"/>
                <w:sz w:val="13"/>
                <w:szCs w:val="13"/>
                <w:b w:val="1"/>
                <w:bCs w:val="1"/>
                <w:color w:val="auto"/>
                <w:w w:val="87"/>
              </w:rPr>
              <w:t>Nine Months</w:t>
            </w:r>
          </w:p>
        </w:tc>
        <w:tc>
          <w:tcPr>
            <w:tcW w:w="3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35"/>
        </w:trPr>
        <w:tc>
          <w:tcPr>
            <w:tcW w:w="4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40" w:type="dxa"/>
            <w:vAlign w:val="bottom"/>
          </w:tcPr>
          <w:p>
            <w:pPr>
              <w:jc w:val="center"/>
              <w:ind w:right="17"/>
              <w:spacing w:after="0" w:line="135" w:lineRule="exact"/>
              <w:rPr>
                <w:sz w:val="20"/>
                <w:szCs w:val="20"/>
                <w:color w:val="auto"/>
              </w:rPr>
            </w:pPr>
            <w:r>
              <w:rPr>
                <w:rFonts w:ascii="Arial" w:cs="Arial" w:eastAsia="Arial" w:hAnsi="Arial"/>
                <w:sz w:val="13"/>
                <w:szCs w:val="13"/>
                <w:b w:val="1"/>
                <w:bCs w:val="1"/>
                <w:color w:val="auto"/>
                <w:w w:val="90"/>
              </w:rPr>
              <w:t>Ended</w:t>
            </w: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4"/>
        </w:trPr>
        <w:tc>
          <w:tcPr>
            <w:tcW w:w="4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gridSpan w:val="3"/>
          </w:tcPr>
          <w:p>
            <w:pPr>
              <w:jc w:val="center"/>
              <w:spacing w:after="0"/>
              <w:rPr>
                <w:sz w:val="20"/>
                <w:szCs w:val="20"/>
                <w:color w:val="auto"/>
              </w:rPr>
            </w:pPr>
            <w:r>
              <w:rPr>
                <w:rFonts w:ascii="Arial" w:cs="Arial" w:eastAsia="Arial" w:hAnsi="Arial"/>
                <w:sz w:val="13"/>
                <w:szCs w:val="13"/>
                <w:b w:val="1"/>
                <w:bCs w:val="1"/>
                <w:color w:val="auto"/>
                <w:w w:val="87"/>
              </w:rPr>
              <w:t>September 30, 2016</w:t>
            </w:r>
          </w:p>
        </w:tc>
        <w:tc>
          <w:tcPr>
            <w:tcW w:w="3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4"/>
        </w:trPr>
        <w:tc>
          <w:tcPr>
            <w:tcW w:w="4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0" w:type="dxa"/>
            <w:vAlign w:val="bottom"/>
            <w:gridSpan w:val="3"/>
          </w:tcPr>
          <w:p>
            <w:pPr>
              <w:jc w:val="center"/>
              <w:ind w:right="200"/>
              <w:spacing w:after="0" w:line="144" w:lineRule="exact"/>
              <w:rPr>
                <w:sz w:val="20"/>
                <w:szCs w:val="20"/>
                <w:color w:val="auto"/>
              </w:rPr>
            </w:pPr>
            <w:r>
              <w:rPr>
                <w:rFonts w:ascii="Arial" w:cs="Arial" w:eastAsia="Arial" w:hAnsi="Arial"/>
                <w:sz w:val="13"/>
                <w:szCs w:val="13"/>
                <w:b w:val="1"/>
                <w:bCs w:val="1"/>
                <w:color w:val="auto"/>
                <w:w w:val="91"/>
              </w:rPr>
              <w:t>Unrealized</w:t>
            </w: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40" w:type="dxa"/>
            <w:vAlign w:val="bottom"/>
          </w:tcPr>
          <w:p>
            <w:pPr>
              <w:jc w:val="center"/>
              <w:ind w:left="237"/>
              <w:spacing w:after="0" w:line="144" w:lineRule="exact"/>
              <w:rPr>
                <w:sz w:val="20"/>
                <w:szCs w:val="20"/>
                <w:color w:val="auto"/>
              </w:rPr>
            </w:pPr>
            <w:r>
              <w:rPr>
                <w:rFonts w:ascii="Arial" w:cs="Arial" w:eastAsia="Arial" w:hAnsi="Arial"/>
                <w:sz w:val="13"/>
                <w:szCs w:val="13"/>
                <w:b w:val="1"/>
                <w:bCs w:val="1"/>
                <w:color w:val="auto"/>
                <w:w w:val="88"/>
              </w:rPr>
              <w:t>Foreign</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4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0" w:type="dxa"/>
            <w:vAlign w:val="bottom"/>
            <w:gridSpan w:val="3"/>
          </w:tcPr>
          <w:p>
            <w:pPr>
              <w:jc w:val="center"/>
              <w:ind w:right="200"/>
              <w:spacing w:after="0" w:line="135" w:lineRule="exact"/>
              <w:rPr>
                <w:sz w:val="20"/>
                <w:szCs w:val="20"/>
                <w:color w:val="auto"/>
              </w:rPr>
            </w:pPr>
            <w:r>
              <w:rPr>
                <w:rFonts w:ascii="Arial" w:cs="Arial" w:eastAsia="Arial" w:hAnsi="Arial"/>
                <w:sz w:val="13"/>
                <w:szCs w:val="13"/>
                <w:b w:val="1"/>
                <w:bCs w:val="1"/>
                <w:color w:val="auto"/>
                <w:w w:val="88"/>
              </w:rPr>
              <w:t>Investment Gains</w:t>
            </w: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60" w:type="dxa"/>
            <w:vAlign w:val="bottom"/>
          </w:tcPr>
          <w:p>
            <w:pPr>
              <w:jc w:val="right"/>
              <w:ind w:right="290"/>
              <w:spacing w:after="0" w:line="135" w:lineRule="exact"/>
              <w:rPr>
                <w:sz w:val="20"/>
                <w:szCs w:val="20"/>
                <w:color w:val="auto"/>
              </w:rPr>
            </w:pPr>
            <w:r>
              <w:rPr>
                <w:rFonts w:ascii="Arial" w:cs="Arial" w:eastAsia="Arial" w:hAnsi="Arial"/>
                <w:sz w:val="13"/>
                <w:szCs w:val="13"/>
                <w:b w:val="1"/>
                <w:bCs w:val="1"/>
                <w:color w:val="auto"/>
              </w:rPr>
              <w:t>Unrealized</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40" w:type="dxa"/>
            <w:vAlign w:val="bottom"/>
          </w:tcPr>
          <w:p>
            <w:pPr>
              <w:jc w:val="center"/>
              <w:ind w:left="237"/>
              <w:spacing w:after="0" w:line="135" w:lineRule="exact"/>
              <w:rPr>
                <w:sz w:val="20"/>
                <w:szCs w:val="20"/>
                <w:color w:val="auto"/>
              </w:rPr>
            </w:pPr>
            <w:r>
              <w:rPr>
                <w:rFonts w:ascii="Arial" w:cs="Arial" w:eastAsia="Arial" w:hAnsi="Arial"/>
                <w:sz w:val="13"/>
                <w:szCs w:val="13"/>
                <w:b w:val="1"/>
                <w:bCs w:val="1"/>
                <w:color w:val="auto"/>
                <w:w w:val="87"/>
              </w:rPr>
              <w:t>Currency</w:t>
            </w: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0" w:type="dxa"/>
            <w:vAlign w:val="bottom"/>
            <w:gridSpan w:val="3"/>
          </w:tcPr>
          <w:p>
            <w:pPr>
              <w:jc w:val="center"/>
              <w:ind w:right="220"/>
              <w:spacing w:after="0" w:line="135" w:lineRule="exact"/>
              <w:rPr>
                <w:sz w:val="20"/>
                <w:szCs w:val="20"/>
                <w:color w:val="auto"/>
              </w:rPr>
            </w:pPr>
            <w:r>
              <w:rPr>
                <w:rFonts w:ascii="Arial" w:cs="Arial" w:eastAsia="Arial" w:hAnsi="Arial"/>
                <w:sz w:val="13"/>
                <w:szCs w:val="13"/>
                <w:b w:val="1"/>
                <w:bCs w:val="1"/>
                <w:color w:val="auto"/>
                <w:w w:val="84"/>
              </w:rPr>
              <w:t>(Losses), Net of</w:t>
            </w: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60" w:type="dxa"/>
            <w:vAlign w:val="bottom"/>
          </w:tcPr>
          <w:p>
            <w:pPr>
              <w:jc w:val="right"/>
              <w:ind w:right="190"/>
              <w:spacing w:after="0" w:line="135" w:lineRule="exact"/>
              <w:rPr>
                <w:sz w:val="20"/>
                <w:szCs w:val="20"/>
                <w:color w:val="auto"/>
              </w:rPr>
            </w:pPr>
            <w:r>
              <w:rPr>
                <w:rFonts w:ascii="Arial" w:cs="Arial" w:eastAsia="Arial" w:hAnsi="Arial"/>
                <w:sz w:val="13"/>
                <w:szCs w:val="13"/>
                <w:b w:val="1"/>
                <w:bCs w:val="1"/>
                <w:color w:val="auto"/>
                <w:w w:val="94"/>
              </w:rPr>
              <w:t>Gains (Losses)</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40" w:type="dxa"/>
            <w:vAlign w:val="bottom"/>
          </w:tcPr>
          <w:p>
            <w:pPr>
              <w:jc w:val="center"/>
              <w:ind w:left="237"/>
              <w:spacing w:after="0" w:line="135" w:lineRule="exact"/>
              <w:rPr>
                <w:sz w:val="20"/>
                <w:szCs w:val="20"/>
                <w:color w:val="auto"/>
              </w:rPr>
            </w:pPr>
            <w:r>
              <w:rPr>
                <w:rFonts w:ascii="Arial" w:cs="Arial" w:eastAsia="Arial" w:hAnsi="Arial"/>
                <w:sz w:val="13"/>
                <w:szCs w:val="13"/>
                <w:b w:val="1"/>
                <w:bCs w:val="1"/>
                <w:color w:val="auto"/>
                <w:w w:val="88"/>
              </w:rPr>
              <w:t>Translation</w:t>
            </w: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gridSpan w:val="3"/>
          </w:tcPr>
          <w:p>
            <w:pPr>
              <w:ind w:left="40"/>
              <w:spacing w:after="0" w:line="135" w:lineRule="exact"/>
              <w:rPr>
                <w:sz w:val="20"/>
                <w:szCs w:val="20"/>
                <w:color w:val="auto"/>
              </w:rPr>
            </w:pPr>
            <w:r>
              <w:rPr>
                <w:rFonts w:ascii="Arial" w:cs="Arial" w:eastAsia="Arial" w:hAnsi="Arial"/>
                <w:sz w:val="13"/>
                <w:szCs w:val="13"/>
                <w:b w:val="1"/>
                <w:bCs w:val="1"/>
                <w:color w:val="auto"/>
              </w:rPr>
              <w:t>Defined Benefit</w:t>
            </w: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4"/>
        </w:trPr>
        <w:tc>
          <w:tcPr>
            <w:tcW w:w="4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0" w:type="dxa"/>
            <w:vAlign w:val="bottom"/>
            <w:gridSpan w:val="3"/>
          </w:tcPr>
          <w:p>
            <w:pPr>
              <w:jc w:val="center"/>
              <w:ind w:right="200"/>
              <w:spacing w:after="0"/>
              <w:rPr>
                <w:sz w:val="20"/>
                <w:szCs w:val="20"/>
                <w:color w:val="auto"/>
              </w:rPr>
            </w:pPr>
            <w:r>
              <w:rPr>
                <w:rFonts w:ascii="Arial" w:cs="Arial" w:eastAsia="Arial" w:hAnsi="Arial"/>
                <w:sz w:val="13"/>
                <w:szCs w:val="13"/>
                <w:b w:val="1"/>
                <w:bCs w:val="1"/>
                <w:color w:val="auto"/>
                <w:w w:val="87"/>
              </w:rPr>
              <w:t>Related Offsets (1)</w:t>
            </w: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60" w:type="dxa"/>
            <w:vAlign w:val="bottom"/>
          </w:tcPr>
          <w:p>
            <w:pPr>
              <w:jc w:val="right"/>
              <w:ind w:right="190"/>
              <w:spacing w:after="0"/>
              <w:rPr>
                <w:sz w:val="20"/>
                <w:szCs w:val="20"/>
                <w:color w:val="auto"/>
              </w:rPr>
            </w:pPr>
            <w:r>
              <w:rPr>
                <w:rFonts w:ascii="Arial" w:cs="Arial" w:eastAsia="Arial" w:hAnsi="Arial"/>
                <w:sz w:val="13"/>
                <w:szCs w:val="13"/>
                <w:b w:val="1"/>
                <w:bCs w:val="1"/>
                <w:color w:val="auto"/>
                <w:w w:val="98"/>
              </w:rPr>
              <w:t>on Derivatives</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40" w:type="dxa"/>
            <w:vAlign w:val="bottom"/>
          </w:tcPr>
          <w:p>
            <w:pPr>
              <w:jc w:val="center"/>
              <w:ind w:left="237"/>
              <w:spacing w:after="0"/>
              <w:rPr>
                <w:sz w:val="20"/>
                <w:szCs w:val="20"/>
                <w:color w:val="auto"/>
              </w:rPr>
            </w:pPr>
            <w:r>
              <w:rPr>
                <w:rFonts w:ascii="Arial" w:cs="Arial" w:eastAsia="Arial" w:hAnsi="Arial"/>
                <w:sz w:val="13"/>
                <w:szCs w:val="13"/>
                <w:b w:val="1"/>
                <w:bCs w:val="1"/>
                <w:color w:val="auto"/>
                <w:w w:val="88"/>
              </w:rPr>
              <w:t>Adjustments</w:t>
            </w: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gridSpan w:val="4"/>
          </w:tcPr>
          <w:p>
            <w:pPr>
              <w:jc w:val="right"/>
              <w:ind w:right="180"/>
              <w:spacing w:after="0"/>
              <w:rPr>
                <w:sz w:val="20"/>
                <w:szCs w:val="20"/>
                <w:color w:val="auto"/>
              </w:rPr>
            </w:pPr>
            <w:r>
              <w:rPr>
                <w:rFonts w:ascii="Arial" w:cs="Arial" w:eastAsia="Arial" w:hAnsi="Arial"/>
                <w:sz w:val="13"/>
                <w:szCs w:val="13"/>
                <w:b w:val="1"/>
                <w:bCs w:val="1"/>
                <w:color w:val="auto"/>
                <w:w w:val="92"/>
              </w:rPr>
              <w:t>Plans Adjustment</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80" w:type="dxa"/>
            <w:vAlign w:val="bottom"/>
            <w:gridSpan w:val="2"/>
          </w:tcPr>
          <w:p>
            <w:pPr>
              <w:jc w:val="right"/>
              <w:ind w:right="660"/>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249"/>
        </w:trPr>
        <w:tc>
          <w:tcPr>
            <w:tcW w:w="4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1280" w:type="dxa"/>
            <w:vAlign w:val="bottom"/>
            <w:tcBorders>
              <w:top w:val="single" w:sz="8" w:color="auto"/>
            </w:tcBorders>
          </w:tcPr>
          <w:p>
            <w:pPr>
              <w:spacing w:after="0"/>
              <w:rPr>
                <w:sz w:val="21"/>
                <w:szCs w:val="21"/>
                <w:color w:val="auto"/>
              </w:rPr>
            </w:pPr>
          </w:p>
        </w:tc>
        <w:tc>
          <w:tcPr>
            <w:tcW w:w="60" w:type="dxa"/>
            <w:vAlign w:val="bottom"/>
            <w:tcBorders>
              <w:top w:val="single" w:sz="8" w:color="auto"/>
            </w:tcBorders>
          </w:tcPr>
          <w:p>
            <w:pPr>
              <w:spacing w:after="0"/>
              <w:rPr>
                <w:sz w:val="21"/>
                <w:szCs w:val="21"/>
                <w:color w:val="auto"/>
              </w:rPr>
            </w:pPr>
          </w:p>
        </w:tc>
        <w:tc>
          <w:tcPr>
            <w:tcW w:w="60" w:type="dxa"/>
            <w:vAlign w:val="bottom"/>
            <w:tcBorders>
              <w:top w:val="single" w:sz="8" w:color="auto"/>
            </w:tcBorders>
          </w:tcPr>
          <w:p>
            <w:pPr>
              <w:spacing w:after="0"/>
              <w:rPr>
                <w:sz w:val="21"/>
                <w:szCs w:val="21"/>
                <w:color w:val="auto"/>
              </w:rPr>
            </w:pPr>
          </w:p>
        </w:tc>
        <w:tc>
          <w:tcPr>
            <w:tcW w:w="60" w:type="dxa"/>
            <w:vAlign w:val="bottom"/>
            <w:tcBorders>
              <w:top w:val="single" w:sz="8" w:color="auto"/>
            </w:tcBorders>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1160" w:type="dxa"/>
            <w:vAlign w:val="bottom"/>
            <w:tcBorders>
              <w:top w:val="single" w:sz="8" w:color="auto"/>
            </w:tcBorders>
          </w:tcPr>
          <w:p>
            <w:pPr>
              <w:spacing w:after="0"/>
              <w:rPr>
                <w:sz w:val="21"/>
                <w:szCs w:val="21"/>
                <w:color w:val="auto"/>
              </w:rPr>
            </w:pPr>
          </w:p>
        </w:tc>
        <w:tc>
          <w:tcPr>
            <w:tcW w:w="40" w:type="dxa"/>
            <w:vAlign w:val="bottom"/>
            <w:tcBorders>
              <w:top w:val="single" w:sz="8" w:color="auto"/>
            </w:tcBorders>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40" w:type="dxa"/>
            <w:vAlign w:val="bottom"/>
            <w:tcBorders>
              <w:top w:val="single" w:sz="8" w:color="auto"/>
            </w:tcBorders>
          </w:tcPr>
          <w:p>
            <w:pPr>
              <w:spacing w:after="0"/>
              <w:rPr>
                <w:sz w:val="21"/>
                <w:szCs w:val="21"/>
                <w:color w:val="auto"/>
              </w:rPr>
            </w:pPr>
          </w:p>
        </w:tc>
        <w:tc>
          <w:tcPr>
            <w:tcW w:w="1040" w:type="dxa"/>
            <w:vAlign w:val="bottom"/>
            <w:tcBorders>
              <w:top w:val="single" w:sz="8" w:color="auto"/>
            </w:tcBorders>
          </w:tcPr>
          <w:p>
            <w:pPr>
              <w:jc w:val="center"/>
              <w:ind w:right="57"/>
              <w:spacing w:after="0"/>
              <w:rPr>
                <w:sz w:val="20"/>
                <w:szCs w:val="20"/>
                <w:color w:val="auto"/>
              </w:rPr>
            </w:pPr>
            <w:r>
              <w:rPr>
                <w:rFonts w:ascii="Arial" w:cs="Arial" w:eastAsia="Arial" w:hAnsi="Arial"/>
                <w:sz w:val="13"/>
                <w:szCs w:val="13"/>
                <w:b w:val="1"/>
                <w:bCs w:val="1"/>
                <w:color w:val="auto"/>
                <w:w w:val="93"/>
              </w:rPr>
              <w:t>(In millions)</w:t>
            </w:r>
          </w:p>
        </w:tc>
        <w:tc>
          <w:tcPr>
            <w:tcW w:w="30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90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96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9"/>
        </w:trPr>
        <w:tc>
          <w:tcPr>
            <w:tcW w:w="4120" w:type="dxa"/>
            <w:vAlign w:val="bottom"/>
            <w:shd w:val="clear" w:color="auto" w:fill="CCEEFF"/>
          </w:tcPr>
          <w:p>
            <w:pPr>
              <w:ind w:left="40"/>
              <w:spacing w:after="0"/>
              <w:rPr>
                <w:sz w:val="20"/>
                <w:szCs w:val="20"/>
                <w:color w:val="auto"/>
              </w:rPr>
            </w:pPr>
            <w:r>
              <w:rPr>
                <w:rFonts w:ascii="Arial" w:cs="Arial" w:eastAsia="Arial" w:hAnsi="Arial"/>
                <w:sz w:val="14"/>
                <w:szCs w:val="14"/>
                <w:color w:val="auto"/>
              </w:rPr>
              <w:t>Balance, beginning of period</w:t>
            </w:r>
          </w:p>
        </w:tc>
        <w:tc>
          <w:tcPr>
            <w:tcW w:w="22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12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1,322</w:t>
            </w: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4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1160" w:type="dxa"/>
            <w:vAlign w:val="bottom"/>
            <w:vMerge w:val="restart"/>
            <w:shd w:val="clear" w:color="auto" w:fill="CCEEFF"/>
          </w:tcPr>
          <w:p>
            <w:pPr>
              <w:jc w:val="right"/>
              <w:ind w:right="10"/>
              <w:spacing w:after="0"/>
              <w:rPr>
                <w:sz w:val="20"/>
                <w:szCs w:val="20"/>
                <w:color w:val="auto"/>
              </w:rPr>
            </w:pPr>
            <w:r>
              <w:rPr>
                <w:rFonts w:ascii="Arial" w:cs="Arial" w:eastAsia="Arial" w:hAnsi="Arial"/>
                <w:sz w:val="14"/>
                <w:szCs w:val="14"/>
                <w:color w:val="auto"/>
              </w:rPr>
              <w:t>251</w:t>
            </w:r>
          </w:p>
        </w:tc>
        <w:tc>
          <w:tcPr>
            <w:tcW w:w="1200" w:type="dxa"/>
            <w:vAlign w:val="bottom"/>
            <w:gridSpan w:val="4"/>
            <w:vMerge w:val="restart"/>
            <w:shd w:val="clear" w:color="auto" w:fill="CCEEFF"/>
          </w:tcPr>
          <w:p>
            <w:pPr>
              <w:jc w:val="right"/>
              <w:ind w:right="877"/>
              <w:spacing w:after="0"/>
              <w:rPr>
                <w:sz w:val="20"/>
                <w:szCs w:val="20"/>
                <w:color w:val="auto"/>
              </w:rPr>
            </w:pPr>
            <w:r>
              <w:rPr>
                <w:rFonts w:ascii="Arial" w:cs="Arial" w:eastAsia="Arial" w:hAnsi="Arial"/>
                <w:sz w:val="14"/>
                <w:szCs w:val="14"/>
                <w:color w:val="auto"/>
              </w:rPr>
              <w:t>$</w:t>
            </w:r>
          </w:p>
        </w:tc>
        <w:tc>
          <w:tcPr>
            <w:tcW w:w="3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88"/>
              </w:rPr>
              <w:t>(32)</w:t>
            </w:r>
          </w:p>
        </w:tc>
        <w:tc>
          <w:tcPr>
            <w:tcW w:w="100" w:type="dxa"/>
            <w:vAlign w:val="bottom"/>
            <w:shd w:val="clear" w:color="auto" w:fill="CCEEFF"/>
          </w:tcPr>
          <w:p>
            <w:pPr>
              <w:spacing w:after="0"/>
              <w:rPr>
                <w:sz w:val="17"/>
                <w:szCs w:val="17"/>
                <w:color w:val="auto"/>
              </w:rPr>
            </w:pPr>
          </w:p>
        </w:tc>
        <w:tc>
          <w:tcPr>
            <w:tcW w:w="220" w:type="dxa"/>
            <w:vAlign w:val="bottom"/>
            <w:gridSpan w:val="2"/>
            <w:vMerge w:val="restart"/>
            <w:shd w:val="clear" w:color="auto" w:fill="CCEEFF"/>
          </w:tcPr>
          <w:p>
            <w:pPr>
              <w:jc w:val="right"/>
              <w:ind w:right="57"/>
              <w:spacing w:after="0"/>
              <w:rPr>
                <w:sz w:val="20"/>
                <w:szCs w:val="20"/>
                <w:color w:val="auto"/>
              </w:rPr>
            </w:pPr>
            <w:r>
              <w:rPr>
                <w:rFonts w:ascii="Arial" w:cs="Arial" w:eastAsia="Arial" w:hAnsi="Arial"/>
                <w:sz w:val="14"/>
                <w:szCs w:val="14"/>
                <w:color w:val="auto"/>
              </w:rPr>
              <w:t>$</w:t>
            </w: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(18)</w:t>
            </w:r>
          </w:p>
        </w:tc>
        <w:tc>
          <w:tcPr>
            <w:tcW w:w="100" w:type="dxa"/>
            <w:vAlign w:val="bottom"/>
            <w:shd w:val="clear" w:color="auto" w:fill="CCEEFF"/>
          </w:tcPr>
          <w:p>
            <w:pPr>
              <w:spacing w:after="0"/>
              <w:rPr>
                <w:sz w:val="17"/>
                <w:szCs w:val="17"/>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7"/>
                <w:szCs w:val="17"/>
                <w:color w:val="auto"/>
              </w:rPr>
            </w:pPr>
          </w:p>
        </w:tc>
        <w:tc>
          <w:tcPr>
            <w:tcW w:w="96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1,523</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0"/>
        </w:trPr>
        <w:tc>
          <w:tcPr>
            <w:tcW w:w="4120" w:type="dxa"/>
            <w:vAlign w:val="bottom"/>
            <w:shd w:val="clear" w:color="auto" w:fill="CCEEFF"/>
          </w:tcPr>
          <w:p>
            <w:pPr>
              <w:spacing w:after="0"/>
              <w:rPr>
                <w:sz w:val="6"/>
                <w:szCs w:val="6"/>
                <w:color w:val="auto"/>
              </w:rPr>
            </w:pPr>
          </w:p>
        </w:tc>
        <w:tc>
          <w:tcPr>
            <w:tcW w:w="220" w:type="dxa"/>
            <w:vAlign w:val="bottom"/>
            <w:gridSpan w:val="2"/>
            <w:vMerge w:val="continue"/>
            <w:shd w:val="clear" w:color="auto" w:fill="CCEEFF"/>
          </w:tcPr>
          <w:p>
            <w:pPr>
              <w:spacing w:after="0"/>
              <w:rPr>
                <w:sz w:val="6"/>
                <w:szCs w:val="6"/>
                <w:color w:val="auto"/>
              </w:rPr>
            </w:pPr>
          </w:p>
        </w:tc>
        <w:tc>
          <w:tcPr>
            <w:tcW w:w="1280" w:type="dxa"/>
            <w:vAlign w:val="bottom"/>
            <w:vMerge w:val="continue"/>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c>
          <w:tcPr>
            <w:tcW w:w="240" w:type="dxa"/>
            <w:vAlign w:val="bottom"/>
            <w:gridSpan w:val="2"/>
            <w:vMerge w:val="continue"/>
            <w:shd w:val="clear" w:color="auto" w:fill="CCEEFF"/>
          </w:tcPr>
          <w:p>
            <w:pPr>
              <w:spacing w:after="0"/>
              <w:rPr>
                <w:sz w:val="6"/>
                <w:szCs w:val="6"/>
                <w:color w:val="auto"/>
              </w:rPr>
            </w:pPr>
          </w:p>
        </w:tc>
        <w:tc>
          <w:tcPr>
            <w:tcW w:w="1160" w:type="dxa"/>
            <w:vAlign w:val="bottom"/>
            <w:vMerge w:val="continue"/>
            <w:shd w:val="clear" w:color="auto" w:fill="CCEEFF"/>
          </w:tcPr>
          <w:p>
            <w:pPr>
              <w:spacing w:after="0"/>
              <w:rPr>
                <w:sz w:val="6"/>
                <w:szCs w:val="6"/>
                <w:color w:val="auto"/>
              </w:rPr>
            </w:pPr>
          </w:p>
        </w:tc>
        <w:tc>
          <w:tcPr>
            <w:tcW w:w="1200" w:type="dxa"/>
            <w:vAlign w:val="bottom"/>
            <w:gridSpan w:val="4"/>
            <w:vMerge w:val="continue"/>
            <w:shd w:val="clear" w:color="auto" w:fill="CCEEFF"/>
          </w:tcPr>
          <w:p>
            <w:pPr>
              <w:spacing w:after="0"/>
              <w:rPr>
                <w:sz w:val="6"/>
                <w:szCs w:val="6"/>
                <w:color w:val="auto"/>
              </w:rPr>
            </w:pPr>
          </w:p>
        </w:tc>
        <w:tc>
          <w:tcPr>
            <w:tcW w:w="30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20" w:type="dxa"/>
            <w:vAlign w:val="bottom"/>
            <w:gridSpan w:val="2"/>
            <w:vMerge w:val="continue"/>
            <w:shd w:val="clear" w:color="auto" w:fill="CCEEFF"/>
          </w:tcPr>
          <w:p>
            <w:pPr>
              <w:spacing w:after="0"/>
              <w:rPr>
                <w:sz w:val="6"/>
                <w:szCs w:val="6"/>
                <w:color w:val="auto"/>
              </w:rPr>
            </w:pPr>
          </w:p>
        </w:tc>
        <w:tc>
          <w:tcPr>
            <w:tcW w:w="90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0" w:type="dxa"/>
            <w:vAlign w:val="bottom"/>
            <w:vMerge w:val="continue"/>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960" w:type="dxa"/>
            <w:vAlign w:val="bottom"/>
            <w:vMerge w:val="continue"/>
            <w:shd w:val="clear" w:color="auto" w:fill="CCEEFF"/>
          </w:tcPr>
          <w:p>
            <w:pPr>
              <w:spacing w:after="0"/>
              <w:rPr>
                <w:sz w:val="6"/>
                <w:szCs w:val="6"/>
                <w:color w:val="auto"/>
              </w:rPr>
            </w:pPr>
          </w:p>
        </w:tc>
        <w:tc>
          <w:tcPr>
            <w:tcW w:w="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4120" w:type="dxa"/>
            <w:vAlign w:val="bottom"/>
          </w:tcPr>
          <w:p>
            <w:pPr>
              <w:ind w:left="40"/>
              <w:spacing w:after="0"/>
              <w:rPr>
                <w:sz w:val="20"/>
                <w:szCs w:val="20"/>
                <w:color w:val="auto"/>
              </w:rPr>
            </w:pPr>
            <w:r>
              <w:rPr>
                <w:rFonts w:ascii="Arial" w:cs="Arial" w:eastAsia="Arial" w:hAnsi="Arial"/>
                <w:sz w:val="14"/>
                <w:szCs w:val="14"/>
                <w:color w:val="auto"/>
              </w:rPr>
              <w:t>OCI before reclassifications</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vMerge w:val="restart"/>
          </w:tcPr>
          <w:p>
            <w:pPr>
              <w:jc w:val="right"/>
              <w:spacing w:after="0"/>
              <w:rPr>
                <w:sz w:val="20"/>
                <w:szCs w:val="20"/>
                <w:color w:val="auto"/>
              </w:rPr>
            </w:pPr>
            <w:r>
              <w:rPr>
                <w:rFonts w:ascii="Arial" w:cs="Arial" w:eastAsia="Arial" w:hAnsi="Arial"/>
                <w:sz w:val="14"/>
                <w:szCs w:val="14"/>
                <w:color w:val="auto"/>
              </w:rPr>
              <w:t>1,400</w:t>
            </w: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vMerge w:val="restart"/>
          </w:tcPr>
          <w:p>
            <w:pPr>
              <w:jc w:val="right"/>
              <w:ind w:right="10"/>
              <w:spacing w:after="0"/>
              <w:rPr>
                <w:sz w:val="20"/>
                <w:szCs w:val="20"/>
                <w:color w:val="auto"/>
              </w:rPr>
            </w:pPr>
            <w:r>
              <w:rPr>
                <w:rFonts w:ascii="Arial" w:cs="Arial" w:eastAsia="Arial" w:hAnsi="Arial"/>
                <w:sz w:val="14"/>
                <w:szCs w:val="14"/>
                <w:color w:val="auto"/>
              </w:rPr>
              <w:t>75</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300" w:type="dxa"/>
            <w:vAlign w:val="bottom"/>
            <w:vMerge w:val="restart"/>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vMerge w:val="restart"/>
          </w:tcPr>
          <w:p>
            <w:pPr>
              <w:jc w:val="right"/>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vMerge w:val="restart"/>
          </w:tcPr>
          <w:p>
            <w:pPr>
              <w:jc w:val="right"/>
              <w:ind w:right="29"/>
              <w:spacing w:after="0"/>
              <w:rPr>
                <w:sz w:val="20"/>
                <w:szCs w:val="20"/>
                <w:color w:val="auto"/>
              </w:rPr>
            </w:pPr>
            <w:r>
              <w:rPr>
                <w:rFonts w:ascii="Arial" w:cs="Arial" w:eastAsia="Arial" w:hAnsi="Arial"/>
                <w:sz w:val="14"/>
                <w:szCs w:val="14"/>
                <w:color w:val="auto"/>
              </w:rPr>
              <w:t>1,471</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4"/>
        </w:trPr>
        <w:tc>
          <w:tcPr>
            <w:tcW w:w="4120" w:type="dxa"/>
            <w:vAlign w:val="bottom"/>
          </w:tcPr>
          <w:p>
            <w:pPr>
              <w:spacing w:after="0"/>
              <w:rPr>
                <w:sz w:val="6"/>
                <w:szCs w:val="6"/>
                <w:color w:val="auto"/>
              </w:rPr>
            </w:pPr>
          </w:p>
        </w:tc>
        <w:tc>
          <w:tcPr>
            <w:tcW w:w="80" w:type="dxa"/>
            <w:vAlign w:val="bottom"/>
          </w:tcPr>
          <w:p>
            <w:pPr>
              <w:spacing w:after="0"/>
              <w:rPr>
                <w:sz w:val="6"/>
                <w:szCs w:val="6"/>
                <w:color w:val="auto"/>
              </w:rPr>
            </w:pPr>
          </w:p>
        </w:tc>
        <w:tc>
          <w:tcPr>
            <w:tcW w:w="140" w:type="dxa"/>
            <w:vAlign w:val="bottom"/>
          </w:tcPr>
          <w:p>
            <w:pPr>
              <w:spacing w:after="0"/>
              <w:rPr>
                <w:sz w:val="6"/>
                <w:szCs w:val="6"/>
                <w:color w:val="auto"/>
              </w:rPr>
            </w:pPr>
          </w:p>
        </w:tc>
        <w:tc>
          <w:tcPr>
            <w:tcW w:w="128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180" w:type="dxa"/>
            <w:vAlign w:val="bottom"/>
          </w:tcPr>
          <w:p>
            <w:pPr>
              <w:spacing w:after="0"/>
              <w:rPr>
                <w:sz w:val="6"/>
                <w:szCs w:val="6"/>
                <w:color w:val="auto"/>
              </w:rPr>
            </w:pPr>
          </w:p>
        </w:tc>
        <w:tc>
          <w:tcPr>
            <w:tcW w:w="116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30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90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280" w:type="dxa"/>
            <w:vAlign w:val="bottom"/>
          </w:tcPr>
          <w:p>
            <w:pPr>
              <w:spacing w:after="0"/>
              <w:rPr>
                <w:sz w:val="6"/>
                <w:szCs w:val="6"/>
                <w:color w:val="auto"/>
              </w:rPr>
            </w:pPr>
          </w:p>
        </w:tc>
        <w:tc>
          <w:tcPr>
            <w:tcW w:w="96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4120" w:type="dxa"/>
            <w:vAlign w:val="bottom"/>
            <w:shd w:val="clear" w:color="auto" w:fill="CCEEFF"/>
          </w:tcPr>
          <w:p>
            <w:pPr>
              <w:ind w:left="40"/>
              <w:spacing w:after="0"/>
              <w:rPr>
                <w:sz w:val="20"/>
                <w:szCs w:val="20"/>
                <w:color w:val="auto"/>
              </w:rPr>
            </w:pPr>
            <w:r>
              <w:rPr>
                <w:rFonts w:ascii="Arial" w:cs="Arial" w:eastAsia="Arial" w:hAnsi="Arial"/>
                <w:sz w:val="14"/>
                <w:szCs w:val="14"/>
                <w:color w:val="auto"/>
              </w:rPr>
              <w:t>Deferred income tax benefit (expense)</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(501)</w:t>
            </w: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(26)</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4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vMerge w:val="restart"/>
            <w:shd w:val="clear" w:color="auto" w:fill="CCEEFF"/>
          </w:tcPr>
          <w:p>
            <w:pPr>
              <w:jc w:val="right"/>
              <w:ind w:right="49"/>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(526)</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0"/>
        </w:trPr>
        <w:tc>
          <w:tcPr>
            <w:tcW w:w="412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280" w:type="dxa"/>
            <w:vAlign w:val="bottom"/>
            <w:vMerge w:val="continue"/>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1160" w:type="dxa"/>
            <w:vAlign w:val="bottom"/>
            <w:vMerge w:val="continue"/>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1040" w:type="dxa"/>
            <w:vAlign w:val="bottom"/>
            <w:shd w:val="clear" w:color="auto" w:fill="CCEEFF"/>
          </w:tcPr>
          <w:p>
            <w:pPr>
              <w:spacing w:after="0"/>
              <w:rPr>
                <w:sz w:val="6"/>
                <w:szCs w:val="6"/>
                <w:color w:val="auto"/>
              </w:rPr>
            </w:pPr>
          </w:p>
        </w:tc>
        <w:tc>
          <w:tcPr>
            <w:tcW w:w="400" w:type="dxa"/>
            <w:vAlign w:val="bottom"/>
            <w:gridSpan w:val="2"/>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90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960" w:type="dxa"/>
            <w:vAlign w:val="bottom"/>
            <w:vMerge w:val="continue"/>
            <w:shd w:val="clear" w:color="auto" w:fill="CCEEFF"/>
          </w:tcPr>
          <w:p>
            <w:pPr>
              <w:spacing w:after="0"/>
              <w:rPr>
                <w:sz w:val="6"/>
                <w:szCs w:val="6"/>
                <w:color w:val="auto"/>
              </w:rPr>
            </w:pPr>
          </w:p>
        </w:tc>
        <w:tc>
          <w:tcPr>
            <w:tcW w:w="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71"/>
        </w:trPr>
        <w:tc>
          <w:tcPr>
            <w:tcW w:w="4120" w:type="dxa"/>
            <w:vAlign w:val="bottom"/>
          </w:tcPr>
          <w:p>
            <w:pPr>
              <w:ind w:left="200"/>
              <w:spacing w:after="0"/>
              <w:rPr>
                <w:sz w:val="20"/>
                <w:szCs w:val="20"/>
                <w:color w:val="auto"/>
              </w:rPr>
            </w:pPr>
            <w:r>
              <w:rPr>
                <w:rFonts w:ascii="Arial" w:cs="Arial" w:eastAsia="Arial" w:hAnsi="Arial"/>
                <w:sz w:val="14"/>
                <w:szCs w:val="14"/>
                <w:color w:val="auto"/>
              </w:rPr>
              <w:t>AOCI before reclassifications, net of income tax</w:t>
            </w:r>
          </w:p>
        </w:tc>
        <w:tc>
          <w:tcPr>
            <w:tcW w:w="8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28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2,221</w:t>
            </w:r>
          </w:p>
        </w:tc>
        <w:tc>
          <w:tcPr>
            <w:tcW w:w="60" w:type="dxa"/>
            <w:vAlign w:val="bottom"/>
            <w:tcBorders>
              <w:top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160" w:type="dxa"/>
            <w:vAlign w:val="bottom"/>
            <w:tcBorders>
              <w:top w:val="single" w:sz="8" w:color="auto"/>
            </w:tcBorders>
            <w:vMerge w:val="restart"/>
          </w:tcPr>
          <w:p>
            <w:pPr>
              <w:jc w:val="right"/>
              <w:ind w:right="10"/>
              <w:spacing w:after="0"/>
              <w:rPr>
                <w:sz w:val="20"/>
                <w:szCs w:val="20"/>
                <w:color w:val="auto"/>
              </w:rPr>
            </w:pPr>
            <w:r>
              <w:rPr>
                <w:rFonts w:ascii="Arial" w:cs="Arial" w:eastAsia="Arial" w:hAnsi="Arial"/>
                <w:sz w:val="14"/>
                <w:szCs w:val="14"/>
                <w:color w:val="auto"/>
              </w:rPr>
              <w:t>300</w:t>
            </w:r>
          </w:p>
        </w:tc>
        <w:tc>
          <w:tcPr>
            <w:tcW w:w="4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40" w:type="dxa"/>
            <w:vAlign w:val="bottom"/>
            <w:tcBorders>
              <w:top w:val="single" w:sz="8" w:color="auto"/>
            </w:tcBorders>
          </w:tcPr>
          <w:p>
            <w:pPr>
              <w:spacing w:after="0"/>
              <w:rPr>
                <w:sz w:val="14"/>
                <w:szCs w:val="14"/>
                <w:color w:val="auto"/>
              </w:rPr>
            </w:pPr>
          </w:p>
        </w:tc>
        <w:tc>
          <w:tcPr>
            <w:tcW w:w="30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w w:val="88"/>
              </w:rPr>
              <w:t>(33)</w:t>
            </w:r>
          </w:p>
        </w:tc>
        <w:tc>
          <w:tcPr>
            <w:tcW w:w="10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(20)</w:t>
            </w:r>
          </w:p>
        </w:tc>
        <w:tc>
          <w:tcPr>
            <w:tcW w:w="10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vMerge w:val="restart"/>
          </w:tcPr>
          <w:p>
            <w:pPr>
              <w:jc w:val="right"/>
              <w:ind w:right="29"/>
              <w:spacing w:after="0"/>
              <w:rPr>
                <w:sz w:val="20"/>
                <w:szCs w:val="20"/>
                <w:color w:val="auto"/>
              </w:rPr>
            </w:pPr>
            <w:r>
              <w:rPr>
                <w:rFonts w:ascii="Arial" w:cs="Arial" w:eastAsia="Arial" w:hAnsi="Arial"/>
                <w:sz w:val="14"/>
                <w:szCs w:val="14"/>
                <w:color w:val="auto"/>
              </w:rPr>
              <w:t>2,468</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74"/>
        </w:trPr>
        <w:tc>
          <w:tcPr>
            <w:tcW w:w="4120" w:type="dxa"/>
            <w:vAlign w:val="bottom"/>
            <w:tcBorders>
              <w:bottom w:val="single" w:sz="8" w:color="CCEEFF"/>
            </w:tcBorders>
          </w:tcPr>
          <w:p>
            <w:pPr>
              <w:spacing w:after="0"/>
              <w:rPr>
                <w:sz w:val="6"/>
                <w:szCs w:val="6"/>
                <w:color w:val="auto"/>
              </w:rPr>
            </w:pPr>
          </w:p>
        </w:tc>
        <w:tc>
          <w:tcPr>
            <w:tcW w:w="80" w:type="dxa"/>
            <w:vAlign w:val="bottom"/>
            <w:tcBorders>
              <w:bottom w:val="single" w:sz="8" w:color="CCEEFF"/>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1280" w:type="dxa"/>
            <w:vAlign w:val="bottom"/>
            <w:tcBorders>
              <w:bottom w:val="single" w:sz="8" w:color="auto"/>
            </w:tcBorders>
            <w:vMerge w:val="continue"/>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60" w:type="dxa"/>
            <w:vAlign w:val="bottom"/>
            <w:tcBorders>
              <w:bottom w:val="single" w:sz="8" w:color="CCEEFF"/>
            </w:tcBorders>
          </w:tcPr>
          <w:p>
            <w:pPr>
              <w:spacing w:after="0"/>
              <w:rPr>
                <w:sz w:val="6"/>
                <w:szCs w:val="6"/>
                <w:color w:val="auto"/>
              </w:rPr>
            </w:pPr>
          </w:p>
        </w:tc>
        <w:tc>
          <w:tcPr>
            <w:tcW w:w="60" w:type="dxa"/>
            <w:vAlign w:val="bottom"/>
            <w:tcBorders>
              <w:bottom w:val="single" w:sz="8" w:color="CCEEFF"/>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1160" w:type="dxa"/>
            <w:vAlign w:val="bottom"/>
            <w:tcBorders>
              <w:bottom w:val="single" w:sz="8" w:color="auto"/>
            </w:tcBorders>
            <w:vMerge w:val="continue"/>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80" w:type="dxa"/>
            <w:vAlign w:val="bottom"/>
            <w:tcBorders>
              <w:bottom w:val="single" w:sz="8" w:color="CCEEFF"/>
            </w:tcBorders>
          </w:tcPr>
          <w:p>
            <w:pPr>
              <w:spacing w:after="0"/>
              <w:rPr>
                <w:sz w:val="6"/>
                <w:szCs w:val="6"/>
                <w:color w:val="auto"/>
              </w:rPr>
            </w:pPr>
          </w:p>
        </w:tc>
        <w:tc>
          <w:tcPr>
            <w:tcW w:w="40" w:type="dxa"/>
            <w:vAlign w:val="bottom"/>
            <w:tcBorders>
              <w:bottom w:val="single" w:sz="8" w:color="CCEEFF"/>
            </w:tcBorders>
          </w:tcPr>
          <w:p>
            <w:pPr>
              <w:spacing w:after="0"/>
              <w:rPr>
                <w:sz w:val="6"/>
                <w:szCs w:val="6"/>
                <w:color w:val="auto"/>
              </w:rPr>
            </w:pPr>
          </w:p>
        </w:tc>
        <w:tc>
          <w:tcPr>
            <w:tcW w:w="1040" w:type="dxa"/>
            <w:vAlign w:val="bottom"/>
            <w:tcBorders>
              <w:bottom w:val="single" w:sz="8" w:color="auto"/>
            </w:tcBorders>
          </w:tcPr>
          <w:p>
            <w:pPr>
              <w:spacing w:after="0"/>
              <w:rPr>
                <w:sz w:val="6"/>
                <w:szCs w:val="6"/>
                <w:color w:val="auto"/>
              </w:rPr>
            </w:pPr>
          </w:p>
        </w:tc>
        <w:tc>
          <w:tcPr>
            <w:tcW w:w="30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90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960" w:type="dxa"/>
            <w:vAlign w:val="bottom"/>
            <w:tcBorders>
              <w:bottom w:val="single" w:sz="8" w:color="auto"/>
            </w:tcBorders>
            <w:vMerge w:val="continue"/>
          </w:tcPr>
          <w:p>
            <w:pPr>
              <w:spacing w:after="0"/>
              <w:rPr>
                <w:sz w:val="6"/>
                <w:szCs w:val="6"/>
                <w:color w:val="auto"/>
              </w:rPr>
            </w:pPr>
          </w:p>
        </w:tc>
        <w:tc>
          <w:tcPr>
            <w:tcW w:w="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4120" w:type="dxa"/>
            <w:vAlign w:val="bottom"/>
            <w:shd w:val="clear" w:color="auto" w:fill="CCEEFF"/>
          </w:tcPr>
          <w:p>
            <w:pPr>
              <w:ind w:left="40"/>
              <w:spacing w:after="0"/>
              <w:rPr>
                <w:sz w:val="20"/>
                <w:szCs w:val="20"/>
                <w:color w:val="auto"/>
              </w:rPr>
            </w:pPr>
            <w:r>
              <w:rPr>
                <w:rFonts w:ascii="Arial" w:cs="Arial" w:eastAsia="Arial" w:hAnsi="Arial"/>
                <w:sz w:val="14"/>
                <w:szCs w:val="14"/>
                <w:color w:val="auto"/>
              </w:rPr>
              <w:t>Amounts reclassified from AOCI</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(22)</w:t>
            </w:r>
          </w:p>
        </w:tc>
        <w:tc>
          <w:tcPr>
            <w:tcW w:w="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(24)</w:t>
            </w: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4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vMerge w:val="restart"/>
            <w:shd w:val="clear" w:color="auto" w:fill="CCEEFF"/>
          </w:tcPr>
          <w:p>
            <w:pPr>
              <w:jc w:val="right"/>
              <w:ind w:right="49"/>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(45)</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0"/>
        </w:trPr>
        <w:tc>
          <w:tcPr>
            <w:tcW w:w="412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280" w:type="dxa"/>
            <w:vAlign w:val="bottom"/>
            <w:vMerge w:val="continue"/>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1160" w:type="dxa"/>
            <w:vAlign w:val="bottom"/>
            <w:vMerge w:val="continue"/>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1040" w:type="dxa"/>
            <w:vAlign w:val="bottom"/>
            <w:shd w:val="clear" w:color="auto" w:fill="CCEEFF"/>
          </w:tcPr>
          <w:p>
            <w:pPr>
              <w:spacing w:after="0"/>
              <w:rPr>
                <w:sz w:val="6"/>
                <w:szCs w:val="6"/>
                <w:color w:val="auto"/>
              </w:rPr>
            </w:pPr>
          </w:p>
        </w:tc>
        <w:tc>
          <w:tcPr>
            <w:tcW w:w="400" w:type="dxa"/>
            <w:vAlign w:val="bottom"/>
            <w:gridSpan w:val="2"/>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90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960" w:type="dxa"/>
            <w:vAlign w:val="bottom"/>
            <w:vMerge w:val="continue"/>
            <w:shd w:val="clear" w:color="auto" w:fill="CCEEFF"/>
          </w:tcPr>
          <w:p>
            <w:pPr>
              <w:spacing w:after="0"/>
              <w:rPr>
                <w:sz w:val="6"/>
                <w:szCs w:val="6"/>
                <w:color w:val="auto"/>
              </w:rPr>
            </w:pPr>
          </w:p>
        </w:tc>
        <w:tc>
          <w:tcPr>
            <w:tcW w:w="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4120" w:type="dxa"/>
            <w:vAlign w:val="bottom"/>
          </w:tcPr>
          <w:p>
            <w:pPr>
              <w:ind w:left="40"/>
              <w:spacing w:after="0"/>
              <w:rPr>
                <w:sz w:val="20"/>
                <w:szCs w:val="20"/>
                <w:color w:val="auto"/>
              </w:rPr>
            </w:pPr>
            <w:r>
              <w:rPr>
                <w:rFonts w:ascii="Arial" w:cs="Arial" w:eastAsia="Arial" w:hAnsi="Arial"/>
                <w:sz w:val="14"/>
                <w:szCs w:val="14"/>
                <w:color w:val="auto"/>
              </w:rPr>
              <w:t>Deferred income tax benefit (expense)</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vMerge w:val="restart"/>
          </w:tcPr>
          <w:p>
            <w:pPr>
              <w:jc w:val="right"/>
              <w:spacing w:after="0"/>
              <w:rPr>
                <w:sz w:val="20"/>
                <w:szCs w:val="20"/>
                <w:color w:val="auto"/>
              </w:rPr>
            </w:pPr>
            <w:r>
              <w:rPr>
                <w:rFonts w:ascii="Arial" w:cs="Arial" w:eastAsia="Arial" w:hAnsi="Arial"/>
                <w:sz w:val="14"/>
                <w:szCs w:val="14"/>
                <w:color w:val="auto"/>
              </w:rPr>
              <w:t>8</w:t>
            </w: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vMerge w:val="restart"/>
          </w:tcPr>
          <w:p>
            <w:pPr>
              <w:jc w:val="right"/>
              <w:ind w:right="10"/>
              <w:spacing w:after="0"/>
              <w:rPr>
                <w:sz w:val="20"/>
                <w:szCs w:val="20"/>
                <w:color w:val="auto"/>
              </w:rPr>
            </w:pPr>
            <w:r>
              <w:rPr>
                <w:rFonts w:ascii="Arial" w:cs="Arial" w:eastAsia="Arial" w:hAnsi="Arial"/>
                <w:sz w:val="14"/>
                <w:szCs w:val="14"/>
                <w:color w:val="auto"/>
              </w:rPr>
              <w:t>8</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300" w:type="dxa"/>
            <w:vAlign w:val="bottom"/>
            <w:vMerge w:val="restart"/>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vMerge w:val="restart"/>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vMerge w:val="restart"/>
          </w:tcPr>
          <w:p>
            <w:pPr>
              <w:jc w:val="right"/>
              <w:ind w:right="49"/>
              <w:spacing w:after="0"/>
              <w:rPr>
                <w:sz w:val="20"/>
                <w:szCs w:val="20"/>
                <w:color w:val="auto"/>
              </w:rPr>
            </w:pPr>
            <w:r>
              <w:rPr>
                <w:rFonts w:ascii="Arial" w:cs="Arial" w:eastAsia="Arial" w:hAnsi="Arial"/>
                <w:sz w:val="14"/>
                <w:szCs w:val="14"/>
                <w:color w:val="auto"/>
              </w:rPr>
              <w:t>—</w:t>
            </w:r>
          </w:p>
        </w:tc>
        <w:tc>
          <w:tcPr>
            <w:tcW w:w="100" w:type="dxa"/>
            <w:vAlign w:val="bottom"/>
            <w:vMerge w:val="restart"/>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vMerge w:val="restart"/>
          </w:tcPr>
          <w:p>
            <w:pPr>
              <w:jc w:val="right"/>
              <w:ind w:right="29"/>
              <w:spacing w:after="0"/>
              <w:rPr>
                <w:sz w:val="20"/>
                <w:szCs w:val="20"/>
                <w:color w:val="auto"/>
              </w:rPr>
            </w:pPr>
            <w:r>
              <w:rPr>
                <w:rFonts w:ascii="Arial" w:cs="Arial" w:eastAsia="Arial" w:hAnsi="Arial"/>
                <w:sz w:val="14"/>
                <w:szCs w:val="14"/>
                <w:color w:val="auto"/>
              </w:rPr>
              <w:t>16</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4"/>
        </w:trPr>
        <w:tc>
          <w:tcPr>
            <w:tcW w:w="4120" w:type="dxa"/>
            <w:vAlign w:val="bottom"/>
            <w:tcBorders>
              <w:bottom w:val="single" w:sz="8" w:color="CCEEFF"/>
            </w:tcBorders>
          </w:tcPr>
          <w:p>
            <w:pPr>
              <w:spacing w:after="0"/>
              <w:rPr>
                <w:sz w:val="6"/>
                <w:szCs w:val="6"/>
                <w:color w:val="auto"/>
              </w:rPr>
            </w:pPr>
          </w:p>
        </w:tc>
        <w:tc>
          <w:tcPr>
            <w:tcW w:w="80" w:type="dxa"/>
            <w:vAlign w:val="bottom"/>
            <w:tcBorders>
              <w:bottom w:val="single" w:sz="8" w:color="CCEEFF"/>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1280" w:type="dxa"/>
            <w:vAlign w:val="bottom"/>
            <w:tcBorders>
              <w:bottom w:val="single" w:sz="8" w:color="auto"/>
            </w:tcBorders>
            <w:vMerge w:val="continue"/>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60" w:type="dxa"/>
            <w:vAlign w:val="bottom"/>
            <w:tcBorders>
              <w:bottom w:val="single" w:sz="8" w:color="CCEEFF"/>
            </w:tcBorders>
          </w:tcPr>
          <w:p>
            <w:pPr>
              <w:spacing w:after="0"/>
              <w:rPr>
                <w:sz w:val="6"/>
                <w:szCs w:val="6"/>
                <w:color w:val="auto"/>
              </w:rPr>
            </w:pPr>
          </w:p>
        </w:tc>
        <w:tc>
          <w:tcPr>
            <w:tcW w:w="60" w:type="dxa"/>
            <w:vAlign w:val="bottom"/>
            <w:tcBorders>
              <w:bottom w:val="single" w:sz="8" w:color="CCEEFF"/>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1160" w:type="dxa"/>
            <w:vAlign w:val="bottom"/>
            <w:tcBorders>
              <w:bottom w:val="single" w:sz="8" w:color="auto"/>
            </w:tcBorders>
            <w:vMerge w:val="continue"/>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80" w:type="dxa"/>
            <w:vAlign w:val="bottom"/>
            <w:tcBorders>
              <w:bottom w:val="single" w:sz="8" w:color="CCEEFF"/>
            </w:tcBorders>
          </w:tcPr>
          <w:p>
            <w:pPr>
              <w:spacing w:after="0"/>
              <w:rPr>
                <w:sz w:val="6"/>
                <w:szCs w:val="6"/>
                <w:color w:val="auto"/>
              </w:rPr>
            </w:pPr>
          </w:p>
        </w:tc>
        <w:tc>
          <w:tcPr>
            <w:tcW w:w="40" w:type="dxa"/>
            <w:vAlign w:val="bottom"/>
            <w:tcBorders>
              <w:bottom w:val="single" w:sz="8" w:color="CCEEFF"/>
            </w:tcBorders>
          </w:tcPr>
          <w:p>
            <w:pPr>
              <w:spacing w:after="0"/>
              <w:rPr>
                <w:sz w:val="6"/>
                <w:szCs w:val="6"/>
                <w:color w:val="auto"/>
              </w:rPr>
            </w:pPr>
          </w:p>
        </w:tc>
        <w:tc>
          <w:tcPr>
            <w:tcW w:w="1040" w:type="dxa"/>
            <w:vAlign w:val="bottom"/>
            <w:tcBorders>
              <w:bottom w:val="single" w:sz="8" w:color="auto"/>
            </w:tcBorders>
          </w:tcPr>
          <w:p>
            <w:pPr>
              <w:spacing w:after="0"/>
              <w:rPr>
                <w:sz w:val="6"/>
                <w:szCs w:val="6"/>
                <w:color w:val="auto"/>
              </w:rPr>
            </w:pPr>
          </w:p>
        </w:tc>
        <w:tc>
          <w:tcPr>
            <w:tcW w:w="30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vMerge w:val="continue"/>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90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vMerge w:val="continue"/>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960" w:type="dxa"/>
            <w:vAlign w:val="bottom"/>
            <w:tcBorders>
              <w:bottom w:val="single" w:sz="8" w:color="auto"/>
            </w:tcBorders>
            <w:vMerge w:val="continue"/>
          </w:tcPr>
          <w:p>
            <w:pPr>
              <w:spacing w:after="0"/>
              <w:rPr>
                <w:sz w:val="6"/>
                <w:szCs w:val="6"/>
                <w:color w:val="auto"/>
              </w:rPr>
            </w:pPr>
          </w:p>
        </w:tc>
        <w:tc>
          <w:tcPr>
            <w:tcW w:w="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4120" w:type="dxa"/>
            <w:vAlign w:val="bottom"/>
            <w:shd w:val="clear" w:color="auto" w:fill="CCEEFF"/>
          </w:tcPr>
          <w:p>
            <w:pPr>
              <w:ind w:left="200"/>
              <w:spacing w:after="0"/>
              <w:rPr>
                <w:sz w:val="20"/>
                <w:szCs w:val="20"/>
                <w:color w:val="auto"/>
              </w:rPr>
            </w:pPr>
            <w:r>
              <w:rPr>
                <w:rFonts w:ascii="Arial" w:cs="Arial" w:eastAsia="Arial" w:hAnsi="Arial"/>
                <w:sz w:val="14"/>
                <w:szCs w:val="14"/>
                <w:color w:val="auto"/>
              </w:rPr>
              <w:t>Amounts reclassified from AOCI, net of income tax</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(14)</w:t>
            </w:r>
          </w:p>
        </w:tc>
        <w:tc>
          <w:tcPr>
            <w:tcW w:w="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(16)</w:t>
            </w: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30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vMerge w:val="restart"/>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vMerge w:val="restart"/>
            <w:shd w:val="clear" w:color="auto" w:fill="CCEEFF"/>
          </w:tcPr>
          <w:p>
            <w:pPr>
              <w:jc w:val="right"/>
              <w:ind w:right="49"/>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(29)</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0"/>
        </w:trPr>
        <w:tc>
          <w:tcPr>
            <w:tcW w:w="412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140" w:type="dxa"/>
            <w:vAlign w:val="bottom"/>
            <w:tcBorders>
              <w:bottom w:val="single" w:sz="8" w:color="auto"/>
            </w:tcBorders>
            <w:shd w:val="clear" w:color="auto" w:fill="CCEEFF"/>
          </w:tcPr>
          <w:p>
            <w:pPr>
              <w:spacing w:after="0"/>
              <w:rPr>
                <w:sz w:val="6"/>
                <w:szCs w:val="6"/>
                <w:color w:val="auto"/>
              </w:rPr>
            </w:pPr>
          </w:p>
        </w:tc>
        <w:tc>
          <w:tcPr>
            <w:tcW w:w="1280" w:type="dxa"/>
            <w:vAlign w:val="bottom"/>
            <w:tcBorders>
              <w:bottom w:val="single" w:sz="8" w:color="auto"/>
            </w:tcBorders>
            <w:vMerge w:val="continue"/>
            <w:shd w:val="clear" w:color="auto" w:fill="CCEEFF"/>
          </w:tcPr>
          <w:p>
            <w:pPr>
              <w:spacing w:after="0"/>
              <w:rPr>
                <w:sz w:val="6"/>
                <w:szCs w:val="6"/>
                <w:color w:val="auto"/>
              </w:rPr>
            </w:pPr>
          </w:p>
        </w:tc>
        <w:tc>
          <w:tcPr>
            <w:tcW w:w="60" w:type="dxa"/>
            <w:vAlign w:val="bottom"/>
            <w:tcBorders>
              <w:bottom w:val="single" w:sz="8" w:color="auto"/>
            </w:tcBorders>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c>
          <w:tcPr>
            <w:tcW w:w="180" w:type="dxa"/>
            <w:vAlign w:val="bottom"/>
            <w:tcBorders>
              <w:bottom w:val="single" w:sz="8" w:color="auto"/>
            </w:tcBorders>
            <w:shd w:val="clear" w:color="auto" w:fill="CCEEFF"/>
          </w:tcPr>
          <w:p>
            <w:pPr>
              <w:spacing w:after="0"/>
              <w:rPr>
                <w:sz w:val="6"/>
                <w:szCs w:val="6"/>
                <w:color w:val="auto"/>
              </w:rPr>
            </w:pPr>
          </w:p>
        </w:tc>
        <w:tc>
          <w:tcPr>
            <w:tcW w:w="1160" w:type="dxa"/>
            <w:vAlign w:val="bottom"/>
            <w:tcBorders>
              <w:bottom w:val="single" w:sz="8" w:color="auto"/>
            </w:tcBorders>
            <w:vMerge w:val="continue"/>
            <w:shd w:val="clear" w:color="auto" w:fill="CCEEFF"/>
          </w:tcPr>
          <w:p>
            <w:pPr>
              <w:spacing w:after="0"/>
              <w:rPr>
                <w:sz w:val="6"/>
                <w:szCs w:val="6"/>
                <w:color w:val="auto"/>
              </w:rPr>
            </w:pPr>
          </w:p>
        </w:tc>
        <w:tc>
          <w:tcPr>
            <w:tcW w:w="40" w:type="dxa"/>
            <w:vAlign w:val="bottom"/>
            <w:tcBorders>
              <w:bottom w:val="single" w:sz="8" w:color="auto"/>
            </w:tcBorders>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1040" w:type="dxa"/>
            <w:vAlign w:val="bottom"/>
            <w:tcBorders>
              <w:bottom w:val="single" w:sz="8" w:color="auto"/>
            </w:tcBorders>
            <w:shd w:val="clear" w:color="auto" w:fill="CCEEFF"/>
          </w:tcPr>
          <w:p>
            <w:pPr>
              <w:spacing w:after="0"/>
              <w:rPr>
                <w:sz w:val="6"/>
                <w:szCs w:val="6"/>
                <w:color w:val="auto"/>
              </w:rPr>
            </w:pPr>
          </w:p>
        </w:tc>
        <w:tc>
          <w:tcPr>
            <w:tcW w:w="30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vMerge w:val="continue"/>
            <w:shd w:val="clear" w:color="auto" w:fill="CCEEFF"/>
          </w:tcPr>
          <w:p>
            <w:pPr>
              <w:spacing w:after="0"/>
              <w:rPr>
                <w:sz w:val="6"/>
                <w:szCs w:val="6"/>
                <w:color w:val="auto"/>
              </w:rPr>
            </w:pPr>
          </w:p>
        </w:tc>
        <w:tc>
          <w:tcPr>
            <w:tcW w:w="100" w:type="dxa"/>
            <w:vAlign w:val="bottom"/>
            <w:tcBorders>
              <w:bottom w:val="single" w:sz="8" w:color="auto"/>
            </w:tcBorders>
            <w:shd w:val="clear" w:color="auto" w:fill="CCEEFF"/>
          </w:tcPr>
          <w:p>
            <w:pPr>
              <w:spacing w:after="0"/>
              <w:rPr>
                <w:sz w:val="6"/>
                <w:szCs w:val="6"/>
                <w:color w:val="auto"/>
              </w:rPr>
            </w:pPr>
          </w:p>
        </w:tc>
        <w:tc>
          <w:tcPr>
            <w:tcW w:w="120" w:type="dxa"/>
            <w:vAlign w:val="bottom"/>
            <w:tcBorders>
              <w:bottom w:val="single" w:sz="8" w:color="auto"/>
            </w:tcBorders>
            <w:shd w:val="clear" w:color="auto" w:fill="CCEEFF"/>
          </w:tcPr>
          <w:p>
            <w:pPr>
              <w:spacing w:after="0"/>
              <w:rPr>
                <w:sz w:val="6"/>
                <w:szCs w:val="6"/>
                <w:color w:val="auto"/>
              </w:rPr>
            </w:pPr>
          </w:p>
        </w:tc>
        <w:tc>
          <w:tcPr>
            <w:tcW w:w="90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0" w:type="dxa"/>
            <w:vAlign w:val="bottom"/>
            <w:tcBorders>
              <w:bottom w:val="single" w:sz="8" w:color="auto"/>
            </w:tcBorders>
            <w:shd w:val="clear" w:color="auto" w:fill="CCEEFF"/>
          </w:tcPr>
          <w:p>
            <w:pPr>
              <w:spacing w:after="0"/>
              <w:rPr>
                <w:sz w:val="6"/>
                <w:szCs w:val="6"/>
                <w:color w:val="auto"/>
              </w:rPr>
            </w:pPr>
          </w:p>
        </w:tc>
        <w:tc>
          <w:tcPr>
            <w:tcW w:w="280" w:type="dxa"/>
            <w:vAlign w:val="bottom"/>
            <w:tcBorders>
              <w:bottom w:val="single" w:sz="8" w:color="auto"/>
            </w:tcBorders>
            <w:shd w:val="clear" w:color="auto" w:fill="CCEEFF"/>
          </w:tcPr>
          <w:p>
            <w:pPr>
              <w:spacing w:after="0"/>
              <w:rPr>
                <w:sz w:val="6"/>
                <w:szCs w:val="6"/>
                <w:color w:val="auto"/>
              </w:rPr>
            </w:pPr>
          </w:p>
        </w:tc>
        <w:tc>
          <w:tcPr>
            <w:tcW w:w="96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71"/>
        </w:trPr>
        <w:tc>
          <w:tcPr>
            <w:tcW w:w="4120" w:type="dxa"/>
            <w:vAlign w:val="bottom"/>
          </w:tcPr>
          <w:p>
            <w:pPr>
              <w:ind w:left="40"/>
              <w:spacing w:after="0"/>
              <w:rPr>
                <w:sz w:val="20"/>
                <w:szCs w:val="20"/>
                <w:color w:val="auto"/>
              </w:rPr>
            </w:pPr>
            <w:r>
              <w:rPr>
                <w:rFonts w:ascii="Arial" w:cs="Arial" w:eastAsia="Arial" w:hAnsi="Arial"/>
                <w:sz w:val="14"/>
                <w:szCs w:val="14"/>
                <w:color w:val="auto"/>
              </w:rPr>
              <w:t>Balance, end of period</w:t>
            </w:r>
          </w:p>
        </w:tc>
        <w:tc>
          <w:tcPr>
            <w:tcW w:w="220" w:type="dxa"/>
            <w:vAlign w:val="bottom"/>
            <w:gridSpan w:val="2"/>
            <w:vMerge w:val="restart"/>
          </w:tcPr>
          <w:p>
            <w:pPr>
              <w:jc w:val="right"/>
              <w:ind w:right="40"/>
              <w:spacing w:after="0"/>
              <w:rPr>
                <w:sz w:val="20"/>
                <w:szCs w:val="20"/>
                <w:color w:val="auto"/>
              </w:rPr>
            </w:pPr>
            <w:r>
              <w:rPr>
                <w:rFonts w:ascii="Arial" w:cs="Arial" w:eastAsia="Arial" w:hAnsi="Arial"/>
                <w:sz w:val="14"/>
                <w:szCs w:val="14"/>
                <w:color w:val="auto"/>
              </w:rPr>
              <w:t>$</w:t>
            </w:r>
          </w:p>
        </w:tc>
        <w:tc>
          <w:tcPr>
            <w:tcW w:w="1280" w:type="dxa"/>
            <w:vAlign w:val="bottom"/>
            <w:vMerge w:val="restart"/>
          </w:tcPr>
          <w:p>
            <w:pPr>
              <w:jc w:val="right"/>
              <w:spacing w:after="0"/>
              <w:rPr>
                <w:sz w:val="20"/>
                <w:szCs w:val="20"/>
                <w:color w:val="auto"/>
              </w:rPr>
            </w:pPr>
            <w:r>
              <w:rPr>
                <w:rFonts w:ascii="Arial" w:cs="Arial" w:eastAsia="Arial" w:hAnsi="Arial"/>
                <w:sz w:val="14"/>
                <w:szCs w:val="14"/>
                <w:color w:val="auto"/>
              </w:rPr>
              <w:t>2,207</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40" w:type="dxa"/>
            <w:vAlign w:val="bottom"/>
            <w:gridSpan w:val="2"/>
            <w:vMerge w:val="restart"/>
          </w:tcPr>
          <w:p>
            <w:pPr>
              <w:jc w:val="right"/>
              <w:ind w:right="80"/>
              <w:spacing w:after="0"/>
              <w:rPr>
                <w:sz w:val="20"/>
                <w:szCs w:val="20"/>
                <w:color w:val="auto"/>
              </w:rPr>
            </w:pPr>
            <w:r>
              <w:rPr>
                <w:rFonts w:ascii="Arial" w:cs="Arial" w:eastAsia="Arial" w:hAnsi="Arial"/>
                <w:sz w:val="14"/>
                <w:szCs w:val="14"/>
                <w:color w:val="auto"/>
              </w:rPr>
              <w:t>$</w:t>
            </w:r>
          </w:p>
        </w:tc>
        <w:tc>
          <w:tcPr>
            <w:tcW w:w="1160" w:type="dxa"/>
            <w:vAlign w:val="bottom"/>
            <w:vMerge w:val="restart"/>
          </w:tcPr>
          <w:p>
            <w:pPr>
              <w:jc w:val="right"/>
              <w:ind w:right="10"/>
              <w:spacing w:after="0"/>
              <w:rPr>
                <w:sz w:val="20"/>
                <w:szCs w:val="20"/>
                <w:color w:val="auto"/>
              </w:rPr>
            </w:pPr>
            <w:r>
              <w:rPr>
                <w:rFonts w:ascii="Arial" w:cs="Arial" w:eastAsia="Arial" w:hAnsi="Arial"/>
                <w:sz w:val="14"/>
                <w:szCs w:val="14"/>
                <w:color w:val="auto"/>
              </w:rPr>
              <w:t>284</w:t>
            </w:r>
          </w:p>
        </w:tc>
        <w:tc>
          <w:tcPr>
            <w:tcW w:w="1200" w:type="dxa"/>
            <w:vAlign w:val="bottom"/>
            <w:gridSpan w:val="4"/>
            <w:vMerge w:val="restart"/>
          </w:tcPr>
          <w:p>
            <w:pPr>
              <w:jc w:val="right"/>
              <w:ind w:right="877"/>
              <w:spacing w:after="0"/>
              <w:rPr>
                <w:sz w:val="20"/>
                <w:szCs w:val="20"/>
                <w:color w:val="auto"/>
              </w:rPr>
            </w:pPr>
            <w:r>
              <w:rPr>
                <w:rFonts w:ascii="Arial" w:cs="Arial" w:eastAsia="Arial" w:hAnsi="Arial"/>
                <w:sz w:val="14"/>
                <w:szCs w:val="14"/>
                <w:color w:val="auto"/>
              </w:rPr>
              <w:t>$</w:t>
            </w:r>
          </w:p>
        </w:tc>
        <w:tc>
          <w:tcPr>
            <w:tcW w:w="300" w:type="dxa"/>
            <w:vAlign w:val="bottom"/>
            <w:vMerge w:val="restart"/>
          </w:tcPr>
          <w:p>
            <w:pPr>
              <w:jc w:val="right"/>
              <w:spacing w:after="0"/>
              <w:rPr>
                <w:sz w:val="20"/>
                <w:szCs w:val="20"/>
                <w:color w:val="auto"/>
              </w:rPr>
            </w:pPr>
            <w:r>
              <w:rPr>
                <w:rFonts w:ascii="Arial" w:cs="Arial" w:eastAsia="Arial" w:hAnsi="Arial"/>
                <w:sz w:val="14"/>
                <w:szCs w:val="14"/>
                <w:color w:val="auto"/>
                <w:w w:val="88"/>
              </w:rPr>
              <w:t>(33)</w:t>
            </w:r>
          </w:p>
        </w:tc>
        <w:tc>
          <w:tcPr>
            <w:tcW w:w="100" w:type="dxa"/>
            <w:vAlign w:val="bottom"/>
          </w:tcPr>
          <w:p>
            <w:pPr>
              <w:spacing w:after="0"/>
              <w:rPr>
                <w:sz w:val="14"/>
                <w:szCs w:val="14"/>
                <w:color w:val="auto"/>
              </w:rPr>
            </w:pPr>
          </w:p>
        </w:tc>
        <w:tc>
          <w:tcPr>
            <w:tcW w:w="220" w:type="dxa"/>
            <w:vAlign w:val="bottom"/>
            <w:gridSpan w:val="2"/>
            <w:vMerge w:val="restart"/>
          </w:tcPr>
          <w:p>
            <w:pPr>
              <w:jc w:val="right"/>
              <w:ind w:right="57"/>
              <w:spacing w:after="0"/>
              <w:rPr>
                <w:sz w:val="20"/>
                <w:szCs w:val="20"/>
                <w:color w:val="auto"/>
              </w:rPr>
            </w:pPr>
            <w:r>
              <w:rPr>
                <w:rFonts w:ascii="Arial" w:cs="Arial" w:eastAsia="Arial" w:hAnsi="Arial"/>
                <w:sz w:val="14"/>
                <w:szCs w:val="14"/>
                <w:color w:val="auto"/>
              </w:rPr>
              <w:t>$</w:t>
            </w:r>
          </w:p>
        </w:tc>
        <w:tc>
          <w:tcPr>
            <w:tcW w:w="900" w:type="dxa"/>
            <w:vAlign w:val="bottom"/>
            <w:vMerge w:val="restart"/>
          </w:tcPr>
          <w:p>
            <w:pPr>
              <w:jc w:val="right"/>
              <w:spacing w:after="0"/>
              <w:rPr>
                <w:sz w:val="20"/>
                <w:szCs w:val="20"/>
                <w:color w:val="auto"/>
              </w:rPr>
            </w:pPr>
            <w:r>
              <w:rPr>
                <w:rFonts w:ascii="Arial" w:cs="Arial" w:eastAsia="Arial" w:hAnsi="Arial"/>
                <w:sz w:val="14"/>
                <w:szCs w:val="14"/>
                <w:color w:val="auto"/>
              </w:rPr>
              <w:t>(19)</w:t>
            </w:r>
          </w:p>
        </w:tc>
        <w:tc>
          <w:tcPr>
            <w:tcW w:w="100" w:type="dxa"/>
            <w:vAlign w:val="bottom"/>
          </w:tcPr>
          <w:p>
            <w:pPr>
              <w:spacing w:after="0"/>
              <w:rPr>
                <w:sz w:val="14"/>
                <w:szCs w:val="14"/>
                <w:color w:val="auto"/>
              </w:rPr>
            </w:pPr>
          </w:p>
        </w:tc>
        <w:tc>
          <w:tcPr>
            <w:tcW w:w="1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4"/>
                <w:szCs w:val="14"/>
                <w:color w:val="auto"/>
              </w:rPr>
            </w:pPr>
          </w:p>
        </w:tc>
        <w:tc>
          <w:tcPr>
            <w:tcW w:w="960" w:type="dxa"/>
            <w:vAlign w:val="bottom"/>
            <w:vMerge w:val="restart"/>
          </w:tcPr>
          <w:p>
            <w:pPr>
              <w:jc w:val="right"/>
              <w:ind w:right="29"/>
              <w:spacing w:after="0"/>
              <w:rPr>
                <w:sz w:val="20"/>
                <w:szCs w:val="20"/>
                <w:color w:val="auto"/>
              </w:rPr>
            </w:pPr>
            <w:r>
              <w:rPr>
                <w:rFonts w:ascii="Arial" w:cs="Arial" w:eastAsia="Arial" w:hAnsi="Arial"/>
                <w:sz w:val="14"/>
                <w:szCs w:val="14"/>
                <w:color w:val="auto"/>
              </w:rPr>
              <w:t>2,439</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0"/>
        </w:trPr>
        <w:tc>
          <w:tcPr>
            <w:tcW w:w="4120" w:type="dxa"/>
            <w:vAlign w:val="bottom"/>
          </w:tcPr>
          <w:p>
            <w:pPr>
              <w:spacing w:after="0"/>
              <w:rPr>
                <w:sz w:val="5"/>
                <w:szCs w:val="5"/>
                <w:color w:val="auto"/>
              </w:rPr>
            </w:pPr>
          </w:p>
        </w:tc>
        <w:tc>
          <w:tcPr>
            <w:tcW w:w="220" w:type="dxa"/>
            <w:vAlign w:val="bottom"/>
            <w:gridSpan w:val="2"/>
            <w:vMerge w:val="continue"/>
          </w:tcPr>
          <w:p>
            <w:pPr>
              <w:spacing w:after="0"/>
              <w:rPr>
                <w:sz w:val="5"/>
                <w:szCs w:val="5"/>
                <w:color w:val="auto"/>
              </w:rPr>
            </w:pPr>
          </w:p>
        </w:tc>
        <w:tc>
          <w:tcPr>
            <w:tcW w:w="128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240" w:type="dxa"/>
            <w:vAlign w:val="bottom"/>
            <w:gridSpan w:val="2"/>
            <w:vMerge w:val="continue"/>
          </w:tcPr>
          <w:p>
            <w:pPr>
              <w:spacing w:after="0"/>
              <w:rPr>
                <w:sz w:val="5"/>
                <w:szCs w:val="5"/>
                <w:color w:val="auto"/>
              </w:rPr>
            </w:pPr>
          </w:p>
        </w:tc>
        <w:tc>
          <w:tcPr>
            <w:tcW w:w="1160" w:type="dxa"/>
            <w:vAlign w:val="bottom"/>
            <w:vMerge w:val="continue"/>
          </w:tcPr>
          <w:p>
            <w:pPr>
              <w:spacing w:after="0"/>
              <w:rPr>
                <w:sz w:val="5"/>
                <w:szCs w:val="5"/>
                <w:color w:val="auto"/>
              </w:rPr>
            </w:pPr>
          </w:p>
        </w:tc>
        <w:tc>
          <w:tcPr>
            <w:tcW w:w="1200" w:type="dxa"/>
            <w:vAlign w:val="bottom"/>
            <w:gridSpan w:val="4"/>
            <w:vMerge w:val="continue"/>
          </w:tcPr>
          <w:p>
            <w:pPr>
              <w:spacing w:after="0"/>
              <w:rPr>
                <w:sz w:val="5"/>
                <w:szCs w:val="5"/>
                <w:color w:val="auto"/>
              </w:rPr>
            </w:pPr>
          </w:p>
        </w:tc>
        <w:tc>
          <w:tcPr>
            <w:tcW w:w="30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220" w:type="dxa"/>
            <w:vAlign w:val="bottom"/>
            <w:gridSpan w:val="2"/>
            <w:vMerge w:val="continue"/>
          </w:tcPr>
          <w:p>
            <w:pPr>
              <w:spacing w:after="0"/>
              <w:rPr>
                <w:sz w:val="5"/>
                <w:szCs w:val="5"/>
                <w:color w:val="auto"/>
              </w:rPr>
            </w:pPr>
          </w:p>
        </w:tc>
        <w:tc>
          <w:tcPr>
            <w:tcW w:w="90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96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w:t>
      </w:r>
    </w:p>
    <w:p>
      <w:pPr>
        <w:spacing w:after="0" w:line="141" w:lineRule="exact"/>
        <w:rPr>
          <w:sz w:val="20"/>
          <w:szCs w:val="20"/>
          <w:color w:val="auto"/>
        </w:rPr>
      </w:pPr>
    </w:p>
    <w:p>
      <w:pPr>
        <w:ind w:left="5620" w:right="3100" w:hanging="5612"/>
        <w:spacing w:after="0" w:line="559" w:lineRule="auto"/>
        <w:tabs>
          <w:tab w:leader="none" w:pos="490" w:val="left"/>
        </w:tabs>
        <w:numPr>
          <w:ilvl w:val="0"/>
          <w:numId w:val="43"/>
        </w:numPr>
        <w:rPr>
          <w:rFonts w:ascii="Arial" w:cs="Arial" w:eastAsia="Arial" w:hAnsi="Arial"/>
          <w:sz w:val="18"/>
          <w:szCs w:val="18"/>
          <w:color w:val="auto"/>
        </w:rPr>
      </w:pPr>
      <w:r>
        <w:rPr>
          <w:rFonts w:ascii="Arial" w:cs="Arial" w:eastAsia="Arial" w:hAnsi="Arial"/>
          <w:sz w:val="18"/>
          <w:szCs w:val="18"/>
          <w:color w:val="auto"/>
        </w:rPr>
        <w:t>See Note 4 for information on offsets to investments related to future policy benefits, DAC, VOBA and DSI. 63</w:t>
      </w:r>
    </w:p>
    <w:p>
      <w:pPr>
        <w:sectPr>
          <w:pgSz w:w="11900" w:h="16838" w:orient="portrait"/>
          <w:cols w:equalWidth="0" w:num="1">
            <w:col w:w="11420"/>
          </w:cols>
          <w:pgMar w:left="240" w:top="288" w:right="239" w:bottom="1440" w:gutter="0" w:footer="0" w:header="0"/>
        </w:sectPr>
      </w:pPr>
    </w:p>
    <w:bookmarkStart w:id="65" w:name="page66"/>
    <w:bookmarkEnd w:id="65"/>
    <w:p>
      <w:pPr>
        <w:ind w:left="340"/>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Brighthouse Financial, Inc.</w:t>
      </w:r>
    </w:p>
    <w:p>
      <w:pPr>
        <w:spacing w:after="0" w:line="117"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Notes to the Interim Condensed Consolidated and Combined Financial Statements (Unaudited) — (continued)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Equity (continued)</w:t>
      </w:r>
    </w:p>
    <w:p>
      <w:pPr>
        <w:spacing w:after="0" w:line="200" w:lineRule="exact"/>
        <w:rPr>
          <w:sz w:val="20"/>
          <w:szCs w:val="20"/>
          <w:color w:val="auto"/>
        </w:rPr>
      </w:pPr>
    </w:p>
    <w:p>
      <w:pPr>
        <w:spacing w:after="0" w:line="21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Information regarding amounts reclassified out of each component of AOCI was as follows:</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80" w:type="dxa"/>
            <w:vAlign w:val="bottom"/>
          </w:tcPr>
          <w:p>
            <w:pPr>
              <w:jc w:val="center"/>
              <w:spacing w:after="0"/>
              <w:rPr>
                <w:sz w:val="20"/>
                <w:szCs w:val="20"/>
                <w:color w:val="auto"/>
              </w:rPr>
            </w:pPr>
            <w:r>
              <w:rPr>
                <w:rFonts w:ascii="Arial" w:cs="Arial" w:eastAsia="Arial" w:hAnsi="Arial"/>
                <w:sz w:val="13"/>
                <w:szCs w:val="13"/>
                <w:b w:val="1"/>
                <w:bCs w:val="1"/>
                <w:color w:val="auto"/>
                <w:w w:val="86"/>
              </w:rPr>
              <w:t>Consolidated and Combined Statements</w:t>
            </w:r>
          </w:p>
        </w:tc>
      </w:tr>
      <w:tr>
        <w:trPr>
          <w:trHeight w:val="135"/>
        </w:trPr>
        <w:tc>
          <w:tcPr>
            <w:tcW w:w="3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8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6"/>
              </w:rPr>
              <w:t>of Operations and</w:t>
            </w:r>
          </w:p>
        </w:tc>
      </w:tr>
      <w:tr>
        <w:trPr>
          <w:trHeight w:val="174"/>
        </w:trPr>
        <w:tc>
          <w:tcPr>
            <w:tcW w:w="3540" w:type="dxa"/>
            <w:vAlign w:val="bottom"/>
            <w:tcBorders>
              <w:bottom w:val="single" w:sz="8" w:color="auto"/>
            </w:tcBorders>
          </w:tcPr>
          <w:p>
            <w:pPr>
              <w:ind w:left="40"/>
              <w:spacing w:after="0"/>
              <w:rPr>
                <w:sz w:val="20"/>
                <w:szCs w:val="20"/>
                <w:color w:val="auto"/>
              </w:rPr>
            </w:pPr>
            <w:r>
              <w:rPr>
                <w:rFonts w:ascii="Arial" w:cs="Arial" w:eastAsia="Arial" w:hAnsi="Arial"/>
                <w:sz w:val="13"/>
                <w:szCs w:val="13"/>
                <w:b w:val="1"/>
                <w:bCs w:val="1"/>
                <w:color w:val="auto"/>
              </w:rPr>
              <w:t>AOCI Components</w:t>
            </w:r>
          </w:p>
        </w:tc>
        <w:tc>
          <w:tcPr>
            <w:tcW w:w="120" w:type="dxa"/>
            <w:vAlign w:val="bottom"/>
          </w:tcPr>
          <w:p>
            <w:pPr>
              <w:spacing w:after="0"/>
              <w:rPr>
                <w:sz w:val="15"/>
                <w:szCs w:val="15"/>
                <w:color w:val="auto"/>
              </w:rPr>
            </w:pPr>
          </w:p>
        </w:tc>
        <w:tc>
          <w:tcPr>
            <w:tcW w:w="1760" w:type="dxa"/>
            <w:vAlign w:val="bottom"/>
            <w:tcBorders>
              <w:bottom w:val="single" w:sz="8" w:color="auto"/>
            </w:tcBorders>
          </w:tcPr>
          <w:p>
            <w:pPr>
              <w:spacing w:after="0"/>
              <w:rPr>
                <w:sz w:val="15"/>
                <w:szCs w:val="15"/>
                <w:color w:val="auto"/>
              </w:rPr>
            </w:pPr>
          </w:p>
        </w:tc>
        <w:tc>
          <w:tcPr>
            <w:tcW w:w="190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3"/>
                <w:szCs w:val="13"/>
                <w:b w:val="1"/>
                <w:bCs w:val="1"/>
                <w:color w:val="auto"/>
                <w:w w:val="88"/>
              </w:rPr>
              <w:t>Amounts Reclassified from AOCI</w:t>
            </w:r>
          </w:p>
        </w:tc>
        <w:tc>
          <w:tcPr>
            <w:tcW w:w="17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2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6"/>
              </w:rPr>
              <w:t>Comprehensive Income (Loss) Locations</w:t>
            </w:r>
          </w:p>
        </w:tc>
      </w:tr>
      <w:tr>
        <w:trPr>
          <w:trHeight w:val="144"/>
        </w:trPr>
        <w:tc>
          <w:tcPr>
            <w:tcW w:w="3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60" w:type="dxa"/>
            <w:vAlign w:val="bottom"/>
          </w:tcPr>
          <w:p>
            <w:pPr>
              <w:jc w:val="center"/>
              <w:ind w:left="877"/>
              <w:spacing w:after="0" w:line="144" w:lineRule="exact"/>
              <w:rPr>
                <w:sz w:val="20"/>
                <w:szCs w:val="20"/>
                <w:color w:val="auto"/>
              </w:rPr>
            </w:pPr>
            <w:r>
              <w:rPr>
                <w:rFonts w:ascii="Arial" w:cs="Arial" w:eastAsia="Arial" w:hAnsi="Arial"/>
                <w:sz w:val="13"/>
                <w:szCs w:val="13"/>
                <w:b w:val="1"/>
                <w:bCs w:val="1"/>
                <w:color w:val="auto"/>
                <w:w w:val="91"/>
              </w:rPr>
              <w:t>Three Months</w:t>
            </w:r>
          </w:p>
        </w:tc>
        <w:tc>
          <w:tcPr>
            <w:tcW w:w="5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100" w:type="dxa"/>
            <w:vAlign w:val="bottom"/>
            <w:gridSpan w:val="3"/>
          </w:tcPr>
          <w:p>
            <w:pPr>
              <w:jc w:val="center"/>
              <w:ind w:right="3177"/>
              <w:spacing w:after="0" w:line="144" w:lineRule="exact"/>
              <w:rPr>
                <w:sz w:val="20"/>
                <w:szCs w:val="20"/>
                <w:color w:val="auto"/>
              </w:rPr>
            </w:pPr>
            <w:r>
              <w:rPr>
                <w:rFonts w:ascii="Arial" w:cs="Arial" w:eastAsia="Arial" w:hAnsi="Arial"/>
                <w:sz w:val="13"/>
                <w:szCs w:val="13"/>
                <w:b w:val="1"/>
                <w:bCs w:val="1"/>
                <w:color w:val="auto"/>
                <w:w w:val="89"/>
              </w:rPr>
              <w:t>Nine Months</w:t>
            </w:r>
          </w:p>
        </w:tc>
      </w:tr>
      <w:tr>
        <w:trPr>
          <w:trHeight w:val="135"/>
        </w:trPr>
        <w:tc>
          <w:tcPr>
            <w:tcW w:w="3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760" w:type="dxa"/>
            <w:vAlign w:val="bottom"/>
          </w:tcPr>
          <w:p>
            <w:pPr>
              <w:jc w:val="center"/>
              <w:ind w:left="857"/>
              <w:spacing w:after="0" w:line="135" w:lineRule="exact"/>
              <w:rPr>
                <w:sz w:val="20"/>
                <w:szCs w:val="20"/>
                <w:color w:val="auto"/>
              </w:rPr>
            </w:pPr>
            <w:r>
              <w:rPr>
                <w:rFonts w:ascii="Arial" w:cs="Arial" w:eastAsia="Arial" w:hAnsi="Arial"/>
                <w:sz w:val="13"/>
                <w:szCs w:val="13"/>
                <w:b w:val="1"/>
                <w:bCs w:val="1"/>
                <w:color w:val="auto"/>
                <w:w w:val="90"/>
              </w:rPr>
              <w:t>Ended</w:t>
            </w:r>
          </w:p>
        </w:tc>
        <w:tc>
          <w:tcPr>
            <w:tcW w:w="5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100" w:type="dxa"/>
            <w:vAlign w:val="bottom"/>
            <w:gridSpan w:val="3"/>
          </w:tcPr>
          <w:p>
            <w:pPr>
              <w:jc w:val="center"/>
              <w:ind w:right="3217"/>
              <w:spacing w:after="0" w:line="135" w:lineRule="exact"/>
              <w:rPr>
                <w:sz w:val="20"/>
                <w:szCs w:val="20"/>
                <w:color w:val="auto"/>
              </w:rPr>
            </w:pPr>
            <w:r>
              <w:rPr>
                <w:rFonts w:ascii="Arial" w:cs="Arial" w:eastAsia="Arial" w:hAnsi="Arial"/>
                <w:sz w:val="13"/>
                <w:szCs w:val="13"/>
                <w:b w:val="1"/>
                <w:bCs w:val="1"/>
                <w:color w:val="auto"/>
                <w:w w:val="85"/>
              </w:rPr>
              <w:t>Ended</w:t>
            </w:r>
          </w:p>
        </w:tc>
      </w:tr>
      <w:tr>
        <w:trPr>
          <w:trHeight w:val="174"/>
        </w:trPr>
        <w:tc>
          <w:tcPr>
            <w:tcW w:w="3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760" w:type="dxa"/>
            <w:vAlign w:val="bottom"/>
            <w:tcBorders>
              <w:bottom w:val="single" w:sz="8" w:color="auto"/>
            </w:tcBorders>
          </w:tcPr>
          <w:p>
            <w:pPr>
              <w:jc w:val="center"/>
              <w:ind w:left="877"/>
              <w:spacing w:after="0"/>
              <w:rPr>
                <w:sz w:val="20"/>
                <w:szCs w:val="20"/>
                <w:color w:val="auto"/>
              </w:rPr>
            </w:pPr>
            <w:r>
              <w:rPr>
                <w:rFonts w:ascii="Arial" w:cs="Arial" w:eastAsia="Arial" w:hAnsi="Arial"/>
                <w:sz w:val="13"/>
                <w:szCs w:val="13"/>
                <w:b w:val="1"/>
                <w:bCs w:val="1"/>
                <w:color w:val="auto"/>
                <w:w w:val="87"/>
              </w:rPr>
              <w:t>September 30,</w:t>
            </w:r>
          </w:p>
        </w:tc>
        <w:tc>
          <w:tcPr>
            <w:tcW w:w="50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1700" w:type="dxa"/>
            <w:vAlign w:val="bottom"/>
            <w:tcBorders>
              <w:bottom w:val="single" w:sz="8" w:color="auto"/>
            </w:tcBorders>
          </w:tcPr>
          <w:p>
            <w:pPr>
              <w:jc w:val="center"/>
              <w:ind w:right="777"/>
              <w:spacing w:after="0"/>
              <w:rPr>
                <w:sz w:val="20"/>
                <w:szCs w:val="20"/>
                <w:color w:val="auto"/>
              </w:rPr>
            </w:pPr>
            <w:r>
              <w:rPr>
                <w:rFonts w:ascii="Arial" w:cs="Arial" w:eastAsia="Arial" w:hAnsi="Arial"/>
                <w:sz w:val="13"/>
                <w:szCs w:val="13"/>
                <w:b w:val="1"/>
                <w:bCs w:val="1"/>
                <w:color w:val="auto"/>
                <w:w w:val="87"/>
              </w:rPr>
              <w:t>September 30,</w:t>
            </w:r>
          </w:p>
        </w:tc>
        <w:tc>
          <w:tcPr>
            <w:tcW w:w="2400" w:type="dxa"/>
            <w:vAlign w:val="bottom"/>
            <w:gridSpan w:val="2"/>
          </w:tcPr>
          <w:p>
            <w:pPr>
              <w:spacing w:after="0"/>
              <w:rPr>
                <w:sz w:val="15"/>
                <w:szCs w:val="15"/>
                <w:color w:val="auto"/>
              </w:rPr>
            </w:pPr>
          </w:p>
        </w:tc>
      </w:tr>
      <w:tr>
        <w:trPr>
          <w:trHeight w:val="264"/>
        </w:trPr>
        <w:tc>
          <w:tcPr>
            <w:tcW w:w="5420" w:type="dxa"/>
            <w:vAlign w:val="bottom"/>
            <w:gridSpan w:val="3"/>
          </w:tcPr>
          <w:p>
            <w:pPr>
              <w:jc w:val="right"/>
              <w:ind w:right="917"/>
              <w:spacing w:after="0"/>
              <w:rPr>
                <w:sz w:val="20"/>
                <w:szCs w:val="20"/>
                <w:color w:val="auto"/>
              </w:rPr>
            </w:pPr>
            <w:r>
              <w:rPr>
                <w:rFonts w:ascii="Arial" w:cs="Arial" w:eastAsia="Arial" w:hAnsi="Arial"/>
                <w:sz w:val="13"/>
                <w:szCs w:val="13"/>
                <w:b w:val="1"/>
                <w:bCs w:val="1"/>
                <w:color w:val="auto"/>
              </w:rPr>
              <w:t>2017</w:t>
            </w:r>
          </w:p>
        </w:tc>
        <w:tc>
          <w:tcPr>
            <w:tcW w:w="500" w:type="dxa"/>
            <w:vAlign w:val="bottom"/>
          </w:tcPr>
          <w:p>
            <w:pPr>
              <w:jc w:val="right"/>
              <w:ind w:right="37"/>
              <w:spacing w:after="0"/>
              <w:rPr>
                <w:sz w:val="20"/>
                <w:szCs w:val="20"/>
                <w:color w:val="auto"/>
              </w:rPr>
            </w:pPr>
            <w:r>
              <w:rPr>
                <w:rFonts w:ascii="Arial" w:cs="Arial" w:eastAsia="Arial" w:hAnsi="Arial"/>
                <w:sz w:val="13"/>
                <w:szCs w:val="13"/>
                <w:b w:val="1"/>
                <w:bCs w:val="1"/>
                <w:color w:val="auto"/>
              </w:rPr>
              <w:t>2016</w:t>
            </w:r>
          </w:p>
        </w:tc>
        <w:tc>
          <w:tcPr>
            <w:tcW w:w="1400" w:type="dxa"/>
            <w:vAlign w:val="bottom"/>
            <w:gridSpan w:val="3"/>
          </w:tcPr>
          <w:p>
            <w:pPr>
              <w:jc w:val="right"/>
              <w:ind w:right="140"/>
              <w:spacing w:after="0"/>
              <w:rPr>
                <w:sz w:val="20"/>
                <w:szCs w:val="20"/>
                <w:color w:val="auto"/>
              </w:rPr>
            </w:pPr>
            <w:r>
              <w:rPr>
                <w:rFonts w:ascii="Arial" w:cs="Arial" w:eastAsia="Arial" w:hAnsi="Arial"/>
                <w:sz w:val="13"/>
                <w:szCs w:val="13"/>
                <w:b w:val="1"/>
                <w:bCs w:val="1"/>
                <w:color w:val="auto"/>
              </w:rPr>
              <w:t>2017</w:t>
            </w:r>
          </w:p>
        </w:tc>
        <w:tc>
          <w:tcPr>
            <w:tcW w:w="1700" w:type="dxa"/>
            <w:vAlign w:val="bottom"/>
          </w:tcPr>
          <w:p>
            <w:pPr>
              <w:jc w:val="right"/>
              <w:ind w:right="417"/>
              <w:spacing w:after="0"/>
              <w:rPr>
                <w:sz w:val="20"/>
                <w:szCs w:val="20"/>
                <w:color w:val="auto"/>
              </w:rPr>
            </w:pPr>
            <w:r>
              <w:rPr>
                <w:rFonts w:ascii="Arial" w:cs="Arial" w:eastAsia="Arial" w:hAnsi="Arial"/>
                <w:sz w:val="13"/>
                <w:szCs w:val="13"/>
                <w:b w:val="1"/>
                <w:bCs w:val="1"/>
                <w:color w:val="auto"/>
              </w:rPr>
              <w:t>2016</w:t>
            </w:r>
          </w:p>
        </w:tc>
        <w:tc>
          <w:tcPr>
            <w:tcW w:w="120" w:type="dxa"/>
            <w:vAlign w:val="bottom"/>
          </w:tcPr>
          <w:p>
            <w:pPr>
              <w:spacing w:after="0"/>
              <w:rPr>
                <w:sz w:val="22"/>
                <w:szCs w:val="22"/>
                <w:color w:val="auto"/>
              </w:rPr>
            </w:pPr>
          </w:p>
        </w:tc>
        <w:tc>
          <w:tcPr>
            <w:tcW w:w="2280" w:type="dxa"/>
            <w:vAlign w:val="bottom"/>
          </w:tcPr>
          <w:p>
            <w:pPr>
              <w:spacing w:after="0"/>
              <w:rPr>
                <w:sz w:val="22"/>
                <w:szCs w:val="22"/>
                <w:color w:val="auto"/>
              </w:rPr>
            </w:pPr>
          </w:p>
        </w:tc>
      </w:tr>
      <w:tr>
        <w:trPr>
          <w:trHeight w:val="241"/>
        </w:trPr>
        <w:tc>
          <w:tcPr>
            <w:tcW w:w="3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60" w:type="dxa"/>
            <w:vAlign w:val="bottom"/>
            <w:tcBorders>
              <w:top w:val="single" w:sz="8" w:color="auto"/>
            </w:tcBorders>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gridSpan w:val="3"/>
          </w:tcPr>
          <w:p>
            <w:pPr>
              <w:jc w:val="center"/>
              <w:ind w:right="500"/>
              <w:spacing w:after="0"/>
              <w:rPr>
                <w:sz w:val="20"/>
                <w:szCs w:val="20"/>
                <w:color w:val="auto"/>
              </w:rPr>
            </w:pPr>
            <w:r>
              <w:rPr>
                <w:rFonts w:ascii="Arial" w:cs="Arial" w:eastAsia="Arial" w:hAnsi="Arial"/>
                <w:sz w:val="13"/>
                <w:szCs w:val="13"/>
                <w:b w:val="1"/>
                <w:bCs w:val="1"/>
                <w:color w:val="auto"/>
                <w:w w:val="90"/>
              </w:rPr>
              <w:t>(In millions)</w:t>
            </w:r>
          </w:p>
        </w:tc>
        <w:tc>
          <w:tcPr>
            <w:tcW w:w="17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28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7246620" cy="17145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 w:lineRule="exact"/>
        <w:rPr>
          <w:sz w:val="20"/>
          <w:szCs w:val="20"/>
          <w:color w:val="auto"/>
        </w:rPr>
      </w:pPr>
    </w:p>
    <w:p>
      <w:pPr>
        <w:ind w:left="40"/>
        <w:spacing w:after="0"/>
        <w:rPr>
          <w:sz w:val="20"/>
          <w:szCs w:val="20"/>
          <w:color w:val="auto"/>
        </w:rPr>
      </w:pPr>
      <w:r>
        <w:rPr>
          <w:rFonts w:ascii="Arial" w:cs="Arial" w:eastAsia="Arial" w:hAnsi="Arial"/>
          <w:sz w:val="14"/>
          <w:szCs w:val="14"/>
          <w:color w:val="auto"/>
        </w:rPr>
        <w:t>Net unrealized investment gains (losses):</w:t>
      </w:r>
    </w:p>
    <w:p>
      <w:pPr>
        <w:sectPr>
          <w:pgSz w:w="11900" w:h="16838" w:orient="portrait"/>
          <w:cols w:equalWidth="0" w:num="1">
            <w:col w:w="11420"/>
          </w:cols>
          <w:pgMar w:left="240" w:top="288" w:right="239" w:bottom="1440" w:gutter="0" w:footer="0" w:header="0"/>
        </w:sectPr>
      </w:pPr>
    </w:p>
    <w:p>
      <w:pPr>
        <w:spacing w:after="0" w:line="109" w:lineRule="exact"/>
        <w:rPr>
          <w:sz w:val="20"/>
          <w:szCs w:val="20"/>
          <w:color w:val="auto"/>
        </w:rPr>
      </w:pPr>
    </w:p>
    <w:tbl>
      <w:tblPr>
        <w:tblLayout w:type="fixed"/>
        <w:tblInd w:w="40" w:type="dxa"/>
        <w:tblCellMar>
          <w:top w:w="0" w:type="dxa"/>
          <w:left w:w="0" w:type="dxa"/>
          <w:bottom w:w="0" w:type="dxa"/>
          <w:right w:w="0" w:type="dxa"/>
        </w:tblCellMar>
      </w:tblPr>
      <w:tr>
        <w:trPr>
          <w:trHeight w:val="182"/>
        </w:trPr>
        <w:tc>
          <w:tcPr>
            <w:tcW w:w="3540" w:type="dxa"/>
            <w:vAlign w:val="bottom"/>
          </w:tcPr>
          <w:p>
            <w:pPr>
              <w:ind w:left="320"/>
              <w:spacing w:after="0"/>
              <w:rPr>
                <w:sz w:val="20"/>
                <w:szCs w:val="20"/>
                <w:color w:val="auto"/>
              </w:rPr>
            </w:pPr>
            <w:r>
              <w:rPr>
                <w:rFonts w:ascii="Arial" w:cs="Arial" w:eastAsia="Arial" w:hAnsi="Arial"/>
                <w:sz w:val="14"/>
                <w:szCs w:val="14"/>
                <w:color w:val="auto"/>
              </w:rPr>
              <w:t>Net unrealized investment gains (losses)</w:t>
            </w:r>
          </w:p>
        </w:tc>
        <w:tc>
          <w:tcPr>
            <w:tcW w:w="1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68"/>
        </w:trPr>
        <w:tc>
          <w:tcPr>
            <w:tcW w:w="3540" w:type="dxa"/>
            <w:vAlign w:val="bottom"/>
          </w:tcPr>
          <w:p>
            <w:pPr>
              <w:spacing w:after="0"/>
              <w:rPr>
                <w:sz w:val="5"/>
                <w:szCs w:val="5"/>
                <w:color w:val="auto"/>
              </w:rPr>
            </w:pPr>
          </w:p>
        </w:tc>
        <w:tc>
          <w:tcPr>
            <w:tcW w:w="1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3540" w:type="dxa"/>
            <w:vAlign w:val="bottom"/>
          </w:tcPr>
          <w:p>
            <w:pPr>
              <w:ind w:left="320"/>
              <w:spacing w:after="0"/>
              <w:rPr>
                <w:sz w:val="20"/>
                <w:szCs w:val="20"/>
                <w:color w:val="auto"/>
              </w:rPr>
            </w:pPr>
            <w:r>
              <w:rPr>
                <w:rFonts w:ascii="Arial" w:cs="Arial" w:eastAsia="Arial" w:hAnsi="Arial"/>
                <w:sz w:val="14"/>
                <w:szCs w:val="14"/>
                <w:color w:val="auto"/>
              </w:rPr>
              <w:t>Net unrealized investment gains (losses)</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0"/>
        </w:trPr>
        <w:tc>
          <w:tcPr>
            <w:tcW w:w="3540" w:type="dxa"/>
            <w:vAlign w:val="bottom"/>
          </w:tcPr>
          <w:p>
            <w:pPr>
              <w:ind w:left="320"/>
              <w:spacing w:after="0"/>
              <w:rPr>
                <w:sz w:val="20"/>
                <w:szCs w:val="20"/>
                <w:color w:val="auto"/>
              </w:rPr>
            </w:pPr>
            <w:r>
              <w:rPr>
                <w:rFonts w:ascii="Arial" w:cs="Arial" w:eastAsia="Arial" w:hAnsi="Arial"/>
                <w:sz w:val="14"/>
                <w:szCs w:val="14"/>
                <w:color w:val="auto"/>
              </w:rPr>
              <w:t>Net unrealized investment gains (losses)</w:t>
            </w:r>
          </w:p>
        </w:tc>
        <w:tc>
          <w:tcPr>
            <w:tcW w:w="1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6"/>
        </w:trPr>
        <w:tc>
          <w:tcPr>
            <w:tcW w:w="3540" w:type="dxa"/>
            <w:vAlign w:val="bottom"/>
          </w:tcPr>
          <w:p>
            <w:pPr>
              <w:ind w:left="480"/>
              <w:spacing w:after="0"/>
              <w:rPr>
                <w:sz w:val="20"/>
                <w:szCs w:val="20"/>
                <w:color w:val="auto"/>
              </w:rPr>
            </w:pPr>
            <w:r>
              <w:rPr>
                <w:rFonts w:ascii="Arial" w:cs="Arial" w:eastAsia="Arial" w:hAnsi="Arial"/>
                <w:sz w:val="14"/>
                <w:szCs w:val="14"/>
                <w:color w:val="auto"/>
              </w:rPr>
              <w:t>Net unrealized investment gains (losses), before</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3540" w:type="dxa"/>
            <w:vAlign w:val="bottom"/>
          </w:tcPr>
          <w:p>
            <w:pPr>
              <w:ind w:left="640"/>
              <w:spacing w:after="0"/>
              <w:rPr>
                <w:sz w:val="20"/>
                <w:szCs w:val="20"/>
                <w:color w:val="auto"/>
              </w:rPr>
            </w:pPr>
            <w:r>
              <w:rPr>
                <w:rFonts w:ascii="Arial" w:cs="Arial" w:eastAsia="Arial" w:hAnsi="Arial"/>
                <w:sz w:val="14"/>
                <w:szCs w:val="14"/>
                <w:color w:val="auto"/>
              </w:rPr>
              <w:t>income tax</w:t>
            </w: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540" w:type="dxa"/>
            <w:vAlign w:val="bottom"/>
          </w:tcPr>
          <w:p>
            <w:pPr>
              <w:ind w:left="480"/>
              <w:spacing w:after="0"/>
              <w:rPr>
                <w:sz w:val="20"/>
                <w:szCs w:val="20"/>
                <w:color w:val="auto"/>
              </w:rPr>
            </w:pPr>
            <w:r>
              <w:rPr>
                <w:rFonts w:ascii="Arial" w:cs="Arial" w:eastAsia="Arial" w:hAnsi="Arial"/>
                <w:sz w:val="14"/>
                <w:szCs w:val="14"/>
                <w:color w:val="auto"/>
              </w:rPr>
              <w:t>Income tax (expense) benefit</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3540" w:type="dxa"/>
            <w:vAlign w:val="bottom"/>
          </w:tcPr>
          <w:p>
            <w:pPr>
              <w:ind w:left="680"/>
              <w:spacing w:after="0"/>
              <w:rPr>
                <w:sz w:val="20"/>
                <w:szCs w:val="20"/>
                <w:color w:val="auto"/>
              </w:rPr>
            </w:pPr>
            <w:r>
              <w:rPr>
                <w:rFonts w:ascii="Arial" w:cs="Arial" w:eastAsia="Arial" w:hAnsi="Arial"/>
                <w:sz w:val="14"/>
                <w:szCs w:val="14"/>
                <w:color w:val="auto"/>
                <w:w w:val="96"/>
              </w:rPr>
              <w:t>Net unrealized investment gains (losses), net of</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3540" w:type="dxa"/>
            <w:vAlign w:val="bottom"/>
          </w:tcPr>
          <w:p>
            <w:pPr>
              <w:ind w:left="800"/>
              <w:spacing w:after="0"/>
              <w:rPr>
                <w:sz w:val="20"/>
                <w:szCs w:val="20"/>
                <w:color w:val="auto"/>
              </w:rPr>
            </w:pPr>
            <w:r>
              <w:rPr>
                <w:rFonts w:ascii="Arial" w:cs="Arial" w:eastAsia="Arial" w:hAnsi="Arial"/>
                <w:sz w:val="14"/>
                <w:szCs w:val="14"/>
                <w:color w:val="auto"/>
              </w:rPr>
              <w:t>income tax</w:t>
            </w: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540" w:type="dxa"/>
            <w:vAlign w:val="bottom"/>
          </w:tcPr>
          <w:p>
            <w:pPr>
              <w:spacing w:after="0"/>
              <w:rPr>
                <w:sz w:val="20"/>
                <w:szCs w:val="20"/>
                <w:color w:val="auto"/>
              </w:rPr>
            </w:pPr>
            <w:r>
              <w:rPr>
                <w:rFonts w:ascii="Arial" w:cs="Arial" w:eastAsia="Arial" w:hAnsi="Arial"/>
                <w:sz w:val="14"/>
                <w:szCs w:val="14"/>
                <w:color w:val="auto"/>
                <w:w w:val="94"/>
              </w:rPr>
              <w:t>Unrealized gains (losses) on derivatives - cash flow hedges:</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5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2"/>
        </w:trPr>
        <w:tc>
          <w:tcPr>
            <w:tcW w:w="400" w:type="dxa"/>
            <w:vAlign w:val="bottom"/>
          </w:tcPr>
          <w:p>
            <w:pPr>
              <w:jc w:val="right"/>
              <w:ind w:right="188"/>
              <w:spacing w:after="0"/>
              <w:rPr>
                <w:sz w:val="20"/>
                <w:szCs w:val="20"/>
                <w:color w:val="auto"/>
              </w:rPr>
            </w:pPr>
            <w:r>
              <w:rPr>
                <w:rFonts w:ascii="Arial" w:cs="Arial" w:eastAsia="Arial" w:hAnsi="Arial"/>
                <w:sz w:val="14"/>
                <w:szCs w:val="14"/>
                <w:color w:val="auto"/>
                <w:w w:val="76"/>
              </w:rPr>
              <w:t>24</w:t>
            </w:r>
          </w:p>
        </w:tc>
        <w:tc>
          <w:tcPr>
            <w:tcW w:w="520" w:type="dxa"/>
            <w:vAlign w:val="bottom"/>
          </w:tcPr>
          <w:p>
            <w:pPr>
              <w:jc w:val="right"/>
              <w:ind w:right="348"/>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49</w:t>
            </w:r>
          </w:p>
        </w:tc>
        <w:tc>
          <w:tcPr>
            <w:tcW w:w="120" w:type="dxa"/>
            <w:vAlign w:val="bottom"/>
          </w:tcPr>
          <w:p>
            <w:pPr>
              <w:spacing w:after="0"/>
              <w:rPr>
                <w:sz w:val="15"/>
                <w:szCs w:val="15"/>
                <w:color w:val="auto"/>
              </w:rPr>
            </w:pPr>
          </w:p>
        </w:tc>
        <w:tc>
          <w:tcPr>
            <w:tcW w:w="520" w:type="dxa"/>
            <w:vAlign w:val="bottom"/>
          </w:tcPr>
          <w:p>
            <w:pPr>
              <w:jc w:val="right"/>
              <w:ind w:right="348"/>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(22)</w:t>
            </w:r>
          </w:p>
        </w:tc>
        <w:tc>
          <w:tcPr>
            <w:tcW w:w="100" w:type="dxa"/>
            <w:vAlign w:val="bottom"/>
          </w:tcPr>
          <w:p>
            <w:pPr>
              <w:spacing w:after="0"/>
              <w:rPr>
                <w:sz w:val="15"/>
                <w:szCs w:val="15"/>
                <w:color w:val="auto"/>
              </w:rPr>
            </w:pPr>
          </w:p>
        </w:tc>
        <w:tc>
          <w:tcPr>
            <w:tcW w:w="560" w:type="dxa"/>
            <w:vAlign w:val="bottom"/>
          </w:tcPr>
          <w:p>
            <w:pPr>
              <w:jc w:val="right"/>
              <w:ind w:right="388"/>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15</w:t>
            </w:r>
          </w:p>
        </w:tc>
        <w:tc>
          <w:tcPr>
            <w:tcW w:w="1840" w:type="dxa"/>
            <w:vAlign w:val="bottom"/>
          </w:tcPr>
          <w:p>
            <w:pPr>
              <w:ind w:left="140"/>
              <w:spacing w:after="0"/>
              <w:rPr>
                <w:sz w:val="20"/>
                <w:szCs w:val="20"/>
                <w:color w:val="auto"/>
              </w:rPr>
            </w:pPr>
            <w:r>
              <w:rPr>
                <w:rFonts w:ascii="Arial" w:cs="Arial" w:eastAsia="Arial" w:hAnsi="Arial"/>
                <w:sz w:val="14"/>
                <w:szCs w:val="14"/>
                <w:color w:val="auto"/>
                <w:w w:val="91"/>
              </w:rPr>
              <w:t>Net investment gains (losses)</w:t>
            </w:r>
          </w:p>
        </w:tc>
      </w:tr>
      <w:tr>
        <w:trPr>
          <w:trHeight w:val="270"/>
        </w:trPr>
        <w:tc>
          <w:tcPr>
            <w:tcW w:w="400" w:type="dxa"/>
            <w:vAlign w:val="bottom"/>
          </w:tcPr>
          <w:p>
            <w:pPr>
              <w:jc w:val="right"/>
              <w:ind w:right="188"/>
              <w:spacing w:after="0"/>
              <w:rPr>
                <w:sz w:val="20"/>
                <w:szCs w:val="20"/>
                <w:color w:val="auto"/>
              </w:rPr>
            </w:pPr>
            <w:r>
              <w:rPr>
                <w:rFonts w:ascii="Arial" w:cs="Arial" w:eastAsia="Arial" w:hAnsi="Arial"/>
                <w:sz w:val="14"/>
                <w:szCs w:val="14"/>
                <w:color w:val="auto"/>
                <w:w w:val="85"/>
              </w:rPr>
              <w:t>—</w:t>
            </w:r>
          </w:p>
        </w:tc>
        <w:tc>
          <w:tcPr>
            <w:tcW w:w="520" w:type="dxa"/>
            <w:vAlign w:val="bottom"/>
          </w:tcPr>
          <w:p>
            <w:pPr>
              <w:spacing w:after="0"/>
              <w:rPr>
                <w:sz w:val="23"/>
                <w:szCs w:val="23"/>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520" w:type="dxa"/>
            <w:vAlign w:val="bottom"/>
          </w:tcPr>
          <w:p>
            <w:pPr>
              <w:spacing w:after="0"/>
              <w:rPr>
                <w:sz w:val="23"/>
                <w:szCs w:val="23"/>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840" w:type="dxa"/>
            <w:vAlign w:val="bottom"/>
          </w:tcPr>
          <w:p>
            <w:pPr>
              <w:ind w:left="140"/>
              <w:spacing w:after="0"/>
              <w:rPr>
                <w:sz w:val="20"/>
                <w:szCs w:val="20"/>
                <w:color w:val="auto"/>
              </w:rPr>
            </w:pPr>
            <w:r>
              <w:rPr>
                <w:rFonts w:ascii="Arial" w:cs="Arial" w:eastAsia="Arial" w:hAnsi="Arial"/>
                <w:sz w:val="14"/>
                <w:szCs w:val="14"/>
                <w:color w:val="auto"/>
              </w:rPr>
              <w:t>Net investment income</w:t>
            </w:r>
          </w:p>
        </w:tc>
      </w:tr>
      <w:tr>
        <w:trPr>
          <w:trHeight w:val="276"/>
        </w:trPr>
        <w:tc>
          <w:tcPr>
            <w:tcW w:w="400" w:type="dxa"/>
            <w:vAlign w:val="bottom"/>
          </w:tcPr>
          <w:p>
            <w:pPr>
              <w:jc w:val="right"/>
              <w:ind w:right="188"/>
              <w:spacing w:after="0"/>
              <w:rPr>
                <w:sz w:val="20"/>
                <w:szCs w:val="20"/>
                <w:color w:val="auto"/>
              </w:rPr>
            </w:pPr>
            <w:r>
              <w:rPr>
                <w:rFonts w:ascii="Arial" w:cs="Arial" w:eastAsia="Arial" w:hAnsi="Arial"/>
                <w:sz w:val="14"/>
                <w:szCs w:val="14"/>
                <w:color w:val="auto"/>
              </w:rPr>
              <w:t>2</w:t>
            </w:r>
          </w:p>
        </w:tc>
        <w:tc>
          <w:tcPr>
            <w:tcW w:w="5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w:t>
            </w:r>
          </w:p>
        </w:tc>
        <w:tc>
          <w:tcPr>
            <w:tcW w:w="120" w:type="dxa"/>
            <w:vAlign w:val="bottom"/>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(44)</w:t>
            </w:r>
          </w:p>
        </w:tc>
        <w:tc>
          <w:tcPr>
            <w:tcW w:w="100" w:type="dxa"/>
            <w:vAlign w:val="bottom"/>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w:t>
            </w:r>
          </w:p>
        </w:tc>
        <w:tc>
          <w:tcPr>
            <w:tcW w:w="1840" w:type="dxa"/>
            <w:vAlign w:val="bottom"/>
          </w:tcPr>
          <w:p>
            <w:pPr>
              <w:ind w:left="140"/>
              <w:spacing w:after="0"/>
              <w:rPr>
                <w:sz w:val="20"/>
                <w:szCs w:val="20"/>
                <w:color w:val="auto"/>
              </w:rPr>
            </w:pPr>
            <w:r>
              <w:rPr>
                <w:rFonts w:ascii="Arial" w:cs="Arial" w:eastAsia="Arial" w:hAnsi="Arial"/>
                <w:sz w:val="14"/>
                <w:szCs w:val="14"/>
                <w:color w:val="auto"/>
                <w:w w:val="95"/>
              </w:rPr>
              <w:t>Net derivative gains (losses)</w:t>
            </w:r>
          </w:p>
        </w:tc>
      </w:tr>
      <w:tr>
        <w:trPr>
          <w:trHeight w:val="325"/>
        </w:trPr>
        <w:tc>
          <w:tcPr>
            <w:tcW w:w="400" w:type="dxa"/>
            <w:vAlign w:val="bottom"/>
          </w:tcPr>
          <w:p>
            <w:pPr>
              <w:jc w:val="right"/>
              <w:ind w:right="188"/>
              <w:spacing w:after="0"/>
              <w:rPr>
                <w:sz w:val="20"/>
                <w:szCs w:val="20"/>
                <w:color w:val="auto"/>
              </w:rPr>
            </w:pPr>
            <w:r>
              <w:rPr>
                <w:rFonts w:ascii="Arial" w:cs="Arial" w:eastAsia="Arial" w:hAnsi="Arial"/>
                <w:sz w:val="14"/>
                <w:szCs w:val="14"/>
                <w:color w:val="auto"/>
                <w:w w:val="76"/>
              </w:rPr>
              <w:t>26</w:t>
            </w:r>
          </w:p>
        </w:tc>
        <w:tc>
          <w:tcPr>
            <w:tcW w:w="520" w:type="dxa"/>
            <w:vAlign w:val="bottom"/>
          </w:tcPr>
          <w:p>
            <w:pPr>
              <w:spacing w:after="0"/>
              <w:rPr>
                <w:sz w:val="24"/>
                <w:szCs w:val="24"/>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56</w:t>
            </w: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(64)</w:t>
            </w: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22</w:t>
            </w:r>
          </w:p>
        </w:tc>
        <w:tc>
          <w:tcPr>
            <w:tcW w:w="1840" w:type="dxa"/>
            <w:vAlign w:val="bottom"/>
          </w:tcPr>
          <w:p>
            <w:pPr>
              <w:spacing w:after="0"/>
              <w:rPr>
                <w:sz w:val="24"/>
                <w:szCs w:val="24"/>
                <w:color w:val="auto"/>
              </w:rPr>
            </w:pPr>
          </w:p>
        </w:tc>
      </w:tr>
      <w:tr>
        <w:trPr>
          <w:trHeight w:val="276"/>
        </w:trPr>
        <w:tc>
          <w:tcPr>
            <w:tcW w:w="400" w:type="dxa"/>
            <w:vAlign w:val="bottom"/>
          </w:tcPr>
          <w:p>
            <w:pPr>
              <w:jc w:val="right"/>
              <w:ind w:right="128"/>
              <w:spacing w:after="0"/>
              <w:rPr>
                <w:sz w:val="20"/>
                <w:szCs w:val="20"/>
                <w:color w:val="auto"/>
              </w:rPr>
            </w:pPr>
            <w:r>
              <w:rPr>
                <w:rFonts w:ascii="Arial" w:cs="Arial" w:eastAsia="Arial" w:hAnsi="Arial"/>
                <w:sz w:val="14"/>
                <w:szCs w:val="14"/>
                <w:color w:val="auto"/>
              </w:rPr>
              <w:t>(9)</w:t>
            </w:r>
          </w:p>
        </w:tc>
        <w:tc>
          <w:tcPr>
            <w:tcW w:w="5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w:t>
            </w:r>
          </w:p>
        </w:tc>
        <w:tc>
          <w:tcPr>
            <w:tcW w:w="120" w:type="dxa"/>
            <w:vAlign w:val="bottom"/>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23</w:t>
            </w:r>
          </w:p>
        </w:tc>
        <w:tc>
          <w:tcPr>
            <w:tcW w:w="100" w:type="dxa"/>
            <w:vAlign w:val="bottom"/>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w:t>
            </w:r>
          </w:p>
        </w:tc>
        <w:tc>
          <w:tcPr>
            <w:tcW w:w="1840" w:type="dxa"/>
            <w:vAlign w:val="bottom"/>
          </w:tcPr>
          <w:p>
            <w:pPr>
              <w:spacing w:after="0"/>
              <w:rPr>
                <w:sz w:val="24"/>
                <w:szCs w:val="24"/>
                <w:color w:val="auto"/>
              </w:rPr>
            </w:pPr>
          </w:p>
        </w:tc>
      </w:tr>
      <w:tr>
        <w:trPr>
          <w:trHeight w:val="331"/>
        </w:trPr>
        <w:tc>
          <w:tcPr>
            <w:tcW w:w="400" w:type="dxa"/>
            <w:vAlign w:val="bottom"/>
          </w:tcPr>
          <w:p>
            <w:pPr>
              <w:jc w:val="right"/>
              <w:ind w:right="188"/>
              <w:spacing w:after="0"/>
              <w:rPr>
                <w:sz w:val="20"/>
                <w:szCs w:val="20"/>
                <w:color w:val="auto"/>
              </w:rPr>
            </w:pPr>
            <w:r>
              <w:rPr>
                <w:rFonts w:ascii="Arial" w:cs="Arial" w:eastAsia="Arial" w:hAnsi="Arial"/>
                <w:sz w:val="14"/>
                <w:szCs w:val="14"/>
                <w:color w:val="auto"/>
                <w:w w:val="76"/>
              </w:rPr>
              <w:t>17</w:t>
            </w:r>
          </w:p>
        </w:tc>
        <w:tc>
          <w:tcPr>
            <w:tcW w:w="5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36</w:t>
            </w:r>
          </w:p>
        </w:tc>
        <w:tc>
          <w:tcPr>
            <w:tcW w:w="120" w:type="dxa"/>
            <w:vAlign w:val="bottom"/>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(41)</w:t>
            </w:r>
          </w:p>
        </w:tc>
        <w:tc>
          <w:tcPr>
            <w:tcW w:w="100" w:type="dxa"/>
            <w:vAlign w:val="bottom"/>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14</w:t>
            </w:r>
          </w:p>
        </w:tc>
        <w:tc>
          <w:tcPr>
            <w:tcW w:w="184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-2966085</wp:posOffset>
            </wp:positionH>
            <wp:positionV relativeFrom="paragraph">
              <wp:posOffset>-968375</wp:posOffset>
            </wp:positionV>
            <wp:extent cx="7246620" cy="17145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-2966085</wp:posOffset>
            </wp:positionH>
            <wp:positionV relativeFrom="paragraph">
              <wp:posOffset>-231140</wp:posOffset>
            </wp:positionV>
            <wp:extent cx="7246620" cy="23177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46620" cy="231775"/>
                    </a:xfrm>
                    <a:prstGeom prst="rect">
                      <a:avLst/>
                    </a:prstGeom>
                    <a:noFill/>
                  </pic:spPr>
                </pic:pic>
              </a:graphicData>
            </a:graphic>
          </wp:anchor>
        </w:drawing>
        <w:drawing>
          <wp:anchor simplePos="0" relativeHeight="251657728" behindDoc="1" locked="0" layoutInCell="0" allowOverlap="1">
            <wp:simplePos x="0" y="0"/>
            <wp:positionH relativeFrom="column">
              <wp:posOffset>-2966085</wp:posOffset>
            </wp:positionH>
            <wp:positionV relativeFrom="paragraph">
              <wp:posOffset>-625475</wp:posOffset>
            </wp:positionV>
            <wp:extent cx="7246620" cy="22288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46620" cy="222885"/>
                    </a:xfrm>
                    <a:prstGeom prst="rect">
                      <a:avLst/>
                    </a:prstGeom>
                    <a:noFill/>
                  </pic:spPr>
                </pic:pic>
              </a:graphicData>
            </a:graphic>
          </wp:anchor>
        </w:drawing>
      </w:r>
    </w:p>
    <w:p>
      <w:pPr>
        <w:spacing w:after="0" w:line="270" w:lineRule="exact"/>
        <w:rPr>
          <w:sz w:val="20"/>
          <w:szCs w:val="20"/>
          <w:color w:val="auto"/>
        </w:rPr>
      </w:pPr>
    </w:p>
    <w:p>
      <w:pPr>
        <w:sectPr>
          <w:pgSz w:w="11900" w:h="16838" w:orient="portrait"/>
          <w:cols w:equalWidth="0" w:num="2">
            <w:col w:w="3960" w:space="720"/>
            <w:col w:w="6740"/>
          </w:cols>
          <w:pgMar w:left="240" w:top="288" w:right="239" w:bottom="1440" w:gutter="0" w:footer="0" w:header="0"/>
          <w:type w:val="continuous"/>
        </w:sectPr>
      </w:pPr>
    </w:p>
    <w:tbl>
      <w:tblPr>
        <w:tblLayout w:type="fixed"/>
        <w:tblInd w:w="0" w:type="dxa"/>
        <w:tblCellMar>
          <w:top w:w="0" w:type="dxa"/>
          <w:left w:w="0" w:type="dxa"/>
          <w:bottom w:w="0" w:type="dxa"/>
          <w:right w:w="0" w:type="dxa"/>
        </w:tblCellMar>
      </w:tblPr>
      <w:tr>
        <w:trPr>
          <w:trHeight w:val="202"/>
        </w:trPr>
        <w:tc>
          <w:tcPr>
            <w:tcW w:w="3660" w:type="dxa"/>
            <w:vAlign w:val="bottom"/>
            <w:shd w:val="clear" w:color="auto" w:fill="CCEEFF"/>
          </w:tcPr>
          <w:p>
            <w:pPr>
              <w:ind w:left="360"/>
              <w:spacing w:after="0"/>
              <w:rPr>
                <w:sz w:val="20"/>
                <w:szCs w:val="20"/>
                <w:color w:val="auto"/>
              </w:rPr>
            </w:pPr>
            <w:r>
              <w:rPr>
                <w:rFonts w:ascii="Arial" w:cs="Arial" w:eastAsia="Arial" w:hAnsi="Arial"/>
                <w:sz w:val="14"/>
                <w:szCs w:val="14"/>
                <w:color w:val="auto"/>
              </w:rPr>
              <w:t>Interest rate swaps</w:t>
            </w:r>
          </w:p>
        </w:tc>
        <w:tc>
          <w:tcPr>
            <w:tcW w:w="560" w:type="dxa"/>
            <w:vAlign w:val="bottom"/>
            <w:shd w:val="clear" w:color="auto" w:fill="CCEEFF"/>
          </w:tcPr>
          <w:p>
            <w:pPr>
              <w:spacing w:after="0"/>
              <w:rPr>
                <w:sz w:val="17"/>
                <w:szCs w:val="17"/>
                <w:color w:val="auto"/>
              </w:rPr>
            </w:pPr>
          </w:p>
        </w:tc>
        <w:tc>
          <w:tcPr>
            <w:tcW w:w="860" w:type="dxa"/>
            <w:vAlign w:val="bottom"/>
            <w:gridSpan w:val="2"/>
            <w:vMerge w:val="restart"/>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spacing w:after="0"/>
              <w:rPr>
                <w:sz w:val="17"/>
                <w:szCs w:val="17"/>
                <w:color w:val="auto"/>
              </w:rPr>
            </w:pPr>
          </w:p>
        </w:tc>
        <w:tc>
          <w:tcPr>
            <w:tcW w:w="82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spacing w:after="0"/>
              <w:rPr>
                <w:sz w:val="17"/>
                <w:szCs w:val="17"/>
                <w:color w:val="auto"/>
              </w:rPr>
            </w:pPr>
          </w:p>
        </w:tc>
        <w:tc>
          <w:tcPr>
            <w:tcW w:w="82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spacing w:after="0"/>
              <w:rPr>
                <w:sz w:val="17"/>
                <w:szCs w:val="17"/>
                <w:color w:val="auto"/>
              </w:rPr>
            </w:pPr>
          </w:p>
        </w:tc>
        <w:tc>
          <w:tcPr>
            <w:tcW w:w="6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12</w:t>
            </w:r>
          </w:p>
        </w:tc>
        <w:tc>
          <w:tcPr>
            <w:tcW w:w="2400" w:type="dxa"/>
            <w:vAlign w:val="bottom"/>
            <w:vMerge w:val="restart"/>
            <w:shd w:val="clear" w:color="auto" w:fill="CCEEFF"/>
          </w:tcPr>
          <w:p>
            <w:pPr>
              <w:ind w:left="140"/>
              <w:spacing w:after="0"/>
              <w:rPr>
                <w:sz w:val="20"/>
                <w:szCs w:val="20"/>
                <w:color w:val="auto"/>
              </w:rPr>
            </w:pPr>
            <w:r>
              <w:rPr>
                <w:rFonts w:ascii="Arial" w:cs="Arial" w:eastAsia="Arial" w:hAnsi="Arial"/>
                <w:sz w:val="14"/>
                <w:szCs w:val="14"/>
                <w:color w:val="auto"/>
              </w:rPr>
              <w:t>Net derivative gains (losses)</w:t>
            </w:r>
          </w:p>
        </w:tc>
        <w:tc>
          <w:tcPr>
            <w:tcW w:w="0" w:type="dxa"/>
            <w:vAlign w:val="bottom"/>
          </w:tcPr>
          <w:p>
            <w:pPr>
              <w:spacing w:after="0"/>
              <w:rPr>
                <w:sz w:val="1"/>
                <w:szCs w:val="1"/>
                <w:color w:val="auto"/>
              </w:rPr>
            </w:pPr>
          </w:p>
        </w:tc>
      </w:tr>
      <w:tr>
        <w:trPr>
          <w:trHeight w:val="68"/>
        </w:trPr>
        <w:tc>
          <w:tcPr>
            <w:tcW w:w="3660" w:type="dxa"/>
            <w:vAlign w:val="bottom"/>
            <w:shd w:val="clear" w:color="auto" w:fill="CCEEFF"/>
          </w:tcPr>
          <w:p>
            <w:pPr>
              <w:spacing w:after="0"/>
              <w:rPr>
                <w:sz w:val="5"/>
                <w:szCs w:val="5"/>
                <w:color w:val="auto"/>
              </w:rPr>
            </w:pPr>
          </w:p>
        </w:tc>
        <w:tc>
          <w:tcPr>
            <w:tcW w:w="560" w:type="dxa"/>
            <w:vAlign w:val="bottom"/>
            <w:shd w:val="clear" w:color="auto" w:fill="CCEEFF"/>
          </w:tcPr>
          <w:p>
            <w:pPr>
              <w:spacing w:after="0"/>
              <w:rPr>
                <w:sz w:val="5"/>
                <w:szCs w:val="5"/>
                <w:color w:val="auto"/>
              </w:rPr>
            </w:pPr>
          </w:p>
        </w:tc>
        <w:tc>
          <w:tcPr>
            <w:tcW w:w="860" w:type="dxa"/>
            <w:vAlign w:val="bottom"/>
            <w:gridSpan w:val="2"/>
            <w:vMerge w:val="continue"/>
            <w:shd w:val="clear" w:color="auto" w:fill="CCEEFF"/>
          </w:tcPr>
          <w:p>
            <w:pPr>
              <w:spacing w:after="0"/>
              <w:rPr>
                <w:sz w:val="5"/>
                <w:szCs w:val="5"/>
                <w:color w:val="auto"/>
              </w:rPr>
            </w:pPr>
          </w:p>
        </w:tc>
        <w:tc>
          <w:tcPr>
            <w:tcW w:w="540" w:type="dxa"/>
            <w:vAlign w:val="bottom"/>
            <w:shd w:val="clear" w:color="auto" w:fill="CCEEFF"/>
          </w:tcPr>
          <w:p>
            <w:pPr>
              <w:spacing w:after="0"/>
              <w:rPr>
                <w:sz w:val="5"/>
                <w:szCs w:val="5"/>
                <w:color w:val="auto"/>
              </w:rPr>
            </w:pPr>
          </w:p>
        </w:tc>
        <w:tc>
          <w:tcPr>
            <w:tcW w:w="820" w:type="dxa"/>
            <w:vAlign w:val="bottom"/>
            <w:gridSpan w:val="2"/>
            <w:vMerge w:val="continue"/>
            <w:shd w:val="clear" w:color="auto" w:fill="CCEEFF"/>
          </w:tcPr>
          <w:p>
            <w:pPr>
              <w:spacing w:after="0"/>
              <w:rPr>
                <w:sz w:val="5"/>
                <w:szCs w:val="5"/>
                <w:color w:val="auto"/>
              </w:rPr>
            </w:pPr>
          </w:p>
        </w:tc>
        <w:tc>
          <w:tcPr>
            <w:tcW w:w="520" w:type="dxa"/>
            <w:vAlign w:val="bottom"/>
            <w:shd w:val="clear" w:color="auto" w:fill="CCEEFF"/>
          </w:tcPr>
          <w:p>
            <w:pPr>
              <w:spacing w:after="0"/>
              <w:rPr>
                <w:sz w:val="5"/>
                <w:szCs w:val="5"/>
                <w:color w:val="auto"/>
              </w:rPr>
            </w:pPr>
          </w:p>
        </w:tc>
        <w:tc>
          <w:tcPr>
            <w:tcW w:w="820" w:type="dxa"/>
            <w:vAlign w:val="bottom"/>
            <w:gridSpan w:val="2"/>
            <w:vMerge w:val="continue"/>
            <w:shd w:val="clear" w:color="auto" w:fill="CCEEFF"/>
          </w:tcPr>
          <w:p>
            <w:pPr>
              <w:spacing w:after="0"/>
              <w:rPr>
                <w:sz w:val="5"/>
                <w:szCs w:val="5"/>
                <w:color w:val="auto"/>
              </w:rPr>
            </w:pPr>
          </w:p>
        </w:tc>
        <w:tc>
          <w:tcPr>
            <w:tcW w:w="560" w:type="dxa"/>
            <w:vAlign w:val="bottom"/>
            <w:shd w:val="clear" w:color="auto" w:fill="CCEEFF"/>
          </w:tcPr>
          <w:p>
            <w:pPr>
              <w:spacing w:after="0"/>
              <w:rPr>
                <w:sz w:val="5"/>
                <w:szCs w:val="5"/>
                <w:color w:val="auto"/>
              </w:rPr>
            </w:pPr>
          </w:p>
        </w:tc>
        <w:tc>
          <w:tcPr>
            <w:tcW w:w="680" w:type="dxa"/>
            <w:vAlign w:val="bottom"/>
            <w:vMerge w:val="continue"/>
            <w:shd w:val="clear" w:color="auto" w:fill="CCEEFF"/>
          </w:tcPr>
          <w:p>
            <w:pPr>
              <w:spacing w:after="0"/>
              <w:rPr>
                <w:sz w:val="5"/>
                <w:szCs w:val="5"/>
                <w:color w:val="auto"/>
              </w:rPr>
            </w:pPr>
          </w:p>
        </w:tc>
        <w:tc>
          <w:tcPr>
            <w:tcW w:w="240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91"/>
        </w:trPr>
        <w:tc>
          <w:tcPr>
            <w:tcW w:w="3660" w:type="dxa"/>
            <w:vAlign w:val="bottom"/>
          </w:tcPr>
          <w:p>
            <w:pPr>
              <w:ind w:left="360"/>
              <w:spacing w:after="0"/>
              <w:rPr>
                <w:sz w:val="20"/>
                <w:szCs w:val="20"/>
                <w:color w:val="auto"/>
              </w:rPr>
            </w:pPr>
            <w:r>
              <w:rPr>
                <w:rFonts w:ascii="Arial" w:cs="Arial" w:eastAsia="Arial" w:hAnsi="Arial"/>
                <w:sz w:val="14"/>
                <w:szCs w:val="14"/>
                <w:color w:val="auto"/>
              </w:rPr>
              <w:t>Interest rate swaps</w:t>
            </w:r>
          </w:p>
        </w:tc>
        <w:tc>
          <w:tcPr>
            <w:tcW w:w="560" w:type="dxa"/>
            <w:vAlign w:val="bottom"/>
          </w:tcPr>
          <w:p>
            <w:pPr>
              <w:spacing w:after="0"/>
              <w:rPr>
                <w:sz w:val="16"/>
                <w:szCs w:val="16"/>
                <w:color w:val="auto"/>
              </w:rPr>
            </w:pPr>
          </w:p>
        </w:tc>
        <w:tc>
          <w:tcPr>
            <w:tcW w:w="860" w:type="dxa"/>
            <w:vAlign w:val="bottom"/>
            <w:gridSpan w:val="2"/>
            <w:vMerge w:val="restart"/>
          </w:tcPr>
          <w:p>
            <w:pPr>
              <w:jc w:val="right"/>
              <w:ind w:right="260"/>
              <w:spacing w:after="0"/>
              <w:rPr>
                <w:sz w:val="20"/>
                <w:szCs w:val="20"/>
                <w:color w:val="auto"/>
              </w:rPr>
            </w:pPr>
            <w:r>
              <w:rPr>
                <w:rFonts w:ascii="Arial" w:cs="Arial" w:eastAsia="Arial" w:hAnsi="Arial"/>
                <w:sz w:val="14"/>
                <w:szCs w:val="14"/>
                <w:color w:val="auto"/>
              </w:rPr>
              <w:t>—</w:t>
            </w:r>
          </w:p>
        </w:tc>
        <w:tc>
          <w:tcPr>
            <w:tcW w:w="540" w:type="dxa"/>
            <w:vAlign w:val="bottom"/>
          </w:tcPr>
          <w:p>
            <w:pPr>
              <w:spacing w:after="0"/>
              <w:rPr>
                <w:sz w:val="16"/>
                <w:szCs w:val="16"/>
                <w:color w:val="auto"/>
              </w:rPr>
            </w:pPr>
          </w:p>
        </w:tc>
        <w:tc>
          <w:tcPr>
            <w:tcW w:w="700" w:type="dxa"/>
            <w:vAlign w:val="bottom"/>
            <w:vMerge w:val="restart"/>
          </w:tcPr>
          <w:p>
            <w:pPr>
              <w:jc w:val="right"/>
              <w:ind w:right="28"/>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720" w:type="dxa"/>
            <w:vAlign w:val="bottom"/>
            <w:vMerge w:val="restart"/>
          </w:tcPr>
          <w:p>
            <w:pPr>
              <w:jc w:val="right"/>
              <w:ind w:right="28"/>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80" w:type="dxa"/>
            <w:vAlign w:val="bottom"/>
            <w:vMerge w:val="restart"/>
          </w:tcPr>
          <w:p>
            <w:pPr>
              <w:jc w:val="right"/>
              <w:ind w:right="28"/>
              <w:spacing w:after="0"/>
              <w:rPr>
                <w:sz w:val="20"/>
                <w:szCs w:val="20"/>
                <w:color w:val="auto"/>
              </w:rPr>
            </w:pPr>
            <w:r>
              <w:rPr>
                <w:rFonts w:ascii="Arial" w:cs="Arial" w:eastAsia="Arial" w:hAnsi="Arial"/>
                <w:sz w:val="14"/>
                <w:szCs w:val="14"/>
                <w:color w:val="auto"/>
              </w:rPr>
              <w:t>2</w:t>
            </w:r>
          </w:p>
        </w:tc>
        <w:tc>
          <w:tcPr>
            <w:tcW w:w="2400" w:type="dxa"/>
            <w:vAlign w:val="bottom"/>
            <w:vMerge w:val="restart"/>
          </w:tcPr>
          <w:p>
            <w:pPr>
              <w:ind w:left="140"/>
              <w:spacing w:after="0"/>
              <w:rPr>
                <w:sz w:val="20"/>
                <w:szCs w:val="20"/>
                <w:color w:val="auto"/>
              </w:rPr>
            </w:pPr>
            <w:r>
              <w:rPr>
                <w:rFonts w:ascii="Arial" w:cs="Arial" w:eastAsia="Arial" w:hAnsi="Arial"/>
                <w:sz w:val="14"/>
                <w:szCs w:val="14"/>
                <w:color w:val="auto"/>
              </w:rPr>
              <w:t>Net investment income</w:t>
            </w:r>
          </w:p>
        </w:tc>
        <w:tc>
          <w:tcPr>
            <w:tcW w:w="0" w:type="dxa"/>
            <w:vAlign w:val="bottom"/>
          </w:tcPr>
          <w:p>
            <w:pPr>
              <w:spacing w:after="0"/>
              <w:rPr>
                <w:sz w:val="1"/>
                <w:szCs w:val="1"/>
                <w:color w:val="auto"/>
              </w:rPr>
            </w:pPr>
          </w:p>
        </w:tc>
      </w:tr>
      <w:tr>
        <w:trPr>
          <w:trHeight w:val="74"/>
        </w:trPr>
        <w:tc>
          <w:tcPr>
            <w:tcW w:w="3660" w:type="dxa"/>
            <w:vAlign w:val="bottom"/>
          </w:tcPr>
          <w:p>
            <w:pPr>
              <w:spacing w:after="0"/>
              <w:rPr>
                <w:sz w:val="6"/>
                <w:szCs w:val="6"/>
                <w:color w:val="auto"/>
              </w:rPr>
            </w:pPr>
          </w:p>
        </w:tc>
        <w:tc>
          <w:tcPr>
            <w:tcW w:w="560" w:type="dxa"/>
            <w:vAlign w:val="bottom"/>
          </w:tcPr>
          <w:p>
            <w:pPr>
              <w:spacing w:after="0"/>
              <w:rPr>
                <w:sz w:val="6"/>
                <w:szCs w:val="6"/>
                <w:color w:val="auto"/>
              </w:rPr>
            </w:pPr>
          </w:p>
        </w:tc>
        <w:tc>
          <w:tcPr>
            <w:tcW w:w="860" w:type="dxa"/>
            <w:vAlign w:val="bottom"/>
            <w:gridSpan w:val="2"/>
            <w:vMerge w:val="continue"/>
          </w:tcPr>
          <w:p>
            <w:pPr>
              <w:spacing w:after="0"/>
              <w:rPr>
                <w:sz w:val="6"/>
                <w:szCs w:val="6"/>
                <w:color w:val="auto"/>
              </w:rPr>
            </w:pPr>
          </w:p>
        </w:tc>
        <w:tc>
          <w:tcPr>
            <w:tcW w:w="54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52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56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24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3660" w:type="dxa"/>
            <w:vAlign w:val="bottom"/>
            <w:shd w:val="clear" w:color="auto" w:fill="CCEEFF"/>
          </w:tcPr>
          <w:p>
            <w:pPr>
              <w:ind w:left="360"/>
              <w:spacing w:after="0"/>
              <w:rPr>
                <w:sz w:val="20"/>
                <w:szCs w:val="20"/>
                <w:color w:val="auto"/>
              </w:rPr>
            </w:pPr>
            <w:r>
              <w:rPr>
                <w:rFonts w:ascii="Arial" w:cs="Arial" w:eastAsia="Arial" w:hAnsi="Arial"/>
                <w:sz w:val="14"/>
                <w:szCs w:val="14"/>
                <w:color w:val="auto"/>
              </w:rPr>
              <w:t>Interest rate forwards</w:t>
            </w:r>
          </w:p>
        </w:tc>
        <w:tc>
          <w:tcPr>
            <w:tcW w:w="560" w:type="dxa"/>
            <w:vAlign w:val="bottom"/>
            <w:shd w:val="clear" w:color="auto" w:fill="CCEEFF"/>
          </w:tcPr>
          <w:p>
            <w:pPr>
              <w:spacing w:after="0"/>
              <w:rPr>
                <w:sz w:val="17"/>
                <w:szCs w:val="17"/>
                <w:color w:val="auto"/>
              </w:rPr>
            </w:pPr>
          </w:p>
        </w:tc>
        <w:tc>
          <w:tcPr>
            <w:tcW w:w="860" w:type="dxa"/>
            <w:vAlign w:val="bottom"/>
            <w:gridSpan w:val="2"/>
            <w:vMerge w:val="restart"/>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spacing w:after="0"/>
              <w:rPr>
                <w:sz w:val="17"/>
                <w:szCs w:val="17"/>
                <w:color w:val="auto"/>
              </w:rPr>
            </w:pPr>
          </w:p>
        </w:tc>
        <w:tc>
          <w:tcPr>
            <w:tcW w:w="7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w:t>
            </w: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72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6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2</w:t>
            </w:r>
          </w:p>
        </w:tc>
        <w:tc>
          <w:tcPr>
            <w:tcW w:w="2400" w:type="dxa"/>
            <w:vAlign w:val="bottom"/>
            <w:vMerge w:val="restart"/>
            <w:shd w:val="clear" w:color="auto" w:fill="CCEEFF"/>
          </w:tcPr>
          <w:p>
            <w:pPr>
              <w:ind w:left="140"/>
              <w:spacing w:after="0"/>
              <w:rPr>
                <w:sz w:val="20"/>
                <w:szCs w:val="20"/>
                <w:color w:val="auto"/>
              </w:rPr>
            </w:pPr>
            <w:r>
              <w:rPr>
                <w:rFonts w:ascii="Arial" w:cs="Arial" w:eastAsia="Arial" w:hAnsi="Arial"/>
                <w:sz w:val="14"/>
                <w:szCs w:val="14"/>
                <w:color w:val="auto"/>
              </w:rPr>
              <w:t>Net derivative gains (losses)</w:t>
            </w:r>
          </w:p>
        </w:tc>
        <w:tc>
          <w:tcPr>
            <w:tcW w:w="0" w:type="dxa"/>
            <w:vAlign w:val="bottom"/>
          </w:tcPr>
          <w:p>
            <w:pPr>
              <w:spacing w:after="0"/>
              <w:rPr>
                <w:sz w:val="1"/>
                <w:szCs w:val="1"/>
                <w:color w:val="auto"/>
              </w:rPr>
            </w:pPr>
          </w:p>
        </w:tc>
      </w:tr>
      <w:tr>
        <w:trPr>
          <w:trHeight w:val="80"/>
        </w:trPr>
        <w:tc>
          <w:tcPr>
            <w:tcW w:w="3660" w:type="dxa"/>
            <w:vAlign w:val="bottom"/>
            <w:shd w:val="clear" w:color="auto" w:fill="CCEEFF"/>
          </w:tcPr>
          <w:p>
            <w:pPr>
              <w:spacing w:after="0"/>
              <w:rPr>
                <w:sz w:val="6"/>
                <w:szCs w:val="6"/>
                <w:color w:val="auto"/>
              </w:rPr>
            </w:pPr>
          </w:p>
        </w:tc>
        <w:tc>
          <w:tcPr>
            <w:tcW w:w="560" w:type="dxa"/>
            <w:vAlign w:val="bottom"/>
            <w:shd w:val="clear" w:color="auto" w:fill="CCEEFF"/>
          </w:tcPr>
          <w:p>
            <w:pPr>
              <w:spacing w:after="0"/>
              <w:rPr>
                <w:sz w:val="6"/>
                <w:szCs w:val="6"/>
                <w:color w:val="auto"/>
              </w:rPr>
            </w:pPr>
          </w:p>
        </w:tc>
        <w:tc>
          <w:tcPr>
            <w:tcW w:w="860" w:type="dxa"/>
            <w:vAlign w:val="bottom"/>
            <w:gridSpan w:val="2"/>
            <w:vMerge w:val="continue"/>
            <w:shd w:val="clear" w:color="auto" w:fill="CCEEFF"/>
          </w:tcPr>
          <w:p>
            <w:pPr>
              <w:spacing w:after="0"/>
              <w:rPr>
                <w:sz w:val="6"/>
                <w:szCs w:val="6"/>
                <w:color w:val="auto"/>
              </w:rPr>
            </w:pPr>
          </w:p>
        </w:tc>
        <w:tc>
          <w:tcPr>
            <w:tcW w:w="540" w:type="dxa"/>
            <w:vAlign w:val="bottom"/>
            <w:shd w:val="clear" w:color="auto" w:fill="CCEEFF"/>
          </w:tcPr>
          <w:p>
            <w:pPr>
              <w:spacing w:after="0"/>
              <w:rPr>
                <w:sz w:val="6"/>
                <w:szCs w:val="6"/>
                <w:color w:val="auto"/>
              </w:rPr>
            </w:pPr>
          </w:p>
        </w:tc>
        <w:tc>
          <w:tcPr>
            <w:tcW w:w="70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520" w:type="dxa"/>
            <w:vAlign w:val="bottom"/>
            <w:shd w:val="clear" w:color="auto" w:fill="CCEEFF"/>
          </w:tcPr>
          <w:p>
            <w:pPr>
              <w:spacing w:after="0"/>
              <w:rPr>
                <w:sz w:val="6"/>
                <w:szCs w:val="6"/>
                <w:color w:val="auto"/>
              </w:rPr>
            </w:pPr>
          </w:p>
        </w:tc>
        <w:tc>
          <w:tcPr>
            <w:tcW w:w="72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560" w:type="dxa"/>
            <w:vAlign w:val="bottom"/>
            <w:shd w:val="clear" w:color="auto" w:fill="CCEEFF"/>
          </w:tcPr>
          <w:p>
            <w:pPr>
              <w:spacing w:after="0"/>
              <w:rPr>
                <w:sz w:val="6"/>
                <w:szCs w:val="6"/>
                <w:color w:val="auto"/>
              </w:rPr>
            </w:pPr>
          </w:p>
        </w:tc>
        <w:tc>
          <w:tcPr>
            <w:tcW w:w="680" w:type="dxa"/>
            <w:vAlign w:val="bottom"/>
            <w:vMerge w:val="continue"/>
            <w:shd w:val="clear" w:color="auto" w:fill="CCEEFF"/>
          </w:tcPr>
          <w:p>
            <w:pPr>
              <w:spacing w:after="0"/>
              <w:rPr>
                <w:sz w:val="6"/>
                <w:szCs w:val="6"/>
                <w:color w:val="auto"/>
              </w:rPr>
            </w:pPr>
          </w:p>
        </w:tc>
        <w:tc>
          <w:tcPr>
            <w:tcW w:w="24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3660" w:type="dxa"/>
            <w:vAlign w:val="bottom"/>
          </w:tcPr>
          <w:p>
            <w:pPr>
              <w:ind w:left="360"/>
              <w:spacing w:after="0"/>
              <w:rPr>
                <w:sz w:val="20"/>
                <w:szCs w:val="20"/>
                <w:color w:val="auto"/>
              </w:rPr>
            </w:pPr>
            <w:r>
              <w:rPr>
                <w:rFonts w:ascii="Arial" w:cs="Arial" w:eastAsia="Arial" w:hAnsi="Arial"/>
                <w:sz w:val="14"/>
                <w:szCs w:val="14"/>
                <w:color w:val="auto"/>
              </w:rPr>
              <w:t>Interest rate forwards</w:t>
            </w:r>
          </w:p>
        </w:tc>
        <w:tc>
          <w:tcPr>
            <w:tcW w:w="560" w:type="dxa"/>
            <w:vAlign w:val="bottom"/>
          </w:tcPr>
          <w:p>
            <w:pPr>
              <w:spacing w:after="0"/>
              <w:rPr>
                <w:sz w:val="16"/>
                <w:szCs w:val="16"/>
                <w:color w:val="auto"/>
              </w:rPr>
            </w:pPr>
          </w:p>
        </w:tc>
        <w:tc>
          <w:tcPr>
            <w:tcW w:w="740" w:type="dxa"/>
            <w:vAlign w:val="bottom"/>
            <w:vMerge w:val="restart"/>
          </w:tcPr>
          <w:p>
            <w:pPr>
              <w:jc w:val="right"/>
              <w:ind w:right="68"/>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700" w:type="dxa"/>
            <w:vAlign w:val="bottom"/>
            <w:vMerge w:val="restart"/>
          </w:tcPr>
          <w:p>
            <w:pPr>
              <w:jc w:val="right"/>
              <w:ind w:right="28"/>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720" w:type="dxa"/>
            <w:vAlign w:val="bottom"/>
            <w:vMerge w:val="restart"/>
          </w:tcPr>
          <w:p>
            <w:pPr>
              <w:jc w:val="right"/>
              <w:ind w:right="28"/>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80" w:type="dxa"/>
            <w:vAlign w:val="bottom"/>
            <w:vMerge w:val="restart"/>
          </w:tcPr>
          <w:p>
            <w:pPr>
              <w:jc w:val="right"/>
              <w:ind w:right="28"/>
              <w:spacing w:after="0"/>
              <w:rPr>
                <w:sz w:val="20"/>
                <w:szCs w:val="20"/>
                <w:color w:val="auto"/>
              </w:rPr>
            </w:pPr>
            <w:r>
              <w:rPr>
                <w:rFonts w:ascii="Arial" w:cs="Arial" w:eastAsia="Arial" w:hAnsi="Arial"/>
                <w:sz w:val="14"/>
                <w:szCs w:val="14"/>
                <w:color w:val="auto"/>
              </w:rPr>
              <w:t>2</w:t>
            </w:r>
          </w:p>
        </w:tc>
        <w:tc>
          <w:tcPr>
            <w:tcW w:w="2400" w:type="dxa"/>
            <w:vAlign w:val="bottom"/>
            <w:vMerge w:val="restart"/>
          </w:tcPr>
          <w:p>
            <w:pPr>
              <w:ind w:left="140"/>
              <w:spacing w:after="0"/>
              <w:rPr>
                <w:sz w:val="20"/>
                <w:szCs w:val="20"/>
                <w:color w:val="auto"/>
              </w:rPr>
            </w:pPr>
            <w:r>
              <w:rPr>
                <w:rFonts w:ascii="Arial" w:cs="Arial" w:eastAsia="Arial" w:hAnsi="Arial"/>
                <w:sz w:val="14"/>
                <w:szCs w:val="14"/>
                <w:color w:val="auto"/>
              </w:rPr>
              <w:t>Net investment income</w:t>
            </w:r>
          </w:p>
        </w:tc>
        <w:tc>
          <w:tcPr>
            <w:tcW w:w="0" w:type="dxa"/>
            <w:vAlign w:val="bottom"/>
          </w:tcPr>
          <w:p>
            <w:pPr>
              <w:spacing w:after="0"/>
              <w:rPr>
                <w:sz w:val="1"/>
                <w:szCs w:val="1"/>
                <w:color w:val="auto"/>
              </w:rPr>
            </w:pPr>
          </w:p>
        </w:tc>
      </w:tr>
      <w:tr>
        <w:trPr>
          <w:trHeight w:val="74"/>
        </w:trPr>
        <w:tc>
          <w:tcPr>
            <w:tcW w:w="3660" w:type="dxa"/>
            <w:vAlign w:val="bottom"/>
          </w:tcPr>
          <w:p>
            <w:pPr>
              <w:spacing w:after="0"/>
              <w:rPr>
                <w:sz w:val="6"/>
                <w:szCs w:val="6"/>
                <w:color w:val="auto"/>
              </w:rPr>
            </w:pPr>
          </w:p>
        </w:tc>
        <w:tc>
          <w:tcPr>
            <w:tcW w:w="560" w:type="dxa"/>
            <w:vAlign w:val="bottom"/>
          </w:tcPr>
          <w:p>
            <w:pPr>
              <w:spacing w:after="0"/>
              <w:rPr>
                <w:sz w:val="6"/>
                <w:szCs w:val="6"/>
                <w:color w:val="auto"/>
              </w:rPr>
            </w:pPr>
          </w:p>
        </w:tc>
        <w:tc>
          <w:tcPr>
            <w:tcW w:w="7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54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52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56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24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3660" w:type="dxa"/>
            <w:vAlign w:val="bottom"/>
            <w:shd w:val="clear" w:color="auto" w:fill="CCEEFF"/>
          </w:tcPr>
          <w:p>
            <w:pPr>
              <w:ind w:left="360"/>
              <w:spacing w:after="0"/>
              <w:rPr>
                <w:sz w:val="20"/>
                <w:szCs w:val="20"/>
                <w:color w:val="auto"/>
              </w:rPr>
            </w:pPr>
            <w:r>
              <w:rPr>
                <w:rFonts w:ascii="Arial" w:cs="Arial" w:eastAsia="Arial" w:hAnsi="Arial"/>
                <w:sz w:val="14"/>
                <w:szCs w:val="14"/>
                <w:color w:val="auto"/>
              </w:rPr>
              <w:t>Foreign currency swaps</w:t>
            </w:r>
          </w:p>
        </w:tc>
        <w:tc>
          <w:tcPr>
            <w:tcW w:w="560" w:type="dxa"/>
            <w:vAlign w:val="bottom"/>
            <w:shd w:val="clear" w:color="auto" w:fill="CCEEFF"/>
          </w:tcPr>
          <w:p>
            <w:pPr>
              <w:spacing w:after="0"/>
              <w:rPr>
                <w:sz w:val="17"/>
                <w:szCs w:val="17"/>
                <w:color w:val="auto"/>
              </w:rPr>
            </w:pPr>
          </w:p>
        </w:tc>
        <w:tc>
          <w:tcPr>
            <w:tcW w:w="860" w:type="dxa"/>
            <w:vAlign w:val="bottom"/>
            <w:gridSpan w:val="2"/>
            <w:vMerge w:val="restart"/>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spacing w:after="0"/>
              <w:rPr>
                <w:sz w:val="17"/>
                <w:szCs w:val="17"/>
                <w:color w:val="auto"/>
              </w:rPr>
            </w:pPr>
          </w:p>
        </w:tc>
        <w:tc>
          <w:tcPr>
            <w:tcW w:w="7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5</w:t>
            </w: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72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11</w:t>
            </w: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6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6</w:t>
            </w:r>
          </w:p>
        </w:tc>
        <w:tc>
          <w:tcPr>
            <w:tcW w:w="2400" w:type="dxa"/>
            <w:vAlign w:val="bottom"/>
            <w:vMerge w:val="restart"/>
            <w:shd w:val="clear" w:color="auto" w:fill="CCEEFF"/>
          </w:tcPr>
          <w:p>
            <w:pPr>
              <w:ind w:left="140"/>
              <w:spacing w:after="0"/>
              <w:rPr>
                <w:sz w:val="20"/>
                <w:szCs w:val="20"/>
                <w:color w:val="auto"/>
              </w:rPr>
            </w:pPr>
            <w:r>
              <w:rPr>
                <w:rFonts w:ascii="Arial" w:cs="Arial" w:eastAsia="Arial" w:hAnsi="Arial"/>
                <w:sz w:val="14"/>
                <w:szCs w:val="14"/>
                <w:color w:val="auto"/>
              </w:rPr>
              <w:t>Net derivative gains (losses)</w:t>
            </w:r>
          </w:p>
        </w:tc>
        <w:tc>
          <w:tcPr>
            <w:tcW w:w="0" w:type="dxa"/>
            <w:vAlign w:val="bottom"/>
          </w:tcPr>
          <w:p>
            <w:pPr>
              <w:spacing w:after="0"/>
              <w:rPr>
                <w:sz w:val="1"/>
                <w:szCs w:val="1"/>
                <w:color w:val="auto"/>
              </w:rPr>
            </w:pPr>
          </w:p>
        </w:tc>
      </w:tr>
      <w:tr>
        <w:trPr>
          <w:trHeight w:val="80"/>
        </w:trPr>
        <w:tc>
          <w:tcPr>
            <w:tcW w:w="3660" w:type="dxa"/>
            <w:vAlign w:val="bottom"/>
            <w:shd w:val="clear" w:color="auto" w:fill="CCEEFF"/>
          </w:tcPr>
          <w:p>
            <w:pPr>
              <w:spacing w:after="0"/>
              <w:rPr>
                <w:sz w:val="6"/>
                <w:szCs w:val="6"/>
                <w:color w:val="auto"/>
              </w:rPr>
            </w:pPr>
          </w:p>
        </w:tc>
        <w:tc>
          <w:tcPr>
            <w:tcW w:w="560" w:type="dxa"/>
            <w:vAlign w:val="bottom"/>
            <w:shd w:val="clear" w:color="auto" w:fill="CCEEFF"/>
          </w:tcPr>
          <w:p>
            <w:pPr>
              <w:spacing w:after="0"/>
              <w:rPr>
                <w:sz w:val="6"/>
                <w:szCs w:val="6"/>
                <w:color w:val="auto"/>
              </w:rPr>
            </w:pPr>
          </w:p>
        </w:tc>
        <w:tc>
          <w:tcPr>
            <w:tcW w:w="860" w:type="dxa"/>
            <w:vAlign w:val="bottom"/>
            <w:gridSpan w:val="2"/>
            <w:vMerge w:val="continue"/>
            <w:shd w:val="clear" w:color="auto" w:fill="CCEEFF"/>
          </w:tcPr>
          <w:p>
            <w:pPr>
              <w:spacing w:after="0"/>
              <w:rPr>
                <w:sz w:val="6"/>
                <w:szCs w:val="6"/>
                <w:color w:val="auto"/>
              </w:rPr>
            </w:pPr>
          </w:p>
        </w:tc>
        <w:tc>
          <w:tcPr>
            <w:tcW w:w="540" w:type="dxa"/>
            <w:vAlign w:val="bottom"/>
            <w:shd w:val="clear" w:color="auto" w:fill="CCEEFF"/>
          </w:tcPr>
          <w:p>
            <w:pPr>
              <w:spacing w:after="0"/>
              <w:rPr>
                <w:sz w:val="6"/>
                <w:szCs w:val="6"/>
                <w:color w:val="auto"/>
              </w:rPr>
            </w:pPr>
          </w:p>
        </w:tc>
        <w:tc>
          <w:tcPr>
            <w:tcW w:w="70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520" w:type="dxa"/>
            <w:vAlign w:val="bottom"/>
            <w:shd w:val="clear" w:color="auto" w:fill="CCEEFF"/>
          </w:tcPr>
          <w:p>
            <w:pPr>
              <w:spacing w:after="0"/>
              <w:rPr>
                <w:sz w:val="6"/>
                <w:szCs w:val="6"/>
                <w:color w:val="auto"/>
              </w:rPr>
            </w:pPr>
          </w:p>
        </w:tc>
        <w:tc>
          <w:tcPr>
            <w:tcW w:w="72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560" w:type="dxa"/>
            <w:vAlign w:val="bottom"/>
            <w:shd w:val="clear" w:color="auto" w:fill="CCEEFF"/>
          </w:tcPr>
          <w:p>
            <w:pPr>
              <w:spacing w:after="0"/>
              <w:rPr>
                <w:sz w:val="6"/>
                <w:szCs w:val="6"/>
                <w:color w:val="auto"/>
              </w:rPr>
            </w:pPr>
          </w:p>
        </w:tc>
        <w:tc>
          <w:tcPr>
            <w:tcW w:w="680" w:type="dxa"/>
            <w:vAlign w:val="bottom"/>
            <w:vMerge w:val="continue"/>
            <w:shd w:val="clear" w:color="auto" w:fill="CCEEFF"/>
          </w:tcPr>
          <w:p>
            <w:pPr>
              <w:spacing w:after="0"/>
              <w:rPr>
                <w:sz w:val="6"/>
                <w:szCs w:val="6"/>
                <w:color w:val="auto"/>
              </w:rPr>
            </w:pPr>
          </w:p>
        </w:tc>
        <w:tc>
          <w:tcPr>
            <w:tcW w:w="24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37"/>
        </w:trPr>
        <w:tc>
          <w:tcPr>
            <w:tcW w:w="3660" w:type="dxa"/>
            <w:vAlign w:val="bottom"/>
          </w:tcPr>
          <w:p>
            <w:pPr>
              <w:ind w:left="520"/>
              <w:spacing w:after="0" w:line="137" w:lineRule="exact"/>
              <w:rPr>
                <w:sz w:val="20"/>
                <w:szCs w:val="20"/>
                <w:color w:val="auto"/>
              </w:rPr>
            </w:pPr>
            <w:r>
              <w:rPr>
                <w:rFonts w:ascii="Arial" w:cs="Arial" w:eastAsia="Arial" w:hAnsi="Arial"/>
                <w:sz w:val="14"/>
                <w:szCs w:val="14"/>
                <w:color w:val="auto"/>
                <w:w w:val="98"/>
              </w:rPr>
              <w:t>Gains (losses) on cash flow hedges, before income</w:t>
            </w:r>
          </w:p>
        </w:tc>
        <w:tc>
          <w:tcPr>
            <w:tcW w:w="56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24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3660" w:type="dxa"/>
            <w:vAlign w:val="bottom"/>
          </w:tcPr>
          <w:p>
            <w:pPr>
              <w:ind w:left="680"/>
              <w:spacing w:after="0"/>
              <w:rPr>
                <w:sz w:val="20"/>
                <w:szCs w:val="20"/>
                <w:color w:val="auto"/>
              </w:rPr>
            </w:pPr>
            <w:r>
              <w:rPr>
                <w:rFonts w:ascii="Arial" w:cs="Arial" w:eastAsia="Arial" w:hAnsi="Arial"/>
                <w:sz w:val="14"/>
                <w:szCs w:val="14"/>
                <w:color w:val="auto"/>
              </w:rPr>
              <w:t>tax</w:t>
            </w:r>
          </w:p>
        </w:tc>
        <w:tc>
          <w:tcPr>
            <w:tcW w:w="560" w:type="dxa"/>
            <w:vAlign w:val="bottom"/>
          </w:tcPr>
          <w:p>
            <w:pPr>
              <w:spacing w:after="0"/>
              <w:rPr>
                <w:sz w:val="16"/>
                <w:szCs w:val="16"/>
                <w:color w:val="auto"/>
              </w:rPr>
            </w:pPr>
          </w:p>
        </w:tc>
        <w:tc>
          <w:tcPr>
            <w:tcW w:w="740" w:type="dxa"/>
            <w:vAlign w:val="bottom"/>
          </w:tcPr>
          <w:p>
            <w:pPr>
              <w:jc w:val="right"/>
              <w:ind w:right="68"/>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8</w:t>
            </w: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17</w:t>
            </w: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24</w:t>
            </w:r>
          </w:p>
        </w:tc>
        <w:tc>
          <w:tcPr>
            <w:tcW w:w="2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3660" w:type="dxa"/>
            <w:vAlign w:val="bottom"/>
            <w:shd w:val="clear" w:color="auto" w:fill="CCEEFF"/>
          </w:tcPr>
          <w:p>
            <w:pPr>
              <w:ind w:left="520"/>
              <w:spacing w:after="0"/>
              <w:rPr>
                <w:sz w:val="20"/>
                <w:szCs w:val="20"/>
                <w:color w:val="auto"/>
              </w:rPr>
            </w:pPr>
            <w:r>
              <w:rPr>
                <w:rFonts w:ascii="Arial" w:cs="Arial" w:eastAsia="Arial" w:hAnsi="Arial"/>
                <w:sz w:val="14"/>
                <w:szCs w:val="14"/>
                <w:color w:val="auto"/>
              </w:rPr>
              <w:t>Income tax (expense) benefit</w:t>
            </w:r>
          </w:p>
        </w:tc>
        <w:tc>
          <w:tcPr>
            <w:tcW w:w="560" w:type="dxa"/>
            <w:vAlign w:val="bottom"/>
            <w:shd w:val="clear" w:color="auto" w:fill="CCEEFF"/>
          </w:tcPr>
          <w:p>
            <w:pPr>
              <w:spacing w:after="0"/>
              <w:rPr>
                <w:sz w:val="17"/>
                <w:szCs w:val="17"/>
                <w:color w:val="auto"/>
              </w:rPr>
            </w:pPr>
          </w:p>
        </w:tc>
        <w:tc>
          <w:tcPr>
            <w:tcW w:w="74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(2)</w:t>
            </w: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(7)</w:t>
            </w: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(8)</w:t>
            </w:r>
          </w:p>
        </w:tc>
        <w:tc>
          <w:tcPr>
            <w:tcW w:w="24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80"/>
        </w:trPr>
        <w:tc>
          <w:tcPr>
            <w:tcW w:w="3660" w:type="dxa"/>
            <w:vAlign w:val="bottom"/>
            <w:shd w:val="clear" w:color="auto" w:fill="CCEEFF"/>
          </w:tcPr>
          <w:p>
            <w:pPr>
              <w:spacing w:after="0"/>
              <w:rPr>
                <w:sz w:val="6"/>
                <w:szCs w:val="6"/>
                <w:color w:val="auto"/>
              </w:rPr>
            </w:pPr>
          </w:p>
        </w:tc>
        <w:tc>
          <w:tcPr>
            <w:tcW w:w="560" w:type="dxa"/>
            <w:vAlign w:val="bottom"/>
            <w:tcBorders>
              <w:bottom w:val="single" w:sz="8" w:color="auto"/>
            </w:tcBorders>
            <w:shd w:val="clear" w:color="auto" w:fill="CCEEFF"/>
          </w:tcPr>
          <w:p>
            <w:pPr>
              <w:spacing w:after="0"/>
              <w:rPr>
                <w:sz w:val="6"/>
                <w:szCs w:val="6"/>
                <w:color w:val="auto"/>
              </w:rPr>
            </w:pPr>
          </w:p>
        </w:tc>
        <w:tc>
          <w:tcPr>
            <w:tcW w:w="74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540" w:type="dxa"/>
            <w:vAlign w:val="bottom"/>
            <w:tcBorders>
              <w:bottom w:val="single" w:sz="8" w:color="auto"/>
            </w:tcBorders>
            <w:shd w:val="clear" w:color="auto" w:fill="CCEEFF"/>
          </w:tcPr>
          <w:p>
            <w:pPr>
              <w:spacing w:after="0"/>
              <w:rPr>
                <w:sz w:val="6"/>
                <w:szCs w:val="6"/>
                <w:color w:val="auto"/>
              </w:rPr>
            </w:pPr>
          </w:p>
        </w:tc>
        <w:tc>
          <w:tcPr>
            <w:tcW w:w="70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520" w:type="dxa"/>
            <w:vAlign w:val="bottom"/>
            <w:tcBorders>
              <w:bottom w:val="single" w:sz="8" w:color="auto"/>
            </w:tcBorders>
            <w:shd w:val="clear" w:color="auto" w:fill="CCEEFF"/>
          </w:tcPr>
          <w:p>
            <w:pPr>
              <w:spacing w:after="0"/>
              <w:rPr>
                <w:sz w:val="6"/>
                <w:szCs w:val="6"/>
                <w:color w:val="auto"/>
              </w:rPr>
            </w:pPr>
          </w:p>
        </w:tc>
        <w:tc>
          <w:tcPr>
            <w:tcW w:w="72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560" w:type="dxa"/>
            <w:vAlign w:val="bottom"/>
            <w:tcBorders>
              <w:bottom w:val="single" w:sz="8" w:color="auto"/>
            </w:tcBorders>
            <w:shd w:val="clear" w:color="auto" w:fill="CCEEFF"/>
          </w:tcPr>
          <w:p>
            <w:pPr>
              <w:spacing w:after="0"/>
              <w:rPr>
                <w:sz w:val="6"/>
                <w:szCs w:val="6"/>
                <w:color w:val="auto"/>
              </w:rPr>
            </w:pPr>
          </w:p>
        </w:tc>
        <w:tc>
          <w:tcPr>
            <w:tcW w:w="680" w:type="dxa"/>
            <w:vAlign w:val="bottom"/>
            <w:tcBorders>
              <w:bottom w:val="single" w:sz="8" w:color="auto"/>
            </w:tcBorders>
            <w:vMerge w:val="continue"/>
            <w:shd w:val="clear" w:color="auto" w:fill="CCEEFF"/>
          </w:tcPr>
          <w:p>
            <w:pPr>
              <w:spacing w:after="0"/>
              <w:rPr>
                <w:sz w:val="6"/>
                <w:szCs w:val="6"/>
                <w:color w:val="auto"/>
              </w:rPr>
            </w:pPr>
          </w:p>
        </w:tc>
        <w:tc>
          <w:tcPr>
            <w:tcW w:w="240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37"/>
        </w:trPr>
        <w:tc>
          <w:tcPr>
            <w:tcW w:w="3660" w:type="dxa"/>
            <w:vAlign w:val="bottom"/>
          </w:tcPr>
          <w:p>
            <w:pPr>
              <w:ind w:left="680"/>
              <w:spacing w:after="0" w:line="137" w:lineRule="exact"/>
              <w:rPr>
                <w:sz w:val="20"/>
                <w:szCs w:val="20"/>
                <w:color w:val="auto"/>
              </w:rPr>
            </w:pPr>
            <w:r>
              <w:rPr>
                <w:rFonts w:ascii="Arial" w:cs="Arial" w:eastAsia="Arial" w:hAnsi="Arial"/>
                <w:sz w:val="14"/>
                <w:szCs w:val="14"/>
                <w:color w:val="auto"/>
              </w:rPr>
              <w:t>Gains (losses) on cash flow hedges, net of</w:t>
            </w:r>
          </w:p>
        </w:tc>
        <w:tc>
          <w:tcPr>
            <w:tcW w:w="5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3660" w:type="dxa"/>
            <w:vAlign w:val="bottom"/>
            <w:tcBorders>
              <w:bottom w:val="single" w:sz="8" w:color="CCEEFF"/>
            </w:tcBorders>
          </w:tcPr>
          <w:p>
            <w:pPr>
              <w:ind w:left="840"/>
              <w:spacing w:after="0"/>
              <w:rPr>
                <w:sz w:val="20"/>
                <w:szCs w:val="20"/>
                <w:color w:val="auto"/>
              </w:rPr>
            </w:pPr>
            <w:r>
              <w:rPr>
                <w:rFonts w:ascii="Arial" w:cs="Arial" w:eastAsia="Arial" w:hAnsi="Arial"/>
                <w:sz w:val="14"/>
                <w:szCs w:val="14"/>
                <w:color w:val="auto"/>
              </w:rPr>
              <w:t>income tax</w:t>
            </w:r>
          </w:p>
        </w:tc>
        <w:tc>
          <w:tcPr>
            <w:tcW w:w="5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w:t>
            </w:r>
          </w:p>
        </w:tc>
        <w:tc>
          <w:tcPr>
            <w:tcW w:w="120" w:type="dxa"/>
            <w:vAlign w:val="bottom"/>
            <w:tcBorders>
              <w:bottom w:val="single" w:sz="8" w:color="CCEEFF"/>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w:t>
            </w:r>
          </w:p>
        </w:tc>
        <w:tc>
          <w:tcPr>
            <w:tcW w:w="120" w:type="dxa"/>
            <w:vAlign w:val="bottom"/>
            <w:tcBorders>
              <w:bottom w:val="single" w:sz="8" w:color="CCEEFF"/>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10</w:t>
            </w:r>
          </w:p>
        </w:tc>
        <w:tc>
          <w:tcPr>
            <w:tcW w:w="100" w:type="dxa"/>
            <w:vAlign w:val="bottom"/>
            <w:tcBorders>
              <w:bottom w:val="single" w:sz="8" w:color="CCEEFF"/>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16</w:t>
            </w:r>
          </w:p>
        </w:tc>
        <w:tc>
          <w:tcPr>
            <w:tcW w:w="240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77"/>
        </w:trPr>
        <w:tc>
          <w:tcPr>
            <w:tcW w:w="3660" w:type="dxa"/>
            <w:vAlign w:val="bottom"/>
            <w:shd w:val="clear" w:color="auto" w:fill="CCEEFF"/>
          </w:tcPr>
          <w:p>
            <w:pPr>
              <w:ind w:left="40"/>
              <w:spacing w:after="0"/>
              <w:rPr>
                <w:sz w:val="20"/>
                <w:szCs w:val="20"/>
                <w:color w:val="auto"/>
              </w:rPr>
            </w:pPr>
            <w:r>
              <w:rPr>
                <w:rFonts w:ascii="Arial" w:cs="Arial" w:eastAsia="Arial" w:hAnsi="Arial"/>
                <w:sz w:val="14"/>
                <w:szCs w:val="14"/>
                <w:color w:val="auto"/>
              </w:rPr>
              <w:t>Defined benefit plans adjustment:</w:t>
            </w:r>
          </w:p>
        </w:tc>
        <w:tc>
          <w:tcPr>
            <w:tcW w:w="56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24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366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74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7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240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91"/>
        </w:trPr>
        <w:tc>
          <w:tcPr>
            <w:tcW w:w="3660" w:type="dxa"/>
            <w:vAlign w:val="bottom"/>
          </w:tcPr>
          <w:p>
            <w:pPr>
              <w:ind w:left="360"/>
              <w:spacing w:after="0"/>
              <w:rPr>
                <w:sz w:val="20"/>
                <w:szCs w:val="20"/>
                <w:color w:val="auto"/>
              </w:rPr>
            </w:pPr>
            <w:r>
              <w:rPr>
                <w:rFonts w:ascii="Arial" w:cs="Arial" w:eastAsia="Arial" w:hAnsi="Arial"/>
                <w:sz w:val="14"/>
                <w:szCs w:val="14"/>
                <w:color w:val="auto"/>
              </w:rPr>
              <w:t>Amortization of net actuarial gains (losses)</w:t>
            </w:r>
          </w:p>
        </w:tc>
        <w:tc>
          <w:tcPr>
            <w:tcW w:w="560" w:type="dxa"/>
            <w:vAlign w:val="bottom"/>
          </w:tcPr>
          <w:p>
            <w:pPr>
              <w:spacing w:after="0"/>
              <w:rPr>
                <w:sz w:val="16"/>
                <w:szCs w:val="16"/>
                <w:color w:val="auto"/>
              </w:rPr>
            </w:pPr>
          </w:p>
        </w:tc>
        <w:tc>
          <w:tcPr>
            <w:tcW w:w="860" w:type="dxa"/>
            <w:vAlign w:val="bottom"/>
            <w:gridSpan w:val="2"/>
            <w:vMerge w:val="restart"/>
          </w:tcPr>
          <w:p>
            <w:pPr>
              <w:jc w:val="right"/>
              <w:ind w:right="260"/>
              <w:spacing w:after="0"/>
              <w:rPr>
                <w:sz w:val="20"/>
                <w:szCs w:val="20"/>
                <w:color w:val="auto"/>
              </w:rPr>
            </w:pPr>
            <w:r>
              <w:rPr>
                <w:rFonts w:ascii="Arial" w:cs="Arial" w:eastAsia="Arial" w:hAnsi="Arial"/>
                <w:sz w:val="14"/>
                <w:szCs w:val="14"/>
                <w:color w:val="auto"/>
              </w:rPr>
              <w:t>—</w:t>
            </w:r>
          </w:p>
        </w:tc>
        <w:tc>
          <w:tcPr>
            <w:tcW w:w="540" w:type="dxa"/>
            <w:vAlign w:val="bottom"/>
          </w:tcPr>
          <w:p>
            <w:pPr>
              <w:spacing w:after="0"/>
              <w:rPr>
                <w:sz w:val="16"/>
                <w:szCs w:val="16"/>
                <w:color w:val="auto"/>
              </w:rPr>
            </w:pPr>
          </w:p>
        </w:tc>
        <w:tc>
          <w:tcPr>
            <w:tcW w:w="82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520" w:type="dxa"/>
            <w:vAlign w:val="bottom"/>
          </w:tcPr>
          <w:p>
            <w:pPr>
              <w:spacing w:after="0"/>
              <w:rPr>
                <w:sz w:val="16"/>
                <w:szCs w:val="16"/>
                <w:color w:val="auto"/>
              </w:rPr>
            </w:pPr>
          </w:p>
        </w:tc>
        <w:tc>
          <w:tcPr>
            <w:tcW w:w="82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560" w:type="dxa"/>
            <w:vAlign w:val="bottom"/>
          </w:tcPr>
          <w:p>
            <w:pPr>
              <w:spacing w:after="0"/>
              <w:rPr>
                <w:sz w:val="16"/>
                <w:szCs w:val="16"/>
                <w:color w:val="auto"/>
              </w:rPr>
            </w:pPr>
          </w:p>
        </w:tc>
        <w:tc>
          <w:tcPr>
            <w:tcW w:w="680" w:type="dxa"/>
            <w:vAlign w:val="bottom"/>
            <w:vMerge w:val="restart"/>
          </w:tcPr>
          <w:p>
            <w:pPr>
              <w:jc w:val="right"/>
              <w:spacing w:after="0"/>
              <w:rPr>
                <w:sz w:val="20"/>
                <w:szCs w:val="20"/>
                <w:color w:val="auto"/>
              </w:rPr>
            </w:pPr>
            <w:r>
              <w:rPr>
                <w:rFonts w:ascii="Arial" w:cs="Arial" w:eastAsia="Arial" w:hAnsi="Arial"/>
                <w:sz w:val="14"/>
                <w:szCs w:val="14"/>
                <w:color w:val="auto"/>
              </w:rPr>
              <w:t>(1)</w:t>
            </w:r>
          </w:p>
        </w:tc>
        <w:tc>
          <w:tcPr>
            <w:tcW w:w="2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4"/>
        </w:trPr>
        <w:tc>
          <w:tcPr>
            <w:tcW w:w="3660" w:type="dxa"/>
            <w:vAlign w:val="bottom"/>
          </w:tcPr>
          <w:p>
            <w:pPr>
              <w:spacing w:after="0"/>
              <w:rPr>
                <w:sz w:val="6"/>
                <w:szCs w:val="6"/>
                <w:color w:val="auto"/>
              </w:rPr>
            </w:pPr>
          </w:p>
        </w:tc>
        <w:tc>
          <w:tcPr>
            <w:tcW w:w="560" w:type="dxa"/>
            <w:vAlign w:val="bottom"/>
          </w:tcPr>
          <w:p>
            <w:pPr>
              <w:spacing w:after="0"/>
              <w:rPr>
                <w:sz w:val="6"/>
                <w:szCs w:val="6"/>
                <w:color w:val="auto"/>
              </w:rPr>
            </w:pPr>
          </w:p>
        </w:tc>
        <w:tc>
          <w:tcPr>
            <w:tcW w:w="860" w:type="dxa"/>
            <w:vAlign w:val="bottom"/>
            <w:gridSpan w:val="2"/>
            <w:vMerge w:val="continue"/>
          </w:tcPr>
          <w:p>
            <w:pPr>
              <w:spacing w:after="0"/>
              <w:rPr>
                <w:sz w:val="6"/>
                <w:szCs w:val="6"/>
                <w:color w:val="auto"/>
              </w:rPr>
            </w:pPr>
          </w:p>
        </w:tc>
        <w:tc>
          <w:tcPr>
            <w:tcW w:w="540" w:type="dxa"/>
            <w:vAlign w:val="bottom"/>
          </w:tcPr>
          <w:p>
            <w:pPr>
              <w:spacing w:after="0"/>
              <w:rPr>
                <w:sz w:val="6"/>
                <w:szCs w:val="6"/>
                <w:color w:val="auto"/>
              </w:rPr>
            </w:pPr>
          </w:p>
        </w:tc>
        <w:tc>
          <w:tcPr>
            <w:tcW w:w="820" w:type="dxa"/>
            <w:vAlign w:val="bottom"/>
            <w:gridSpan w:val="2"/>
            <w:vMerge w:val="continue"/>
          </w:tcPr>
          <w:p>
            <w:pPr>
              <w:spacing w:after="0"/>
              <w:rPr>
                <w:sz w:val="6"/>
                <w:szCs w:val="6"/>
                <w:color w:val="auto"/>
              </w:rPr>
            </w:pPr>
          </w:p>
        </w:tc>
        <w:tc>
          <w:tcPr>
            <w:tcW w:w="520" w:type="dxa"/>
            <w:vAlign w:val="bottom"/>
          </w:tcPr>
          <w:p>
            <w:pPr>
              <w:spacing w:after="0"/>
              <w:rPr>
                <w:sz w:val="6"/>
                <w:szCs w:val="6"/>
                <w:color w:val="auto"/>
              </w:rPr>
            </w:pPr>
          </w:p>
        </w:tc>
        <w:tc>
          <w:tcPr>
            <w:tcW w:w="820" w:type="dxa"/>
            <w:vAlign w:val="bottom"/>
            <w:gridSpan w:val="2"/>
            <w:vMerge w:val="continue"/>
          </w:tcPr>
          <w:p>
            <w:pPr>
              <w:spacing w:after="0"/>
              <w:rPr>
                <w:sz w:val="6"/>
                <w:szCs w:val="6"/>
                <w:color w:val="auto"/>
              </w:rPr>
            </w:pPr>
          </w:p>
        </w:tc>
        <w:tc>
          <w:tcPr>
            <w:tcW w:w="56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24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3660" w:type="dxa"/>
            <w:vAlign w:val="bottom"/>
            <w:shd w:val="clear" w:color="auto" w:fill="CCEEFF"/>
          </w:tcPr>
          <w:p>
            <w:pPr>
              <w:ind w:left="360"/>
              <w:spacing w:after="0"/>
              <w:rPr>
                <w:sz w:val="20"/>
                <w:szCs w:val="20"/>
                <w:color w:val="auto"/>
              </w:rPr>
            </w:pPr>
            <w:r>
              <w:rPr>
                <w:rFonts w:ascii="Arial" w:cs="Arial" w:eastAsia="Arial" w:hAnsi="Arial"/>
                <w:sz w:val="14"/>
                <w:szCs w:val="14"/>
                <w:color w:val="auto"/>
              </w:rPr>
              <w:t>Amortization of prior service (costs) credit</w:t>
            </w:r>
          </w:p>
        </w:tc>
        <w:tc>
          <w:tcPr>
            <w:tcW w:w="560" w:type="dxa"/>
            <w:vAlign w:val="bottom"/>
            <w:shd w:val="clear" w:color="auto" w:fill="CCEEFF"/>
          </w:tcPr>
          <w:p>
            <w:pPr>
              <w:spacing w:after="0"/>
              <w:rPr>
                <w:sz w:val="17"/>
                <w:szCs w:val="17"/>
                <w:color w:val="auto"/>
              </w:rPr>
            </w:pPr>
          </w:p>
        </w:tc>
        <w:tc>
          <w:tcPr>
            <w:tcW w:w="860" w:type="dxa"/>
            <w:vAlign w:val="bottom"/>
            <w:gridSpan w:val="2"/>
            <w:vMerge w:val="restart"/>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spacing w:after="0"/>
              <w:rPr>
                <w:sz w:val="17"/>
                <w:szCs w:val="17"/>
                <w:color w:val="auto"/>
              </w:rPr>
            </w:pPr>
          </w:p>
        </w:tc>
        <w:tc>
          <w:tcPr>
            <w:tcW w:w="82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spacing w:after="0"/>
              <w:rPr>
                <w:sz w:val="17"/>
                <w:szCs w:val="17"/>
                <w:color w:val="auto"/>
              </w:rPr>
            </w:pPr>
          </w:p>
        </w:tc>
        <w:tc>
          <w:tcPr>
            <w:tcW w:w="82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spacing w:after="0"/>
              <w:rPr>
                <w:sz w:val="17"/>
                <w:szCs w:val="17"/>
                <w:color w:val="auto"/>
              </w:rPr>
            </w:pPr>
          </w:p>
        </w:tc>
        <w:tc>
          <w:tcPr>
            <w:tcW w:w="6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24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80"/>
        </w:trPr>
        <w:tc>
          <w:tcPr>
            <w:tcW w:w="3660" w:type="dxa"/>
            <w:vAlign w:val="bottom"/>
            <w:shd w:val="clear" w:color="auto" w:fill="CCEEFF"/>
          </w:tcPr>
          <w:p>
            <w:pPr>
              <w:spacing w:after="0"/>
              <w:rPr>
                <w:sz w:val="6"/>
                <w:szCs w:val="6"/>
                <w:color w:val="auto"/>
              </w:rPr>
            </w:pPr>
          </w:p>
        </w:tc>
        <w:tc>
          <w:tcPr>
            <w:tcW w:w="560" w:type="dxa"/>
            <w:vAlign w:val="bottom"/>
            <w:shd w:val="clear" w:color="auto" w:fill="CCEEFF"/>
          </w:tcPr>
          <w:p>
            <w:pPr>
              <w:spacing w:after="0"/>
              <w:rPr>
                <w:sz w:val="6"/>
                <w:szCs w:val="6"/>
                <w:color w:val="auto"/>
              </w:rPr>
            </w:pPr>
          </w:p>
        </w:tc>
        <w:tc>
          <w:tcPr>
            <w:tcW w:w="860" w:type="dxa"/>
            <w:vAlign w:val="bottom"/>
            <w:gridSpan w:val="2"/>
            <w:vMerge w:val="continue"/>
            <w:shd w:val="clear" w:color="auto" w:fill="CCEEFF"/>
          </w:tcPr>
          <w:p>
            <w:pPr>
              <w:spacing w:after="0"/>
              <w:rPr>
                <w:sz w:val="6"/>
                <w:szCs w:val="6"/>
                <w:color w:val="auto"/>
              </w:rPr>
            </w:pPr>
          </w:p>
        </w:tc>
        <w:tc>
          <w:tcPr>
            <w:tcW w:w="540" w:type="dxa"/>
            <w:vAlign w:val="bottom"/>
            <w:shd w:val="clear" w:color="auto" w:fill="CCEEFF"/>
          </w:tcPr>
          <w:p>
            <w:pPr>
              <w:spacing w:after="0"/>
              <w:rPr>
                <w:sz w:val="6"/>
                <w:szCs w:val="6"/>
                <w:color w:val="auto"/>
              </w:rPr>
            </w:pPr>
          </w:p>
        </w:tc>
        <w:tc>
          <w:tcPr>
            <w:tcW w:w="820" w:type="dxa"/>
            <w:vAlign w:val="bottom"/>
            <w:gridSpan w:val="2"/>
            <w:vMerge w:val="continue"/>
            <w:shd w:val="clear" w:color="auto" w:fill="CCEEFF"/>
          </w:tcPr>
          <w:p>
            <w:pPr>
              <w:spacing w:after="0"/>
              <w:rPr>
                <w:sz w:val="6"/>
                <w:szCs w:val="6"/>
                <w:color w:val="auto"/>
              </w:rPr>
            </w:pPr>
          </w:p>
        </w:tc>
        <w:tc>
          <w:tcPr>
            <w:tcW w:w="520" w:type="dxa"/>
            <w:vAlign w:val="bottom"/>
            <w:shd w:val="clear" w:color="auto" w:fill="CCEEFF"/>
          </w:tcPr>
          <w:p>
            <w:pPr>
              <w:spacing w:after="0"/>
              <w:rPr>
                <w:sz w:val="6"/>
                <w:szCs w:val="6"/>
                <w:color w:val="auto"/>
              </w:rPr>
            </w:pPr>
          </w:p>
        </w:tc>
        <w:tc>
          <w:tcPr>
            <w:tcW w:w="820" w:type="dxa"/>
            <w:vAlign w:val="bottom"/>
            <w:gridSpan w:val="2"/>
            <w:vMerge w:val="continue"/>
            <w:shd w:val="clear" w:color="auto" w:fill="CCEEFF"/>
          </w:tcPr>
          <w:p>
            <w:pPr>
              <w:spacing w:after="0"/>
              <w:rPr>
                <w:sz w:val="6"/>
                <w:szCs w:val="6"/>
                <w:color w:val="auto"/>
              </w:rPr>
            </w:pPr>
          </w:p>
        </w:tc>
        <w:tc>
          <w:tcPr>
            <w:tcW w:w="560" w:type="dxa"/>
            <w:vAlign w:val="bottom"/>
            <w:shd w:val="clear" w:color="auto" w:fill="CCEEFF"/>
          </w:tcPr>
          <w:p>
            <w:pPr>
              <w:spacing w:after="0"/>
              <w:rPr>
                <w:sz w:val="6"/>
                <w:szCs w:val="6"/>
                <w:color w:val="auto"/>
              </w:rPr>
            </w:pPr>
          </w:p>
        </w:tc>
        <w:tc>
          <w:tcPr>
            <w:tcW w:w="680" w:type="dxa"/>
            <w:vAlign w:val="bottom"/>
            <w:vMerge w:val="continue"/>
            <w:shd w:val="clear" w:color="auto" w:fill="CCEEFF"/>
          </w:tcPr>
          <w:p>
            <w:pPr>
              <w:spacing w:after="0"/>
              <w:rPr>
                <w:sz w:val="6"/>
                <w:szCs w:val="6"/>
                <w:color w:val="auto"/>
              </w:rPr>
            </w:pPr>
          </w:p>
        </w:tc>
        <w:tc>
          <w:tcPr>
            <w:tcW w:w="240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37"/>
        </w:trPr>
        <w:tc>
          <w:tcPr>
            <w:tcW w:w="3660" w:type="dxa"/>
            <w:vAlign w:val="bottom"/>
          </w:tcPr>
          <w:p>
            <w:pPr>
              <w:ind w:left="360"/>
              <w:spacing w:after="0" w:line="137" w:lineRule="exact"/>
              <w:rPr>
                <w:sz w:val="20"/>
                <w:szCs w:val="20"/>
                <w:color w:val="auto"/>
              </w:rPr>
            </w:pPr>
            <w:r>
              <w:rPr>
                <w:rFonts w:ascii="Arial" w:cs="Arial" w:eastAsia="Arial" w:hAnsi="Arial"/>
                <w:sz w:val="14"/>
                <w:szCs w:val="14"/>
                <w:color w:val="auto"/>
              </w:rPr>
              <w:t>Amortization of defined benefit plans, before income</w:t>
            </w:r>
          </w:p>
        </w:tc>
        <w:tc>
          <w:tcPr>
            <w:tcW w:w="56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24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3660" w:type="dxa"/>
            <w:vAlign w:val="bottom"/>
          </w:tcPr>
          <w:p>
            <w:pPr>
              <w:ind w:left="520"/>
              <w:spacing w:after="0"/>
              <w:rPr>
                <w:sz w:val="20"/>
                <w:szCs w:val="20"/>
                <w:color w:val="auto"/>
              </w:rPr>
            </w:pPr>
            <w:r>
              <w:rPr>
                <w:rFonts w:ascii="Arial" w:cs="Arial" w:eastAsia="Arial" w:hAnsi="Arial"/>
                <w:sz w:val="14"/>
                <w:szCs w:val="14"/>
                <w:color w:val="auto"/>
              </w:rPr>
              <w:t>tax</w:t>
            </w:r>
          </w:p>
        </w:tc>
        <w:tc>
          <w:tcPr>
            <w:tcW w:w="560" w:type="dxa"/>
            <w:vAlign w:val="bottom"/>
          </w:tcPr>
          <w:p>
            <w:pPr>
              <w:spacing w:after="0"/>
              <w:rPr>
                <w:sz w:val="16"/>
                <w:szCs w:val="16"/>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540" w:type="dxa"/>
            <w:vAlign w:val="bottom"/>
          </w:tcPr>
          <w:p>
            <w:pPr>
              <w:spacing w:after="0"/>
              <w:rPr>
                <w:sz w:val="16"/>
                <w:szCs w:val="16"/>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520" w:type="dxa"/>
            <w:vAlign w:val="bottom"/>
          </w:tcPr>
          <w:p>
            <w:pPr>
              <w:spacing w:after="0"/>
              <w:rPr>
                <w:sz w:val="16"/>
                <w:szCs w:val="16"/>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56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w:t>
            </w:r>
          </w:p>
        </w:tc>
        <w:tc>
          <w:tcPr>
            <w:tcW w:w="2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3660" w:type="dxa"/>
            <w:vAlign w:val="bottom"/>
            <w:tcBorders>
              <w:top w:val="single" w:sz="8" w:color="CCEEFF"/>
            </w:tcBorders>
            <w:shd w:val="clear" w:color="auto" w:fill="CCEEFF"/>
          </w:tcPr>
          <w:p>
            <w:pPr>
              <w:ind w:left="680"/>
              <w:spacing w:after="0" w:line="143" w:lineRule="exact"/>
              <w:rPr>
                <w:sz w:val="20"/>
                <w:szCs w:val="20"/>
                <w:color w:val="auto"/>
              </w:rPr>
            </w:pPr>
            <w:r>
              <w:rPr>
                <w:rFonts w:ascii="Arial" w:cs="Arial" w:eastAsia="Arial" w:hAnsi="Arial"/>
                <w:sz w:val="14"/>
                <w:szCs w:val="14"/>
                <w:color w:val="auto"/>
              </w:rPr>
              <w:t>Amortization of defined benefit plans, net of</w:t>
            </w:r>
          </w:p>
        </w:tc>
        <w:tc>
          <w:tcPr>
            <w:tcW w:w="560" w:type="dxa"/>
            <w:vAlign w:val="bottom"/>
            <w:tcBorders>
              <w:top w:val="single" w:sz="8" w:color="auto"/>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540" w:type="dxa"/>
            <w:vAlign w:val="bottom"/>
            <w:tcBorders>
              <w:top w:val="single" w:sz="8" w:color="auto"/>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52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24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3660" w:type="dxa"/>
            <w:vAlign w:val="bottom"/>
            <w:shd w:val="clear" w:color="auto" w:fill="CCEEFF"/>
          </w:tcPr>
          <w:p>
            <w:pPr>
              <w:ind w:left="840"/>
              <w:spacing w:after="0"/>
              <w:rPr>
                <w:sz w:val="20"/>
                <w:szCs w:val="20"/>
                <w:color w:val="auto"/>
              </w:rPr>
            </w:pPr>
            <w:r>
              <w:rPr>
                <w:rFonts w:ascii="Arial" w:cs="Arial" w:eastAsia="Arial" w:hAnsi="Arial"/>
                <w:sz w:val="14"/>
                <w:szCs w:val="14"/>
                <w:color w:val="auto"/>
              </w:rPr>
              <w:t>income tax</w:t>
            </w:r>
          </w:p>
        </w:tc>
        <w:tc>
          <w:tcPr>
            <w:tcW w:w="56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24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3660" w:type="dxa"/>
            <w:vAlign w:val="bottom"/>
          </w:tcPr>
          <w:p>
            <w:pPr>
              <w:ind w:left="100"/>
              <w:spacing w:after="0"/>
              <w:rPr>
                <w:sz w:val="20"/>
                <w:szCs w:val="20"/>
                <w:color w:val="auto"/>
              </w:rPr>
            </w:pPr>
            <w:r>
              <w:rPr>
                <w:rFonts w:ascii="Arial" w:cs="Arial" w:eastAsia="Arial" w:hAnsi="Arial"/>
                <w:sz w:val="14"/>
                <w:szCs w:val="14"/>
                <w:color w:val="auto"/>
              </w:rPr>
              <w:t>Total reclassifications, net of income tax</w:t>
            </w:r>
          </w:p>
        </w:tc>
        <w:tc>
          <w:tcPr>
            <w:tcW w:w="560" w:type="dxa"/>
            <w:vAlign w:val="bottom"/>
            <w:tcBorders>
              <w:top w:val="single" w:sz="8" w:color="auto"/>
            </w:tcBorders>
            <w:vMerge w:val="restart"/>
          </w:tcPr>
          <w:p>
            <w:pPr>
              <w:jc w:val="right"/>
              <w:ind w:right="388"/>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tcBorders>
            <w:vMerge w:val="restart"/>
          </w:tcPr>
          <w:p>
            <w:pPr>
              <w:jc w:val="right"/>
              <w:ind w:right="68"/>
              <w:spacing w:after="0"/>
              <w:rPr>
                <w:sz w:val="20"/>
                <w:szCs w:val="20"/>
                <w:color w:val="auto"/>
              </w:rPr>
            </w:pPr>
            <w:r>
              <w:rPr>
                <w:rFonts w:ascii="Arial" w:cs="Arial" w:eastAsia="Arial" w:hAnsi="Arial"/>
                <w:sz w:val="14"/>
                <w:szCs w:val="14"/>
                <w:color w:val="auto"/>
              </w:rPr>
              <w:t>16</w:t>
            </w:r>
          </w:p>
        </w:tc>
        <w:tc>
          <w:tcPr>
            <w:tcW w:w="120" w:type="dxa"/>
            <w:vAlign w:val="bottom"/>
          </w:tcPr>
          <w:p>
            <w:pPr>
              <w:spacing w:after="0"/>
              <w:rPr>
                <w:sz w:val="14"/>
                <w:szCs w:val="14"/>
                <w:color w:val="auto"/>
              </w:rPr>
            </w:pPr>
          </w:p>
        </w:tc>
        <w:tc>
          <w:tcPr>
            <w:tcW w:w="540" w:type="dxa"/>
            <w:vAlign w:val="bottom"/>
            <w:tcBorders>
              <w:top w:val="single" w:sz="8" w:color="auto"/>
            </w:tcBorders>
            <w:vMerge w:val="restart"/>
          </w:tcPr>
          <w:p>
            <w:pPr>
              <w:jc w:val="right"/>
              <w:ind w:right="368"/>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tcBorders>
            <w:vMerge w:val="restart"/>
          </w:tcPr>
          <w:p>
            <w:pPr>
              <w:jc w:val="right"/>
              <w:ind w:right="28"/>
              <w:spacing w:after="0"/>
              <w:rPr>
                <w:sz w:val="20"/>
                <w:szCs w:val="20"/>
                <w:color w:val="auto"/>
              </w:rPr>
            </w:pPr>
            <w:r>
              <w:rPr>
                <w:rFonts w:ascii="Arial" w:cs="Arial" w:eastAsia="Arial" w:hAnsi="Arial"/>
                <w:sz w:val="14"/>
                <w:szCs w:val="14"/>
                <w:color w:val="auto"/>
              </w:rPr>
              <w:t>42</w:t>
            </w:r>
          </w:p>
        </w:tc>
        <w:tc>
          <w:tcPr>
            <w:tcW w:w="120" w:type="dxa"/>
            <w:vAlign w:val="bottom"/>
          </w:tcPr>
          <w:p>
            <w:pPr>
              <w:spacing w:after="0"/>
              <w:rPr>
                <w:sz w:val="14"/>
                <w:szCs w:val="14"/>
                <w:color w:val="auto"/>
              </w:rPr>
            </w:pPr>
          </w:p>
        </w:tc>
        <w:tc>
          <w:tcPr>
            <w:tcW w:w="520" w:type="dxa"/>
            <w:vAlign w:val="bottom"/>
            <w:tcBorders>
              <w:top w:val="single" w:sz="8" w:color="auto"/>
            </w:tcBorders>
            <w:vMerge w:val="restart"/>
          </w:tcPr>
          <w:p>
            <w:pPr>
              <w:jc w:val="right"/>
              <w:ind w:right="348"/>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(31)</w:t>
            </w:r>
          </w:p>
        </w:tc>
        <w:tc>
          <w:tcPr>
            <w:tcW w:w="100" w:type="dxa"/>
            <w:vAlign w:val="bottom"/>
          </w:tcPr>
          <w:p>
            <w:pPr>
              <w:spacing w:after="0"/>
              <w:rPr>
                <w:sz w:val="14"/>
                <w:szCs w:val="14"/>
                <w:color w:val="auto"/>
              </w:rPr>
            </w:pPr>
          </w:p>
        </w:tc>
        <w:tc>
          <w:tcPr>
            <w:tcW w:w="560" w:type="dxa"/>
            <w:vAlign w:val="bottom"/>
            <w:tcBorders>
              <w:top w:val="single" w:sz="8" w:color="auto"/>
            </w:tcBorders>
            <w:vMerge w:val="restart"/>
          </w:tcPr>
          <w:p>
            <w:pPr>
              <w:jc w:val="right"/>
              <w:ind w:right="388"/>
              <w:spacing w:after="0"/>
              <w:rPr>
                <w:sz w:val="20"/>
                <w:szCs w:val="20"/>
                <w:color w:val="auto"/>
              </w:rPr>
            </w:pPr>
            <w:r>
              <w:rPr>
                <w:rFonts w:ascii="Arial" w:cs="Arial" w:eastAsia="Arial" w:hAnsi="Arial"/>
                <w:sz w:val="14"/>
                <w:szCs w:val="14"/>
                <w:color w:val="auto"/>
              </w:rPr>
              <w:t>$</w:t>
            </w:r>
          </w:p>
        </w:tc>
        <w:tc>
          <w:tcPr>
            <w:tcW w:w="680" w:type="dxa"/>
            <w:vAlign w:val="bottom"/>
            <w:tcBorders>
              <w:top w:val="single" w:sz="8" w:color="auto"/>
            </w:tcBorders>
            <w:vMerge w:val="restart"/>
          </w:tcPr>
          <w:p>
            <w:pPr>
              <w:jc w:val="right"/>
              <w:ind w:right="28"/>
              <w:spacing w:after="0"/>
              <w:rPr>
                <w:sz w:val="20"/>
                <w:szCs w:val="20"/>
                <w:color w:val="auto"/>
              </w:rPr>
            </w:pPr>
            <w:r>
              <w:rPr>
                <w:rFonts w:ascii="Arial" w:cs="Arial" w:eastAsia="Arial" w:hAnsi="Arial"/>
                <w:sz w:val="14"/>
                <w:szCs w:val="14"/>
                <w:color w:val="auto"/>
              </w:rPr>
              <w:t>29</w:t>
            </w:r>
          </w:p>
        </w:tc>
        <w:tc>
          <w:tcPr>
            <w:tcW w:w="2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5"/>
        </w:trPr>
        <w:tc>
          <w:tcPr>
            <w:tcW w:w="3660" w:type="dxa"/>
            <w:vAlign w:val="bottom"/>
          </w:tcPr>
          <w:p>
            <w:pPr>
              <w:spacing w:after="0"/>
              <w:rPr>
                <w:sz w:val="5"/>
                <w:szCs w:val="5"/>
                <w:color w:val="auto"/>
              </w:rPr>
            </w:pPr>
          </w:p>
        </w:tc>
        <w:tc>
          <w:tcPr>
            <w:tcW w:w="560" w:type="dxa"/>
            <w:vAlign w:val="bottom"/>
            <w:tcBorders>
              <w:bottom w:val="single" w:sz="8" w:color="auto"/>
            </w:tcBorders>
            <w:vMerge w:val="continue"/>
          </w:tcPr>
          <w:p>
            <w:pPr>
              <w:spacing w:after="0"/>
              <w:rPr>
                <w:sz w:val="5"/>
                <w:szCs w:val="5"/>
                <w:color w:val="auto"/>
              </w:rPr>
            </w:pPr>
          </w:p>
        </w:tc>
        <w:tc>
          <w:tcPr>
            <w:tcW w:w="740" w:type="dxa"/>
            <w:vAlign w:val="bottom"/>
            <w:tcBorders>
              <w:bottom w:val="single" w:sz="8" w:color="auto"/>
            </w:tcBorders>
            <w:vMerge w:val="continue"/>
          </w:tcPr>
          <w:p>
            <w:pPr>
              <w:spacing w:after="0"/>
              <w:rPr>
                <w:sz w:val="5"/>
                <w:szCs w:val="5"/>
                <w:color w:val="auto"/>
              </w:rPr>
            </w:pPr>
          </w:p>
        </w:tc>
        <w:tc>
          <w:tcPr>
            <w:tcW w:w="120" w:type="dxa"/>
            <w:vAlign w:val="bottom"/>
          </w:tcPr>
          <w:p>
            <w:pPr>
              <w:spacing w:after="0"/>
              <w:rPr>
                <w:sz w:val="5"/>
                <w:szCs w:val="5"/>
                <w:color w:val="auto"/>
              </w:rPr>
            </w:pPr>
          </w:p>
        </w:tc>
        <w:tc>
          <w:tcPr>
            <w:tcW w:w="540" w:type="dxa"/>
            <w:vAlign w:val="bottom"/>
            <w:tcBorders>
              <w:bottom w:val="single" w:sz="8" w:color="auto"/>
            </w:tcBorders>
            <w:vMerge w:val="continue"/>
          </w:tcPr>
          <w:p>
            <w:pPr>
              <w:spacing w:after="0"/>
              <w:rPr>
                <w:sz w:val="5"/>
                <w:szCs w:val="5"/>
                <w:color w:val="auto"/>
              </w:rPr>
            </w:pPr>
          </w:p>
        </w:tc>
        <w:tc>
          <w:tcPr>
            <w:tcW w:w="700" w:type="dxa"/>
            <w:vAlign w:val="bottom"/>
            <w:tcBorders>
              <w:bottom w:val="single" w:sz="8" w:color="auto"/>
            </w:tcBorders>
            <w:vMerge w:val="continue"/>
          </w:tcPr>
          <w:p>
            <w:pPr>
              <w:spacing w:after="0"/>
              <w:rPr>
                <w:sz w:val="5"/>
                <w:szCs w:val="5"/>
                <w:color w:val="auto"/>
              </w:rPr>
            </w:pPr>
          </w:p>
        </w:tc>
        <w:tc>
          <w:tcPr>
            <w:tcW w:w="120" w:type="dxa"/>
            <w:vAlign w:val="bottom"/>
          </w:tcPr>
          <w:p>
            <w:pPr>
              <w:spacing w:after="0"/>
              <w:rPr>
                <w:sz w:val="5"/>
                <w:szCs w:val="5"/>
                <w:color w:val="auto"/>
              </w:rPr>
            </w:pPr>
          </w:p>
        </w:tc>
        <w:tc>
          <w:tcPr>
            <w:tcW w:w="520" w:type="dxa"/>
            <w:vAlign w:val="bottom"/>
            <w:tcBorders>
              <w:bottom w:val="single" w:sz="8" w:color="auto"/>
            </w:tcBorders>
            <w:vMerge w:val="continue"/>
          </w:tcPr>
          <w:p>
            <w:pPr>
              <w:spacing w:after="0"/>
              <w:rPr>
                <w:sz w:val="5"/>
                <w:szCs w:val="5"/>
                <w:color w:val="auto"/>
              </w:rPr>
            </w:pPr>
          </w:p>
        </w:tc>
        <w:tc>
          <w:tcPr>
            <w:tcW w:w="720" w:type="dxa"/>
            <w:vAlign w:val="bottom"/>
            <w:tcBorders>
              <w:bottom w:val="single" w:sz="8" w:color="auto"/>
            </w:tcBorders>
            <w:vMerge w:val="continue"/>
          </w:tcPr>
          <w:p>
            <w:pPr>
              <w:spacing w:after="0"/>
              <w:rPr>
                <w:sz w:val="5"/>
                <w:szCs w:val="5"/>
                <w:color w:val="auto"/>
              </w:rPr>
            </w:pPr>
          </w:p>
        </w:tc>
        <w:tc>
          <w:tcPr>
            <w:tcW w:w="100" w:type="dxa"/>
            <w:vAlign w:val="bottom"/>
          </w:tcPr>
          <w:p>
            <w:pPr>
              <w:spacing w:after="0"/>
              <w:rPr>
                <w:sz w:val="5"/>
                <w:szCs w:val="5"/>
                <w:color w:val="auto"/>
              </w:rPr>
            </w:pPr>
          </w:p>
        </w:tc>
        <w:tc>
          <w:tcPr>
            <w:tcW w:w="560" w:type="dxa"/>
            <w:vAlign w:val="bottom"/>
            <w:tcBorders>
              <w:bottom w:val="single" w:sz="8" w:color="auto"/>
            </w:tcBorders>
            <w:vMerge w:val="continue"/>
          </w:tcPr>
          <w:p>
            <w:pPr>
              <w:spacing w:after="0"/>
              <w:rPr>
                <w:sz w:val="5"/>
                <w:szCs w:val="5"/>
                <w:color w:val="auto"/>
              </w:rPr>
            </w:pPr>
          </w:p>
        </w:tc>
        <w:tc>
          <w:tcPr>
            <w:tcW w:w="680" w:type="dxa"/>
            <w:vAlign w:val="bottom"/>
            <w:tcBorders>
              <w:bottom w:val="single" w:sz="8" w:color="auto"/>
            </w:tcBorders>
            <w:vMerge w:val="continue"/>
          </w:tcPr>
          <w:p>
            <w:pPr>
              <w:spacing w:after="0"/>
              <w:rPr>
                <w:sz w:val="5"/>
                <w:szCs w:val="5"/>
                <w:color w:val="auto"/>
              </w:rPr>
            </w:pPr>
          </w:p>
        </w:tc>
        <w:tc>
          <w:tcPr>
            <w:tcW w:w="24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366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20"/>
          </w:cols>
          <w:pgMar w:left="240" w:top="288" w:right="239" w:bottom="1440" w:gutter="0" w:footer="0" w:header="0"/>
          <w:type w:val="continuous"/>
        </w:sectPr>
      </w:pPr>
    </w:p>
    <w:bookmarkStart w:id="66" w:name="page67"/>
    <w:bookmarkEnd w:id="66"/>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Brighthouse Financial,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Interim Condensed Consolidated and Combined Financial Statements (Unaudited) — (continued)</w:t>
      </w: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Other Expenses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Information on other expenses was as follows:</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60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500" w:type="dxa"/>
            <w:vAlign w:val="bottom"/>
            <w:gridSpan w:val="3"/>
          </w:tcPr>
          <w:p>
            <w:pPr>
              <w:jc w:val="center"/>
              <w:ind w:left="503"/>
              <w:spacing w:after="0"/>
              <w:rPr>
                <w:sz w:val="20"/>
                <w:szCs w:val="20"/>
                <w:color w:val="auto"/>
              </w:rPr>
            </w:pPr>
            <w:r>
              <w:rPr>
                <w:rFonts w:ascii="Arial" w:cs="Arial" w:eastAsia="Arial" w:hAnsi="Arial"/>
                <w:sz w:val="13"/>
                <w:szCs w:val="13"/>
                <w:b w:val="1"/>
                <w:bCs w:val="1"/>
                <w:color w:val="auto"/>
                <w:w w:val="89"/>
              </w:rPr>
              <w:t>Three Months</w:t>
            </w: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360" w:type="dxa"/>
            <w:vAlign w:val="bottom"/>
            <w:gridSpan w:val="3"/>
          </w:tcPr>
          <w:p>
            <w:pPr>
              <w:jc w:val="center"/>
              <w:ind w:left="383"/>
              <w:spacing w:after="0"/>
              <w:rPr>
                <w:sz w:val="20"/>
                <w:szCs w:val="20"/>
                <w:color w:val="auto"/>
              </w:rPr>
            </w:pPr>
            <w:r>
              <w:rPr>
                <w:rFonts w:ascii="Arial" w:cs="Arial" w:eastAsia="Arial" w:hAnsi="Arial"/>
                <w:sz w:val="13"/>
                <w:szCs w:val="13"/>
                <w:b w:val="1"/>
                <w:bCs w:val="1"/>
                <w:color w:val="auto"/>
                <w:w w:val="89"/>
              </w:rPr>
              <w:t>Nine Months</w:t>
            </w:r>
          </w:p>
        </w:tc>
        <w:tc>
          <w:tcPr>
            <w:tcW w:w="840" w:type="dxa"/>
            <w:vAlign w:val="bottom"/>
          </w:tcPr>
          <w:p>
            <w:pPr>
              <w:spacing w:after="0"/>
              <w:rPr>
                <w:sz w:val="13"/>
                <w:szCs w:val="13"/>
                <w:color w:val="auto"/>
              </w:rPr>
            </w:pPr>
          </w:p>
        </w:tc>
      </w:tr>
      <w:tr>
        <w:trPr>
          <w:trHeight w:val="135"/>
        </w:trPr>
        <w:tc>
          <w:tcPr>
            <w:tcW w:w="60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500" w:type="dxa"/>
            <w:vAlign w:val="bottom"/>
            <w:gridSpan w:val="3"/>
          </w:tcPr>
          <w:p>
            <w:pPr>
              <w:jc w:val="center"/>
              <w:ind w:left="483"/>
              <w:spacing w:after="0" w:line="135" w:lineRule="exact"/>
              <w:rPr>
                <w:sz w:val="20"/>
                <w:szCs w:val="20"/>
                <w:color w:val="auto"/>
              </w:rPr>
            </w:pPr>
            <w:r>
              <w:rPr>
                <w:rFonts w:ascii="Arial" w:cs="Arial" w:eastAsia="Arial" w:hAnsi="Arial"/>
                <w:sz w:val="13"/>
                <w:szCs w:val="13"/>
                <w:b w:val="1"/>
                <w:bCs w:val="1"/>
                <w:color w:val="auto"/>
                <w:w w:val="85"/>
              </w:rPr>
              <w:t>Ended</w:t>
            </w: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360" w:type="dxa"/>
            <w:vAlign w:val="bottom"/>
            <w:gridSpan w:val="3"/>
          </w:tcPr>
          <w:p>
            <w:pPr>
              <w:jc w:val="center"/>
              <w:ind w:left="363"/>
              <w:spacing w:after="0" w:line="135" w:lineRule="exact"/>
              <w:rPr>
                <w:sz w:val="20"/>
                <w:szCs w:val="20"/>
                <w:color w:val="auto"/>
              </w:rPr>
            </w:pPr>
            <w:r>
              <w:rPr>
                <w:rFonts w:ascii="Arial" w:cs="Arial" w:eastAsia="Arial" w:hAnsi="Arial"/>
                <w:sz w:val="13"/>
                <w:szCs w:val="13"/>
                <w:b w:val="1"/>
                <w:bCs w:val="1"/>
                <w:color w:val="auto"/>
                <w:w w:val="90"/>
              </w:rPr>
              <w:t>Ended</w:t>
            </w:r>
          </w:p>
        </w:tc>
        <w:tc>
          <w:tcPr>
            <w:tcW w:w="840" w:type="dxa"/>
            <w:vAlign w:val="bottom"/>
          </w:tcPr>
          <w:p>
            <w:pPr>
              <w:spacing w:after="0"/>
              <w:rPr>
                <w:sz w:val="11"/>
                <w:szCs w:val="11"/>
                <w:color w:val="auto"/>
              </w:rPr>
            </w:pPr>
          </w:p>
        </w:tc>
      </w:tr>
      <w:tr>
        <w:trPr>
          <w:trHeight w:val="174"/>
        </w:trPr>
        <w:tc>
          <w:tcPr>
            <w:tcW w:w="606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gridSpan w:val="3"/>
          </w:tcPr>
          <w:p>
            <w:pPr>
              <w:jc w:val="center"/>
              <w:ind w:left="503"/>
              <w:spacing w:after="0"/>
              <w:rPr>
                <w:sz w:val="20"/>
                <w:szCs w:val="20"/>
                <w:color w:val="auto"/>
              </w:rPr>
            </w:pPr>
            <w:r>
              <w:rPr>
                <w:rFonts w:ascii="Arial" w:cs="Arial" w:eastAsia="Arial" w:hAnsi="Arial"/>
                <w:sz w:val="13"/>
                <w:szCs w:val="13"/>
                <w:b w:val="1"/>
                <w:bCs w:val="1"/>
                <w:color w:val="auto"/>
                <w:w w:val="85"/>
              </w:rPr>
              <w:t>September 30,</w:t>
            </w:r>
          </w:p>
        </w:tc>
        <w:tc>
          <w:tcPr>
            <w:tcW w:w="8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gridSpan w:val="3"/>
          </w:tcPr>
          <w:p>
            <w:pPr>
              <w:jc w:val="center"/>
              <w:ind w:left="403"/>
              <w:spacing w:after="0"/>
              <w:rPr>
                <w:sz w:val="20"/>
                <w:szCs w:val="20"/>
                <w:color w:val="auto"/>
              </w:rPr>
            </w:pPr>
            <w:r>
              <w:rPr>
                <w:rFonts w:ascii="Arial" w:cs="Arial" w:eastAsia="Arial" w:hAnsi="Arial"/>
                <w:sz w:val="13"/>
                <w:szCs w:val="13"/>
                <w:b w:val="1"/>
                <w:bCs w:val="1"/>
                <w:color w:val="auto"/>
                <w:w w:val="85"/>
              </w:rPr>
              <w:t>September 30,</w:t>
            </w:r>
          </w:p>
        </w:tc>
        <w:tc>
          <w:tcPr>
            <w:tcW w:w="840" w:type="dxa"/>
            <w:vAlign w:val="bottom"/>
            <w:tcBorders>
              <w:bottom w:val="single" w:sz="8" w:color="auto"/>
            </w:tcBorders>
          </w:tcPr>
          <w:p>
            <w:pPr>
              <w:spacing w:after="0"/>
              <w:rPr>
                <w:sz w:val="15"/>
                <w:szCs w:val="15"/>
                <w:color w:val="auto"/>
              </w:rPr>
            </w:pPr>
          </w:p>
        </w:tc>
      </w:tr>
      <w:tr>
        <w:trPr>
          <w:trHeight w:val="264"/>
        </w:trPr>
        <w:tc>
          <w:tcPr>
            <w:tcW w:w="606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23"/>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400"/>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383"/>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400"/>
              <w:spacing w:after="0"/>
              <w:rPr>
                <w:sz w:val="20"/>
                <w:szCs w:val="20"/>
                <w:color w:val="auto"/>
              </w:rPr>
            </w:pPr>
            <w:r>
              <w:rPr>
                <w:rFonts w:ascii="Arial" w:cs="Arial" w:eastAsia="Arial" w:hAnsi="Arial"/>
                <w:sz w:val="14"/>
                <w:szCs w:val="14"/>
                <w:b w:val="1"/>
                <w:bCs w:val="1"/>
                <w:color w:val="auto"/>
              </w:rPr>
              <w:t>2016</w:t>
            </w:r>
          </w:p>
        </w:tc>
      </w:tr>
      <w:tr>
        <w:trPr>
          <w:trHeight w:val="250"/>
        </w:trPr>
        <w:tc>
          <w:tcPr>
            <w:tcW w:w="60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6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millions)</w:t>
            </w:r>
          </w:p>
        </w:tc>
        <w:tc>
          <w:tcPr>
            <w:tcW w:w="8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40" w:type="dxa"/>
            <w:vAlign w:val="bottom"/>
          </w:tcPr>
          <w:p>
            <w:pPr>
              <w:spacing w:after="0"/>
              <w:rPr>
                <w:sz w:val="21"/>
                <w:szCs w:val="21"/>
                <w:color w:val="auto"/>
              </w:rPr>
            </w:pPr>
          </w:p>
        </w:tc>
      </w:tr>
      <w:tr>
        <w:trPr>
          <w:trHeight w:val="256"/>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Compensation</w:t>
            </w: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84</w:t>
            </w: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72</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213</w:t>
            </w: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300</w:t>
            </w:r>
          </w:p>
        </w:tc>
      </w:tr>
      <w:tr>
        <w:trPr>
          <w:trHeight w:val="237"/>
        </w:trPr>
        <w:tc>
          <w:tcPr>
            <w:tcW w:w="6060" w:type="dxa"/>
            <w:vAlign w:val="bottom"/>
          </w:tcPr>
          <w:p>
            <w:pPr>
              <w:ind w:left="40"/>
              <w:spacing w:after="0"/>
              <w:rPr>
                <w:sz w:val="20"/>
                <w:szCs w:val="20"/>
                <w:color w:val="auto"/>
              </w:rPr>
            </w:pPr>
            <w:r>
              <w:rPr>
                <w:rFonts w:ascii="Arial" w:cs="Arial" w:eastAsia="Arial" w:hAnsi="Arial"/>
                <w:sz w:val="16"/>
                <w:szCs w:val="16"/>
                <w:color w:val="auto"/>
              </w:rPr>
              <w:t>Commissions</w:t>
            </w:r>
          </w:p>
        </w:tc>
        <w:tc>
          <w:tcPr>
            <w:tcW w:w="300" w:type="dxa"/>
            <w:vAlign w:val="bottom"/>
          </w:tcPr>
          <w:p>
            <w:pPr>
              <w:spacing w:after="0"/>
              <w:rPr>
                <w:sz w:val="20"/>
                <w:szCs w:val="20"/>
                <w:color w:val="auto"/>
              </w:rPr>
            </w:pPr>
          </w:p>
        </w:tc>
        <w:tc>
          <w:tcPr>
            <w:tcW w:w="980" w:type="dxa"/>
            <w:vAlign w:val="bottom"/>
          </w:tcPr>
          <w:p>
            <w:pPr>
              <w:jc w:val="right"/>
              <w:ind w:right="43"/>
              <w:spacing w:after="0"/>
              <w:rPr>
                <w:sz w:val="20"/>
                <w:szCs w:val="20"/>
                <w:color w:val="auto"/>
              </w:rPr>
            </w:pPr>
            <w:r>
              <w:rPr>
                <w:rFonts w:ascii="Arial" w:cs="Arial" w:eastAsia="Arial" w:hAnsi="Arial"/>
                <w:sz w:val="16"/>
                <w:szCs w:val="16"/>
                <w:color w:val="auto"/>
              </w:rPr>
              <w:t>212</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156</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40" w:type="dxa"/>
            <w:vAlign w:val="bottom"/>
          </w:tcPr>
          <w:p>
            <w:pPr>
              <w:jc w:val="right"/>
              <w:ind w:right="23"/>
              <w:spacing w:after="0"/>
              <w:rPr>
                <w:sz w:val="20"/>
                <w:szCs w:val="20"/>
                <w:color w:val="auto"/>
              </w:rPr>
            </w:pPr>
            <w:r>
              <w:rPr>
                <w:rFonts w:ascii="Arial" w:cs="Arial" w:eastAsia="Arial" w:hAnsi="Arial"/>
                <w:sz w:val="16"/>
                <w:szCs w:val="16"/>
                <w:color w:val="auto"/>
              </w:rPr>
              <w:t>602</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40" w:type="dxa"/>
            <w:vAlign w:val="bottom"/>
          </w:tcPr>
          <w:p>
            <w:pPr>
              <w:jc w:val="right"/>
              <w:ind w:right="20"/>
              <w:spacing w:after="0"/>
              <w:rPr>
                <w:sz w:val="20"/>
                <w:szCs w:val="20"/>
                <w:color w:val="auto"/>
              </w:rPr>
            </w:pPr>
            <w:r>
              <w:rPr>
                <w:rFonts w:ascii="Arial" w:cs="Arial" w:eastAsia="Arial" w:hAnsi="Arial"/>
                <w:sz w:val="16"/>
                <w:szCs w:val="16"/>
                <w:color w:val="auto"/>
              </w:rPr>
              <w:t>470</w:t>
            </w:r>
          </w:p>
        </w:tc>
      </w:tr>
      <w:tr>
        <w:trPr>
          <w:trHeight w:val="33"/>
        </w:trPr>
        <w:tc>
          <w:tcPr>
            <w:tcW w:w="6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Volume-related costs</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112</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151</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375</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404</w:t>
            </w:r>
          </w:p>
        </w:tc>
      </w:tr>
      <w:tr>
        <w:trPr>
          <w:trHeight w:val="237"/>
        </w:trPr>
        <w:tc>
          <w:tcPr>
            <w:tcW w:w="6060" w:type="dxa"/>
            <w:vAlign w:val="bottom"/>
          </w:tcPr>
          <w:p>
            <w:pPr>
              <w:ind w:left="40"/>
              <w:spacing w:after="0"/>
              <w:rPr>
                <w:sz w:val="20"/>
                <w:szCs w:val="20"/>
                <w:color w:val="auto"/>
              </w:rPr>
            </w:pPr>
            <w:r>
              <w:rPr>
                <w:rFonts w:ascii="Arial" w:cs="Arial" w:eastAsia="Arial" w:hAnsi="Arial"/>
                <w:sz w:val="16"/>
                <w:szCs w:val="16"/>
                <w:color w:val="auto"/>
              </w:rPr>
              <w:t>Related party expenses on ceded and assumed reinsurance</w:t>
            </w:r>
          </w:p>
        </w:tc>
        <w:tc>
          <w:tcPr>
            <w:tcW w:w="300" w:type="dxa"/>
            <w:vAlign w:val="bottom"/>
          </w:tcPr>
          <w:p>
            <w:pPr>
              <w:spacing w:after="0"/>
              <w:rPr>
                <w:sz w:val="20"/>
                <w:szCs w:val="20"/>
                <w:color w:val="auto"/>
              </w:rPr>
            </w:pPr>
          </w:p>
        </w:tc>
        <w:tc>
          <w:tcPr>
            <w:tcW w:w="980" w:type="dxa"/>
            <w:vAlign w:val="bottom"/>
          </w:tcPr>
          <w:p>
            <w:pPr>
              <w:jc w:val="right"/>
              <w:ind w:right="43"/>
              <w:spacing w:after="0"/>
              <w:rPr>
                <w:sz w:val="20"/>
                <w:szCs w:val="20"/>
                <w:color w:val="auto"/>
              </w:rPr>
            </w:pPr>
            <w:r>
              <w:rPr>
                <w:rFonts w:ascii="Arial" w:cs="Arial" w:eastAsia="Arial" w:hAnsi="Arial"/>
                <w:sz w:val="16"/>
                <w:szCs w:val="16"/>
                <w:color w:val="auto"/>
              </w:rPr>
              <w:t>4</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15</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40" w:type="dxa"/>
            <w:vAlign w:val="bottom"/>
          </w:tcPr>
          <w:p>
            <w:pPr>
              <w:jc w:val="right"/>
              <w:ind w:right="23"/>
              <w:spacing w:after="0"/>
              <w:rPr>
                <w:sz w:val="20"/>
                <w:szCs w:val="20"/>
                <w:color w:val="auto"/>
              </w:rPr>
            </w:pPr>
            <w:r>
              <w:rPr>
                <w:rFonts w:ascii="Arial" w:cs="Arial" w:eastAsia="Arial" w:hAnsi="Arial"/>
                <w:sz w:val="16"/>
                <w:szCs w:val="16"/>
                <w:color w:val="auto"/>
              </w:rPr>
              <w:t>30</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40" w:type="dxa"/>
            <w:vAlign w:val="bottom"/>
          </w:tcPr>
          <w:p>
            <w:pPr>
              <w:jc w:val="right"/>
              <w:ind w:right="20"/>
              <w:spacing w:after="0"/>
              <w:rPr>
                <w:sz w:val="20"/>
                <w:szCs w:val="20"/>
                <w:color w:val="auto"/>
              </w:rPr>
            </w:pPr>
            <w:r>
              <w:rPr>
                <w:rFonts w:ascii="Arial" w:cs="Arial" w:eastAsia="Arial" w:hAnsi="Arial"/>
                <w:sz w:val="16"/>
                <w:szCs w:val="16"/>
                <w:color w:val="auto"/>
              </w:rPr>
              <w:t>16</w:t>
            </w:r>
          </w:p>
        </w:tc>
      </w:tr>
      <w:tr>
        <w:trPr>
          <w:trHeight w:val="33"/>
        </w:trPr>
        <w:tc>
          <w:tcPr>
            <w:tcW w:w="6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Capitalization of DAC</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(72)</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(71)</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(187)</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(255)</w:t>
            </w:r>
          </w:p>
        </w:tc>
      </w:tr>
      <w:tr>
        <w:trPr>
          <w:trHeight w:val="237"/>
        </w:trPr>
        <w:tc>
          <w:tcPr>
            <w:tcW w:w="6060" w:type="dxa"/>
            <w:vAlign w:val="bottom"/>
          </w:tcPr>
          <w:p>
            <w:pPr>
              <w:ind w:left="40"/>
              <w:spacing w:after="0"/>
              <w:rPr>
                <w:sz w:val="20"/>
                <w:szCs w:val="20"/>
                <w:color w:val="auto"/>
              </w:rPr>
            </w:pPr>
            <w:r>
              <w:rPr>
                <w:rFonts w:ascii="Arial" w:cs="Arial" w:eastAsia="Arial" w:hAnsi="Arial"/>
                <w:sz w:val="16"/>
                <w:szCs w:val="16"/>
                <w:color w:val="auto"/>
              </w:rPr>
              <w:t>Interest expense on debt</w:t>
            </w:r>
          </w:p>
        </w:tc>
        <w:tc>
          <w:tcPr>
            <w:tcW w:w="300" w:type="dxa"/>
            <w:vAlign w:val="bottom"/>
          </w:tcPr>
          <w:p>
            <w:pPr>
              <w:spacing w:after="0"/>
              <w:rPr>
                <w:sz w:val="20"/>
                <w:szCs w:val="20"/>
                <w:color w:val="auto"/>
              </w:rPr>
            </w:pPr>
          </w:p>
        </w:tc>
        <w:tc>
          <w:tcPr>
            <w:tcW w:w="980" w:type="dxa"/>
            <w:vAlign w:val="bottom"/>
          </w:tcPr>
          <w:p>
            <w:pPr>
              <w:jc w:val="right"/>
              <w:ind w:right="43"/>
              <w:spacing w:after="0"/>
              <w:rPr>
                <w:sz w:val="20"/>
                <w:szCs w:val="20"/>
                <w:color w:val="auto"/>
              </w:rPr>
            </w:pPr>
            <w:r>
              <w:rPr>
                <w:rFonts w:ascii="Arial" w:cs="Arial" w:eastAsia="Arial" w:hAnsi="Arial"/>
                <w:sz w:val="16"/>
                <w:szCs w:val="16"/>
                <w:color w:val="auto"/>
              </w:rPr>
              <w:t>34</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44</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40" w:type="dxa"/>
            <w:vAlign w:val="bottom"/>
          </w:tcPr>
          <w:p>
            <w:pPr>
              <w:jc w:val="right"/>
              <w:ind w:right="23"/>
              <w:spacing w:after="0"/>
              <w:rPr>
                <w:sz w:val="20"/>
                <w:szCs w:val="20"/>
                <w:color w:val="auto"/>
              </w:rPr>
            </w:pPr>
            <w:r>
              <w:rPr>
                <w:rFonts w:ascii="Arial" w:cs="Arial" w:eastAsia="Arial" w:hAnsi="Arial"/>
                <w:sz w:val="16"/>
                <w:szCs w:val="16"/>
                <w:color w:val="auto"/>
              </w:rPr>
              <w:t>116</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40" w:type="dxa"/>
            <w:vAlign w:val="bottom"/>
          </w:tcPr>
          <w:p>
            <w:pPr>
              <w:jc w:val="right"/>
              <w:ind w:right="20"/>
              <w:spacing w:after="0"/>
              <w:rPr>
                <w:sz w:val="20"/>
                <w:szCs w:val="20"/>
                <w:color w:val="auto"/>
              </w:rPr>
            </w:pPr>
            <w:r>
              <w:rPr>
                <w:rFonts w:ascii="Arial" w:cs="Arial" w:eastAsia="Arial" w:hAnsi="Arial"/>
                <w:sz w:val="16"/>
                <w:szCs w:val="16"/>
                <w:color w:val="auto"/>
              </w:rPr>
              <w:t>132</w:t>
            </w:r>
          </w:p>
        </w:tc>
      </w:tr>
      <w:tr>
        <w:trPr>
          <w:trHeight w:val="33"/>
        </w:trPr>
        <w:tc>
          <w:tcPr>
            <w:tcW w:w="6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Premium taxes, licenses and fees</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16</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14</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49</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47</w:t>
            </w:r>
          </w:p>
        </w:tc>
      </w:tr>
      <w:tr>
        <w:trPr>
          <w:trHeight w:val="237"/>
        </w:trPr>
        <w:tc>
          <w:tcPr>
            <w:tcW w:w="6060" w:type="dxa"/>
            <w:vAlign w:val="bottom"/>
          </w:tcPr>
          <w:p>
            <w:pPr>
              <w:ind w:left="40"/>
              <w:spacing w:after="0"/>
              <w:rPr>
                <w:sz w:val="20"/>
                <w:szCs w:val="20"/>
                <w:color w:val="auto"/>
              </w:rPr>
            </w:pPr>
            <w:r>
              <w:rPr>
                <w:rFonts w:ascii="Arial" w:cs="Arial" w:eastAsia="Arial" w:hAnsi="Arial"/>
                <w:sz w:val="16"/>
                <w:szCs w:val="16"/>
                <w:color w:val="auto"/>
              </w:rPr>
              <w:t>Professional services</w:t>
            </w:r>
          </w:p>
        </w:tc>
        <w:tc>
          <w:tcPr>
            <w:tcW w:w="300" w:type="dxa"/>
            <w:vAlign w:val="bottom"/>
          </w:tcPr>
          <w:p>
            <w:pPr>
              <w:spacing w:after="0"/>
              <w:rPr>
                <w:sz w:val="20"/>
                <w:szCs w:val="20"/>
                <w:color w:val="auto"/>
              </w:rPr>
            </w:pPr>
          </w:p>
        </w:tc>
        <w:tc>
          <w:tcPr>
            <w:tcW w:w="980" w:type="dxa"/>
            <w:vAlign w:val="bottom"/>
          </w:tcPr>
          <w:p>
            <w:pPr>
              <w:jc w:val="right"/>
              <w:ind w:right="43"/>
              <w:spacing w:after="0"/>
              <w:rPr>
                <w:sz w:val="20"/>
                <w:szCs w:val="20"/>
                <w:color w:val="auto"/>
              </w:rPr>
            </w:pPr>
            <w:r>
              <w:rPr>
                <w:rFonts w:ascii="Arial" w:cs="Arial" w:eastAsia="Arial" w:hAnsi="Arial"/>
                <w:sz w:val="16"/>
                <w:szCs w:val="16"/>
                <w:color w:val="auto"/>
              </w:rPr>
              <w:t>76</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32</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40" w:type="dxa"/>
            <w:vAlign w:val="bottom"/>
          </w:tcPr>
          <w:p>
            <w:pPr>
              <w:jc w:val="right"/>
              <w:ind w:right="23"/>
              <w:spacing w:after="0"/>
              <w:rPr>
                <w:sz w:val="20"/>
                <w:szCs w:val="20"/>
                <w:color w:val="auto"/>
              </w:rPr>
            </w:pPr>
            <w:r>
              <w:rPr>
                <w:rFonts w:ascii="Arial" w:cs="Arial" w:eastAsia="Arial" w:hAnsi="Arial"/>
                <w:sz w:val="16"/>
                <w:szCs w:val="16"/>
                <w:color w:val="auto"/>
              </w:rPr>
              <w:t>164</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40" w:type="dxa"/>
            <w:vAlign w:val="bottom"/>
          </w:tcPr>
          <w:p>
            <w:pPr>
              <w:jc w:val="right"/>
              <w:ind w:right="20"/>
              <w:spacing w:after="0"/>
              <w:rPr>
                <w:sz w:val="20"/>
                <w:szCs w:val="20"/>
                <w:color w:val="auto"/>
              </w:rPr>
            </w:pPr>
            <w:r>
              <w:rPr>
                <w:rFonts w:ascii="Arial" w:cs="Arial" w:eastAsia="Arial" w:hAnsi="Arial"/>
                <w:sz w:val="16"/>
                <w:szCs w:val="16"/>
                <w:color w:val="auto"/>
              </w:rPr>
              <w:t>60</w:t>
            </w:r>
          </w:p>
        </w:tc>
      </w:tr>
      <w:tr>
        <w:trPr>
          <w:trHeight w:val="33"/>
        </w:trPr>
        <w:tc>
          <w:tcPr>
            <w:tcW w:w="6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Rent and related expenses</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9</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10</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39</w:t>
            </w:r>
          </w:p>
        </w:tc>
      </w:tr>
      <w:tr>
        <w:trPr>
          <w:trHeight w:val="237"/>
        </w:trPr>
        <w:tc>
          <w:tcPr>
            <w:tcW w:w="6060" w:type="dxa"/>
            <w:vAlign w:val="bottom"/>
          </w:tcPr>
          <w:p>
            <w:pPr>
              <w:ind w:left="40"/>
              <w:spacing w:after="0"/>
              <w:rPr>
                <w:sz w:val="20"/>
                <w:szCs w:val="20"/>
                <w:color w:val="auto"/>
              </w:rPr>
            </w:pPr>
            <w:r>
              <w:rPr>
                <w:rFonts w:ascii="Arial" w:cs="Arial" w:eastAsia="Arial" w:hAnsi="Arial"/>
                <w:sz w:val="16"/>
                <w:szCs w:val="16"/>
                <w:color w:val="auto"/>
              </w:rPr>
              <w:t>Other</w:t>
            </w:r>
          </w:p>
        </w:tc>
        <w:tc>
          <w:tcPr>
            <w:tcW w:w="300" w:type="dxa"/>
            <w:vAlign w:val="bottom"/>
          </w:tcPr>
          <w:p>
            <w:pPr>
              <w:spacing w:after="0"/>
              <w:rPr>
                <w:sz w:val="20"/>
                <w:szCs w:val="20"/>
                <w:color w:val="auto"/>
              </w:rPr>
            </w:pPr>
          </w:p>
        </w:tc>
        <w:tc>
          <w:tcPr>
            <w:tcW w:w="980" w:type="dxa"/>
            <w:vAlign w:val="bottom"/>
          </w:tcPr>
          <w:p>
            <w:pPr>
              <w:jc w:val="right"/>
              <w:ind w:right="43"/>
              <w:spacing w:after="0"/>
              <w:rPr>
                <w:sz w:val="20"/>
                <w:szCs w:val="20"/>
                <w:color w:val="auto"/>
              </w:rPr>
            </w:pPr>
            <w:r>
              <w:rPr>
                <w:rFonts w:ascii="Arial" w:cs="Arial" w:eastAsia="Arial" w:hAnsi="Arial"/>
                <w:sz w:val="16"/>
                <w:szCs w:val="16"/>
                <w:color w:val="auto"/>
              </w:rPr>
              <w:t>143</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97</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40" w:type="dxa"/>
            <w:vAlign w:val="bottom"/>
          </w:tcPr>
          <w:p>
            <w:pPr>
              <w:jc w:val="right"/>
              <w:ind w:right="23"/>
              <w:spacing w:after="0"/>
              <w:rPr>
                <w:sz w:val="20"/>
                <w:szCs w:val="20"/>
                <w:color w:val="auto"/>
              </w:rPr>
            </w:pPr>
            <w:r>
              <w:rPr>
                <w:rFonts w:ascii="Arial" w:cs="Arial" w:eastAsia="Arial" w:hAnsi="Arial"/>
                <w:sz w:val="16"/>
                <w:szCs w:val="16"/>
                <w:color w:val="auto"/>
              </w:rPr>
              <w:t>417</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40" w:type="dxa"/>
            <w:vAlign w:val="bottom"/>
          </w:tcPr>
          <w:p>
            <w:pPr>
              <w:jc w:val="right"/>
              <w:ind w:right="20"/>
              <w:spacing w:after="0"/>
              <w:rPr>
                <w:sz w:val="20"/>
                <w:szCs w:val="20"/>
                <w:color w:val="auto"/>
              </w:rPr>
            </w:pPr>
            <w:r>
              <w:rPr>
                <w:rFonts w:ascii="Arial" w:cs="Arial" w:eastAsia="Arial" w:hAnsi="Arial"/>
                <w:sz w:val="16"/>
                <w:szCs w:val="16"/>
                <w:color w:val="auto"/>
              </w:rPr>
              <w:t>351</w:t>
            </w:r>
          </w:p>
        </w:tc>
      </w:tr>
      <w:tr>
        <w:trPr>
          <w:trHeight w:val="33"/>
        </w:trPr>
        <w:tc>
          <w:tcPr>
            <w:tcW w:w="60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55"/>
        </w:trPr>
        <w:tc>
          <w:tcPr>
            <w:tcW w:w="6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Total other expenses</w:t>
            </w: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611</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519</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1,789</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1,564</w:t>
            </w:r>
          </w:p>
        </w:tc>
      </w:tr>
      <w:tr>
        <w:trPr>
          <w:trHeight w:val="20"/>
        </w:trPr>
        <w:tc>
          <w:tcPr>
            <w:tcW w:w="60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Related Party Expenses</w:t>
      </w:r>
    </w:p>
    <w:p>
      <w:pPr>
        <w:spacing w:after="0" w:line="11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Commissions and capitalization of DAC include the impact of related party reinsurance transactions. See Note 12 for a discussion of related party expenses included in the table above.</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Earnings Per Share</w:t>
      </w:r>
    </w:p>
    <w:p>
      <w:pPr>
        <w:spacing w:after="0" w:line="121"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The following table sets forth the calculation of basic earnings per share (“EPS”) based on net income (loss) divided by the basic weighted average number of common shares.</w:t>
      </w:r>
    </w:p>
    <w:p>
      <w:pPr>
        <w:sectPr>
          <w:pgSz w:w="11900" w:h="16838" w:orient="portrait"/>
          <w:cols w:equalWidth="0" w:num="1">
            <w:col w:w="11420"/>
          </w:cols>
          <w:pgMar w:left="240" w:top="234"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40"/>
        <w:spacing w:after="0"/>
        <w:rPr>
          <w:sz w:val="20"/>
          <w:szCs w:val="20"/>
          <w:color w:val="auto"/>
        </w:rPr>
      </w:pPr>
      <w:r>
        <w:rPr>
          <w:rFonts w:ascii="Arial" w:cs="Arial" w:eastAsia="Arial" w:hAnsi="Arial"/>
          <w:sz w:val="16"/>
          <w:szCs w:val="16"/>
          <w:color w:val="auto"/>
        </w:rPr>
        <w:t>Weighted Average Shares:</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Shares outstanding</w:t>
      </w:r>
    </w:p>
    <w:p>
      <w:pPr>
        <w:spacing w:after="0" w:line="113" w:lineRule="exact"/>
        <w:rPr>
          <w:sz w:val="20"/>
          <w:szCs w:val="20"/>
          <w:color w:val="auto"/>
        </w:rPr>
      </w:pPr>
    </w:p>
    <w:p>
      <w:pPr>
        <w:ind w:left="40"/>
        <w:spacing w:after="0"/>
        <w:rPr>
          <w:sz w:val="20"/>
          <w:szCs w:val="20"/>
          <w:color w:val="auto"/>
        </w:rPr>
      </w:pPr>
      <w:r>
        <w:rPr>
          <w:rFonts w:ascii="Arial" w:cs="Arial" w:eastAsia="Arial" w:hAnsi="Arial"/>
          <w:sz w:val="14"/>
          <w:szCs w:val="14"/>
          <w:color w:val="auto"/>
        </w:rPr>
        <w:t>Incremental common shares from assumed:</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6"/>
          <w:szCs w:val="16"/>
          <w:color w:val="auto"/>
        </w:rPr>
        <w:t>Net income (loss)</w:t>
      </w:r>
    </w:p>
    <w:p>
      <w:pPr>
        <w:spacing w:after="0" w:line="113" w:lineRule="exact"/>
        <w:rPr>
          <w:sz w:val="20"/>
          <w:szCs w:val="20"/>
          <w:color w:val="auto"/>
        </w:rPr>
      </w:pPr>
    </w:p>
    <w:p>
      <w:pPr>
        <w:ind w:left="40"/>
        <w:spacing w:after="0"/>
        <w:rPr>
          <w:sz w:val="20"/>
          <w:szCs w:val="20"/>
          <w:color w:val="auto"/>
        </w:rPr>
      </w:pPr>
      <w:r>
        <w:rPr>
          <w:rFonts w:ascii="Arial" w:cs="Arial" w:eastAsia="Arial" w:hAnsi="Arial"/>
          <w:sz w:val="16"/>
          <w:szCs w:val="16"/>
          <w:color w:val="auto"/>
        </w:rPr>
        <w:t>Earnings per share</w:t>
      </w:r>
    </w:p>
    <w:p>
      <w:pPr>
        <w:spacing w:after="0" w:line="64"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w:t>
      </w:r>
    </w:p>
    <w:p>
      <w:pPr>
        <w:spacing w:after="0" w:line="20" w:lineRule="exact"/>
        <w:rPr>
          <w:sz w:val="20"/>
          <w:szCs w:val="20"/>
          <w:color w:val="auto"/>
        </w:rPr>
      </w:pPr>
      <w:r>
        <w:rPr>
          <w:sz w:val="20"/>
          <w:szCs w:val="20"/>
          <w:color w:val="auto"/>
        </w:rPr>
        <w:br w:type="column"/>
      </w:r>
    </w:p>
    <w:p>
      <w:pPr>
        <w:spacing w:after="0" w:line="7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80" w:type="dxa"/>
            <w:vAlign w:val="bottom"/>
            <w:gridSpan w:val="3"/>
          </w:tcPr>
          <w:p>
            <w:pPr>
              <w:jc w:val="center"/>
              <w:ind w:left="704"/>
              <w:spacing w:after="0"/>
              <w:rPr>
                <w:sz w:val="20"/>
                <w:szCs w:val="20"/>
                <w:color w:val="auto"/>
              </w:rPr>
            </w:pPr>
            <w:r>
              <w:rPr>
                <w:rFonts w:ascii="Arial" w:cs="Arial" w:eastAsia="Arial" w:hAnsi="Arial"/>
                <w:sz w:val="14"/>
                <w:szCs w:val="14"/>
                <w:b w:val="1"/>
                <w:bCs w:val="1"/>
                <w:color w:val="auto"/>
                <w:w w:val="93"/>
              </w:rPr>
              <w:t>Three Months</w:t>
            </w: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40" w:type="dxa"/>
            <w:vAlign w:val="bottom"/>
            <w:gridSpan w:val="3"/>
          </w:tcPr>
          <w:p>
            <w:pPr>
              <w:jc w:val="center"/>
              <w:ind w:left="684"/>
              <w:spacing w:after="0"/>
              <w:rPr>
                <w:sz w:val="20"/>
                <w:szCs w:val="20"/>
                <w:color w:val="auto"/>
              </w:rPr>
            </w:pPr>
            <w:r>
              <w:rPr>
                <w:rFonts w:ascii="Arial" w:cs="Arial" w:eastAsia="Arial" w:hAnsi="Arial"/>
                <w:sz w:val="14"/>
                <w:szCs w:val="14"/>
                <w:b w:val="1"/>
                <w:bCs w:val="1"/>
                <w:color w:val="auto"/>
                <w:w w:val="95"/>
              </w:rPr>
              <w:t>Nine Months</w:t>
            </w: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80" w:type="dxa"/>
            <w:vAlign w:val="bottom"/>
            <w:gridSpan w:val="3"/>
          </w:tcPr>
          <w:p>
            <w:pPr>
              <w:jc w:val="center"/>
              <w:ind w:left="644"/>
              <w:spacing w:after="0" w:line="149" w:lineRule="exact"/>
              <w:rPr>
                <w:sz w:val="20"/>
                <w:szCs w:val="20"/>
                <w:color w:val="auto"/>
              </w:rPr>
            </w:pPr>
            <w:r>
              <w:rPr>
                <w:rFonts w:ascii="Arial" w:cs="Arial" w:eastAsia="Arial" w:hAnsi="Arial"/>
                <w:sz w:val="14"/>
                <w:szCs w:val="14"/>
                <w:b w:val="1"/>
                <w:bCs w:val="1"/>
                <w:color w:val="auto"/>
                <w:w w:val="93"/>
              </w:rPr>
              <w:t>Ended</w:t>
            </w: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40" w:type="dxa"/>
            <w:vAlign w:val="bottom"/>
            <w:gridSpan w:val="3"/>
          </w:tcPr>
          <w:p>
            <w:pPr>
              <w:jc w:val="center"/>
              <w:ind w:left="644"/>
              <w:spacing w:after="0" w:line="149" w:lineRule="exact"/>
              <w:rPr>
                <w:sz w:val="20"/>
                <w:szCs w:val="20"/>
                <w:color w:val="auto"/>
              </w:rPr>
            </w:pPr>
            <w:r>
              <w:rPr>
                <w:rFonts w:ascii="Arial" w:cs="Arial" w:eastAsia="Arial" w:hAnsi="Arial"/>
                <w:sz w:val="14"/>
                <w:szCs w:val="14"/>
                <w:b w:val="1"/>
                <w:bCs w:val="1"/>
                <w:color w:val="auto"/>
                <w:w w:val="93"/>
              </w:rPr>
              <w:t>Ended</w:t>
            </w:r>
          </w:p>
        </w:tc>
        <w:tc>
          <w:tcPr>
            <w:tcW w:w="1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12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3"/>
          </w:tcPr>
          <w:p>
            <w:pPr>
              <w:jc w:val="center"/>
              <w:ind w:left="684"/>
              <w:spacing w:after="0"/>
              <w:rPr>
                <w:sz w:val="20"/>
                <w:szCs w:val="20"/>
                <w:color w:val="auto"/>
              </w:rPr>
            </w:pPr>
            <w:r>
              <w:rPr>
                <w:rFonts w:ascii="Arial" w:cs="Arial" w:eastAsia="Arial" w:hAnsi="Arial"/>
                <w:sz w:val="14"/>
                <w:szCs w:val="14"/>
                <w:b w:val="1"/>
                <w:bCs w:val="1"/>
                <w:color w:val="auto"/>
                <w:w w:val="91"/>
              </w:rPr>
              <w:t>September 30,</w:t>
            </w:r>
          </w:p>
        </w:tc>
        <w:tc>
          <w:tcPr>
            <w:tcW w:w="11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3"/>
          </w:tcPr>
          <w:p>
            <w:pPr>
              <w:jc w:val="center"/>
              <w:ind w:left="684"/>
              <w:spacing w:after="0"/>
              <w:rPr>
                <w:sz w:val="20"/>
                <w:szCs w:val="20"/>
                <w:color w:val="auto"/>
              </w:rPr>
            </w:pPr>
            <w:r>
              <w:rPr>
                <w:rFonts w:ascii="Arial" w:cs="Arial" w:eastAsia="Arial" w:hAnsi="Arial"/>
                <w:sz w:val="14"/>
                <w:szCs w:val="14"/>
                <w:b w:val="1"/>
                <w:bCs w:val="1"/>
                <w:color w:val="auto"/>
                <w:w w:val="91"/>
              </w:rPr>
              <w:t>September 30,</w:t>
            </w:r>
          </w:p>
        </w:tc>
        <w:tc>
          <w:tcPr>
            <w:tcW w:w="10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60" w:type="dxa"/>
            <w:vAlign w:val="bottom"/>
            <w:vMerge w:val="restart"/>
          </w:tcPr>
          <w:p>
            <w:pPr>
              <w:jc w:val="right"/>
              <w:ind w:right="544"/>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20" w:type="dxa"/>
            <w:vAlign w:val="bottom"/>
            <w:gridSpan w:val="2"/>
          </w:tcPr>
          <w:p>
            <w:pPr>
              <w:ind w:left="20"/>
              <w:spacing w:after="0" w:line="153" w:lineRule="exact"/>
              <w:rPr>
                <w:sz w:val="20"/>
                <w:szCs w:val="20"/>
                <w:color w:val="auto"/>
              </w:rPr>
            </w:pPr>
            <w:r>
              <w:rPr>
                <w:rFonts w:ascii="Arial" w:cs="Arial" w:eastAsia="Arial" w:hAnsi="Arial"/>
                <w:sz w:val="14"/>
                <w:szCs w:val="14"/>
                <w:b w:val="1"/>
                <w:bCs w:val="1"/>
                <w:color w:val="auto"/>
              </w:rPr>
              <w:t>Pro forma</w:t>
            </w:r>
          </w:p>
        </w:tc>
        <w:tc>
          <w:tcPr>
            <w:tcW w:w="320" w:type="dxa"/>
            <w:vAlign w:val="bottom"/>
          </w:tcPr>
          <w:p>
            <w:pPr>
              <w:spacing w:after="0"/>
              <w:rPr>
                <w:sz w:val="13"/>
                <w:szCs w:val="13"/>
                <w:color w:val="auto"/>
              </w:rPr>
            </w:pPr>
          </w:p>
        </w:tc>
        <w:tc>
          <w:tcPr>
            <w:tcW w:w="1140" w:type="dxa"/>
            <w:vAlign w:val="bottom"/>
            <w:vMerge w:val="restart"/>
          </w:tcPr>
          <w:p>
            <w:pPr>
              <w:jc w:val="right"/>
              <w:ind w:right="524"/>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60" w:type="dxa"/>
            <w:vAlign w:val="bottom"/>
          </w:tcPr>
          <w:p>
            <w:pPr>
              <w:jc w:val="right"/>
              <w:ind w:right="343"/>
              <w:spacing w:after="0" w:line="153" w:lineRule="exact"/>
              <w:rPr>
                <w:sz w:val="20"/>
                <w:szCs w:val="20"/>
                <w:color w:val="auto"/>
              </w:rPr>
            </w:pPr>
            <w:r>
              <w:rPr>
                <w:rFonts w:ascii="Arial" w:cs="Arial" w:eastAsia="Arial" w:hAnsi="Arial"/>
                <w:sz w:val="14"/>
                <w:szCs w:val="14"/>
                <w:b w:val="1"/>
                <w:bCs w:val="1"/>
                <w:color w:val="auto"/>
                <w:w w:val="93"/>
              </w:rPr>
              <w:t>Pro forma</w:t>
            </w:r>
          </w:p>
        </w:tc>
        <w:tc>
          <w:tcPr>
            <w:tcW w:w="0" w:type="dxa"/>
            <w:vAlign w:val="bottom"/>
          </w:tcPr>
          <w:p>
            <w:pPr>
              <w:spacing w:after="0"/>
              <w:rPr>
                <w:sz w:val="1"/>
                <w:szCs w:val="1"/>
                <w:color w:val="auto"/>
              </w:rPr>
            </w:pPr>
          </w:p>
        </w:tc>
      </w:tr>
      <w:tr>
        <w:trPr>
          <w:trHeight w:val="192"/>
        </w:trPr>
        <w:tc>
          <w:tcPr>
            <w:tcW w:w="12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43"/>
              <w:spacing w:after="0"/>
              <w:rPr>
                <w:sz w:val="20"/>
                <w:szCs w:val="20"/>
                <w:color w:val="auto"/>
              </w:rPr>
            </w:pPr>
            <w:r>
              <w:rPr>
                <w:rFonts w:ascii="Arial" w:cs="Arial" w:eastAsia="Arial" w:hAnsi="Arial"/>
                <w:sz w:val="14"/>
                <w:szCs w:val="14"/>
                <w:b w:val="1"/>
                <w:bCs w:val="1"/>
                <w:color w:val="auto"/>
              </w:rPr>
              <w:t>2016 (1)</w:t>
            </w:r>
          </w:p>
        </w:tc>
        <w:tc>
          <w:tcPr>
            <w:tcW w:w="1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03"/>
              <w:spacing w:after="0"/>
              <w:rPr>
                <w:sz w:val="20"/>
                <w:szCs w:val="20"/>
                <w:color w:val="auto"/>
              </w:rPr>
            </w:pPr>
            <w:r>
              <w:rPr>
                <w:rFonts w:ascii="Arial" w:cs="Arial" w:eastAsia="Arial" w:hAnsi="Arial"/>
                <w:sz w:val="14"/>
                <w:szCs w:val="14"/>
                <w:b w:val="1"/>
                <w:bCs w:val="1"/>
                <w:color w:val="auto"/>
              </w:rPr>
              <w:t>2016 (1)</w:t>
            </w:r>
          </w:p>
        </w:tc>
        <w:tc>
          <w:tcPr>
            <w:tcW w:w="0" w:type="dxa"/>
            <w:vAlign w:val="bottom"/>
          </w:tcPr>
          <w:p>
            <w:pPr>
              <w:spacing w:after="0"/>
              <w:rPr>
                <w:sz w:val="1"/>
                <w:szCs w:val="1"/>
                <w:color w:val="auto"/>
              </w:rPr>
            </w:pPr>
          </w:p>
        </w:tc>
      </w:tr>
      <w:tr>
        <w:trPr>
          <w:trHeight w:val="258"/>
        </w:trPr>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180" w:type="dxa"/>
            <w:vAlign w:val="bottom"/>
            <w:gridSpan w:val="6"/>
          </w:tcPr>
          <w:p>
            <w:pPr>
              <w:ind w:left="140"/>
              <w:spacing w:after="0"/>
              <w:rPr>
                <w:sz w:val="20"/>
                <w:szCs w:val="20"/>
                <w:color w:val="auto"/>
              </w:rPr>
            </w:pPr>
            <w:r>
              <w:rPr>
                <w:rFonts w:ascii="Arial" w:cs="Arial" w:eastAsia="Arial" w:hAnsi="Arial"/>
                <w:sz w:val="14"/>
                <w:szCs w:val="14"/>
                <w:b w:val="1"/>
                <w:bCs w:val="1"/>
                <w:color w:val="auto"/>
              </w:rPr>
              <w:t>(In millions, except share and per share data)</w:t>
            </w:r>
          </w:p>
        </w:tc>
        <w:tc>
          <w:tcPr>
            <w:tcW w:w="4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06"/>
        </w:trPr>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jc w:val="right"/>
              <w:ind w:right="44"/>
              <w:spacing w:after="0"/>
              <w:rPr>
                <w:sz w:val="20"/>
                <w:szCs w:val="20"/>
                <w:color w:val="auto"/>
              </w:rPr>
            </w:pPr>
            <w:r>
              <w:rPr>
                <w:rFonts w:ascii="Arial" w:cs="Arial" w:eastAsia="Arial" w:hAnsi="Arial"/>
                <w:sz w:val="16"/>
                <w:szCs w:val="16"/>
                <w:color w:val="auto"/>
              </w:rPr>
              <w:t>119,773,106</w:t>
            </w: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00" w:type="dxa"/>
            <w:vAlign w:val="bottom"/>
          </w:tcPr>
          <w:p>
            <w:pPr>
              <w:jc w:val="right"/>
              <w:ind w:right="43"/>
              <w:spacing w:after="0"/>
              <w:rPr>
                <w:sz w:val="20"/>
                <w:szCs w:val="20"/>
                <w:color w:val="auto"/>
              </w:rPr>
            </w:pPr>
            <w:r>
              <w:rPr>
                <w:rFonts w:ascii="Arial" w:cs="Arial" w:eastAsia="Arial" w:hAnsi="Arial"/>
                <w:sz w:val="16"/>
                <w:szCs w:val="16"/>
                <w:color w:val="auto"/>
              </w:rPr>
              <w:t>119,773,106</w:t>
            </w: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jc w:val="right"/>
              <w:ind w:right="44"/>
              <w:spacing w:after="0"/>
              <w:rPr>
                <w:sz w:val="20"/>
                <w:szCs w:val="20"/>
                <w:color w:val="auto"/>
              </w:rPr>
            </w:pPr>
            <w:r>
              <w:rPr>
                <w:rFonts w:ascii="Arial" w:cs="Arial" w:eastAsia="Arial" w:hAnsi="Arial"/>
                <w:sz w:val="16"/>
                <w:szCs w:val="16"/>
                <w:color w:val="auto"/>
              </w:rPr>
              <w:t>119,773,106</w:t>
            </w: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60" w:type="dxa"/>
            <w:vAlign w:val="bottom"/>
          </w:tcPr>
          <w:p>
            <w:pPr>
              <w:jc w:val="right"/>
              <w:ind w:right="23"/>
              <w:spacing w:after="0"/>
              <w:rPr>
                <w:sz w:val="20"/>
                <w:szCs w:val="20"/>
                <w:color w:val="auto"/>
              </w:rPr>
            </w:pPr>
            <w:r>
              <w:rPr>
                <w:rFonts w:ascii="Arial" w:cs="Arial" w:eastAsia="Arial" w:hAnsi="Arial"/>
                <w:sz w:val="16"/>
                <w:szCs w:val="16"/>
                <w:color w:val="auto"/>
              </w:rPr>
              <w:t>119,773,106</w:t>
            </w:r>
          </w:p>
        </w:tc>
        <w:tc>
          <w:tcPr>
            <w:tcW w:w="0" w:type="dxa"/>
            <w:vAlign w:val="bottom"/>
          </w:tcPr>
          <w:p>
            <w:pPr>
              <w:spacing w:after="0"/>
              <w:rPr>
                <w:sz w:val="1"/>
                <w:szCs w:val="1"/>
                <w:color w:val="auto"/>
              </w:rPr>
            </w:pPr>
          </w:p>
        </w:tc>
      </w:tr>
      <w:tr>
        <w:trPr>
          <w:trHeight w:val="33"/>
        </w:trPr>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4"/>
        </w:trPr>
        <w:tc>
          <w:tcPr>
            <w:tcW w:w="120" w:type="dxa"/>
            <w:vAlign w:val="bottom"/>
          </w:tcPr>
          <w:p>
            <w:pPr>
              <w:spacing w:after="0"/>
              <w:rPr>
                <w:sz w:val="24"/>
                <w:szCs w:val="24"/>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ind w:right="4"/>
              <w:spacing w:after="0"/>
              <w:rPr>
                <w:sz w:val="20"/>
                <w:szCs w:val="20"/>
                <w:color w:val="auto"/>
              </w:rPr>
            </w:pPr>
            <w:r>
              <w:rPr>
                <w:rFonts w:ascii="Arial" w:cs="Arial" w:eastAsia="Arial" w:hAnsi="Arial"/>
                <w:sz w:val="16"/>
                <w:szCs w:val="16"/>
                <w:color w:val="auto"/>
              </w:rPr>
              <w:t>(943)</w:t>
            </w:r>
          </w:p>
        </w:tc>
        <w:tc>
          <w:tcPr>
            <w:tcW w:w="120" w:type="dxa"/>
            <w:vAlign w:val="bottom"/>
          </w:tcPr>
          <w:p>
            <w:pPr>
              <w:spacing w:after="0"/>
              <w:rPr>
                <w:sz w:val="24"/>
                <w:szCs w:val="24"/>
                <w:color w:val="auto"/>
              </w:rPr>
            </w:pPr>
          </w:p>
        </w:tc>
        <w:tc>
          <w:tcPr>
            <w:tcW w:w="400" w:type="dxa"/>
            <w:vAlign w:val="bottom"/>
          </w:tcPr>
          <w:p>
            <w:pPr>
              <w:jc w:val="right"/>
              <w:ind w:right="222"/>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ind w:right="3"/>
              <w:spacing w:after="0"/>
              <w:rPr>
                <w:sz w:val="20"/>
                <w:szCs w:val="20"/>
                <w:color w:val="auto"/>
              </w:rPr>
            </w:pPr>
            <w:r>
              <w:rPr>
                <w:rFonts w:ascii="Arial" w:cs="Arial" w:eastAsia="Arial" w:hAnsi="Arial"/>
                <w:sz w:val="16"/>
                <w:szCs w:val="16"/>
                <w:color w:val="auto"/>
              </w:rPr>
              <w:t>(158)</w:t>
            </w:r>
          </w:p>
        </w:tc>
        <w:tc>
          <w:tcPr>
            <w:tcW w:w="120" w:type="dxa"/>
            <w:vAlign w:val="bottom"/>
          </w:tcPr>
          <w:p>
            <w:pPr>
              <w:spacing w:after="0"/>
              <w:rPr>
                <w:sz w:val="24"/>
                <w:szCs w:val="24"/>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(1,046)</w:t>
            </w:r>
          </w:p>
        </w:tc>
        <w:tc>
          <w:tcPr>
            <w:tcW w:w="100" w:type="dxa"/>
            <w:vAlign w:val="bottom"/>
          </w:tcPr>
          <w:p>
            <w:pPr>
              <w:spacing w:after="0"/>
              <w:rPr>
                <w:sz w:val="24"/>
                <w:szCs w:val="24"/>
                <w:color w:val="auto"/>
              </w:rPr>
            </w:pPr>
          </w:p>
        </w:tc>
        <w:tc>
          <w:tcPr>
            <w:tcW w:w="400" w:type="dxa"/>
            <w:vAlign w:val="bottom"/>
          </w:tcPr>
          <w:p>
            <w:pPr>
              <w:jc w:val="right"/>
              <w:ind w:right="219"/>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(1,174)</w:t>
            </w:r>
          </w:p>
        </w:tc>
        <w:tc>
          <w:tcPr>
            <w:tcW w:w="0" w:type="dxa"/>
            <w:vAlign w:val="bottom"/>
          </w:tcPr>
          <w:p>
            <w:pPr>
              <w:spacing w:after="0"/>
              <w:rPr>
                <w:sz w:val="1"/>
                <w:szCs w:val="1"/>
                <w:color w:val="auto"/>
              </w:rPr>
            </w:pPr>
          </w:p>
        </w:tc>
      </w:tr>
      <w:tr>
        <w:trPr>
          <w:trHeight w:val="33"/>
        </w:trPr>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120" w:type="dxa"/>
            <w:vAlign w:val="bottom"/>
          </w:tcPr>
          <w:p>
            <w:pPr>
              <w:spacing w:after="0"/>
              <w:rPr>
                <w:sz w:val="17"/>
                <w:szCs w:val="17"/>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ind w:right="4"/>
              <w:spacing w:after="0"/>
              <w:rPr>
                <w:sz w:val="20"/>
                <w:szCs w:val="20"/>
                <w:color w:val="auto"/>
              </w:rPr>
            </w:pPr>
            <w:r>
              <w:rPr>
                <w:rFonts w:ascii="Arial" w:cs="Arial" w:eastAsia="Arial" w:hAnsi="Arial"/>
                <w:sz w:val="16"/>
                <w:szCs w:val="16"/>
                <w:color w:val="auto"/>
              </w:rPr>
              <w:t>(7.87)</w:t>
            </w:r>
          </w:p>
        </w:tc>
        <w:tc>
          <w:tcPr>
            <w:tcW w:w="120" w:type="dxa"/>
            <w:vAlign w:val="bottom"/>
          </w:tcPr>
          <w:p>
            <w:pPr>
              <w:spacing w:after="0"/>
              <w:rPr>
                <w:sz w:val="17"/>
                <w:szCs w:val="17"/>
                <w:color w:val="auto"/>
              </w:rPr>
            </w:pPr>
          </w:p>
        </w:tc>
        <w:tc>
          <w:tcPr>
            <w:tcW w:w="400" w:type="dxa"/>
            <w:vAlign w:val="bottom"/>
          </w:tcPr>
          <w:p>
            <w:pPr>
              <w:jc w:val="right"/>
              <w:ind w:right="222"/>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ind w:right="3"/>
              <w:spacing w:after="0"/>
              <w:rPr>
                <w:sz w:val="20"/>
                <w:szCs w:val="20"/>
                <w:color w:val="auto"/>
              </w:rPr>
            </w:pPr>
            <w:r>
              <w:rPr>
                <w:rFonts w:ascii="Arial" w:cs="Arial" w:eastAsia="Arial" w:hAnsi="Arial"/>
                <w:sz w:val="16"/>
                <w:szCs w:val="16"/>
                <w:color w:val="auto"/>
              </w:rPr>
              <w:t>(1.32)</w:t>
            </w:r>
          </w:p>
        </w:tc>
        <w:tc>
          <w:tcPr>
            <w:tcW w:w="120" w:type="dxa"/>
            <w:vAlign w:val="bottom"/>
          </w:tcPr>
          <w:p>
            <w:pPr>
              <w:spacing w:after="0"/>
              <w:rPr>
                <w:sz w:val="17"/>
                <w:szCs w:val="17"/>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(8.73)</w:t>
            </w:r>
          </w:p>
        </w:tc>
        <w:tc>
          <w:tcPr>
            <w:tcW w:w="100" w:type="dxa"/>
            <w:vAlign w:val="bottom"/>
          </w:tcPr>
          <w:p>
            <w:pPr>
              <w:spacing w:after="0"/>
              <w:rPr>
                <w:sz w:val="17"/>
                <w:szCs w:val="17"/>
                <w:color w:val="auto"/>
              </w:rPr>
            </w:pPr>
          </w:p>
        </w:tc>
        <w:tc>
          <w:tcPr>
            <w:tcW w:w="400" w:type="dxa"/>
            <w:vAlign w:val="bottom"/>
          </w:tcPr>
          <w:p>
            <w:pPr>
              <w:jc w:val="right"/>
              <w:ind w:right="219"/>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(9.80)</w:t>
            </w:r>
          </w:p>
        </w:tc>
        <w:tc>
          <w:tcPr>
            <w:tcW w:w="0" w:type="dxa"/>
            <w:vAlign w:val="bottom"/>
          </w:tcPr>
          <w:p>
            <w:pPr>
              <w:spacing w:after="0"/>
              <w:rPr>
                <w:sz w:val="1"/>
                <w:szCs w:val="1"/>
                <w:color w:val="auto"/>
              </w:rPr>
            </w:pPr>
          </w:p>
        </w:tc>
      </w:tr>
      <w:tr>
        <w:trPr>
          <w:trHeight w:val="33"/>
        </w:trPr>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-3194685</wp:posOffset>
            </wp:positionH>
            <wp:positionV relativeFrom="paragraph">
              <wp:posOffset>-908685</wp:posOffset>
            </wp:positionV>
            <wp:extent cx="7246620" cy="17145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-3194685</wp:posOffset>
            </wp:positionH>
            <wp:positionV relativeFrom="paragraph">
              <wp:posOffset>-565150</wp:posOffset>
            </wp:positionV>
            <wp:extent cx="7246620" cy="18859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46620" cy="188595"/>
                    </a:xfrm>
                    <a:prstGeom prst="rect">
                      <a:avLst/>
                    </a:prstGeom>
                    <a:noFill/>
                  </pic:spPr>
                </pic:pic>
              </a:graphicData>
            </a:graphic>
          </wp:anchor>
        </w:drawing>
        <w:drawing>
          <wp:anchor simplePos="0" relativeHeight="251657728" behindDoc="1" locked="0" layoutInCell="0" allowOverlap="1">
            <wp:simplePos x="0" y="0"/>
            <wp:positionH relativeFrom="column">
              <wp:posOffset>-3194685</wp:posOffset>
            </wp:positionH>
            <wp:positionV relativeFrom="paragraph">
              <wp:posOffset>-205105</wp:posOffset>
            </wp:positionV>
            <wp:extent cx="7246620" cy="18859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46620" cy="188595"/>
                    </a:xfrm>
                    <a:prstGeom prst="rect">
                      <a:avLst/>
                    </a:prstGeom>
                    <a:noFill/>
                  </pic:spPr>
                </pic:pic>
              </a:graphicData>
            </a:graphic>
          </wp:anchor>
        </w:drawing>
      </w:r>
    </w:p>
    <w:p>
      <w:pPr>
        <w:spacing w:after="0" w:line="342" w:lineRule="exact"/>
        <w:rPr>
          <w:sz w:val="20"/>
          <w:szCs w:val="20"/>
          <w:color w:val="auto"/>
        </w:rPr>
      </w:pPr>
    </w:p>
    <w:p>
      <w:pPr>
        <w:sectPr>
          <w:pgSz w:w="11900" w:h="16838" w:orient="portrait"/>
          <w:cols w:equalWidth="0" w:num="2">
            <w:col w:w="4320" w:space="720"/>
            <w:col w:w="6380"/>
          </w:cols>
          <w:pgMar w:left="240" w:top="234" w:right="239" w:bottom="1440" w:gutter="0" w:footer="0" w:header="0"/>
          <w:type w:val="continuous"/>
        </w:sectPr>
      </w:pPr>
    </w:p>
    <w:p>
      <w:pPr>
        <w:spacing w:after="0" w:line="76" w:lineRule="exact"/>
        <w:rPr>
          <w:sz w:val="20"/>
          <w:szCs w:val="20"/>
          <w:color w:val="auto"/>
        </w:rPr>
      </w:pPr>
    </w:p>
    <w:p>
      <w:pPr>
        <w:ind w:left="500" w:right="20" w:hanging="492"/>
        <w:spacing w:after="0" w:line="277" w:lineRule="auto"/>
        <w:tabs>
          <w:tab w:leader="none" w:pos="5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On August 4, 2017, following the completion of the Separation, 119,773,106 shares of Brighthouse Financial, Inc. common stock were outstanding. This number of shares is utilized to calculate EPS for the three and nine months ended September 30, 2016.</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Contingencies, Commitments and Guarantees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Contingencies</w:t>
      </w:r>
    </w:p>
    <w:p>
      <w:pPr>
        <w:spacing w:after="0" w:line="11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Litigation</w:t>
      </w:r>
    </w:p>
    <w:p>
      <w:pPr>
        <w:spacing w:after="0" w:line="117" w:lineRule="exact"/>
        <w:rPr>
          <w:sz w:val="20"/>
          <w:szCs w:val="20"/>
          <w:color w:val="auto"/>
        </w:rPr>
      </w:pPr>
    </w:p>
    <w:p>
      <w:pPr>
        <w:jc w:val="both"/>
        <w:ind w:left="180" w:firstLine="324"/>
        <w:spacing w:after="0" w:line="259" w:lineRule="auto"/>
        <w:rPr>
          <w:sz w:val="20"/>
          <w:szCs w:val="20"/>
          <w:color w:val="auto"/>
        </w:rPr>
      </w:pPr>
      <w:r>
        <w:rPr>
          <w:rFonts w:ascii="Arial" w:cs="Arial" w:eastAsia="Arial" w:hAnsi="Arial"/>
          <w:sz w:val="18"/>
          <w:szCs w:val="18"/>
          <w:color w:val="auto"/>
        </w:rPr>
        <w:t>The Company is a defendant in a number of litigation matters. In some of the matters, large and/or indeterminate amounts, including punitive and treble damages, are sought. Modern pleading practice in the U.S. permits considerable variation in the assertion of monetary damages or other relief. Jurisdictions may permit claimants not to specify the monetary damages sought or may permit claimants to state only that the amount sought is sufficient to invoke the jurisdiction of the trial court. In addition,</w:t>
      </w:r>
    </w:p>
    <w:p>
      <w:pPr>
        <w:sectPr>
          <w:pgSz w:w="11900" w:h="16838" w:orient="portrait"/>
          <w:cols w:equalWidth="0" w:num="1">
            <w:col w:w="11420"/>
          </w:cols>
          <w:pgMar w:left="240" w:top="234" w:right="239" w:bottom="1440" w:gutter="0" w:footer="0" w:header="0"/>
          <w:type w:val="continuous"/>
        </w:sect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65</w:t>
      </w:r>
    </w:p>
    <w:p>
      <w:pPr>
        <w:sectPr>
          <w:pgSz w:w="11900" w:h="16838" w:orient="portrait"/>
          <w:cols w:equalWidth="0" w:num="1">
            <w:col w:w="11420"/>
          </w:cols>
          <w:pgMar w:left="240" w:top="234" w:right="239" w:bottom="1440" w:gutter="0" w:footer="0" w:header="0"/>
          <w:type w:val="continuous"/>
        </w:sectPr>
      </w:pPr>
    </w:p>
    <w:bookmarkStart w:id="67" w:name="page68"/>
    <w:bookmarkEnd w:id="67"/>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109" w:lineRule="exact"/>
        <w:rPr>
          <w:sz w:val="20"/>
          <w:szCs w:val="20"/>
          <w:color w:val="auto"/>
        </w:rPr>
      </w:pPr>
    </w:p>
    <w:p>
      <w:pPr>
        <w:ind w:left="4660"/>
        <w:spacing w:after="0"/>
        <w:rPr>
          <w:sz w:val="20"/>
          <w:szCs w:val="20"/>
          <w:color w:val="auto"/>
        </w:rPr>
      </w:pPr>
      <w:r>
        <w:rPr>
          <w:rFonts w:ascii="Arial" w:cs="Arial" w:eastAsia="Arial" w:hAnsi="Arial"/>
          <w:sz w:val="18"/>
          <w:szCs w:val="18"/>
          <w:b w:val="1"/>
          <w:bCs w:val="1"/>
          <w:color w:val="auto"/>
        </w:rPr>
        <w:t>Brighthouse Financial, Inc.</w:t>
      </w:r>
    </w:p>
    <w:p>
      <w:pPr>
        <w:spacing w:after="0" w:line="117" w:lineRule="exact"/>
        <w:rPr>
          <w:sz w:val="20"/>
          <w:szCs w:val="20"/>
          <w:color w:val="auto"/>
        </w:rPr>
      </w:pPr>
    </w:p>
    <w:p>
      <w:pPr>
        <w:ind w:left="1480"/>
        <w:spacing w:after="0"/>
        <w:rPr>
          <w:sz w:val="20"/>
          <w:szCs w:val="20"/>
          <w:color w:val="auto"/>
        </w:rPr>
      </w:pPr>
      <w:r>
        <w:rPr>
          <w:rFonts w:ascii="Arial" w:cs="Arial" w:eastAsia="Arial" w:hAnsi="Arial"/>
          <w:sz w:val="18"/>
          <w:szCs w:val="18"/>
          <w:b w:val="1"/>
          <w:bCs w:val="1"/>
          <w:color w:val="auto"/>
        </w:rPr>
        <w:t>Notes to the Interim Condensed Consolidated and Combined Financial Statements (Unaudited) — (continued)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Contingencies, Commitments and Guarantees (continued)</w:t>
      </w:r>
    </w:p>
    <w:p>
      <w:pPr>
        <w:spacing w:after="0" w:line="364" w:lineRule="exact"/>
        <w:rPr>
          <w:sz w:val="20"/>
          <w:szCs w:val="20"/>
          <w:color w:val="auto"/>
        </w:rPr>
      </w:pPr>
    </w:p>
    <w:p>
      <w:pPr>
        <w:jc w:val="both"/>
        <w:ind w:left="180"/>
        <w:spacing w:after="0" w:line="259" w:lineRule="auto"/>
        <w:rPr>
          <w:sz w:val="20"/>
          <w:szCs w:val="20"/>
          <w:color w:val="auto"/>
        </w:rPr>
      </w:pPr>
      <w:r>
        <w:rPr>
          <w:rFonts w:ascii="Arial" w:cs="Arial" w:eastAsia="Arial" w:hAnsi="Arial"/>
          <w:sz w:val="18"/>
          <w:szCs w:val="18"/>
          <w:color w:val="auto"/>
        </w:rPr>
        <w:t>jurisdictions may permit plaintiffs to allege monetary damages in amounts well exceeding reasonably possible verdicts in the jurisdiction for similar matters. This variability in pleadings, together with the actual experience of the Company in litigating or resolving through settlement numerous claims over an extended period of time, demonstrates to management that the monetary relief which may be specified in a lawsuit or claim bears little relevance to its merits or disposition value.</w:t>
      </w:r>
    </w:p>
    <w:p>
      <w:pPr>
        <w:spacing w:after="0" w:line="79" w:lineRule="exact"/>
        <w:rPr>
          <w:sz w:val="20"/>
          <w:szCs w:val="20"/>
          <w:color w:val="auto"/>
        </w:rPr>
      </w:pPr>
    </w:p>
    <w:p>
      <w:pPr>
        <w:jc w:val="both"/>
        <w:ind w:left="180" w:firstLine="324"/>
        <w:spacing w:after="0" w:line="257" w:lineRule="auto"/>
        <w:rPr>
          <w:sz w:val="20"/>
          <w:szCs w:val="20"/>
          <w:color w:val="auto"/>
        </w:rPr>
      </w:pPr>
      <w:r>
        <w:rPr>
          <w:rFonts w:ascii="Arial" w:cs="Arial" w:eastAsia="Arial" w:hAnsi="Arial"/>
          <w:sz w:val="18"/>
          <w:szCs w:val="18"/>
          <w:color w:val="auto"/>
        </w:rPr>
        <w:t>Due to the vagaries of litigation, the outcome of a litigation matter and the amount or range of potential loss at particular points in time may normally be difficult to ascertain. Uncertainties can include how fact finders will evaluate documentary evidence and the credibility and effectiveness of witness testimony, and how trial and appellate courts will apply the law in the context of the pleadings or evidence presented, whether by motion practice, or at trial or on appeal. Disposition valuations are also subject to the uncertainty of how opposing parties and their counsel will themselves view the relevant evidence and applicable law.</w:t>
      </w:r>
    </w:p>
    <w:p>
      <w:pPr>
        <w:spacing w:after="0" w:line="80" w:lineRule="exact"/>
        <w:rPr>
          <w:sz w:val="20"/>
          <w:szCs w:val="20"/>
          <w:color w:val="auto"/>
        </w:rPr>
      </w:pPr>
    </w:p>
    <w:p>
      <w:pPr>
        <w:jc w:val="both"/>
        <w:ind w:left="180" w:firstLine="324"/>
        <w:spacing w:after="0" w:line="264" w:lineRule="auto"/>
        <w:rPr>
          <w:sz w:val="20"/>
          <w:szCs w:val="20"/>
          <w:color w:val="auto"/>
        </w:rPr>
      </w:pPr>
      <w:r>
        <w:rPr>
          <w:rFonts w:ascii="Arial" w:cs="Arial" w:eastAsia="Arial" w:hAnsi="Arial"/>
          <w:sz w:val="18"/>
          <w:szCs w:val="18"/>
          <w:color w:val="auto"/>
        </w:rPr>
        <w:t>The Company establishes liabilities for litigation and regulatory loss contingencies when it is probable that a loss has been incurred and the amount of the loss can be reasonably estimated. It is possible that some matters could require the Company to pay damages or make other expenditures or establish accruals in amounts that could not be estimated at September 30, 2017.</w:t>
      </w:r>
    </w:p>
    <w:p>
      <w:pPr>
        <w:spacing w:after="0" w:line="73" w:lineRule="exact"/>
        <w:rPr>
          <w:sz w:val="20"/>
          <w:szCs w:val="20"/>
          <w:color w:val="auto"/>
        </w:rPr>
      </w:pPr>
    </w:p>
    <w:p>
      <w:pPr>
        <w:ind w:left="340"/>
        <w:spacing w:after="0"/>
        <w:rPr>
          <w:sz w:val="20"/>
          <w:szCs w:val="20"/>
          <w:color w:val="auto"/>
        </w:rPr>
      </w:pPr>
      <w:r>
        <w:rPr>
          <w:rFonts w:ascii="Arial" w:cs="Arial" w:eastAsia="Arial" w:hAnsi="Arial"/>
          <w:sz w:val="18"/>
          <w:szCs w:val="18"/>
          <w:i w:val="1"/>
          <w:iCs w:val="1"/>
          <w:u w:val="single" w:color="auto"/>
          <w:color w:val="auto"/>
        </w:rPr>
        <w:t>Matters as to Which an Estimate Can Be Made</w:t>
      </w:r>
    </w:p>
    <w:p>
      <w:pPr>
        <w:spacing w:after="0" w:line="117" w:lineRule="exact"/>
        <w:rPr>
          <w:sz w:val="20"/>
          <w:szCs w:val="20"/>
          <w:color w:val="auto"/>
        </w:rPr>
      </w:pPr>
    </w:p>
    <w:p>
      <w:pPr>
        <w:jc w:val="both"/>
        <w:ind w:left="340" w:firstLine="324"/>
        <w:spacing w:after="0" w:line="264" w:lineRule="auto"/>
        <w:rPr>
          <w:sz w:val="20"/>
          <w:szCs w:val="20"/>
          <w:color w:val="auto"/>
        </w:rPr>
      </w:pPr>
      <w:r>
        <w:rPr>
          <w:rFonts w:ascii="Arial" w:cs="Arial" w:eastAsia="Arial" w:hAnsi="Arial"/>
          <w:sz w:val="18"/>
          <w:szCs w:val="18"/>
          <w:color w:val="auto"/>
        </w:rPr>
        <w:t>For some loss contingency matters, the Company is able to estimate a reasonably possible range of loss. For such matters where a loss is believed to be reasonably possible, but not probable, no accrual has been made. As of September 30, 2017, the Company estimates the aggregate range of reasonably possible losses in excess of amounts accrued for these matters to be $0 to $10 million.</w:t>
      </w:r>
    </w:p>
    <w:p>
      <w:pPr>
        <w:spacing w:after="0" w:line="73" w:lineRule="exact"/>
        <w:rPr>
          <w:sz w:val="20"/>
          <w:szCs w:val="20"/>
          <w:color w:val="auto"/>
        </w:rPr>
      </w:pPr>
    </w:p>
    <w:p>
      <w:pPr>
        <w:ind w:left="340"/>
        <w:spacing w:after="0"/>
        <w:rPr>
          <w:sz w:val="20"/>
          <w:szCs w:val="20"/>
          <w:color w:val="auto"/>
        </w:rPr>
      </w:pPr>
      <w:r>
        <w:rPr>
          <w:rFonts w:ascii="Arial" w:cs="Arial" w:eastAsia="Arial" w:hAnsi="Arial"/>
          <w:sz w:val="18"/>
          <w:szCs w:val="18"/>
          <w:i w:val="1"/>
          <w:iCs w:val="1"/>
          <w:u w:val="single" w:color="auto"/>
          <w:color w:val="auto"/>
        </w:rPr>
        <w:t>Matters as to Which an Estimate Cannot Be Made</w:t>
      </w:r>
    </w:p>
    <w:p>
      <w:pPr>
        <w:spacing w:after="0" w:line="117" w:lineRule="exact"/>
        <w:rPr>
          <w:sz w:val="20"/>
          <w:szCs w:val="20"/>
          <w:color w:val="auto"/>
        </w:rPr>
      </w:pPr>
    </w:p>
    <w:p>
      <w:pPr>
        <w:jc w:val="both"/>
        <w:ind w:left="340" w:firstLine="324"/>
        <w:spacing w:after="0" w:line="255" w:lineRule="auto"/>
        <w:rPr>
          <w:sz w:val="20"/>
          <w:szCs w:val="20"/>
          <w:color w:val="auto"/>
        </w:rPr>
      </w:pPr>
      <w:r>
        <w:rPr>
          <w:rFonts w:ascii="Arial" w:cs="Arial" w:eastAsia="Arial" w:hAnsi="Arial"/>
          <w:sz w:val="18"/>
          <w:szCs w:val="18"/>
          <w:color w:val="auto"/>
        </w:rPr>
        <w:t>For other matters, the Company is not currently able to estimate the reasonably possible loss or range of loss. The Company is often unable to estimate the possible loss or range of loss until developments in such matters have provided sufficient information to support an assessment of the range of possible loss, such as quantification of a damage demand from plaintiffs, discovery from other parties and investigation of factual allegations, rulings by the court on motions or appeals, analysis by experts, and the progress of settlement negotiations. On a quarterly and annual basis, the Company reviews relevant information with respect to litigation contingencies and updates its accruals, disclosures and estimates of reasonably possible losses or ranges of loss based on such reviews.</w:t>
      </w:r>
    </w:p>
    <w:p>
      <w:pPr>
        <w:spacing w:after="0" w:line="85" w:lineRule="exact"/>
        <w:rPr>
          <w:sz w:val="20"/>
          <w:szCs w:val="20"/>
          <w:color w:val="auto"/>
        </w:rPr>
      </w:pPr>
    </w:p>
    <w:p>
      <w:pPr>
        <w:ind w:left="340"/>
        <w:spacing w:after="0"/>
        <w:rPr>
          <w:sz w:val="20"/>
          <w:szCs w:val="20"/>
          <w:color w:val="auto"/>
        </w:rPr>
      </w:pPr>
      <w:r>
        <w:rPr>
          <w:rFonts w:ascii="Arial" w:cs="Arial" w:eastAsia="Arial" w:hAnsi="Arial"/>
          <w:sz w:val="18"/>
          <w:szCs w:val="18"/>
          <w:i w:val="1"/>
          <w:iCs w:val="1"/>
          <w:u w:val="single" w:color="auto"/>
          <w:color w:val="auto"/>
        </w:rPr>
        <w:t>Diversified Lending Group Litigations</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i w:val="1"/>
          <w:iCs w:val="1"/>
          <w:u w:val="single" w:color="auto"/>
          <w:color w:val="auto"/>
        </w:rPr>
        <w:t>Hartshorne v. NELICO, et al. (Los Angeles County Superior Court, filed March 25, 2015)</w:t>
      </w:r>
    </w:p>
    <w:p>
      <w:pPr>
        <w:spacing w:after="0" w:line="117" w:lineRule="exact"/>
        <w:rPr>
          <w:sz w:val="20"/>
          <w:szCs w:val="20"/>
          <w:color w:val="auto"/>
        </w:rPr>
      </w:pPr>
    </w:p>
    <w:p>
      <w:pPr>
        <w:jc w:val="both"/>
        <w:ind w:left="340" w:firstLine="324"/>
        <w:spacing w:after="0" w:line="272" w:lineRule="auto"/>
        <w:rPr>
          <w:sz w:val="20"/>
          <w:szCs w:val="20"/>
          <w:color w:val="auto"/>
        </w:rPr>
      </w:pPr>
      <w:r>
        <w:rPr>
          <w:rFonts w:ascii="Arial" w:cs="Arial" w:eastAsia="Arial" w:hAnsi="Arial"/>
          <w:sz w:val="17"/>
          <w:szCs w:val="17"/>
          <w:color w:val="auto"/>
        </w:rPr>
        <w:t>Plaintiffs have named NELICO in twelve related lawsuits in California state court alleging various causes of action including multiple negligence and statutory claims relating to the Diversified Lending Group Ponzi scheme. In August of 2016, a trial of claims by one of the 98 plaintiffs, Christine Ramirez, resulted in a verdict against MetLife, Inc., MetLife Securities, and NELICO for approximately $200 thousand in compensatory damages and $15 million in punitive damages. On November 30, 2016, Ramirez consented to the court’s reduction of punitive damages to approximately $7 million. The judgment against NELICO is approximately $2.7 million. The defendants have filed a notice appealing this judgment to the Second Appellate District of the State of California. On May 2, 2017, the court awarded plaintiff approximately $6.5 million in attorneys’ fees and costs. The defendants have appealed this decision. A settlement in principle has been reached with 97 of the plaintiffs including Ramirez.</w:t>
      </w:r>
    </w:p>
    <w:p>
      <w:pPr>
        <w:spacing w:after="0" w:line="70" w:lineRule="exact"/>
        <w:rPr>
          <w:sz w:val="20"/>
          <w:szCs w:val="20"/>
          <w:color w:val="auto"/>
        </w:rPr>
      </w:pPr>
    </w:p>
    <w:p>
      <w:pPr>
        <w:ind w:left="340"/>
        <w:spacing w:after="0"/>
        <w:rPr>
          <w:sz w:val="20"/>
          <w:szCs w:val="20"/>
          <w:color w:val="auto"/>
        </w:rPr>
      </w:pPr>
      <w:r>
        <w:rPr>
          <w:rFonts w:ascii="Arial" w:cs="Arial" w:eastAsia="Arial" w:hAnsi="Arial"/>
          <w:sz w:val="18"/>
          <w:szCs w:val="18"/>
          <w:i w:val="1"/>
          <w:iCs w:val="1"/>
          <w:u w:val="single" w:color="auto"/>
          <w:color w:val="auto"/>
        </w:rPr>
        <w:t>Sales Practices Claims</w:t>
      </w:r>
    </w:p>
    <w:p>
      <w:pPr>
        <w:spacing w:after="0" w:line="117" w:lineRule="exact"/>
        <w:rPr>
          <w:sz w:val="20"/>
          <w:szCs w:val="20"/>
          <w:color w:val="auto"/>
        </w:rPr>
      </w:pPr>
    </w:p>
    <w:p>
      <w:pPr>
        <w:jc w:val="both"/>
        <w:ind w:left="340" w:firstLine="324"/>
        <w:spacing w:after="0" w:line="259" w:lineRule="auto"/>
        <w:rPr>
          <w:sz w:val="20"/>
          <w:szCs w:val="20"/>
          <w:color w:val="auto"/>
        </w:rPr>
      </w:pPr>
      <w:r>
        <w:rPr>
          <w:rFonts w:ascii="Arial" w:cs="Arial" w:eastAsia="Arial" w:hAnsi="Arial"/>
          <w:sz w:val="18"/>
          <w:szCs w:val="18"/>
          <w:color w:val="auto"/>
        </w:rPr>
        <w:t>Over the past several years, the Company has faced claims and regulatory inquiries and investigations, alleging improper marketing or sales of individual life insurance policies, annuities, mutual funds or other products. The Company continues to defend vigorously against the claims in these matters. The Company believes adequate provision has been made in its consolidated and combined financial statements for all probable and reasonably estimable losses for sales practices matters.</w:t>
      </w:r>
    </w:p>
    <w:p>
      <w:pPr>
        <w:spacing w:after="0" w:line="79" w:lineRule="exact"/>
        <w:rPr>
          <w:sz w:val="20"/>
          <w:szCs w:val="20"/>
          <w:color w:val="auto"/>
        </w:rPr>
      </w:pPr>
    </w:p>
    <w:p>
      <w:pPr>
        <w:ind w:left="340"/>
        <w:spacing w:after="0"/>
        <w:rPr>
          <w:sz w:val="20"/>
          <w:szCs w:val="20"/>
          <w:color w:val="auto"/>
        </w:rPr>
      </w:pPr>
      <w:r>
        <w:rPr>
          <w:rFonts w:ascii="Arial" w:cs="Arial" w:eastAsia="Arial" w:hAnsi="Arial"/>
          <w:sz w:val="18"/>
          <w:szCs w:val="18"/>
          <w:i w:val="1"/>
          <w:iCs w:val="1"/>
          <w:u w:val="single" w:color="auto"/>
          <w:color w:val="auto"/>
        </w:rPr>
        <w:t>Summary</w:t>
      </w:r>
    </w:p>
    <w:p>
      <w:pPr>
        <w:spacing w:after="0" w:line="117" w:lineRule="exact"/>
        <w:rPr>
          <w:sz w:val="20"/>
          <w:szCs w:val="20"/>
          <w:color w:val="auto"/>
        </w:rPr>
      </w:pPr>
    </w:p>
    <w:p>
      <w:pPr>
        <w:jc w:val="both"/>
        <w:ind w:left="340" w:firstLine="324"/>
        <w:spacing w:after="0" w:line="264" w:lineRule="auto"/>
        <w:rPr>
          <w:sz w:val="20"/>
          <w:szCs w:val="20"/>
          <w:color w:val="auto"/>
        </w:rPr>
      </w:pPr>
      <w:r>
        <w:rPr>
          <w:rFonts w:ascii="Arial" w:cs="Arial" w:eastAsia="Arial" w:hAnsi="Arial"/>
          <w:sz w:val="18"/>
          <w:szCs w:val="18"/>
          <w:color w:val="auto"/>
        </w:rPr>
        <w:t>Various litigation, claims and assessments against the Company, in addition to those discussed previously and those otherwise provided for in the Company’s consolidated and combined financial statements, have arisen in the course of the Company’s business, including, but not limited to, in connection with its activities as an insurer, investor and taxpayer.</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20"/>
          </w:cols>
          <w:pgMar w:left="240" w:top="234" w:right="239" w:bottom="1440" w:gutter="0" w:footer="0" w:header="0"/>
        </w:sectPr>
      </w:pPr>
    </w:p>
    <w:bookmarkStart w:id="68" w:name="page69"/>
    <w:bookmarkEnd w:id="68"/>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109" w:lineRule="exact"/>
        <w:rPr>
          <w:sz w:val="20"/>
          <w:szCs w:val="20"/>
          <w:color w:val="auto"/>
        </w:rPr>
      </w:pPr>
    </w:p>
    <w:p>
      <w:pPr>
        <w:ind w:left="4660"/>
        <w:spacing w:after="0"/>
        <w:rPr>
          <w:sz w:val="20"/>
          <w:szCs w:val="20"/>
          <w:color w:val="auto"/>
        </w:rPr>
      </w:pPr>
      <w:r>
        <w:rPr>
          <w:rFonts w:ascii="Arial" w:cs="Arial" w:eastAsia="Arial" w:hAnsi="Arial"/>
          <w:sz w:val="18"/>
          <w:szCs w:val="18"/>
          <w:b w:val="1"/>
          <w:bCs w:val="1"/>
          <w:color w:val="auto"/>
        </w:rPr>
        <w:t>Brighthouse Financial, Inc.</w:t>
      </w:r>
    </w:p>
    <w:p>
      <w:pPr>
        <w:spacing w:after="0" w:line="117" w:lineRule="exact"/>
        <w:rPr>
          <w:sz w:val="20"/>
          <w:szCs w:val="20"/>
          <w:color w:val="auto"/>
        </w:rPr>
      </w:pPr>
    </w:p>
    <w:p>
      <w:pPr>
        <w:ind w:left="1480"/>
        <w:spacing w:after="0"/>
        <w:rPr>
          <w:sz w:val="20"/>
          <w:szCs w:val="20"/>
          <w:color w:val="auto"/>
        </w:rPr>
      </w:pPr>
      <w:r>
        <w:rPr>
          <w:rFonts w:ascii="Arial" w:cs="Arial" w:eastAsia="Arial" w:hAnsi="Arial"/>
          <w:sz w:val="18"/>
          <w:szCs w:val="18"/>
          <w:b w:val="1"/>
          <w:bCs w:val="1"/>
          <w:color w:val="auto"/>
        </w:rPr>
        <w:t>Notes to the Interim Condensed Consolidated and Combined Financial Statements (Unaudited) — (continued)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Contingencies, Commitments and Guarantees (continued)</w:t>
      </w:r>
    </w:p>
    <w:p>
      <w:pPr>
        <w:spacing w:after="0" w:line="364" w:lineRule="exact"/>
        <w:rPr>
          <w:sz w:val="20"/>
          <w:szCs w:val="20"/>
          <w:color w:val="auto"/>
        </w:rPr>
      </w:pPr>
    </w:p>
    <w:p>
      <w:pPr>
        <w:jc w:val="both"/>
        <w:ind w:left="340"/>
        <w:spacing w:after="0" w:line="277" w:lineRule="auto"/>
        <w:rPr>
          <w:sz w:val="20"/>
          <w:szCs w:val="20"/>
          <w:color w:val="auto"/>
        </w:rPr>
      </w:pPr>
      <w:r>
        <w:rPr>
          <w:rFonts w:ascii="Arial" w:cs="Arial" w:eastAsia="Arial" w:hAnsi="Arial"/>
          <w:sz w:val="18"/>
          <w:szCs w:val="18"/>
          <w:color w:val="auto"/>
        </w:rPr>
        <w:t>Further, state insurance regulatory authorities and other federal and state authorities regularly make inquiries and conduct investigations concerning the Company’s compliance with applicable insurance and other laws and regulations.</w:t>
      </w:r>
    </w:p>
    <w:p>
      <w:pPr>
        <w:spacing w:after="0" w:line="62" w:lineRule="exact"/>
        <w:rPr>
          <w:sz w:val="20"/>
          <w:szCs w:val="20"/>
          <w:color w:val="auto"/>
        </w:rPr>
      </w:pPr>
    </w:p>
    <w:p>
      <w:pPr>
        <w:jc w:val="both"/>
        <w:ind w:left="340" w:firstLine="324"/>
        <w:spacing w:after="0" w:line="255" w:lineRule="auto"/>
        <w:rPr>
          <w:sz w:val="20"/>
          <w:szCs w:val="20"/>
          <w:color w:val="auto"/>
        </w:rPr>
      </w:pPr>
      <w:r>
        <w:rPr>
          <w:rFonts w:ascii="Arial" w:cs="Arial" w:eastAsia="Arial" w:hAnsi="Arial"/>
          <w:sz w:val="18"/>
          <w:szCs w:val="18"/>
          <w:color w:val="auto"/>
        </w:rPr>
        <w:t>It is not possible to predict the ultimate outcome of all pending investigations and legal proceedings. In some of the matters referred to previously, large and/or indeterminate amounts, including punitive and treble damages, are sought. Although, in light of these considerations it is possible that an adverse outcome in certain cases could have a material effect upon the Company’s financial position, based on information currently known by the Company’s management, in its opinion, the outcomes of such pending investigations and legal proceedings are not likely to have such an effect. However, given the large and/or indeterminate amounts sought in certain of these matters and the inherent unpredictability of litigation, it is possible that an adverse outcome in certain matters could, from time to time, have a material effect on the Company’s consolidated and combined net income or cash flows in particular quarterly or annual periods.</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Commitments</w:t>
      </w:r>
    </w:p>
    <w:p>
      <w:pPr>
        <w:spacing w:after="0" w:line="11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Mortgage Loan Commitments</w:t>
      </w:r>
    </w:p>
    <w:p>
      <w:pPr>
        <w:spacing w:after="0" w:line="117" w:lineRule="exact"/>
        <w:rPr>
          <w:sz w:val="20"/>
          <w:szCs w:val="20"/>
          <w:color w:val="auto"/>
        </w:rPr>
      </w:pPr>
    </w:p>
    <w:p>
      <w:pPr>
        <w:jc w:val="both"/>
        <w:ind w:left="180" w:right="20" w:firstLine="324"/>
        <w:spacing w:after="0" w:line="277" w:lineRule="auto"/>
        <w:rPr>
          <w:sz w:val="20"/>
          <w:szCs w:val="20"/>
          <w:color w:val="auto"/>
        </w:rPr>
      </w:pPr>
      <w:r>
        <w:rPr>
          <w:rFonts w:ascii="Arial" w:cs="Arial" w:eastAsia="Arial" w:hAnsi="Arial"/>
          <w:sz w:val="18"/>
          <w:szCs w:val="18"/>
          <w:color w:val="auto"/>
        </w:rPr>
        <w:t>The Company commits to lend funds under mortgage loan commitments. The amounts of these mortgage loan commitments were $284 million and $348 million at September 30, 2017 and December 31, 2016, respectively.</w:t>
      </w:r>
    </w:p>
    <w:p>
      <w:pPr>
        <w:spacing w:after="0" w:line="62"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Commitments to Fund Partnership Investments and Private Corporate Bond Investments</w:t>
      </w:r>
    </w:p>
    <w:p>
      <w:pPr>
        <w:spacing w:after="0" w:line="117" w:lineRule="exact"/>
        <w:rPr>
          <w:sz w:val="20"/>
          <w:szCs w:val="20"/>
          <w:color w:val="auto"/>
        </w:rPr>
      </w:pPr>
    </w:p>
    <w:p>
      <w:pPr>
        <w:jc w:val="both"/>
        <w:ind w:left="180" w:firstLine="324"/>
        <w:spacing w:after="0" w:line="277" w:lineRule="auto"/>
        <w:rPr>
          <w:sz w:val="20"/>
          <w:szCs w:val="20"/>
          <w:color w:val="auto"/>
        </w:rPr>
      </w:pPr>
      <w:r>
        <w:rPr>
          <w:rFonts w:ascii="Arial" w:cs="Arial" w:eastAsia="Arial" w:hAnsi="Arial"/>
          <w:sz w:val="18"/>
          <w:szCs w:val="18"/>
          <w:color w:val="auto"/>
        </w:rPr>
        <w:t>The Company commits to fund partnership investments and to lend funds under private corporate bond investments. The amounts of these unfunded commitments were $1.2 billion at September 30, 2017 and $1.3 billion at December 31, 2016, respectively.</w:t>
      </w:r>
    </w:p>
    <w:p>
      <w:pPr>
        <w:spacing w:after="0" w:line="62"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Other Commitments</w:t>
      </w:r>
    </w:p>
    <w:p>
      <w:pPr>
        <w:spacing w:after="0" w:line="117" w:lineRule="exact"/>
        <w:rPr>
          <w:sz w:val="20"/>
          <w:szCs w:val="20"/>
          <w:color w:val="auto"/>
        </w:rPr>
      </w:pPr>
    </w:p>
    <w:p>
      <w:pPr>
        <w:jc w:val="both"/>
        <w:ind w:left="180" w:firstLine="324"/>
        <w:spacing w:after="0" w:line="257" w:lineRule="auto"/>
        <w:rPr>
          <w:sz w:val="20"/>
          <w:szCs w:val="20"/>
          <w:color w:val="auto"/>
        </w:rPr>
      </w:pPr>
      <w:r>
        <w:rPr>
          <w:rFonts w:ascii="Arial" w:cs="Arial" w:eastAsia="Arial" w:hAnsi="Arial"/>
          <w:sz w:val="18"/>
          <w:szCs w:val="18"/>
          <w:color w:val="auto"/>
        </w:rPr>
        <w:t>The Company had entered into collateral arrangements with former affiliates which required the transfer of collateral in connection with secured demand notes. These arrangements expired during the first quarter of 2017 and the Company is no longer transferring collateral to custody accounts. At December 31, 2016, the Company had agreed to fund up to $20 million of cash upon the request by these former affiliates and had transferred collateral consisting of various securities with a fair market value of $25 million to custody accounts to secure the demand notes. Each of these former affiliates was permitted by contract to sell or re-pledge this collateral.</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Guarantees</w:t>
      </w:r>
    </w:p>
    <w:p>
      <w:pPr>
        <w:spacing w:after="0" w:line="117"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In the normal course of its business, the Company has provided certain indemnities, guarantees and commitments to third parties such that it may be required to make payments now or in the future. In the context of acquisition, disposition, investment and other transactions, the Company has provided indemnities and guarantees, including those related to tax, environmental and other specific liabilities and other indemnities and guarantees that are triggered by, among other things, breaches of representations, warranties or covenants provided by the Company. In addition, in the normal course of business, the Company provides indemnifications to counterparties in contracts with triggers similar to the foregoing, as well as for certain other liabilities, such as third-party lawsuits. These obligations are often subject to time limitations that vary in duration, including contractual limitations and those that arise by operation of law, such as applicable statutes of limitation. In some cases, the maximum potential obligation under the indemnities and guarantees is subject to a contractual limitation ranging from less than $1 million to $203 million, with a cumulative maximum of $209 million, while in other cases such limitations are not specified or applicable. Since certain of these obligations are not subject to limitations, the Company does not believe that it is possible to determine the maximum potential amount that could become due under these guarantees in the future. Management believes that it is unlikely the Company will have to make any material payments under these indemnities, guarantees, or commitments.</w:t>
      </w:r>
    </w:p>
    <w:p>
      <w:pPr>
        <w:spacing w:after="0" w:line="7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addition, the Company indemnifies its directors and officers as provided in its charters and by-laws. Also, the Company indemnifies its agents for liabilities incurred as a result of their representation of the Company’s interests. Since these indemnities are generally not subject to limitation with respect to duration or amount, the Company does not believe that it is possible to determine the maximum potential amount that could become due under these indemnities in the future.</w:t>
      </w:r>
    </w:p>
    <w:p>
      <w:pPr>
        <w:spacing w:after="0" w:line="79" w:lineRule="exact"/>
        <w:rPr>
          <w:sz w:val="20"/>
          <w:szCs w:val="20"/>
          <w:color w:val="auto"/>
        </w:rPr>
      </w:pPr>
    </w:p>
    <w:p>
      <w:pPr>
        <w:jc w:val="center"/>
        <w:ind w:right="-179"/>
        <w:spacing w:after="0"/>
        <w:rPr>
          <w:sz w:val="20"/>
          <w:szCs w:val="20"/>
          <w:color w:val="auto"/>
        </w:rPr>
      </w:pPr>
      <w:r>
        <w:rPr>
          <w:rFonts w:ascii="Arial" w:cs="Arial" w:eastAsia="Arial" w:hAnsi="Arial"/>
          <w:sz w:val="16"/>
          <w:szCs w:val="16"/>
          <w:color w:val="auto"/>
        </w:rPr>
        <w:t>The Company’s recorded liabilities were $2 million at both September 30, 2017 and December 31, 2016, for indemnities, guarantees and commitments.</w:t>
      </w: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20"/>
          </w:cols>
          <w:pgMar w:left="240" w:top="234" w:right="239" w:bottom="1440" w:gutter="0" w:footer="0" w:header="0"/>
        </w:sectPr>
      </w:pPr>
    </w:p>
    <w:bookmarkStart w:id="69" w:name="page70"/>
    <w:bookmarkEnd w:id="69"/>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Brighthouse Financial, Inc.</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Interim Condensed Consolidated and Combined Financial Statements (Unaudited) — (continued)</w:t>
      </w: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Related Party Transactions</w:t>
      </w:r>
    </w:p>
    <w:p>
      <w:pPr>
        <w:spacing w:after="0" w:line="121"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Company had not historically operated as a standalone business prior to the Separation, and as a result had various existing arrangements with MetLife for services necessary to conduct its activities. Subsequent to the Separation, certain of such services continued, as provided for under a master service agreement and various transition services agreements entered into in connection with the Separation.</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Non-Broker-Dealer Transactions</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following table summarizes income and expense from transactions with MetLife (excluding broker-dealer transactions) for the periods indicated:</w:t>
      </w:r>
    </w:p>
    <w:p>
      <w:pPr>
        <w:spacing w:after="0" w:line="335"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1140" w:type="dxa"/>
            <w:vAlign w:val="bottom"/>
          </w:tcPr>
          <w:p>
            <w:pPr>
              <w:spacing w:after="0"/>
              <w:rPr>
                <w:sz w:val="14"/>
                <w:szCs w:val="14"/>
                <w:color w:val="auto"/>
              </w:rPr>
            </w:pPr>
          </w:p>
        </w:tc>
        <w:tc>
          <w:tcPr>
            <w:tcW w:w="40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720" w:type="dxa"/>
            <w:vAlign w:val="bottom"/>
            <w:gridSpan w:val="2"/>
          </w:tcPr>
          <w:p>
            <w:pPr>
              <w:jc w:val="center"/>
              <w:ind w:left="344"/>
              <w:spacing w:after="0"/>
              <w:rPr>
                <w:sz w:val="20"/>
                <w:szCs w:val="20"/>
                <w:color w:val="auto"/>
              </w:rPr>
            </w:pPr>
            <w:r>
              <w:rPr>
                <w:rFonts w:ascii="Arial" w:cs="Arial" w:eastAsia="Arial" w:hAnsi="Arial"/>
                <w:sz w:val="14"/>
                <w:szCs w:val="14"/>
                <w:b w:val="1"/>
                <w:bCs w:val="1"/>
                <w:color w:val="auto"/>
                <w:w w:val="93"/>
              </w:rPr>
              <w:t>Three Months</w:t>
            </w:r>
          </w:p>
        </w:tc>
        <w:tc>
          <w:tcPr>
            <w:tcW w:w="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920" w:type="dxa"/>
            <w:vAlign w:val="bottom"/>
            <w:gridSpan w:val="3"/>
          </w:tcPr>
          <w:p>
            <w:pPr>
              <w:jc w:val="center"/>
              <w:ind w:left="765"/>
              <w:spacing w:after="0"/>
              <w:rPr>
                <w:sz w:val="20"/>
                <w:szCs w:val="20"/>
                <w:color w:val="auto"/>
              </w:rPr>
            </w:pPr>
            <w:r>
              <w:rPr>
                <w:rFonts w:ascii="Arial" w:cs="Arial" w:eastAsia="Arial" w:hAnsi="Arial"/>
                <w:sz w:val="14"/>
                <w:szCs w:val="14"/>
                <w:b w:val="1"/>
                <w:bCs w:val="1"/>
                <w:color w:val="auto"/>
                <w:w w:val="95"/>
              </w:rPr>
              <w:t>Nine Months</w:t>
            </w:r>
          </w:p>
        </w:tc>
        <w:tc>
          <w:tcPr>
            <w:tcW w:w="960" w:type="dxa"/>
            <w:vAlign w:val="bottom"/>
          </w:tcPr>
          <w:p>
            <w:pPr>
              <w:spacing w:after="0"/>
              <w:rPr>
                <w:sz w:val="14"/>
                <w:szCs w:val="14"/>
                <w:color w:val="auto"/>
              </w:rPr>
            </w:pPr>
          </w:p>
        </w:tc>
      </w:tr>
      <w:tr>
        <w:trPr>
          <w:trHeight w:val="149"/>
        </w:trPr>
        <w:tc>
          <w:tcPr>
            <w:tcW w:w="1140" w:type="dxa"/>
            <w:vAlign w:val="bottom"/>
          </w:tcPr>
          <w:p>
            <w:pPr>
              <w:spacing w:after="0"/>
              <w:rPr>
                <w:sz w:val="12"/>
                <w:szCs w:val="12"/>
                <w:color w:val="auto"/>
              </w:rPr>
            </w:pPr>
          </w:p>
        </w:tc>
        <w:tc>
          <w:tcPr>
            <w:tcW w:w="40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720" w:type="dxa"/>
            <w:vAlign w:val="bottom"/>
            <w:gridSpan w:val="2"/>
          </w:tcPr>
          <w:p>
            <w:pPr>
              <w:jc w:val="center"/>
              <w:ind w:left="284"/>
              <w:spacing w:after="0" w:line="149" w:lineRule="exact"/>
              <w:rPr>
                <w:sz w:val="20"/>
                <w:szCs w:val="20"/>
                <w:color w:val="auto"/>
              </w:rPr>
            </w:pPr>
            <w:r>
              <w:rPr>
                <w:rFonts w:ascii="Arial" w:cs="Arial" w:eastAsia="Arial" w:hAnsi="Arial"/>
                <w:sz w:val="14"/>
                <w:szCs w:val="14"/>
                <w:b w:val="1"/>
                <w:bCs w:val="1"/>
                <w:color w:val="auto"/>
                <w:w w:val="93"/>
              </w:rPr>
              <w:t>Ended</w:t>
            </w:r>
          </w:p>
        </w:tc>
        <w:tc>
          <w:tcPr>
            <w:tcW w:w="4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920" w:type="dxa"/>
            <w:vAlign w:val="bottom"/>
            <w:gridSpan w:val="3"/>
          </w:tcPr>
          <w:p>
            <w:pPr>
              <w:jc w:val="center"/>
              <w:ind w:left="725"/>
              <w:spacing w:after="0" w:line="149" w:lineRule="exact"/>
              <w:rPr>
                <w:sz w:val="20"/>
                <w:szCs w:val="20"/>
                <w:color w:val="auto"/>
              </w:rPr>
            </w:pPr>
            <w:r>
              <w:rPr>
                <w:rFonts w:ascii="Arial" w:cs="Arial" w:eastAsia="Arial" w:hAnsi="Arial"/>
                <w:sz w:val="14"/>
                <w:szCs w:val="14"/>
                <w:b w:val="1"/>
                <w:bCs w:val="1"/>
                <w:color w:val="auto"/>
                <w:w w:val="93"/>
              </w:rPr>
              <w:t>Ended</w:t>
            </w:r>
          </w:p>
        </w:tc>
        <w:tc>
          <w:tcPr>
            <w:tcW w:w="960" w:type="dxa"/>
            <w:vAlign w:val="bottom"/>
          </w:tcPr>
          <w:p>
            <w:pPr>
              <w:spacing w:after="0"/>
              <w:rPr>
                <w:sz w:val="12"/>
                <w:szCs w:val="12"/>
                <w:color w:val="auto"/>
              </w:rPr>
            </w:pPr>
          </w:p>
        </w:tc>
      </w:tr>
      <w:tr>
        <w:trPr>
          <w:trHeight w:val="192"/>
        </w:trPr>
        <w:tc>
          <w:tcPr>
            <w:tcW w:w="1140" w:type="dxa"/>
            <w:vAlign w:val="bottom"/>
          </w:tcPr>
          <w:p>
            <w:pPr>
              <w:spacing w:after="0"/>
              <w:rPr>
                <w:sz w:val="16"/>
                <w:szCs w:val="16"/>
                <w:color w:val="auto"/>
              </w:rPr>
            </w:pPr>
          </w:p>
        </w:tc>
        <w:tc>
          <w:tcPr>
            <w:tcW w:w="4000" w:type="dxa"/>
            <w:vAlign w:val="bottom"/>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2"/>
          </w:tcPr>
          <w:p>
            <w:pPr>
              <w:jc w:val="center"/>
              <w:ind w:left="324"/>
              <w:spacing w:after="0"/>
              <w:rPr>
                <w:sz w:val="20"/>
                <w:szCs w:val="20"/>
                <w:color w:val="auto"/>
              </w:rPr>
            </w:pPr>
            <w:r>
              <w:rPr>
                <w:rFonts w:ascii="Arial" w:cs="Arial" w:eastAsia="Arial" w:hAnsi="Arial"/>
                <w:sz w:val="14"/>
                <w:szCs w:val="14"/>
                <w:b w:val="1"/>
                <w:bCs w:val="1"/>
                <w:color w:val="auto"/>
                <w:w w:val="91"/>
              </w:rPr>
              <w:t>September 30,</w:t>
            </w:r>
          </w:p>
        </w:tc>
        <w:tc>
          <w:tcPr>
            <w:tcW w:w="48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gridSpan w:val="3"/>
          </w:tcPr>
          <w:p>
            <w:pPr>
              <w:jc w:val="center"/>
              <w:ind w:left="765"/>
              <w:spacing w:after="0"/>
              <w:rPr>
                <w:sz w:val="20"/>
                <w:szCs w:val="20"/>
                <w:color w:val="auto"/>
              </w:rPr>
            </w:pPr>
            <w:r>
              <w:rPr>
                <w:rFonts w:ascii="Arial" w:cs="Arial" w:eastAsia="Arial" w:hAnsi="Arial"/>
                <w:sz w:val="14"/>
                <w:szCs w:val="14"/>
                <w:b w:val="1"/>
                <w:bCs w:val="1"/>
                <w:color w:val="auto"/>
                <w:w w:val="91"/>
              </w:rPr>
              <w:t>September 30,</w:t>
            </w:r>
          </w:p>
        </w:tc>
        <w:tc>
          <w:tcPr>
            <w:tcW w:w="960" w:type="dxa"/>
            <w:vAlign w:val="bottom"/>
            <w:tcBorders>
              <w:bottom w:val="single" w:sz="8" w:color="auto"/>
            </w:tcBorders>
          </w:tcPr>
          <w:p>
            <w:pPr>
              <w:spacing w:after="0"/>
              <w:rPr>
                <w:sz w:val="16"/>
                <w:szCs w:val="16"/>
                <w:color w:val="auto"/>
              </w:rPr>
            </w:pPr>
          </w:p>
        </w:tc>
      </w:tr>
      <w:tr>
        <w:trPr>
          <w:trHeight w:val="264"/>
        </w:trPr>
        <w:tc>
          <w:tcPr>
            <w:tcW w:w="1140" w:type="dxa"/>
            <w:vAlign w:val="bottom"/>
          </w:tcPr>
          <w:p>
            <w:pPr>
              <w:spacing w:after="0"/>
              <w:rPr>
                <w:sz w:val="22"/>
                <w:szCs w:val="22"/>
                <w:color w:val="auto"/>
              </w:rPr>
            </w:pPr>
          </w:p>
        </w:tc>
        <w:tc>
          <w:tcPr>
            <w:tcW w:w="4000" w:type="dxa"/>
            <w:vAlign w:val="bottom"/>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584"/>
              <w:spacing w:after="0"/>
              <w:rPr>
                <w:sz w:val="20"/>
                <w:szCs w:val="20"/>
                <w:color w:val="auto"/>
              </w:rPr>
            </w:pPr>
            <w:r>
              <w:rPr>
                <w:rFonts w:ascii="Arial" w:cs="Arial" w:eastAsia="Arial" w:hAnsi="Arial"/>
                <w:sz w:val="14"/>
                <w:szCs w:val="14"/>
                <w:b w:val="1"/>
                <w:bCs w:val="1"/>
                <w:color w:val="auto"/>
              </w:rPr>
              <w:t>2017</w:t>
            </w:r>
          </w:p>
        </w:tc>
        <w:tc>
          <w:tcPr>
            <w:tcW w:w="680" w:type="dxa"/>
            <w:vAlign w:val="bottom"/>
            <w:tcBorders>
              <w:bottom w:val="single" w:sz="8" w:color="auto"/>
            </w:tcBorders>
          </w:tcPr>
          <w:p>
            <w:pPr>
              <w:spacing w:after="0"/>
              <w:rPr>
                <w:sz w:val="22"/>
                <w:szCs w:val="22"/>
                <w:color w:val="auto"/>
              </w:rPr>
            </w:pPr>
          </w:p>
        </w:tc>
        <w:tc>
          <w:tcPr>
            <w:tcW w:w="480" w:type="dxa"/>
            <w:vAlign w:val="bottom"/>
            <w:tcBorders>
              <w:bottom w:val="single" w:sz="8" w:color="auto"/>
            </w:tcBorders>
          </w:tcPr>
          <w:p>
            <w:pPr>
              <w:jc w:val="right"/>
              <w:ind w:right="123"/>
              <w:spacing w:after="0"/>
              <w:rPr>
                <w:sz w:val="20"/>
                <w:szCs w:val="20"/>
                <w:color w:val="auto"/>
              </w:rPr>
            </w:pPr>
            <w:r>
              <w:rPr>
                <w:rFonts w:ascii="Arial" w:cs="Arial" w:eastAsia="Arial" w:hAnsi="Arial"/>
                <w:sz w:val="14"/>
                <w:szCs w:val="14"/>
                <w:b w:val="1"/>
                <w:bCs w:val="1"/>
                <w:color w:val="auto"/>
                <w:w w:val="83"/>
              </w:rPr>
              <w:t>2016</w:t>
            </w:r>
          </w:p>
        </w:tc>
        <w:tc>
          <w:tcPr>
            <w:tcW w:w="4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485"/>
              <w:spacing w:after="0"/>
              <w:rPr>
                <w:sz w:val="20"/>
                <w:szCs w:val="20"/>
                <w:color w:val="auto"/>
              </w:rPr>
            </w:pPr>
            <w:r>
              <w:rPr>
                <w:rFonts w:ascii="Arial" w:cs="Arial" w:eastAsia="Arial" w:hAnsi="Arial"/>
                <w:sz w:val="14"/>
                <w:szCs w:val="14"/>
                <w:b w:val="1"/>
                <w:bCs w:val="1"/>
                <w:color w:val="auto"/>
              </w:rPr>
              <w:t>2017</w:t>
            </w:r>
          </w:p>
        </w:tc>
        <w:tc>
          <w:tcPr>
            <w:tcW w:w="46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502"/>
              <w:spacing w:after="0"/>
              <w:rPr>
                <w:sz w:val="20"/>
                <w:szCs w:val="20"/>
                <w:color w:val="auto"/>
              </w:rPr>
            </w:pPr>
            <w:r>
              <w:rPr>
                <w:rFonts w:ascii="Arial" w:cs="Arial" w:eastAsia="Arial" w:hAnsi="Arial"/>
                <w:sz w:val="14"/>
                <w:szCs w:val="14"/>
                <w:b w:val="1"/>
                <w:bCs w:val="1"/>
                <w:color w:val="auto"/>
              </w:rPr>
              <w:t>2016</w:t>
            </w:r>
          </w:p>
        </w:tc>
      </w:tr>
      <w:tr>
        <w:trPr>
          <w:trHeight w:val="250"/>
        </w:trPr>
        <w:tc>
          <w:tcPr>
            <w:tcW w:w="1140" w:type="dxa"/>
            <w:vAlign w:val="bottom"/>
          </w:tcPr>
          <w:p>
            <w:pPr>
              <w:spacing w:after="0"/>
              <w:rPr>
                <w:sz w:val="21"/>
                <w:szCs w:val="21"/>
                <w:color w:val="auto"/>
              </w:rPr>
            </w:pPr>
          </w:p>
        </w:tc>
        <w:tc>
          <w:tcPr>
            <w:tcW w:w="40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960" w:type="dxa"/>
            <w:vAlign w:val="bottom"/>
            <w:gridSpan w:val="4"/>
          </w:tcPr>
          <w:p>
            <w:pPr>
              <w:jc w:val="right"/>
              <w:ind w:right="1065"/>
              <w:spacing w:after="0"/>
              <w:rPr>
                <w:sz w:val="20"/>
                <w:szCs w:val="20"/>
                <w:color w:val="auto"/>
              </w:rPr>
            </w:pPr>
            <w:r>
              <w:rPr>
                <w:rFonts w:ascii="Arial" w:cs="Arial" w:eastAsia="Arial" w:hAnsi="Arial"/>
                <w:sz w:val="14"/>
                <w:szCs w:val="14"/>
                <w:b w:val="1"/>
                <w:bCs w:val="1"/>
                <w:color w:val="auto"/>
              </w:rPr>
              <w:t>(In millions)</w:t>
            </w:r>
          </w:p>
        </w:tc>
        <w:tc>
          <w:tcPr>
            <w:tcW w:w="4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56"/>
        </w:trPr>
        <w:tc>
          <w:tcPr>
            <w:tcW w:w="51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Income</w:t>
            </w:r>
          </w:p>
        </w:tc>
        <w:tc>
          <w:tcPr>
            <w:tcW w:w="500" w:type="dxa"/>
            <w:vAlign w:val="bottom"/>
            <w:tcBorders>
              <w:bottom w:val="single" w:sz="8" w:color="CCEEFF"/>
            </w:tcBorders>
            <w:shd w:val="clear" w:color="auto" w:fill="CCEEFF"/>
          </w:tcPr>
          <w:p>
            <w:pPr>
              <w:jc w:val="right"/>
              <w:ind w:right="31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ind w:right="44"/>
              <w:spacing w:after="0"/>
              <w:rPr>
                <w:sz w:val="20"/>
                <w:szCs w:val="20"/>
                <w:color w:val="auto"/>
              </w:rPr>
            </w:pPr>
            <w:r>
              <w:rPr>
                <w:rFonts w:ascii="Arial" w:cs="Arial" w:eastAsia="Arial" w:hAnsi="Arial"/>
                <w:sz w:val="16"/>
                <w:szCs w:val="16"/>
                <w:color w:val="auto"/>
              </w:rPr>
              <w:t>(96)</w:t>
            </w:r>
          </w:p>
        </w:tc>
        <w:tc>
          <w:tcPr>
            <w:tcW w:w="680" w:type="dxa"/>
            <w:vAlign w:val="bottom"/>
            <w:tcBorders>
              <w:bottom w:val="single" w:sz="8" w:color="CCEEFF"/>
            </w:tcBorders>
            <w:shd w:val="clear" w:color="auto" w:fill="CCEEFF"/>
          </w:tcPr>
          <w:p>
            <w:pPr>
              <w:jc w:val="right"/>
              <w:ind w:right="419"/>
              <w:spacing w:after="0"/>
              <w:rPr>
                <w:sz w:val="20"/>
                <w:szCs w:val="20"/>
                <w:color w:val="auto"/>
              </w:rPr>
            </w:pPr>
            <w:r>
              <w:rPr>
                <w:rFonts w:ascii="Arial" w:cs="Arial" w:eastAsia="Arial" w:hAnsi="Arial"/>
                <w:sz w:val="16"/>
                <w:szCs w:val="16"/>
                <w:color w:val="auto"/>
              </w:rPr>
              <w:t>$</w:t>
            </w:r>
          </w:p>
        </w:tc>
        <w:tc>
          <w:tcPr>
            <w:tcW w:w="48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w w:val="85"/>
              </w:rPr>
              <w:t>(204)</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(496)</w:t>
            </w:r>
          </w:p>
        </w:tc>
        <w:tc>
          <w:tcPr>
            <w:tcW w:w="4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w:t>
            </w:r>
          </w:p>
        </w:tc>
        <w:tc>
          <w:tcPr>
            <w:tcW w:w="16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(152)</w:t>
            </w:r>
          </w:p>
        </w:tc>
      </w:tr>
      <w:tr>
        <w:trPr>
          <w:trHeight w:val="237"/>
        </w:trPr>
        <w:tc>
          <w:tcPr>
            <w:tcW w:w="5140" w:type="dxa"/>
            <w:vAlign w:val="bottom"/>
            <w:gridSpan w:val="2"/>
          </w:tcPr>
          <w:p>
            <w:pPr>
              <w:ind w:left="20"/>
              <w:spacing w:after="0"/>
              <w:rPr>
                <w:sz w:val="20"/>
                <w:szCs w:val="20"/>
                <w:color w:val="auto"/>
              </w:rPr>
            </w:pPr>
            <w:r>
              <w:rPr>
                <w:rFonts w:ascii="Arial" w:cs="Arial" w:eastAsia="Arial" w:hAnsi="Arial"/>
                <w:sz w:val="16"/>
                <w:szCs w:val="16"/>
                <w:color w:val="auto"/>
              </w:rPr>
              <w:t>Expense</w:t>
            </w:r>
          </w:p>
        </w:tc>
        <w:tc>
          <w:tcPr>
            <w:tcW w:w="500" w:type="dxa"/>
            <w:vAlign w:val="bottom"/>
          </w:tcPr>
          <w:p>
            <w:pPr>
              <w:jc w:val="right"/>
              <w:ind w:right="31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ind w:right="84"/>
              <w:spacing w:after="0"/>
              <w:rPr>
                <w:sz w:val="20"/>
                <w:szCs w:val="20"/>
                <w:color w:val="auto"/>
              </w:rPr>
            </w:pPr>
            <w:r>
              <w:rPr>
                <w:rFonts w:ascii="Arial" w:cs="Arial" w:eastAsia="Arial" w:hAnsi="Arial"/>
                <w:sz w:val="16"/>
                <w:szCs w:val="16"/>
                <w:color w:val="auto"/>
              </w:rPr>
              <w:t>108</w:t>
            </w:r>
          </w:p>
        </w:tc>
        <w:tc>
          <w:tcPr>
            <w:tcW w:w="680" w:type="dxa"/>
            <w:vAlign w:val="bottom"/>
          </w:tcPr>
          <w:p>
            <w:pPr>
              <w:jc w:val="right"/>
              <w:ind w:right="419"/>
              <w:spacing w:after="0"/>
              <w:rPr>
                <w:sz w:val="20"/>
                <w:szCs w:val="20"/>
                <w:color w:val="auto"/>
              </w:rPr>
            </w:pPr>
            <w:r>
              <w:rPr>
                <w:rFonts w:ascii="Arial" w:cs="Arial" w:eastAsia="Arial" w:hAnsi="Arial"/>
                <w:sz w:val="16"/>
                <w:szCs w:val="16"/>
                <w:color w:val="auto"/>
              </w:rPr>
              <w:t>$</w:t>
            </w:r>
          </w:p>
        </w:tc>
        <w:tc>
          <w:tcPr>
            <w:tcW w:w="480" w:type="dxa"/>
            <w:vAlign w:val="bottom"/>
          </w:tcPr>
          <w:p>
            <w:pPr>
              <w:spacing w:after="0"/>
              <w:rPr>
                <w:sz w:val="20"/>
                <w:szCs w:val="20"/>
                <w:color w:val="auto"/>
              </w:rPr>
            </w:pPr>
          </w:p>
        </w:tc>
        <w:tc>
          <w:tcPr>
            <w:tcW w:w="420" w:type="dxa"/>
            <w:vAlign w:val="bottom"/>
          </w:tcPr>
          <w:p>
            <w:pPr>
              <w:jc w:val="right"/>
              <w:ind w:right="41"/>
              <w:spacing w:after="0"/>
              <w:rPr>
                <w:sz w:val="20"/>
                <w:szCs w:val="20"/>
                <w:color w:val="auto"/>
              </w:rPr>
            </w:pPr>
            <w:r>
              <w:rPr>
                <w:rFonts w:ascii="Arial" w:cs="Arial" w:eastAsia="Arial" w:hAnsi="Arial"/>
                <w:sz w:val="16"/>
                <w:szCs w:val="16"/>
                <w:color w:val="auto"/>
              </w:rPr>
              <w:t>53</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Pr>
          <w:p>
            <w:pPr>
              <w:jc w:val="right"/>
              <w:ind w:right="5"/>
              <w:spacing w:after="0"/>
              <w:rPr>
                <w:sz w:val="20"/>
                <w:szCs w:val="20"/>
                <w:color w:val="auto"/>
              </w:rPr>
            </w:pPr>
            <w:r>
              <w:rPr>
                <w:rFonts w:ascii="Arial" w:cs="Arial" w:eastAsia="Arial" w:hAnsi="Arial"/>
                <w:sz w:val="16"/>
                <w:szCs w:val="16"/>
                <w:color w:val="auto"/>
              </w:rPr>
              <w:t>288</w:t>
            </w:r>
          </w:p>
        </w:tc>
        <w:tc>
          <w:tcPr>
            <w:tcW w:w="460" w:type="dxa"/>
            <w:vAlign w:val="bottom"/>
          </w:tcPr>
          <w:p>
            <w:pPr>
              <w:jc w:val="center"/>
              <w:spacing w:after="0"/>
              <w:rPr>
                <w:sz w:val="20"/>
                <w:szCs w:val="20"/>
                <w:color w:val="auto"/>
              </w:rPr>
            </w:pPr>
            <w:r>
              <w:rPr>
                <w:rFonts w:ascii="Arial" w:cs="Arial" w:eastAsia="Arial" w:hAnsi="Arial"/>
                <w:sz w:val="16"/>
                <w:szCs w:val="16"/>
                <w:color w:val="auto"/>
                <w:w w:val="89"/>
              </w:rPr>
              <w:t>$</w:t>
            </w:r>
          </w:p>
        </w:tc>
        <w:tc>
          <w:tcPr>
            <w:tcW w:w="160" w:type="dxa"/>
            <w:vAlign w:val="bottom"/>
          </w:tcPr>
          <w:p>
            <w:pPr>
              <w:spacing w:after="0"/>
              <w:rPr>
                <w:sz w:val="20"/>
                <w:szCs w:val="20"/>
                <w:color w:val="auto"/>
              </w:rPr>
            </w:pPr>
          </w:p>
        </w:tc>
        <w:tc>
          <w:tcPr>
            <w:tcW w:w="960" w:type="dxa"/>
            <w:vAlign w:val="bottom"/>
          </w:tcPr>
          <w:p>
            <w:pPr>
              <w:jc w:val="right"/>
              <w:ind w:right="22"/>
              <w:spacing w:after="0"/>
              <w:rPr>
                <w:sz w:val="20"/>
                <w:szCs w:val="20"/>
                <w:color w:val="auto"/>
              </w:rPr>
            </w:pPr>
            <w:r>
              <w:rPr>
                <w:rFonts w:ascii="Arial" w:cs="Arial" w:eastAsia="Arial" w:hAnsi="Arial"/>
                <w:sz w:val="16"/>
                <w:szCs w:val="16"/>
                <w:color w:val="auto"/>
              </w:rPr>
              <w:t>253</w:t>
            </w:r>
          </w:p>
        </w:tc>
      </w:tr>
      <w:tr>
        <w:trPr>
          <w:trHeight w:val="357"/>
        </w:trPr>
        <w:tc>
          <w:tcPr>
            <w:tcW w:w="9800" w:type="dxa"/>
            <w:vAlign w:val="bottom"/>
            <w:gridSpan w:val="10"/>
          </w:tcPr>
          <w:p>
            <w:pPr>
              <w:jc w:val="right"/>
              <w:ind w:right="285"/>
              <w:spacing w:after="0"/>
              <w:rPr>
                <w:sz w:val="20"/>
                <w:szCs w:val="20"/>
                <w:color w:val="auto"/>
              </w:rPr>
            </w:pPr>
            <w:r>
              <w:rPr>
                <w:rFonts w:ascii="Arial" w:cs="Arial" w:eastAsia="Arial" w:hAnsi="Arial"/>
                <w:sz w:val="18"/>
                <w:szCs w:val="18"/>
                <w:color w:val="auto"/>
                <w:w w:val="94"/>
              </w:rPr>
              <w:t>The following table summarizes assets and liabilities from transactions with MetLife (excluding broker-dealer transactions) at:</w:t>
            </w: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561"/>
        </w:trPr>
        <w:tc>
          <w:tcPr>
            <w:tcW w:w="1140" w:type="dxa"/>
            <w:vAlign w:val="bottom"/>
          </w:tcPr>
          <w:p>
            <w:pPr>
              <w:spacing w:after="0"/>
              <w:rPr>
                <w:sz w:val="24"/>
                <w:szCs w:val="24"/>
                <w:color w:val="auto"/>
              </w:rPr>
            </w:pPr>
          </w:p>
        </w:tc>
        <w:tc>
          <w:tcPr>
            <w:tcW w:w="40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7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September 30, 2017</w:t>
            </w:r>
          </w:p>
        </w:tc>
        <w:tc>
          <w:tcPr>
            <w:tcW w:w="48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right"/>
              <w:ind w:right="25"/>
              <w:spacing w:after="0"/>
              <w:rPr>
                <w:sz w:val="20"/>
                <w:szCs w:val="20"/>
                <w:color w:val="auto"/>
              </w:rPr>
            </w:pPr>
            <w:r>
              <w:rPr>
                <w:rFonts w:ascii="Arial" w:cs="Arial" w:eastAsia="Arial" w:hAnsi="Arial"/>
                <w:sz w:val="14"/>
                <w:szCs w:val="14"/>
                <w:b w:val="1"/>
                <w:bCs w:val="1"/>
                <w:color w:val="auto"/>
                <w:w w:val="93"/>
              </w:rPr>
              <w:t>December 31, 2016</w:t>
            </w:r>
          </w:p>
        </w:tc>
        <w:tc>
          <w:tcPr>
            <w:tcW w:w="46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50"/>
        </w:trPr>
        <w:tc>
          <w:tcPr>
            <w:tcW w:w="1140" w:type="dxa"/>
            <w:vAlign w:val="bottom"/>
          </w:tcPr>
          <w:p>
            <w:pPr>
              <w:spacing w:after="0"/>
              <w:rPr>
                <w:sz w:val="21"/>
                <w:szCs w:val="21"/>
                <w:color w:val="auto"/>
              </w:rPr>
            </w:pPr>
          </w:p>
        </w:tc>
        <w:tc>
          <w:tcPr>
            <w:tcW w:w="40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00" w:type="dxa"/>
            <w:vAlign w:val="bottom"/>
            <w:gridSpan w:val="3"/>
          </w:tcPr>
          <w:p>
            <w:pPr>
              <w:ind w:left="220"/>
              <w:spacing w:after="0"/>
              <w:rPr>
                <w:sz w:val="20"/>
                <w:szCs w:val="20"/>
                <w:color w:val="auto"/>
              </w:rPr>
            </w:pPr>
            <w:r>
              <w:rPr>
                <w:rFonts w:ascii="Arial" w:cs="Arial" w:eastAsia="Arial" w:hAnsi="Arial"/>
                <w:sz w:val="14"/>
                <w:szCs w:val="14"/>
                <w:b w:val="1"/>
                <w:bCs w:val="1"/>
                <w:color w:val="auto"/>
                <w:w w:val="96"/>
              </w:rPr>
              <w:t>(In millions)</w:t>
            </w:r>
          </w:p>
        </w:tc>
        <w:tc>
          <w:tcPr>
            <w:tcW w:w="14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56"/>
        </w:trPr>
        <w:tc>
          <w:tcPr>
            <w:tcW w:w="1140" w:type="dxa"/>
            <w:vAlign w:val="bottom"/>
          </w:tcPr>
          <w:p>
            <w:pPr>
              <w:spacing w:after="0"/>
              <w:rPr>
                <w:sz w:val="22"/>
                <w:szCs w:val="22"/>
                <w:color w:val="auto"/>
              </w:rPr>
            </w:pPr>
          </w:p>
        </w:tc>
        <w:tc>
          <w:tcPr>
            <w:tcW w:w="4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Assets</w:t>
            </w:r>
          </w:p>
        </w:tc>
        <w:tc>
          <w:tcPr>
            <w:tcW w:w="5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864"/>
              <w:spacing w:after="0"/>
              <w:rPr>
                <w:sz w:val="20"/>
                <w:szCs w:val="20"/>
                <w:color w:val="auto"/>
              </w:rPr>
            </w:pPr>
            <w:r>
              <w:rPr>
                <w:rFonts w:ascii="Arial" w:cs="Arial" w:eastAsia="Arial" w:hAnsi="Arial"/>
                <w:sz w:val="16"/>
                <w:szCs w:val="16"/>
                <w:color w:val="auto"/>
                <w:w w:val="89"/>
              </w:rPr>
              <w:t>$</w:t>
            </w:r>
          </w:p>
        </w:tc>
        <w:tc>
          <w:tcPr>
            <w:tcW w:w="68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2,868</w:t>
            </w:r>
          </w:p>
        </w:tc>
        <w:tc>
          <w:tcPr>
            <w:tcW w:w="42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4"/>
              </w:rPr>
              <w:t>4,805</w:t>
            </w:r>
          </w:p>
        </w:tc>
        <w:tc>
          <w:tcPr>
            <w:tcW w:w="160" w:type="dxa"/>
            <w:vAlign w:val="bottom"/>
          </w:tcPr>
          <w:p>
            <w:pPr>
              <w:spacing w:after="0"/>
              <w:rPr>
                <w:sz w:val="22"/>
                <w:szCs w:val="22"/>
                <w:color w:val="auto"/>
              </w:rPr>
            </w:pPr>
          </w:p>
        </w:tc>
        <w:tc>
          <w:tcPr>
            <w:tcW w:w="960" w:type="dxa"/>
            <w:vAlign w:val="bottom"/>
          </w:tcPr>
          <w:p>
            <w:pPr>
              <w:spacing w:after="0"/>
              <w:rPr>
                <w:sz w:val="22"/>
                <w:szCs w:val="22"/>
                <w:color w:val="auto"/>
              </w:rPr>
            </w:pPr>
          </w:p>
        </w:tc>
      </w:tr>
      <w:tr>
        <w:trPr>
          <w:trHeight w:val="237"/>
        </w:trPr>
        <w:tc>
          <w:tcPr>
            <w:tcW w:w="1140" w:type="dxa"/>
            <w:vAlign w:val="bottom"/>
          </w:tcPr>
          <w:p>
            <w:pPr>
              <w:spacing w:after="0"/>
              <w:rPr>
                <w:sz w:val="20"/>
                <w:szCs w:val="20"/>
                <w:color w:val="auto"/>
              </w:rPr>
            </w:pPr>
          </w:p>
        </w:tc>
        <w:tc>
          <w:tcPr>
            <w:tcW w:w="4000" w:type="dxa"/>
            <w:vAlign w:val="bottom"/>
          </w:tcPr>
          <w:p>
            <w:pPr>
              <w:ind w:left="20"/>
              <w:spacing w:after="0"/>
              <w:rPr>
                <w:sz w:val="20"/>
                <w:szCs w:val="20"/>
                <w:color w:val="auto"/>
              </w:rPr>
            </w:pPr>
            <w:r>
              <w:rPr>
                <w:rFonts w:ascii="Arial" w:cs="Arial" w:eastAsia="Arial" w:hAnsi="Arial"/>
                <w:sz w:val="16"/>
                <w:szCs w:val="16"/>
                <w:color w:val="auto"/>
              </w:rPr>
              <w:t>Liabilities</w:t>
            </w:r>
          </w:p>
        </w:tc>
        <w:tc>
          <w:tcPr>
            <w:tcW w:w="500" w:type="dxa"/>
            <w:vAlign w:val="bottom"/>
          </w:tcPr>
          <w:p>
            <w:pPr>
              <w:spacing w:after="0"/>
              <w:rPr>
                <w:sz w:val="20"/>
                <w:szCs w:val="20"/>
                <w:color w:val="auto"/>
              </w:rPr>
            </w:pPr>
          </w:p>
        </w:tc>
        <w:tc>
          <w:tcPr>
            <w:tcW w:w="1040" w:type="dxa"/>
            <w:vAlign w:val="bottom"/>
          </w:tcPr>
          <w:p>
            <w:pPr>
              <w:jc w:val="right"/>
              <w:ind w:right="864"/>
              <w:spacing w:after="0"/>
              <w:rPr>
                <w:sz w:val="20"/>
                <w:szCs w:val="20"/>
                <w:color w:val="auto"/>
              </w:rPr>
            </w:pPr>
            <w:r>
              <w:rPr>
                <w:rFonts w:ascii="Arial" w:cs="Arial" w:eastAsia="Arial" w:hAnsi="Arial"/>
                <w:sz w:val="16"/>
                <w:szCs w:val="16"/>
                <w:color w:val="auto"/>
                <w:w w:val="89"/>
              </w:rPr>
              <w:t>$</w:t>
            </w:r>
          </w:p>
        </w:tc>
        <w:tc>
          <w:tcPr>
            <w:tcW w:w="68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2,153</w:t>
            </w:r>
          </w:p>
        </w:tc>
        <w:tc>
          <w:tcPr>
            <w:tcW w:w="420" w:type="dxa"/>
            <w:vAlign w:val="bottom"/>
          </w:tcPr>
          <w:p>
            <w:pPr>
              <w:jc w:val="right"/>
              <w:ind w:right="81"/>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460" w:type="dxa"/>
            <w:vAlign w:val="bottom"/>
          </w:tcPr>
          <w:p>
            <w:pPr>
              <w:jc w:val="center"/>
              <w:spacing w:after="0"/>
              <w:rPr>
                <w:sz w:val="20"/>
                <w:szCs w:val="20"/>
                <w:color w:val="auto"/>
              </w:rPr>
            </w:pPr>
            <w:r>
              <w:rPr>
                <w:rFonts w:ascii="Arial" w:cs="Arial" w:eastAsia="Arial" w:hAnsi="Arial"/>
                <w:sz w:val="16"/>
                <w:szCs w:val="16"/>
                <w:color w:val="auto"/>
                <w:w w:val="94"/>
              </w:rPr>
              <w:t>7,763</w:t>
            </w: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r>
    </w:tbl>
    <w:p>
      <w:pPr>
        <w:spacing w:after="0" w:line="12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material arrangements between the Company and MetLife are as follows:</w:t>
      </w:r>
    </w:p>
    <w:p>
      <w:pPr>
        <w:spacing w:after="0" w:line="11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Reinsurance Agreements</w:t>
      </w:r>
    </w:p>
    <w:p>
      <w:pPr>
        <w:spacing w:after="0" w:line="117" w:lineRule="exact"/>
        <w:rPr>
          <w:sz w:val="20"/>
          <w:szCs w:val="20"/>
          <w:color w:val="auto"/>
        </w:rPr>
      </w:pPr>
    </w:p>
    <w:p>
      <w:pPr>
        <w:jc w:val="both"/>
        <w:ind w:left="180" w:firstLine="324"/>
        <w:spacing w:after="0" w:line="264" w:lineRule="auto"/>
        <w:rPr>
          <w:sz w:val="20"/>
          <w:szCs w:val="20"/>
          <w:color w:val="auto"/>
        </w:rPr>
      </w:pPr>
      <w:r>
        <w:rPr>
          <w:rFonts w:ascii="Arial" w:cs="Arial" w:eastAsia="Arial" w:hAnsi="Arial"/>
          <w:sz w:val="18"/>
          <w:szCs w:val="18"/>
          <w:color w:val="auto"/>
        </w:rPr>
        <w:t>The Company enters into reinsurance agreements primarily as a purchaser of reinsurance for its various insurance products and also as a provider of reinsurance for some insurance products issued by former affiliates. The Company participates in reinsurance activities in order to limit losses, minimize exposure to significant risks and provide additional capacity for future growth.</w:t>
      </w:r>
    </w:p>
    <w:p>
      <w:pPr>
        <w:spacing w:after="0" w:line="73" w:lineRule="exact"/>
        <w:rPr>
          <w:sz w:val="20"/>
          <w:szCs w:val="20"/>
          <w:color w:val="auto"/>
        </w:rPr>
      </w:pPr>
    </w:p>
    <w:p>
      <w:pPr>
        <w:jc w:val="both"/>
        <w:ind w:left="180" w:firstLine="324"/>
        <w:spacing w:after="0" w:line="264" w:lineRule="auto"/>
        <w:rPr>
          <w:sz w:val="20"/>
          <w:szCs w:val="20"/>
          <w:color w:val="auto"/>
        </w:rPr>
      </w:pPr>
      <w:r>
        <w:rPr>
          <w:rFonts w:ascii="Arial" w:cs="Arial" w:eastAsia="Arial" w:hAnsi="Arial"/>
          <w:sz w:val="18"/>
          <w:szCs w:val="18"/>
          <w:color w:val="auto"/>
        </w:rPr>
        <w:t>The Company has reinsurance agreements with certain MetLife, Inc. subsidiaries, including MLIC, General American Life Insurance Company, MetLife Europe d.a.c., MetLife Reinsurance Company of Vermont, Delaware American Life Insurance Company and American Life Insurance Company, all of which were related parties as of September 30, 2017.</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20"/>
          </w:cols>
          <w:pgMar w:left="240" w:top="234" w:right="239" w:bottom="1440" w:gutter="0" w:footer="0" w:header="0"/>
        </w:sectPr>
      </w:pPr>
    </w:p>
    <w:bookmarkStart w:id="70" w:name="page71"/>
    <w:bookmarkEnd w:id="70"/>
    <w:p>
      <w:pPr>
        <w:ind w:left="340"/>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109" w:lineRule="exact"/>
        <w:rPr>
          <w:sz w:val="20"/>
          <w:szCs w:val="20"/>
          <w:color w:val="auto"/>
        </w:rPr>
      </w:pPr>
    </w:p>
    <w:p>
      <w:pPr>
        <w:ind w:left="4840"/>
        <w:spacing w:after="0"/>
        <w:rPr>
          <w:sz w:val="20"/>
          <w:szCs w:val="20"/>
          <w:color w:val="auto"/>
        </w:rPr>
      </w:pPr>
      <w:r>
        <w:rPr>
          <w:rFonts w:ascii="Arial" w:cs="Arial" w:eastAsia="Arial" w:hAnsi="Arial"/>
          <w:sz w:val="18"/>
          <w:szCs w:val="18"/>
          <w:b w:val="1"/>
          <w:bCs w:val="1"/>
          <w:color w:val="auto"/>
        </w:rPr>
        <w:t>Brighthouse Financial, Inc.</w:t>
      </w:r>
    </w:p>
    <w:p>
      <w:pPr>
        <w:spacing w:after="0" w:line="117" w:lineRule="exact"/>
        <w:rPr>
          <w:sz w:val="20"/>
          <w:szCs w:val="20"/>
          <w:color w:val="auto"/>
        </w:rPr>
      </w:pPr>
    </w:p>
    <w:p>
      <w:pPr>
        <w:ind w:left="1640"/>
        <w:spacing w:after="0"/>
        <w:rPr>
          <w:sz w:val="20"/>
          <w:szCs w:val="20"/>
          <w:color w:val="auto"/>
        </w:rPr>
      </w:pPr>
      <w:r>
        <w:rPr>
          <w:rFonts w:ascii="Arial" w:cs="Arial" w:eastAsia="Arial" w:hAnsi="Arial"/>
          <w:sz w:val="18"/>
          <w:szCs w:val="18"/>
          <w:b w:val="1"/>
          <w:bCs w:val="1"/>
          <w:color w:val="auto"/>
        </w:rPr>
        <w:t>Notes to the Interim Condensed Consolidated and Combined Financial Statements (Unaudited) — (continued)</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12. Related Party Transactions (continued)</w:t>
      </w:r>
    </w:p>
    <w:p>
      <w:pPr>
        <w:spacing w:after="0" w:line="364"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Information regarding the significant effects of reinsurance with former affiliates included on the interim condensed consolidated and combined statements of operations and comprehensive income (loss) was as follows: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360" w:type="dxa"/>
            <w:vAlign w:val="bottom"/>
            <w:gridSpan w:val="3"/>
          </w:tcPr>
          <w:p>
            <w:pPr>
              <w:jc w:val="center"/>
              <w:ind w:right="180"/>
              <w:spacing w:after="0"/>
              <w:rPr>
                <w:sz w:val="20"/>
                <w:szCs w:val="20"/>
                <w:color w:val="auto"/>
              </w:rPr>
            </w:pPr>
            <w:r>
              <w:rPr>
                <w:rFonts w:ascii="Arial" w:cs="Arial" w:eastAsia="Arial" w:hAnsi="Arial"/>
                <w:sz w:val="16"/>
                <w:szCs w:val="16"/>
                <w:b w:val="1"/>
                <w:bCs w:val="1"/>
                <w:color w:val="auto"/>
                <w:w w:val="93"/>
              </w:rPr>
              <w:t>Three Months</w:t>
            </w: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20" w:type="dxa"/>
            <w:vAlign w:val="bottom"/>
            <w:gridSpan w:val="3"/>
          </w:tcPr>
          <w:p>
            <w:pPr>
              <w:jc w:val="center"/>
              <w:spacing w:after="0"/>
              <w:rPr>
                <w:sz w:val="20"/>
                <w:szCs w:val="20"/>
                <w:color w:val="auto"/>
              </w:rPr>
            </w:pPr>
            <w:r>
              <w:rPr>
                <w:rFonts w:ascii="Arial" w:cs="Arial" w:eastAsia="Arial" w:hAnsi="Arial"/>
                <w:sz w:val="16"/>
                <w:szCs w:val="16"/>
                <w:b w:val="1"/>
                <w:bCs w:val="1"/>
                <w:color w:val="auto"/>
                <w:w w:val="93"/>
              </w:rPr>
              <w:t>Nine Months</w:t>
            </w: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360" w:type="dxa"/>
            <w:vAlign w:val="bottom"/>
            <w:gridSpan w:val="3"/>
          </w:tcPr>
          <w:p>
            <w:pPr>
              <w:jc w:val="center"/>
              <w:ind w:right="240"/>
              <w:spacing w:after="0"/>
              <w:rPr>
                <w:sz w:val="20"/>
                <w:szCs w:val="20"/>
                <w:color w:val="auto"/>
              </w:rPr>
            </w:pPr>
            <w:r>
              <w:rPr>
                <w:rFonts w:ascii="Arial" w:cs="Arial" w:eastAsia="Arial" w:hAnsi="Arial"/>
                <w:sz w:val="16"/>
                <w:szCs w:val="16"/>
                <w:b w:val="1"/>
                <w:bCs w:val="1"/>
                <w:color w:val="auto"/>
                <w:w w:val="89"/>
              </w:rPr>
              <w:t>Ended</w:t>
            </w: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20" w:type="dxa"/>
            <w:vAlign w:val="bottom"/>
            <w:gridSpan w:val="3"/>
          </w:tcPr>
          <w:p>
            <w:pPr>
              <w:jc w:val="center"/>
              <w:spacing w:after="0"/>
              <w:rPr>
                <w:sz w:val="20"/>
                <w:szCs w:val="20"/>
                <w:color w:val="auto"/>
              </w:rPr>
            </w:pPr>
            <w:r>
              <w:rPr>
                <w:rFonts w:ascii="Arial" w:cs="Arial" w:eastAsia="Arial" w:hAnsi="Arial"/>
                <w:sz w:val="16"/>
                <w:szCs w:val="16"/>
                <w:b w:val="1"/>
                <w:bCs w:val="1"/>
                <w:color w:val="auto"/>
                <w:w w:val="89"/>
              </w:rPr>
              <w:t>Ended</w:t>
            </w: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6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360" w:type="dxa"/>
            <w:vAlign w:val="bottom"/>
            <w:gridSpan w:val="3"/>
          </w:tcPr>
          <w:p>
            <w:pPr>
              <w:jc w:val="center"/>
              <w:ind w:right="200"/>
              <w:spacing w:after="0"/>
              <w:rPr>
                <w:sz w:val="20"/>
                <w:szCs w:val="20"/>
                <w:color w:val="auto"/>
              </w:rPr>
            </w:pPr>
            <w:r>
              <w:rPr>
                <w:rFonts w:ascii="Arial" w:cs="Arial" w:eastAsia="Arial" w:hAnsi="Arial"/>
                <w:sz w:val="16"/>
                <w:szCs w:val="16"/>
                <w:b w:val="1"/>
                <w:bCs w:val="1"/>
                <w:color w:val="auto"/>
                <w:w w:val="91"/>
              </w:rPr>
              <w:t>September 30,</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20" w:type="dxa"/>
            <w:vAlign w:val="bottom"/>
            <w:gridSpan w:val="3"/>
          </w:tcPr>
          <w:p>
            <w:pPr>
              <w:jc w:val="center"/>
              <w:spacing w:after="0"/>
              <w:rPr>
                <w:sz w:val="20"/>
                <w:szCs w:val="20"/>
                <w:color w:val="auto"/>
              </w:rPr>
            </w:pPr>
            <w:r>
              <w:rPr>
                <w:rFonts w:ascii="Arial" w:cs="Arial" w:eastAsia="Arial" w:hAnsi="Arial"/>
                <w:sz w:val="16"/>
                <w:szCs w:val="16"/>
                <w:b w:val="1"/>
                <w:bCs w:val="1"/>
                <w:color w:val="auto"/>
                <w:w w:val="91"/>
              </w:rPr>
              <w:t>September 30,</w:t>
            </w: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618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8"/>
        </w:trPr>
        <w:tc>
          <w:tcPr>
            <w:tcW w:w="6180" w:type="dxa"/>
            <w:vAlign w:val="bottom"/>
          </w:tcPr>
          <w:p>
            <w:pPr>
              <w:spacing w:after="0"/>
              <w:rPr>
                <w:sz w:val="22"/>
                <w:szCs w:val="22"/>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4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2016</w:t>
            </w:r>
          </w:p>
        </w:tc>
        <w:tc>
          <w:tcPr>
            <w:tcW w:w="44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44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399"/>
              <w:spacing w:after="0"/>
              <w:rPr>
                <w:sz w:val="20"/>
                <w:szCs w:val="20"/>
                <w:color w:val="auto"/>
              </w:rPr>
            </w:pPr>
            <w:r>
              <w:rPr>
                <w:rFonts w:ascii="Arial" w:cs="Arial" w:eastAsia="Arial" w:hAnsi="Arial"/>
                <w:sz w:val="14"/>
                <w:szCs w:val="14"/>
                <w:b w:val="1"/>
                <w:bCs w:val="1"/>
                <w:color w:val="auto"/>
                <w:w w:val="89"/>
              </w:rPr>
              <w:t>2016</w:t>
            </w:r>
          </w:p>
        </w:tc>
        <w:tc>
          <w:tcPr>
            <w:tcW w:w="0" w:type="dxa"/>
            <w:vAlign w:val="bottom"/>
          </w:tcPr>
          <w:p>
            <w:pPr>
              <w:spacing w:after="0"/>
              <w:rPr>
                <w:sz w:val="1"/>
                <w:szCs w:val="1"/>
                <w:color w:val="auto"/>
              </w:rPr>
            </w:pPr>
          </w:p>
        </w:tc>
      </w:tr>
      <w:tr>
        <w:trPr>
          <w:trHeight w:val="250"/>
        </w:trPr>
        <w:tc>
          <w:tcPr>
            <w:tcW w:w="61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340" w:type="dxa"/>
            <w:vAlign w:val="bottom"/>
            <w:gridSpan w:val="3"/>
          </w:tcPr>
          <w:p>
            <w:pPr>
              <w:jc w:val="right"/>
              <w:ind w:right="340"/>
              <w:spacing w:after="0"/>
              <w:rPr>
                <w:sz w:val="20"/>
                <w:szCs w:val="20"/>
                <w:color w:val="auto"/>
              </w:rPr>
            </w:pPr>
            <w:r>
              <w:rPr>
                <w:rFonts w:ascii="Arial" w:cs="Arial" w:eastAsia="Arial" w:hAnsi="Arial"/>
                <w:sz w:val="14"/>
                <w:szCs w:val="14"/>
                <w:b w:val="1"/>
                <w:bCs w:val="1"/>
                <w:color w:val="auto"/>
              </w:rPr>
              <w:t>(In millions)</w:t>
            </w:r>
          </w:p>
        </w:tc>
        <w:tc>
          <w:tcPr>
            <w:tcW w:w="4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6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Premiums</w:t>
            </w:r>
          </w:p>
        </w:tc>
        <w:tc>
          <w:tcPr>
            <w:tcW w:w="74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6180" w:type="dxa"/>
            <w:vAlign w:val="bottom"/>
          </w:tcPr>
          <w:p>
            <w:pPr>
              <w:ind w:left="40"/>
              <w:spacing w:after="0"/>
              <w:rPr>
                <w:sz w:val="20"/>
                <w:szCs w:val="20"/>
                <w:color w:val="auto"/>
              </w:rPr>
            </w:pPr>
            <w:r>
              <w:rPr>
                <w:rFonts w:ascii="Arial" w:cs="Arial" w:eastAsia="Arial" w:hAnsi="Arial"/>
                <w:sz w:val="16"/>
                <w:szCs w:val="16"/>
                <w:color w:val="auto"/>
              </w:rPr>
              <w:t>Reinsurance assumed</w:t>
            </w:r>
          </w:p>
        </w:tc>
        <w:tc>
          <w:tcPr>
            <w:tcW w:w="740" w:type="dxa"/>
            <w:vAlign w:val="bottom"/>
          </w:tcPr>
          <w:p>
            <w:pPr>
              <w:jc w:val="right"/>
              <w:ind w:right="560"/>
              <w:spacing w:after="0"/>
              <w:rPr>
                <w:sz w:val="20"/>
                <w:szCs w:val="20"/>
                <w:color w:val="auto"/>
              </w:rPr>
            </w:pPr>
            <w:r>
              <w:rPr>
                <w:rFonts w:ascii="Arial" w:cs="Arial" w:eastAsia="Arial" w:hAnsi="Arial"/>
                <w:sz w:val="16"/>
                <w:szCs w:val="16"/>
                <w:color w:val="auto"/>
                <w:w w:val="89"/>
              </w:rPr>
              <w:t>$</w:t>
            </w:r>
          </w:p>
        </w:tc>
        <w:tc>
          <w:tcPr>
            <w:tcW w:w="420" w:type="dxa"/>
            <w:vAlign w:val="bottom"/>
          </w:tcPr>
          <w:p>
            <w:pPr>
              <w:jc w:val="right"/>
              <w:ind w:right="39"/>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20"/>
                <w:szCs w:val="20"/>
                <w:color w:val="auto"/>
              </w:rPr>
            </w:pPr>
          </w:p>
        </w:tc>
        <w:tc>
          <w:tcPr>
            <w:tcW w:w="820" w:type="dxa"/>
            <w:vAlign w:val="bottom"/>
          </w:tcPr>
          <w:p>
            <w:pPr>
              <w:jc w:val="right"/>
              <w:ind w:right="620"/>
              <w:spacing w:after="0"/>
              <w:rPr>
                <w:sz w:val="20"/>
                <w:szCs w:val="20"/>
                <w:color w:val="auto"/>
              </w:rPr>
            </w:pPr>
            <w:r>
              <w:rPr>
                <w:rFonts w:ascii="Arial" w:cs="Arial" w:eastAsia="Arial" w:hAnsi="Arial"/>
                <w:sz w:val="16"/>
                <w:szCs w:val="16"/>
                <w:color w:val="auto"/>
              </w:rPr>
              <w:t>$</w:t>
            </w:r>
          </w:p>
        </w:tc>
        <w:tc>
          <w:tcPr>
            <w:tcW w:w="440" w:type="dxa"/>
            <w:vAlign w:val="bottom"/>
          </w:tcPr>
          <w:p>
            <w:pPr>
              <w:jc w:val="right"/>
              <w:spacing w:after="0"/>
              <w:rPr>
                <w:sz w:val="20"/>
                <w:szCs w:val="20"/>
                <w:color w:val="auto"/>
              </w:rPr>
            </w:pPr>
            <w:r>
              <w:rPr>
                <w:rFonts w:ascii="Arial" w:cs="Arial" w:eastAsia="Arial" w:hAnsi="Arial"/>
                <w:sz w:val="16"/>
                <w:szCs w:val="16"/>
                <w:color w:val="auto"/>
              </w:rPr>
              <w:t>(20)</w:t>
            </w:r>
          </w:p>
        </w:tc>
        <w:tc>
          <w:tcPr>
            <w:tcW w:w="100" w:type="dxa"/>
            <w:vAlign w:val="bottom"/>
          </w:tcPr>
          <w:p>
            <w:pPr>
              <w:spacing w:after="0"/>
              <w:rPr>
                <w:sz w:val="20"/>
                <w:szCs w:val="20"/>
                <w:color w:val="auto"/>
              </w:rPr>
            </w:pPr>
          </w:p>
        </w:tc>
        <w:tc>
          <w:tcPr>
            <w:tcW w:w="800" w:type="dxa"/>
            <w:vAlign w:val="bottom"/>
          </w:tcPr>
          <w:p>
            <w:pPr>
              <w:jc w:val="right"/>
              <w:ind w:right="600"/>
              <w:spacing w:after="0"/>
              <w:rPr>
                <w:sz w:val="20"/>
                <w:szCs w:val="20"/>
                <w:color w:val="auto"/>
              </w:rPr>
            </w:pPr>
            <w:r>
              <w:rPr>
                <w:rFonts w:ascii="Arial" w:cs="Arial" w:eastAsia="Arial" w:hAnsi="Arial"/>
                <w:sz w:val="16"/>
                <w:szCs w:val="16"/>
                <w:color w:val="auto"/>
              </w:rPr>
              <w:t>$</w:t>
            </w:r>
          </w:p>
        </w:tc>
        <w:tc>
          <w:tcPr>
            <w:tcW w:w="440" w:type="dxa"/>
            <w:vAlign w:val="bottom"/>
          </w:tcPr>
          <w:p>
            <w:pPr>
              <w:jc w:val="right"/>
              <w:ind w:right="19"/>
              <w:spacing w:after="0"/>
              <w:rPr>
                <w:sz w:val="20"/>
                <w:szCs w:val="20"/>
                <w:color w:val="auto"/>
              </w:rPr>
            </w:pPr>
            <w:r>
              <w:rPr>
                <w:rFonts w:ascii="Arial" w:cs="Arial" w:eastAsia="Arial" w:hAnsi="Arial"/>
                <w:sz w:val="16"/>
                <w:szCs w:val="16"/>
                <w:color w:val="auto"/>
              </w:rPr>
              <w:t>9</w:t>
            </w:r>
          </w:p>
        </w:tc>
        <w:tc>
          <w:tcPr>
            <w:tcW w:w="120" w:type="dxa"/>
            <w:vAlign w:val="bottom"/>
          </w:tcPr>
          <w:p>
            <w:pPr>
              <w:spacing w:after="0"/>
              <w:rPr>
                <w:sz w:val="20"/>
                <w:szCs w:val="20"/>
                <w:color w:val="auto"/>
              </w:rPr>
            </w:pPr>
          </w:p>
        </w:tc>
        <w:tc>
          <w:tcPr>
            <w:tcW w:w="460" w:type="dxa"/>
            <w:vAlign w:val="bottom"/>
          </w:tcPr>
          <w:p>
            <w:pPr>
              <w:jc w:val="right"/>
              <w:ind w:right="279"/>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32</w:t>
            </w:r>
          </w:p>
        </w:tc>
        <w:tc>
          <w:tcPr>
            <w:tcW w:w="0" w:type="dxa"/>
            <w:vAlign w:val="bottom"/>
          </w:tcPr>
          <w:p>
            <w:pPr>
              <w:spacing w:after="0"/>
              <w:rPr>
                <w:sz w:val="1"/>
                <w:szCs w:val="1"/>
                <w:color w:val="auto"/>
              </w:rPr>
            </w:pPr>
          </w:p>
        </w:tc>
      </w:tr>
      <w:tr>
        <w:trPr>
          <w:trHeight w:val="33"/>
        </w:trPr>
        <w:tc>
          <w:tcPr>
            <w:tcW w:w="6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Reinsurance ceded</w:t>
            </w:r>
          </w:p>
        </w:tc>
        <w:tc>
          <w:tcPr>
            <w:tcW w:w="74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0"/>
              </w:rPr>
              <w:t>(106)</w:t>
            </w:r>
          </w:p>
        </w:tc>
        <w:tc>
          <w:tcPr>
            <w:tcW w:w="1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6"/>
              </w:rPr>
              <w:t>(187)</w:t>
            </w:r>
          </w:p>
        </w:tc>
        <w:tc>
          <w:tcPr>
            <w:tcW w:w="10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(423)</w:t>
            </w:r>
          </w:p>
        </w:tc>
        <w:tc>
          <w:tcPr>
            <w:tcW w:w="1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(560)</w:t>
            </w:r>
          </w:p>
        </w:tc>
        <w:tc>
          <w:tcPr>
            <w:tcW w:w="0" w:type="dxa"/>
            <w:vAlign w:val="bottom"/>
          </w:tcPr>
          <w:p>
            <w:pPr>
              <w:spacing w:after="0"/>
              <w:rPr>
                <w:sz w:val="1"/>
                <w:szCs w:val="1"/>
                <w:color w:val="auto"/>
              </w:rPr>
            </w:pPr>
          </w:p>
        </w:tc>
      </w:tr>
      <w:tr>
        <w:trPr>
          <w:trHeight w:val="217"/>
        </w:trPr>
        <w:tc>
          <w:tcPr>
            <w:tcW w:w="6180" w:type="dxa"/>
            <w:vAlign w:val="bottom"/>
          </w:tcPr>
          <w:p>
            <w:pPr>
              <w:ind w:left="200"/>
              <w:spacing w:after="0"/>
              <w:rPr>
                <w:sz w:val="20"/>
                <w:szCs w:val="20"/>
                <w:color w:val="auto"/>
              </w:rPr>
            </w:pPr>
            <w:r>
              <w:rPr>
                <w:rFonts w:ascii="Arial" w:cs="Arial" w:eastAsia="Arial" w:hAnsi="Arial"/>
                <w:sz w:val="16"/>
                <w:szCs w:val="16"/>
                <w:color w:val="auto"/>
              </w:rPr>
              <w:t>Net premiums</w:t>
            </w:r>
          </w:p>
        </w:tc>
        <w:tc>
          <w:tcPr>
            <w:tcW w:w="740" w:type="dxa"/>
            <w:vAlign w:val="bottom"/>
            <w:tcBorders>
              <w:top w:val="single" w:sz="8" w:color="auto"/>
            </w:tcBorders>
          </w:tcPr>
          <w:p>
            <w:pPr>
              <w:jc w:val="right"/>
              <w:ind w:right="560"/>
              <w:spacing w:after="0"/>
              <w:rPr>
                <w:sz w:val="20"/>
                <w:szCs w:val="20"/>
                <w:color w:val="auto"/>
              </w:rPr>
            </w:pPr>
            <w:r>
              <w:rPr>
                <w:rFonts w:ascii="Arial" w:cs="Arial" w:eastAsia="Arial" w:hAnsi="Arial"/>
                <w:sz w:val="16"/>
                <w:szCs w:val="16"/>
                <w:color w:val="auto"/>
                <w:w w:val="89"/>
              </w:rPr>
              <w:t>$</w:t>
            </w: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90"/>
              </w:rPr>
              <w:t>(105)</w:t>
            </w:r>
          </w:p>
        </w:tc>
        <w:tc>
          <w:tcPr>
            <w:tcW w:w="120" w:type="dxa"/>
            <w:vAlign w:val="bottom"/>
          </w:tcPr>
          <w:p>
            <w:pPr>
              <w:spacing w:after="0"/>
              <w:rPr>
                <w:sz w:val="18"/>
                <w:szCs w:val="18"/>
                <w:color w:val="auto"/>
              </w:rPr>
            </w:pPr>
          </w:p>
        </w:tc>
        <w:tc>
          <w:tcPr>
            <w:tcW w:w="820" w:type="dxa"/>
            <w:vAlign w:val="bottom"/>
            <w:tcBorders>
              <w:top w:val="single" w:sz="8" w:color="auto"/>
            </w:tcBorders>
          </w:tcPr>
          <w:p>
            <w:pPr>
              <w:jc w:val="right"/>
              <w:ind w:right="620"/>
              <w:spacing w:after="0"/>
              <w:rPr>
                <w:sz w:val="20"/>
                <w:szCs w:val="20"/>
                <w:color w:val="auto"/>
              </w:rPr>
            </w:pPr>
            <w:r>
              <w:rPr>
                <w:rFonts w:ascii="Arial" w:cs="Arial" w:eastAsia="Arial" w:hAnsi="Arial"/>
                <w:sz w:val="16"/>
                <w:szCs w:val="16"/>
                <w:color w:val="auto"/>
              </w:rPr>
              <w:t>$</w:t>
            </w: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96"/>
              </w:rPr>
              <w:t>(207)</w:t>
            </w:r>
          </w:p>
        </w:tc>
        <w:tc>
          <w:tcPr>
            <w:tcW w:w="100" w:type="dxa"/>
            <w:vAlign w:val="bottom"/>
          </w:tcPr>
          <w:p>
            <w:pPr>
              <w:spacing w:after="0"/>
              <w:rPr>
                <w:sz w:val="18"/>
                <w:szCs w:val="18"/>
                <w:color w:val="auto"/>
              </w:rPr>
            </w:pPr>
          </w:p>
        </w:tc>
        <w:tc>
          <w:tcPr>
            <w:tcW w:w="800" w:type="dxa"/>
            <w:vAlign w:val="bottom"/>
            <w:tcBorders>
              <w:top w:val="single" w:sz="8" w:color="auto"/>
            </w:tcBorders>
          </w:tcPr>
          <w:p>
            <w:pPr>
              <w:jc w:val="right"/>
              <w:ind w:right="600"/>
              <w:spacing w:after="0"/>
              <w:rPr>
                <w:sz w:val="20"/>
                <w:szCs w:val="20"/>
                <w:color w:val="auto"/>
              </w:rPr>
            </w:pPr>
            <w:r>
              <w:rPr>
                <w:rFonts w:ascii="Arial" w:cs="Arial" w:eastAsia="Arial" w:hAnsi="Arial"/>
                <w:sz w:val="16"/>
                <w:szCs w:val="16"/>
                <w:color w:val="auto"/>
              </w:rPr>
              <w:t>$</w:t>
            </w: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(414)</w:t>
            </w:r>
          </w:p>
        </w:tc>
        <w:tc>
          <w:tcPr>
            <w:tcW w:w="120" w:type="dxa"/>
            <w:vAlign w:val="bottom"/>
          </w:tcPr>
          <w:p>
            <w:pPr>
              <w:spacing w:after="0"/>
              <w:rPr>
                <w:sz w:val="18"/>
                <w:szCs w:val="18"/>
                <w:color w:val="auto"/>
              </w:rPr>
            </w:pPr>
          </w:p>
        </w:tc>
        <w:tc>
          <w:tcPr>
            <w:tcW w:w="460" w:type="dxa"/>
            <w:vAlign w:val="bottom"/>
            <w:tcBorders>
              <w:top w:val="single" w:sz="8" w:color="auto"/>
            </w:tcBorders>
          </w:tcPr>
          <w:p>
            <w:pPr>
              <w:jc w:val="right"/>
              <w:ind w:right="279"/>
              <w:spacing w:after="0"/>
              <w:rPr>
                <w:sz w:val="20"/>
                <w:szCs w:val="20"/>
                <w:color w:val="auto"/>
              </w:rPr>
            </w:pPr>
            <w:r>
              <w:rPr>
                <w:rFonts w:ascii="Arial" w:cs="Arial" w:eastAsia="Arial" w:hAnsi="Arial"/>
                <w:sz w:val="16"/>
                <w:szCs w:val="16"/>
                <w:color w:val="auto"/>
                <w:w w:val="89"/>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(528)</w:t>
            </w:r>
          </w:p>
        </w:tc>
        <w:tc>
          <w:tcPr>
            <w:tcW w:w="0" w:type="dxa"/>
            <w:vAlign w:val="bottom"/>
          </w:tcPr>
          <w:p>
            <w:pPr>
              <w:spacing w:after="0"/>
              <w:rPr>
                <w:sz w:val="1"/>
                <w:szCs w:val="1"/>
                <w:color w:val="auto"/>
              </w:rPr>
            </w:pPr>
          </w:p>
        </w:tc>
      </w:tr>
      <w:tr>
        <w:trPr>
          <w:trHeight w:val="73"/>
        </w:trPr>
        <w:tc>
          <w:tcPr>
            <w:tcW w:w="6180" w:type="dxa"/>
            <w:vAlign w:val="bottom"/>
            <w:tcBorders>
              <w:bottom w:val="single" w:sz="8" w:color="CCEEFF"/>
            </w:tcBorders>
          </w:tcPr>
          <w:p>
            <w:pPr>
              <w:spacing w:after="0"/>
              <w:rPr>
                <w:sz w:val="6"/>
                <w:szCs w:val="6"/>
                <w:color w:val="auto"/>
              </w:rPr>
            </w:pPr>
          </w:p>
        </w:tc>
        <w:tc>
          <w:tcPr>
            <w:tcW w:w="740" w:type="dxa"/>
            <w:vAlign w:val="bottom"/>
            <w:tcBorders>
              <w:bottom w:val="single" w:sz="8" w:color="auto"/>
            </w:tcBorders>
          </w:tcPr>
          <w:p>
            <w:pPr>
              <w:spacing w:after="0"/>
              <w:rPr>
                <w:sz w:val="6"/>
                <w:szCs w:val="6"/>
                <w:color w:val="auto"/>
              </w:rPr>
            </w:pPr>
          </w:p>
        </w:tc>
        <w:tc>
          <w:tcPr>
            <w:tcW w:w="42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820" w:type="dxa"/>
            <w:vAlign w:val="bottom"/>
            <w:tcBorders>
              <w:bottom w:val="single" w:sz="8" w:color="auto"/>
            </w:tcBorders>
          </w:tcPr>
          <w:p>
            <w:pPr>
              <w:spacing w:after="0"/>
              <w:rPr>
                <w:sz w:val="6"/>
                <w:szCs w:val="6"/>
                <w:color w:val="auto"/>
              </w:rPr>
            </w:pPr>
          </w:p>
        </w:tc>
        <w:tc>
          <w:tcPr>
            <w:tcW w:w="44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800" w:type="dxa"/>
            <w:vAlign w:val="bottom"/>
            <w:tcBorders>
              <w:bottom w:val="single" w:sz="8" w:color="auto"/>
            </w:tcBorders>
          </w:tcPr>
          <w:p>
            <w:pPr>
              <w:spacing w:after="0"/>
              <w:rPr>
                <w:sz w:val="6"/>
                <w:szCs w:val="6"/>
                <w:color w:val="auto"/>
              </w:rPr>
            </w:pPr>
          </w:p>
        </w:tc>
        <w:tc>
          <w:tcPr>
            <w:tcW w:w="44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460" w:type="dxa"/>
            <w:vAlign w:val="bottom"/>
            <w:tcBorders>
              <w:bottom w:val="single" w:sz="8" w:color="auto"/>
            </w:tcBorders>
          </w:tcPr>
          <w:p>
            <w:pPr>
              <w:spacing w:after="0"/>
              <w:rPr>
                <w:sz w:val="6"/>
                <w:szCs w:val="6"/>
                <w:color w:val="auto"/>
              </w:rPr>
            </w:pPr>
          </w:p>
        </w:tc>
        <w:tc>
          <w:tcPr>
            <w:tcW w:w="78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6180" w:type="dxa"/>
            <w:vAlign w:val="bottom"/>
            <w:shd w:val="clear" w:color="auto" w:fill="CCEEFF"/>
          </w:tcPr>
          <w:p>
            <w:pPr>
              <w:ind w:left="40"/>
              <w:spacing w:after="0" w:line="177" w:lineRule="exact"/>
              <w:rPr>
                <w:sz w:val="20"/>
                <w:szCs w:val="20"/>
                <w:color w:val="auto"/>
              </w:rPr>
            </w:pPr>
            <w:r>
              <w:rPr>
                <w:rFonts w:ascii="Arial" w:cs="Arial" w:eastAsia="Arial" w:hAnsi="Arial"/>
                <w:sz w:val="16"/>
                <w:szCs w:val="16"/>
                <w:b w:val="1"/>
                <w:bCs w:val="1"/>
                <w:color w:val="auto"/>
              </w:rPr>
              <w:t>Universal life and investment-type product policy fees</w:t>
            </w:r>
          </w:p>
        </w:tc>
        <w:tc>
          <w:tcPr>
            <w:tcW w:w="74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74"/>
        </w:trPr>
        <w:tc>
          <w:tcPr>
            <w:tcW w:w="6180" w:type="dxa"/>
            <w:vAlign w:val="bottom"/>
            <w:shd w:val="clear" w:color="auto" w:fill="CCEEFF"/>
          </w:tcPr>
          <w:p>
            <w:pPr>
              <w:spacing w:after="0"/>
              <w:rPr>
                <w:sz w:val="6"/>
                <w:szCs w:val="6"/>
                <w:color w:val="auto"/>
              </w:rPr>
            </w:pPr>
          </w:p>
        </w:tc>
        <w:tc>
          <w:tcPr>
            <w:tcW w:w="740" w:type="dxa"/>
            <w:vAlign w:val="bottom"/>
            <w:shd w:val="clear" w:color="auto" w:fill="CCEEFF"/>
          </w:tcPr>
          <w:p>
            <w:pPr>
              <w:spacing w:after="0"/>
              <w:rPr>
                <w:sz w:val="6"/>
                <w:szCs w:val="6"/>
                <w:color w:val="auto"/>
              </w:rPr>
            </w:pPr>
          </w:p>
        </w:tc>
        <w:tc>
          <w:tcPr>
            <w:tcW w:w="4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820" w:type="dxa"/>
            <w:vAlign w:val="bottom"/>
            <w:shd w:val="clear" w:color="auto" w:fill="CCEEFF"/>
          </w:tcPr>
          <w:p>
            <w:pPr>
              <w:spacing w:after="0"/>
              <w:rPr>
                <w:sz w:val="6"/>
                <w:szCs w:val="6"/>
                <w:color w:val="auto"/>
              </w:rPr>
            </w:pPr>
          </w:p>
        </w:tc>
        <w:tc>
          <w:tcPr>
            <w:tcW w:w="4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800" w:type="dxa"/>
            <w:vAlign w:val="bottom"/>
            <w:shd w:val="clear" w:color="auto" w:fill="CCEEFF"/>
          </w:tcPr>
          <w:p>
            <w:pPr>
              <w:spacing w:after="0"/>
              <w:rPr>
                <w:sz w:val="6"/>
                <w:szCs w:val="6"/>
                <w:color w:val="auto"/>
              </w:rPr>
            </w:pPr>
          </w:p>
        </w:tc>
        <w:tc>
          <w:tcPr>
            <w:tcW w:w="44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460" w:type="dxa"/>
            <w:vAlign w:val="bottom"/>
            <w:shd w:val="clear" w:color="auto" w:fill="CCEEFF"/>
          </w:tcPr>
          <w:p>
            <w:pPr>
              <w:spacing w:after="0"/>
              <w:rPr>
                <w:sz w:val="6"/>
                <w:szCs w:val="6"/>
                <w:color w:val="auto"/>
              </w:rPr>
            </w:pPr>
          </w:p>
        </w:tc>
        <w:tc>
          <w:tcPr>
            <w:tcW w:w="78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37"/>
        </w:trPr>
        <w:tc>
          <w:tcPr>
            <w:tcW w:w="6180" w:type="dxa"/>
            <w:vAlign w:val="bottom"/>
          </w:tcPr>
          <w:p>
            <w:pPr>
              <w:ind w:left="40"/>
              <w:spacing w:after="0"/>
              <w:rPr>
                <w:sz w:val="20"/>
                <w:szCs w:val="20"/>
                <w:color w:val="auto"/>
              </w:rPr>
            </w:pPr>
            <w:r>
              <w:rPr>
                <w:rFonts w:ascii="Arial" w:cs="Arial" w:eastAsia="Arial" w:hAnsi="Arial"/>
                <w:sz w:val="16"/>
                <w:szCs w:val="16"/>
                <w:color w:val="auto"/>
              </w:rPr>
              <w:t>Reinsurance assumed</w:t>
            </w:r>
          </w:p>
        </w:tc>
        <w:tc>
          <w:tcPr>
            <w:tcW w:w="740" w:type="dxa"/>
            <w:vAlign w:val="bottom"/>
          </w:tcPr>
          <w:p>
            <w:pPr>
              <w:jc w:val="right"/>
              <w:ind w:right="560"/>
              <w:spacing w:after="0"/>
              <w:rPr>
                <w:sz w:val="20"/>
                <w:szCs w:val="20"/>
                <w:color w:val="auto"/>
              </w:rPr>
            </w:pPr>
            <w:r>
              <w:rPr>
                <w:rFonts w:ascii="Arial" w:cs="Arial" w:eastAsia="Arial" w:hAnsi="Arial"/>
                <w:sz w:val="16"/>
                <w:szCs w:val="16"/>
                <w:color w:val="auto"/>
                <w:w w:val="89"/>
              </w:rPr>
              <w:t>$</w:t>
            </w:r>
          </w:p>
        </w:tc>
        <w:tc>
          <w:tcPr>
            <w:tcW w:w="420" w:type="dxa"/>
            <w:vAlign w:val="bottom"/>
          </w:tcPr>
          <w:p>
            <w:pPr>
              <w:jc w:val="right"/>
              <w:ind w:right="39"/>
              <w:spacing w:after="0"/>
              <w:rPr>
                <w:sz w:val="20"/>
                <w:szCs w:val="20"/>
                <w:color w:val="auto"/>
              </w:rPr>
            </w:pPr>
            <w:r>
              <w:rPr>
                <w:rFonts w:ascii="Arial" w:cs="Arial" w:eastAsia="Arial" w:hAnsi="Arial"/>
                <w:sz w:val="16"/>
                <w:szCs w:val="16"/>
                <w:color w:val="auto"/>
              </w:rPr>
              <w:t>31</w:t>
            </w:r>
          </w:p>
        </w:tc>
        <w:tc>
          <w:tcPr>
            <w:tcW w:w="120" w:type="dxa"/>
            <w:vAlign w:val="bottom"/>
          </w:tcPr>
          <w:p>
            <w:pPr>
              <w:spacing w:after="0"/>
              <w:rPr>
                <w:sz w:val="20"/>
                <w:szCs w:val="20"/>
                <w:color w:val="auto"/>
              </w:rPr>
            </w:pPr>
          </w:p>
        </w:tc>
        <w:tc>
          <w:tcPr>
            <w:tcW w:w="820" w:type="dxa"/>
            <w:vAlign w:val="bottom"/>
          </w:tcPr>
          <w:p>
            <w:pPr>
              <w:jc w:val="right"/>
              <w:ind w:right="620"/>
              <w:spacing w:after="0"/>
              <w:rPr>
                <w:sz w:val="20"/>
                <w:szCs w:val="20"/>
                <w:color w:val="auto"/>
              </w:rPr>
            </w:pPr>
            <w:r>
              <w:rPr>
                <w:rFonts w:ascii="Arial" w:cs="Arial" w:eastAsia="Arial" w:hAnsi="Arial"/>
                <w:sz w:val="16"/>
                <w:szCs w:val="16"/>
                <w:color w:val="auto"/>
              </w:rPr>
              <w:t>$</w:t>
            </w:r>
          </w:p>
        </w:tc>
        <w:tc>
          <w:tcPr>
            <w:tcW w:w="440" w:type="dxa"/>
            <w:vAlign w:val="bottom"/>
          </w:tcPr>
          <w:p>
            <w:pPr>
              <w:jc w:val="right"/>
              <w:ind w:right="19"/>
              <w:spacing w:after="0"/>
              <w:rPr>
                <w:sz w:val="20"/>
                <w:szCs w:val="20"/>
                <w:color w:val="auto"/>
              </w:rPr>
            </w:pPr>
            <w:r>
              <w:rPr>
                <w:rFonts w:ascii="Arial" w:cs="Arial" w:eastAsia="Arial" w:hAnsi="Arial"/>
                <w:sz w:val="16"/>
                <w:szCs w:val="16"/>
                <w:color w:val="auto"/>
              </w:rPr>
              <w:t>34</w:t>
            </w:r>
          </w:p>
        </w:tc>
        <w:tc>
          <w:tcPr>
            <w:tcW w:w="100" w:type="dxa"/>
            <w:vAlign w:val="bottom"/>
          </w:tcPr>
          <w:p>
            <w:pPr>
              <w:spacing w:after="0"/>
              <w:rPr>
                <w:sz w:val="20"/>
                <w:szCs w:val="20"/>
                <w:color w:val="auto"/>
              </w:rPr>
            </w:pPr>
          </w:p>
        </w:tc>
        <w:tc>
          <w:tcPr>
            <w:tcW w:w="800" w:type="dxa"/>
            <w:vAlign w:val="bottom"/>
          </w:tcPr>
          <w:p>
            <w:pPr>
              <w:jc w:val="right"/>
              <w:ind w:right="600"/>
              <w:spacing w:after="0"/>
              <w:rPr>
                <w:sz w:val="20"/>
                <w:szCs w:val="20"/>
                <w:color w:val="auto"/>
              </w:rPr>
            </w:pPr>
            <w:r>
              <w:rPr>
                <w:rFonts w:ascii="Arial" w:cs="Arial" w:eastAsia="Arial" w:hAnsi="Arial"/>
                <w:sz w:val="16"/>
                <w:szCs w:val="16"/>
                <w:color w:val="auto"/>
              </w:rPr>
              <w:t>$</w:t>
            </w:r>
          </w:p>
        </w:tc>
        <w:tc>
          <w:tcPr>
            <w:tcW w:w="440" w:type="dxa"/>
            <w:vAlign w:val="bottom"/>
          </w:tcPr>
          <w:p>
            <w:pPr>
              <w:jc w:val="right"/>
              <w:ind w:right="19"/>
              <w:spacing w:after="0"/>
              <w:rPr>
                <w:sz w:val="20"/>
                <w:szCs w:val="20"/>
                <w:color w:val="auto"/>
              </w:rPr>
            </w:pPr>
            <w:r>
              <w:rPr>
                <w:rFonts w:ascii="Arial" w:cs="Arial" w:eastAsia="Arial" w:hAnsi="Arial"/>
                <w:sz w:val="16"/>
                <w:szCs w:val="16"/>
                <w:color w:val="auto"/>
              </w:rPr>
              <w:t>77</w:t>
            </w:r>
          </w:p>
        </w:tc>
        <w:tc>
          <w:tcPr>
            <w:tcW w:w="120" w:type="dxa"/>
            <w:vAlign w:val="bottom"/>
          </w:tcPr>
          <w:p>
            <w:pPr>
              <w:spacing w:after="0"/>
              <w:rPr>
                <w:sz w:val="20"/>
                <w:szCs w:val="20"/>
                <w:color w:val="auto"/>
              </w:rPr>
            </w:pPr>
          </w:p>
        </w:tc>
        <w:tc>
          <w:tcPr>
            <w:tcW w:w="460" w:type="dxa"/>
            <w:vAlign w:val="bottom"/>
          </w:tcPr>
          <w:p>
            <w:pPr>
              <w:jc w:val="right"/>
              <w:ind w:right="279"/>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88</w:t>
            </w:r>
          </w:p>
        </w:tc>
        <w:tc>
          <w:tcPr>
            <w:tcW w:w="0" w:type="dxa"/>
            <w:vAlign w:val="bottom"/>
          </w:tcPr>
          <w:p>
            <w:pPr>
              <w:spacing w:after="0"/>
              <w:rPr>
                <w:sz w:val="1"/>
                <w:szCs w:val="1"/>
                <w:color w:val="auto"/>
              </w:rPr>
            </w:pPr>
          </w:p>
        </w:tc>
      </w:tr>
      <w:tr>
        <w:trPr>
          <w:trHeight w:val="33"/>
        </w:trPr>
        <w:tc>
          <w:tcPr>
            <w:tcW w:w="6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Reinsurance ceded</w:t>
            </w:r>
          </w:p>
        </w:tc>
        <w:tc>
          <w:tcPr>
            <w:tcW w:w="74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10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w:t>
            </w:r>
          </w:p>
        </w:tc>
        <w:tc>
          <w:tcPr>
            <w:tcW w:w="1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(45)</w:t>
            </w:r>
          </w:p>
        </w:tc>
        <w:tc>
          <w:tcPr>
            <w:tcW w:w="0" w:type="dxa"/>
            <w:vAlign w:val="bottom"/>
          </w:tcPr>
          <w:p>
            <w:pPr>
              <w:spacing w:after="0"/>
              <w:rPr>
                <w:sz w:val="1"/>
                <w:szCs w:val="1"/>
                <w:color w:val="auto"/>
              </w:rPr>
            </w:pPr>
          </w:p>
        </w:tc>
      </w:tr>
      <w:tr>
        <w:trPr>
          <w:trHeight w:val="217"/>
        </w:trPr>
        <w:tc>
          <w:tcPr>
            <w:tcW w:w="6180" w:type="dxa"/>
            <w:vAlign w:val="bottom"/>
          </w:tcPr>
          <w:p>
            <w:pPr>
              <w:ind w:left="200"/>
              <w:spacing w:after="0"/>
              <w:rPr>
                <w:sz w:val="20"/>
                <w:szCs w:val="20"/>
                <w:color w:val="auto"/>
              </w:rPr>
            </w:pPr>
            <w:r>
              <w:rPr>
                <w:rFonts w:ascii="Arial" w:cs="Arial" w:eastAsia="Arial" w:hAnsi="Arial"/>
                <w:sz w:val="16"/>
                <w:szCs w:val="16"/>
                <w:color w:val="auto"/>
              </w:rPr>
              <w:t>Net universal life and investment-type product policy fees</w:t>
            </w:r>
          </w:p>
        </w:tc>
        <w:tc>
          <w:tcPr>
            <w:tcW w:w="740" w:type="dxa"/>
            <w:vAlign w:val="bottom"/>
            <w:tcBorders>
              <w:top w:val="single" w:sz="8" w:color="auto"/>
            </w:tcBorders>
          </w:tcPr>
          <w:p>
            <w:pPr>
              <w:jc w:val="right"/>
              <w:ind w:right="560"/>
              <w:spacing w:after="0"/>
              <w:rPr>
                <w:sz w:val="20"/>
                <w:szCs w:val="20"/>
                <w:color w:val="auto"/>
              </w:rPr>
            </w:pPr>
            <w:r>
              <w:rPr>
                <w:rFonts w:ascii="Arial" w:cs="Arial" w:eastAsia="Arial" w:hAnsi="Arial"/>
                <w:sz w:val="16"/>
                <w:szCs w:val="16"/>
                <w:color w:val="auto"/>
                <w:w w:val="89"/>
              </w:rPr>
              <w:t>$</w:t>
            </w:r>
          </w:p>
        </w:tc>
        <w:tc>
          <w:tcPr>
            <w:tcW w:w="4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32</w:t>
            </w:r>
          </w:p>
        </w:tc>
        <w:tc>
          <w:tcPr>
            <w:tcW w:w="120" w:type="dxa"/>
            <w:vAlign w:val="bottom"/>
          </w:tcPr>
          <w:p>
            <w:pPr>
              <w:spacing w:after="0"/>
              <w:rPr>
                <w:sz w:val="18"/>
                <w:szCs w:val="18"/>
                <w:color w:val="auto"/>
              </w:rPr>
            </w:pPr>
          </w:p>
        </w:tc>
        <w:tc>
          <w:tcPr>
            <w:tcW w:w="820" w:type="dxa"/>
            <w:vAlign w:val="bottom"/>
            <w:tcBorders>
              <w:top w:val="single" w:sz="8" w:color="auto"/>
            </w:tcBorders>
          </w:tcPr>
          <w:p>
            <w:pPr>
              <w:jc w:val="right"/>
              <w:ind w:right="620"/>
              <w:spacing w:after="0"/>
              <w:rPr>
                <w:sz w:val="20"/>
                <w:szCs w:val="20"/>
                <w:color w:val="auto"/>
              </w:rPr>
            </w:pPr>
            <w:r>
              <w:rPr>
                <w:rFonts w:ascii="Arial" w:cs="Arial" w:eastAsia="Arial" w:hAnsi="Arial"/>
                <w:sz w:val="16"/>
                <w:szCs w:val="16"/>
                <w:color w:val="auto"/>
              </w:rPr>
              <w:t>$</w:t>
            </w:r>
          </w:p>
        </w:tc>
        <w:tc>
          <w:tcPr>
            <w:tcW w:w="4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20</w:t>
            </w:r>
          </w:p>
        </w:tc>
        <w:tc>
          <w:tcPr>
            <w:tcW w:w="100" w:type="dxa"/>
            <w:vAlign w:val="bottom"/>
          </w:tcPr>
          <w:p>
            <w:pPr>
              <w:spacing w:after="0"/>
              <w:rPr>
                <w:sz w:val="18"/>
                <w:szCs w:val="18"/>
                <w:color w:val="auto"/>
              </w:rPr>
            </w:pPr>
          </w:p>
        </w:tc>
        <w:tc>
          <w:tcPr>
            <w:tcW w:w="800" w:type="dxa"/>
            <w:vAlign w:val="bottom"/>
            <w:tcBorders>
              <w:top w:val="single" w:sz="8" w:color="auto"/>
            </w:tcBorders>
          </w:tcPr>
          <w:p>
            <w:pPr>
              <w:jc w:val="right"/>
              <w:ind w:right="600"/>
              <w:spacing w:after="0"/>
              <w:rPr>
                <w:sz w:val="20"/>
                <w:szCs w:val="20"/>
                <w:color w:val="auto"/>
              </w:rPr>
            </w:pPr>
            <w:r>
              <w:rPr>
                <w:rFonts w:ascii="Arial" w:cs="Arial" w:eastAsia="Arial" w:hAnsi="Arial"/>
                <w:sz w:val="16"/>
                <w:szCs w:val="16"/>
                <w:color w:val="auto"/>
              </w:rPr>
              <w:t>$</w:t>
            </w:r>
          </w:p>
        </w:tc>
        <w:tc>
          <w:tcPr>
            <w:tcW w:w="4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61</w:t>
            </w:r>
          </w:p>
        </w:tc>
        <w:tc>
          <w:tcPr>
            <w:tcW w:w="120" w:type="dxa"/>
            <w:vAlign w:val="bottom"/>
          </w:tcPr>
          <w:p>
            <w:pPr>
              <w:spacing w:after="0"/>
              <w:rPr>
                <w:sz w:val="18"/>
                <w:szCs w:val="18"/>
                <w:color w:val="auto"/>
              </w:rPr>
            </w:pPr>
          </w:p>
        </w:tc>
        <w:tc>
          <w:tcPr>
            <w:tcW w:w="460" w:type="dxa"/>
            <w:vAlign w:val="bottom"/>
            <w:tcBorders>
              <w:top w:val="single" w:sz="8" w:color="auto"/>
            </w:tcBorders>
          </w:tcPr>
          <w:p>
            <w:pPr>
              <w:jc w:val="right"/>
              <w:ind w:right="279"/>
              <w:spacing w:after="0"/>
              <w:rPr>
                <w:sz w:val="20"/>
                <w:szCs w:val="20"/>
                <w:color w:val="auto"/>
              </w:rPr>
            </w:pPr>
            <w:r>
              <w:rPr>
                <w:rFonts w:ascii="Arial" w:cs="Arial" w:eastAsia="Arial" w:hAnsi="Arial"/>
                <w:sz w:val="16"/>
                <w:szCs w:val="16"/>
                <w:color w:val="auto"/>
                <w:w w:val="89"/>
              </w:rPr>
              <w:t>$</w:t>
            </w:r>
          </w:p>
        </w:tc>
        <w:tc>
          <w:tcPr>
            <w:tcW w:w="7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43</w:t>
            </w:r>
          </w:p>
        </w:tc>
        <w:tc>
          <w:tcPr>
            <w:tcW w:w="0" w:type="dxa"/>
            <w:vAlign w:val="bottom"/>
          </w:tcPr>
          <w:p>
            <w:pPr>
              <w:spacing w:after="0"/>
              <w:rPr>
                <w:sz w:val="1"/>
                <w:szCs w:val="1"/>
                <w:color w:val="auto"/>
              </w:rPr>
            </w:pPr>
          </w:p>
        </w:tc>
      </w:tr>
      <w:tr>
        <w:trPr>
          <w:trHeight w:val="73"/>
        </w:trPr>
        <w:tc>
          <w:tcPr>
            <w:tcW w:w="6180" w:type="dxa"/>
            <w:vAlign w:val="bottom"/>
            <w:tcBorders>
              <w:bottom w:val="single" w:sz="8" w:color="CCEEFF"/>
            </w:tcBorders>
          </w:tcPr>
          <w:p>
            <w:pPr>
              <w:spacing w:after="0"/>
              <w:rPr>
                <w:sz w:val="6"/>
                <w:szCs w:val="6"/>
                <w:color w:val="auto"/>
              </w:rPr>
            </w:pPr>
          </w:p>
        </w:tc>
        <w:tc>
          <w:tcPr>
            <w:tcW w:w="740" w:type="dxa"/>
            <w:vAlign w:val="bottom"/>
            <w:tcBorders>
              <w:bottom w:val="single" w:sz="8" w:color="auto"/>
            </w:tcBorders>
          </w:tcPr>
          <w:p>
            <w:pPr>
              <w:spacing w:after="0"/>
              <w:rPr>
                <w:sz w:val="6"/>
                <w:szCs w:val="6"/>
                <w:color w:val="auto"/>
              </w:rPr>
            </w:pPr>
          </w:p>
        </w:tc>
        <w:tc>
          <w:tcPr>
            <w:tcW w:w="42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820" w:type="dxa"/>
            <w:vAlign w:val="bottom"/>
            <w:tcBorders>
              <w:bottom w:val="single" w:sz="8" w:color="auto"/>
            </w:tcBorders>
          </w:tcPr>
          <w:p>
            <w:pPr>
              <w:spacing w:after="0"/>
              <w:rPr>
                <w:sz w:val="6"/>
                <w:szCs w:val="6"/>
                <w:color w:val="auto"/>
              </w:rPr>
            </w:pPr>
          </w:p>
        </w:tc>
        <w:tc>
          <w:tcPr>
            <w:tcW w:w="44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800" w:type="dxa"/>
            <w:vAlign w:val="bottom"/>
            <w:tcBorders>
              <w:bottom w:val="single" w:sz="8" w:color="auto"/>
            </w:tcBorders>
          </w:tcPr>
          <w:p>
            <w:pPr>
              <w:spacing w:after="0"/>
              <w:rPr>
                <w:sz w:val="6"/>
                <w:szCs w:val="6"/>
                <w:color w:val="auto"/>
              </w:rPr>
            </w:pPr>
          </w:p>
        </w:tc>
        <w:tc>
          <w:tcPr>
            <w:tcW w:w="44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460" w:type="dxa"/>
            <w:vAlign w:val="bottom"/>
            <w:tcBorders>
              <w:bottom w:val="single" w:sz="8" w:color="auto"/>
            </w:tcBorders>
          </w:tcPr>
          <w:p>
            <w:pPr>
              <w:spacing w:after="0"/>
              <w:rPr>
                <w:sz w:val="6"/>
                <w:szCs w:val="6"/>
                <w:color w:val="auto"/>
              </w:rPr>
            </w:pPr>
          </w:p>
        </w:tc>
        <w:tc>
          <w:tcPr>
            <w:tcW w:w="78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6180" w:type="dxa"/>
            <w:vAlign w:val="bottom"/>
            <w:shd w:val="clear" w:color="auto" w:fill="CCEEFF"/>
          </w:tcPr>
          <w:p>
            <w:pPr>
              <w:ind w:left="40"/>
              <w:spacing w:after="0" w:line="177" w:lineRule="exact"/>
              <w:rPr>
                <w:sz w:val="20"/>
                <w:szCs w:val="20"/>
                <w:color w:val="auto"/>
              </w:rPr>
            </w:pPr>
            <w:r>
              <w:rPr>
                <w:rFonts w:ascii="Arial" w:cs="Arial" w:eastAsia="Arial" w:hAnsi="Arial"/>
                <w:sz w:val="16"/>
                <w:szCs w:val="16"/>
                <w:b w:val="1"/>
                <w:bCs w:val="1"/>
                <w:color w:val="auto"/>
              </w:rPr>
              <w:t>Other revenues</w:t>
            </w:r>
          </w:p>
        </w:tc>
        <w:tc>
          <w:tcPr>
            <w:tcW w:w="74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74"/>
        </w:trPr>
        <w:tc>
          <w:tcPr>
            <w:tcW w:w="6180" w:type="dxa"/>
            <w:vAlign w:val="bottom"/>
            <w:shd w:val="clear" w:color="auto" w:fill="CCEEFF"/>
          </w:tcPr>
          <w:p>
            <w:pPr>
              <w:spacing w:after="0"/>
              <w:rPr>
                <w:sz w:val="6"/>
                <w:szCs w:val="6"/>
                <w:color w:val="auto"/>
              </w:rPr>
            </w:pPr>
          </w:p>
        </w:tc>
        <w:tc>
          <w:tcPr>
            <w:tcW w:w="740" w:type="dxa"/>
            <w:vAlign w:val="bottom"/>
            <w:shd w:val="clear" w:color="auto" w:fill="CCEEFF"/>
          </w:tcPr>
          <w:p>
            <w:pPr>
              <w:spacing w:after="0"/>
              <w:rPr>
                <w:sz w:val="6"/>
                <w:szCs w:val="6"/>
                <w:color w:val="auto"/>
              </w:rPr>
            </w:pPr>
          </w:p>
        </w:tc>
        <w:tc>
          <w:tcPr>
            <w:tcW w:w="4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820" w:type="dxa"/>
            <w:vAlign w:val="bottom"/>
            <w:shd w:val="clear" w:color="auto" w:fill="CCEEFF"/>
          </w:tcPr>
          <w:p>
            <w:pPr>
              <w:spacing w:after="0"/>
              <w:rPr>
                <w:sz w:val="6"/>
                <w:szCs w:val="6"/>
                <w:color w:val="auto"/>
              </w:rPr>
            </w:pPr>
          </w:p>
        </w:tc>
        <w:tc>
          <w:tcPr>
            <w:tcW w:w="4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800" w:type="dxa"/>
            <w:vAlign w:val="bottom"/>
            <w:shd w:val="clear" w:color="auto" w:fill="CCEEFF"/>
          </w:tcPr>
          <w:p>
            <w:pPr>
              <w:spacing w:after="0"/>
              <w:rPr>
                <w:sz w:val="6"/>
                <w:szCs w:val="6"/>
                <w:color w:val="auto"/>
              </w:rPr>
            </w:pPr>
          </w:p>
        </w:tc>
        <w:tc>
          <w:tcPr>
            <w:tcW w:w="44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460" w:type="dxa"/>
            <w:vAlign w:val="bottom"/>
            <w:shd w:val="clear" w:color="auto" w:fill="CCEEFF"/>
          </w:tcPr>
          <w:p>
            <w:pPr>
              <w:spacing w:after="0"/>
              <w:rPr>
                <w:sz w:val="6"/>
                <w:szCs w:val="6"/>
                <w:color w:val="auto"/>
              </w:rPr>
            </w:pPr>
          </w:p>
        </w:tc>
        <w:tc>
          <w:tcPr>
            <w:tcW w:w="78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37"/>
        </w:trPr>
        <w:tc>
          <w:tcPr>
            <w:tcW w:w="6180" w:type="dxa"/>
            <w:vAlign w:val="bottom"/>
          </w:tcPr>
          <w:p>
            <w:pPr>
              <w:ind w:left="40"/>
              <w:spacing w:after="0"/>
              <w:rPr>
                <w:sz w:val="20"/>
                <w:szCs w:val="20"/>
                <w:color w:val="auto"/>
              </w:rPr>
            </w:pPr>
            <w:r>
              <w:rPr>
                <w:rFonts w:ascii="Arial" w:cs="Arial" w:eastAsia="Arial" w:hAnsi="Arial"/>
                <w:sz w:val="16"/>
                <w:szCs w:val="16"/>
                <w:color w:val="auto"/>
              </w:rPr>
              <w:t>Reinsurance assumed</w:t>
            </w:r>
          </w:p>
        </w:tc>
        <w:tc>
          <w:tcPr>
            <w:tcW w:w="740" w:type="dxa"/>
            <w:vAlign w:val="bottom"/>
          </w:tcPr>
          <w:p>
            <w:pPr>
              <w:jc w:val="right"/>
              <w:ind w:right="560"/>
              <w:spacing w:after="0"/>
              <w:rPr>
                <w:sz w:val="20"/>
                <w:szCs w:val="20"/>
                <w:color w:val="auto"/>
              </w:rPr>
            </w:pPr>
            <w:r>
              <w:rPr>
                <w:rFonts w:ascii="Arial" w:cs="Arial" w:eastAsia="Arial" w:hAnsi="Arial"/>
                <w:sz w:val="16"/>
                <w:szCs w:val="16"/>
                <w:color w:val="auto"/>
                <w:w w:val="89"/>
              </w:rPr>
              <w:t>$</w:t>
            </w:r>
          </w:p>
        </w:tc>
        <w:tc>
          <w:tcPr>
            <w:tcW w:w="5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620"/>
              <w:spacing w:after="0"/>
              <w:rPr>
                <w:sz w:val="20"/>
                <w:szCs w:val="20"/>
                <w:color w:val="auto"/>
              </w:rPr>
            </w:pPr>
            <w:r>
              <w:rPr>
                <w:rFonts w:ascii="Arial" w:cs="Arial" w:eastAsia="Arial" w:hAnsi="Arial"/>
                <w:sz w:val="16"/>
                <w:szCs w:val="16"/>
                <w:color w:val="auto"/>
              </w:rPr>
              <w:t>$</w:t>
            </w:r>
          </w:p>
        </w:tc>
        <w:tc>
          <w:tcPr>
            <w:tcW w:w="5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600"/>
              <w:spacing w:after="0"/>
              <w:rPr>
                <w:sz w:val="20"/>
                <w:szCs w:val="20"/>
                <w:color w:val="auto"/>
              </w:rPr>
            </w:pPr>
            <w:r>
              <w:rPr>
                <w:rFonts w:ascii="Arial" w:cs="Arial" w:eastAsia="Arial" w:hAnsi="Arial"/>
                <w:sz w:val="16"/>
                <w:szCs w:val="16"/>
                <w:color w:val="auto"/>
              </w:rPr>
              <w:t>$</w:t>
            </w:r>
          </w:p>
        </w:tc>
        <w:tc>
          <w:tcPr>
            <w:tcW w:w="440" w:type="dxa"/>
            <w:vAlign w:val="bottom"/>
          </w:tcPr>
          <w:p>
            <w:pPr>
              <w:jc w:val="right"/>
              <w:ind w:right="19"/>
              <w:spacing w:after="0"/>
              <w:rPr>
                <w:sz w:val="20"/>
                <w:szCs w:val="20"/>
                <w:color w:val="auto"/>
              </w:rPr>
            </w:pPr>
            <w:r>
              <w:rPr>
                <w:rFonts w:ascii="Arial" w:cs="Arial" w:eastAsia="Arial" w:hAnsi="Arial"/>
                <w:sz w:val="16"/>
                <w:szCs w:val="16"/>
                <w:color w:val="auto"/>
              </w:rPr>
              <w:t>27</w:t>
            </w:r>
          </w:p>
        </w:tc>
        <w:tc>
          <w:tcPr>
            <w:tcW w:w="120" w:type="dxa"/>
            <w:vAlign w:val="bottom"/>
          </w:tcPr>
          <w:p>
            <w:pPr>
              <w:spacing w:after="0"/>
              <w:rPr>
                <w:sz w:val="20"/>
                <w:szCs w:val="20"/>
                <w:color w:val="auto"/>
              </w:rPr>
            </w:pPr>
          </w:p>
        </w:tc>
        <w:tc>
          <w:tcPr>
            <w:tcW w:w="460" w:type="dxa"/>
            <w:vAlign w:val="bottom"/>
          </w:tcPr>
          <w:p>
            <w:pPr>
              <w:jc w:val="right"/>
              <w:ind w:right="279"/>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6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Reinsurance ceded</w:t>
            </w:r>
          </w:p>
        </w:tc>
        <w:tc>
          <w:tcPr>
            <w:tcW w:w="74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10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39</w:t>
            </w:r>
          </w:p>
        </w:tc>
        <w:tc>
          <w:tcPr>
            <w:tcW w:w="1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289</w:t>
            </w:r>
          </w:p>
        </w:tc>
        <w:tc>
          <w:tcPr>
            <w:tcW w:w="0" w:type="dxa"/>
            <w:vAlign w:val="bottom"/>
          </w:tcPr>
          <w:p>
            <w:pPr>
              <w:spacing w:after="0"/>
              <w:rPr>
                <w:sz w:val="1"/>
                <w:szCs w:val="1"/>
                <w:color w:val="auto"/>
              </w:rPr>
            </w:pPr>
          </w:p>
        </w:tc>
      </w:tr>
      <w:tr>
        <w:trPr>
          <w:trHeight w:val="217"/>
        </w:trPr>
        <w:tc>
          <w:tcPr>
            <w:tcW w:w="6180" w:type="dxa"/>
            <w:vAlign w:val="bottom"/>
          </w:tcPr>
          <w:p>
            <w:pPr>
              <w:ind w:left="200"/>
              <w:spacing w:after="0"/>
              <w:rPr>
                <w:sz w:val="20"/>
                <w:szCs w:val="20"/>
                <w:color w:val="auto"/>
              </w:rPr>
            </w:pPr>
            <w:r>
              <w:rPr>
                <w:rFonts w:ascii="Arial" w:cs="Arial" w:eastAsia="Arial" w:hAnsi="Arial"/>
                <w:sz w:val="16"/>
                <w:szCs w:val="16"/>
                <w:color w:val="auto"/>
              </w:rPr>
              <w:t>Net other revenues</w:t>
            </w:r>
          </w:p>
        </w:tc>
        <w:tc>
          <w:tcPr>
            <w:tcW w:w="740" w:type="dxa"/>
            <w:vAlign w:val="bottom"/>
            <w:tcBorders>
              <w:top w:val="single" w:sz="8" w:color="auto"/>
            </w:tcBorders>
          </w:tcPr>
          <w:p>
            <w:pPr>
              <w:jc w:val="right"/>
              <w:ind w:right="560"/>
              <w:spacing w:after="0"/>
              <w:rPr>
                <w:sz w:val="20"/>
                <w:szCs w:val="20"/>
                <w:color w:val="auto"/>
              </w:rPr>
            </w:pPr>
            <w:r>
              <w:rPr>
                <w:rFonts w:ascii="Arial" w:cs="Arial" w:eastAsia="Arial" w:hAnsi="Arial"/>
                <w:sz w:val="16"/>
                <w:szCs w:val="16"/>
                <w:color w:val="auto"/>
                <w:w w:val="89"/>
              </w:rPr>
              <w:t>$</w:t>
            </w:r>
          </w:p>
        </w:tc>
        <w:tc>
          <w:tcPr>
            <w:tcW w:w="4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20" w:type="dxa"/>
            <w:vAlign w:val="bottom"/>
            <w:tcBorders>
              <w:top w:val="single" w:sz="8" w:color="auto"/>
            </w:tcBorders>
          </w:tcPr>
          <w:p>
            <w:pPr>
              <w:jc w:val="right"/>
              <w:ind w:right="620"/>
              <w:spacing w:after="0"/>
              <w:rPr>
                <w:sz w:val="20"/>
                <w:szCs w:val="20"/>
                <w:color w:val="auto"/>
              </w:rPr>
            </w:pPr>
            <w:r>
              <w:rPr>
                <w:rFonts w:ascii="Arial" w:cs="Arial" w:eastAsia="Arial" w:hAnsi="Arial"/>
                <w:sz w:val="16"/>
                <w:szCs w:val="16"/>
                <w:color w:val="auto"/>
              </w:rPr>
              <w:t>$</w:t>
            </w: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(15)</w:t>
            </w:r>
          </w:p>
        </w:tc>
        <w:tc>
          <w:tcPr>
            <w:tcW w:w="100" w:type="dxa"/>
            <w:vAlign w:val="bottom"/>
          </w:tcPr>
          <w:p>
            <w:pPr>
              <w:spacing w:after="0"/>
              <w:rPr>
                <w:sz w:val="18"/>
                <w:szCs w:val="18"/>
                <w:color w:val="auto"/>
              </w:rPr>
            </w:pPr>
          </w:p>
        </w:tc>
        <w:tc>
          <w:tcPr>
            <w:tcW w:w="800" w:type="dxa"/>
            <w:vAlign w:val="bottom"/>
            <w:tcBorders>
              <w:top w:val="single" w:sz="8" w:color="auto"/>
            </w:tcBorders>
          </w:tcPr>
          <w:p>
            <w:pPr>
              <w:jc w:val="right"/>
              <w:ind w:right="600"/>
              <w:spacing w:after="0"/>
              <w:rPr>
                <w:sz w:val="20"/>
                <w:szCs w:val="20"/>
                <w:color w:val="auto"/>
              </w:rPr>
            </w:pPr>
            <w:r>
              <w:rPr>
                <w:rFonts w:ascii="Arial" w:cs="Arial" w:eastAsia="Arial" w:hAnsi="Arial"/>
                <w:sz w:val="16"/>
                <w:szCs w:val="16"/>
                <w:color w:val="auto"/>
              </w:rPr>
              <w:t>$</w:t>
            </w:r>
          </w:p>
        </w:tc>
        <w:tc>
          <w:tcPr>
            <w:tcW w:w="4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66</w:t>
            </w:r>
          </w:p>
        </w:tc>
        <w:tc>
          <w:tcPr>
            <w:tcW w:w="120" w:type="dxa"/>
            <w:vAlign w:val="bottom"/>
          </w:tcPr>
          <w:p>
            <w:pPr>
              <w:spacing w:after="0"/>
              <w:rPr>
                <w:sz w:val="18"/>
                <w:szCs w:val="18"/>
                <w:color w:val="auto"/>
              </w:rPr>
            </w:pPr>
          </w:p>
        </w:tc>
        <w:tc>
          <w:tcPr>
            <w:tcW w:w="460" w:type="dxa"/>
            <w:vAlign w:val="bottom"/>
            <w:tcBorders>
              <w:top w:val="single" w:sz="8" w:color="auto"/>
            </w:tcBorders>
          </w:tcPr>
          <w:p>
            <w:pPr>
              <w:jc w:val="right"/>
              <w:ind w:right="279"/>
              <w:spacing w:after="0"/>
              <w:rPr>
                <w:sz w:val="20"/>
                <w:szCs w:val="20"/>
                <w:color w:val="auto"/>
              </w:rPr>
            </w:pPr>
            <w:r>
              <w:rPr>
                <w:rFonts w:ascii="Arial" w:cs="Arial" w:eastAsia="Arial" w:hAnsi="Arial"/>
                <w:sz w:val="16"/>
                <w:szCs w:val="16"/>
                <w:color w:val="auto"/>
                <w:w w:val="89"/>
              </w:rPr>
              <w:t>$</w:t>
            </w:r>
          </w:p>
        </w:tc>
        <w:tc>
          <w:tcPr>
            <w:tcW w:w="7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289</w:t>
            </w:r>
          </w:p>
        </w:tc>
        <w:tc>
          <w:tcPr>
            <w:tcW w:w="0" w:type="dxa"/>
            <w:vAlign w:val="bottom"/>
          </w:tcPr>
          <w:p>
            <w:pPr>
              <w:spacing w:after="0"/>
              <w:rPr>
                <w:sz w:val="1"/>
                <w:szCs w:val="1"/>
                <w:color w:val="auto"/>
              </w:rPr>
            </w:pPr>
          </w:p>
        </w:tc>
      </w:tr>
      <w:tr>
        <w:trPr>
          <w:trHeight w:val="73"/>
        </w:trPr>
        <w:tc>
          <w:tcPr>
            <w:tcW w:w="6180" w:type="dxa"/>
            <w:vAlign w:val="bottom"/>
            <w:tcBorders>
              <w:bottom w:val="single" w:sz="8" w:color="CCEEFF"/>
            </w:tcBorders>
          </w:tcPr>
          <w:p>
            <w:pPr>
              <w:spacing w:after="0"/>
              <w:rPr>
                <w:sz w:val="6"/>
                <w:szCs w:val="6"/>
                <w:color w:val="auto"/>
              </w:rPr>
            </w:pPr>
          </w:p>
        </w:tc>
        <w:tc>
          <w:tcPr>
            <w:tcW w:w="740" w:type="dxa"/>
            <w:vAlign w:val="bottom"/>
            <w:tcBorders>
              <w:bottom w:val="single" w:sz="8" w:color="auto"/>
            </w:tcBorders>
          </w:tcPr>
          <w:p>
            <w:pPr>
              <w:spacing w:after="0"/>
              <w:rPr>
                <w:sz w:val="6"/>
                <w:szCs w:val="6"/>
                <w:color w:val="auto"/>
              </w:rPr>
            </w:pPr>
          </w:p>
        </w:tc>
        <w:tc>
          <w:tcPr>
            <w:tcW w:w="42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820" w:type="dxa"/>
            <w:vAlign w:val="bottom"/>
            <w:tcBorders>
              <w:bottom w:val="single" w:sz="8" w:color="auto"/>
            </w:tcBorders>
          </w:tcPr>
          <w:p>
            <w:pPr>
              <w:spacing w:after="0"/>
              <w:rPr>
                <w:sz w:val="6"/>
                <w:szCs w:val="6"/>
                <w:color w:val="auto"/>
              </w:rPr>
            </w:pPr>
          </w:p>
        </w:tc>
        <w:tc>
          <w:tcPr>
            <w:tcW w:w="44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800" w:type="dxa"/>
            <w:vAlign w:val="bottom"/>
            <w:tcBorders>
              <w:bottom w:val="single" w:sz="8" w:color="auto"/>
            </w:tcBorders>
          </w:tcPr>
          <w:p>
            <w:pPr>
              <w:spacing w:after="0"/>
              <w:rPr>
                <w:sz w:val="6"/>
                <w:szCs w:val="6"/>
                <w:color w:val="auto"/>
              </w:rPr>
            </w:pPr>
          </w:p>
        </w:tc>
        <w:tc>
          <w:tcPr>
            <w:tcW w:w="44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460" w:type="dxa"/>
            <w:vAlign w:val="bottom"/>
            <w:tcBorders>
              <w:bottom w:val="single" w:sz="8" w:color="auto"/>
            </w:tcBorders>
          </w:tcPr>
          <w:p>
            <w:pPr>
              <w:spacing w:after="0"/>
              <w:rPr>
                <w:sz w:val="6"/>
                <w:szCs w:val="6"/>
                <w:color w:val="auto"/>
              </w:rPr>
            </w:pPr>
          </w:p>
        </w:tc>
        <w:tc>
          <w:tcPr>
            <w:tcW w:w="78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6180" w:type="dxa"/>
            <w:vAlign w:val="bottom"/>
            <w:shd w:val="clear" w:color="auto" w:fill="CCEEFF"/>
          </w:tcPr>
          <w:p>
            <w:pPr>
              <w:ind w:left="40"/>
              <w:spacing w:after="0" w:line="177" w:lineRule="exact"/>
              <w:rPr>
                <w:sz w:val="20"/>
                <w:szCs w:val="20"/>
                <w:color w:val="auto"/>
              </w:rPr>
            </w:pPr>
            <w:r>
              <w:rPr>
                <w:rFonts w:ascii="Arial" w:cs="Arial" w:eastAsia="Arial" w:hAnsi="Arial"/>
                <w:sz w:val="16"/>
                <w:szCs w:val="16"/>
                <w:b w:val="1"/>
                <w:bCs w:val="1"/>
                <w:color w:val="auto"/>
              </w:rPr>
              <w:t>Policyholder benefits and claims</w:t>
            </w:r>
          </w:p>
        </w:tc>
        <w:tc>
          <w:tcPr>
            <w:tcW w:w="74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74"/>
        </w:trPr>
        <w:tc>
          <w:tcPr>
            <w:tcW w:w="6180" w:type="dxa"/>
            <w:vAlign w:val="bottom"/>
            <w:shd w:val="clear" w:color="auto" w:fill="CCEEFF"/>
          </w:tcPr>
          <w:p>
            <w:pPr>
              <w:spacing w:after="0"/>
              <w:rPr>
                <w:sz w:val="6"/>
                <w:szCs w:val="6"/>
                <w:color w:val="auto"/>
              </w:rPr>
            </w:pPr>
          </w:p>
        </w:tc>
        <w:tc>
          <w:tcPr>
            <w:tcW w:w="740" w:type="dxa"/>
            <w:vAlign w:val="bottom"/>
            <w:shd w:val="clear" w:color="auto" w:fill="CCEEFF"/>
          </w:tcPr>
          <w:p>
            <w:pPr>
              <w:spacing w:after="0"/>
              <w:rPr>
                <w:sz w:val="6"/>
                <w:szCs w:val="6"/>
                <w:color w:val="auto"/>
              </w:rPr>
            </w:pPr>
          </w:p>
        </w:tc>
        <w:tc>
          <w:tcPr>
            <w:tcW w:w="4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820" w:type="dxa"/>
            <w:vAlign w:val="bottom"/>
            <w:shd w:val="clear" w:color="auto" w:fill="CCEEFF"/>
          </w:tcPr>
          <w:p>
            <w:pPr>
              <w:spacing w:after="0"/>
              <w:rPr>
                <w:sz w:val="6"/>
                <w:szCs w:val="6"/>
                <w:color w:val="auto"/>
              </w:rPr>
            </w:pPr>
          </w:p>
        </w:tc>
        <w:tc>
          <w:tcPr>
            <w:tcW w:w="4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800" w:type="dxa"/>
            <w:vAlign w:val="bottom"/>
            <w:shd w:val="clear" w:color="auto" w:fill="CCEEFF"/>
          </w:tcPr>
          <w:p>
            <w:pPr>
              <w:spacing w:after="0"/>
              <w:rPr>
                <w:sz w:val="6"/>
                <w:szCs w:val="6"/>
                <w:color w:val="auto"/>
              </w:rPr>
            </w:pPr>
          </w:p>
        </w:tc>
        <w:tc>
          <w:tcPr>
            <w:tcW w:w="44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460" w:type="dxa"/>
            <w:vAlign w:val="bottom"/>
            <w:shd w:val="clear" w:color="auto" w:fill="CCEEFF"/>
          </w:tcPr>
          <w:p>
            <w:pPr>
              <w:spacing w:after="0"/>
              <w:rPr>
                <w:sz w:val="6"/>
                <w:szCs w:val="6"/>
                <w:color w:val="auto"/>
              </w:rPr>
            </w:pPr>
          </w:p>
        </w:tc>
        <w:tc>
          <w:tcPr>
            <w:tcW w:w="78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37"/>
        </w:trPr>
        <w:tc>
          <w:tcPr>
            <w:tcW w:w="6180" w:type="dxa"/>
            <w:vAlign w:val="bottom"/>
          </w:tcPr>
          <w:p>
            <w:pPr>
              <w:ind w:left="40"/>
              <w:spacing w:after="0"/>
              <w:rPr>
                <w:sz w:val="20"/>
                <w:szCs w:val="20"/>
                <w:color w:val="auto"/>
              </w:rPr>
            </w:pPr>
            <w:r>
              <w:rPr>
                <w:rFonts w:ascii="Arial" w:cs="Arial" w:eastAsia="Arial" w:hAnsi="Arial"/>
                <w:sz w:val="16"/>
                <w:szCs w:val="16"/>
                <w:color w:val="auto"/>
              </w:rPr>
              <w:t>Reinsurance assumed</w:t>
            </w:r>
          </w:p>
        </w:tc>
        <w:tc>
          <w:tcPr>
            <w:tcW w:w="740" w:type="dxa"/>
            <w:vAlign w:val="bottom"/>
          </w:tcPr>
          <w:p>
            <w:pPr>
              <w:jc w:val="right"/>
              <w:ind w:right="560"/>
              <w:spacing w:after="0"/>
              <w:rPr>
                <w:sz w:val="20"/>
                <w:szCs w:val="20"/>
                <w:color w:val="auto"/>
              </w:rPr>
            </w:pPr>
            <w:r>
              <w:rPr>
                <w:rFonts w:ascii="Arial" w:cs="Arial" w:eastAsia="Arial" w:hAnsi="Arial"/>
                <w:sz w:val="16"/>
                <w:szCs w:val="16"/>
                <w:color w:val="auto"/>
                <w:w w:val="89"/>
              </w:rPr>
              <w:t>$</w:t>
            </w:r>
          </w:p>
        </w:tc>
        <w:tc>
          <w:tcPr>
            <w:tcW w:w="420" w:type="dxa"/>
            <w:vAlign w:val="bottom"/>
          </w:tcPr>
          <w:p>
            <w:pPr>
              <w:jc w:val="right"/>
              <w:ind w:right="39"/>
              <w:spacing w:after="0"/>
              <w:rPr>
                <w:sz w:val="20"/>
                <w:szCs w:val="20"/>
                <w:color w:val="auto"/>
              </w:rPr>
            </w:pPr>
            <w:r>
              <w:rPr>
                <w:rFonts w:ascii="Arial" w:cs="Arial" w:eastAsia="Arial" w:hAnsi="Arial"/>
                <w:sz w:val="16"/>
                <w:szCs w:val="16"/>
                <w:color w:val="auto"/>
              </w:rPr>
              <w:t>9</w:t>
            </w:r>
          </w:p>
        </w:tc>
        <w:tc>
          <w:tcPr>
            <w:tcW w:w="120" w:type="dxa"/>
            <w:vAlign w:val="bottom"/>
          </w:tcPr>
          <w:p>
            <w:pPr>
              <w:spacing w:after="0"/>
              <w:rPr>
                <w:sz w:val="20"/>
                <w:szCs w:val="20"/>
                <w:color w:val="auto"/>
              </w:rPr>
            </w:pPr>
          </w:p>
        </w:tc>
        <w:tc>
          <w:tcPr>
            <w:tcW w:w="820" w:type="dxa"/>
            <w:vAlign w:val="bottom"/>
          </w:tcPr>
          <w:p>
            <w:pPr>
              <w:jc w:val="right"/>
              <w:ind w:right="620"/>
              <w:spacing w:after="0"/>
              <w:rPr>
                <w:sz w:val="20"/>
                <w:szCs w:val="20"/>
                <w:color w:val="auto"/>
              </w:rPr>
            </w:pPr>
            <w:r>
              <w:rPr>
                <w:rFonts w:ascii="Arial" w:cs="Arial" w:eastAsia="Arial" w:hAnsi="Arial"/>
                <w:sz w:val="16"/>
                <w:szCs w:val="16"/>
                <w:color w:val="auto"/>
              </w:rPr>
              <w:t>$</w:t>
            </w:r>
          </w:p>
        </w:tc>
        <w:tc>
          <w:tcPr>
            <w:tcW w:w="440" w:type="dxa"/>
            <w:vAlign w:val="bottom"/>
          </w:tcPr>
          <w:p>
            <w:pPr>
              <w:jc w:val="right"/>
              <w:ind w:right="19"/>
              <w:spacing w:after="0"/>
              <w:rPr>
                <w:sz w:val="20"/>
                <w:szCs w:val="20"/>
                <w:color w:val="auto"/>
              </w:rPr>
            </w:pPr>
            <w:r>
              <w:rPr>
                <w:rFonts w:ascii="Arial" w:cs="Arial" w:eastAsia="Arial" w:hAnsi="Arial"/>
                <w:sz w:val="16"/>
                <w:szCs w:val="16"/>
                <w:color w:val="auto"/>
              </w:rPr>
              <w:t>9</w:t>
            </w:r>
          </w:p>
        </w:tc>
        <w:tc>
          <w:tcPr>
            <w:tcW w:w="100" w:type="dxa"/>
            <w:vAlign w:val="bottom"/>
          </w:tcPr>
          <w:p>
            <w:pPr>
              <w:spacing w:after="0"/>
              <w:rPr>
                <w:sz w:val="20"/>
                <w:szCs w:val="20"/>
                <w:color w:val="auto"/>
              </w:rPr>
            </w:pPr>
          </w:p>
        </w:tc>
        <w:tc>
          <w:tcPr>
            <w:tcW w:w="800" w:type="dxa"/>
            <w:vAlign w:val="bottom"/>
          </w:tcPr>
          <w:p>
            <w:pPr>
              <w:jc w:val="right"/>
              <w:ind w:right="600"/>
              <w:spacing w:after="0"/>
              <w:rPr>
                <w:sz w:val="20"/>
                <w:szCs w:val="20"/>
                <w:color w:val="auto"/>
              </w:rPr>
            </w:pPr>
            <w:r>
              <w:rPr>
                <w:rFonts w:ascii="Arial" w:cs="Arial" w:eastAsia="Arial" w:hAnsi="Arial"/>
                <w:sz w:val="16"/>
                <w:szCs w:val="16"/>
                <w:color w:val="auto"/>
              </w:rPr>
              <w:t>$</w:t>
            </w:r>
          </w:p>
        </w:tc>
        <w:tc>
          <w:tcPr>
            <w:tcW w:w="440" w:type="dxa"/>
            <w:vAlign w:val="bottom"/>
          </w:tcPr>
          <w:p>
            <w:pPr>
              <w:jc w:val="right"/>
              <w:ind w:right="19"/>
              <w:spacing w:after="0"/>
              <w:rPr>
                <w:sz w:val="20"/>
                <w:szCs w:val="20"/>
                <w:color w:val="auto"/>
              </w:rPr>
            </w:pPr>
            <w:r>
              <w:rPr>
                <w:rFonts w:ascii="Arial" w:cs="Arial" w:eastAsia="Arial" w:hAnsi="Arial"/>
                <w:sz w:val="16"/>
                <w:szCs w:val="16"/>
                <w:color w:val="auto"/>
              </w:rPr>
              <w:t>21</w:t>
            </w:r>
          </w:p>
        </w:tc>
        <w:tc>
          <w:tcPr>
            <w:tcW w:w="120" w:type="dxa"/>
            <w:vAlign w:val="bottom"/>
          </w:tcPr>
          <w:p>
            <w:pPr>
              <w:spacing w:after="0"/>
              <w:rPr>
                <w:sz w:val="20"/>
                <w:szCs w:val="20"/>
                <w:color w:val="auto"/>
              </w:rPr>
            </w:pPr>
          </w:p>
        </w:tc>
        <w:tc>
          <w:tcPr>
            <w:tcW w:w="460" w:type="dxa"/>
            <w:vAlign w:val="bottom"/>
          </w:tcPr>
          <w:p>
            <w:pPr>
              <w:jc w:val="right"/>
              <w:ind w:right="279"/>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63</w:t>
            </w:r>
          </w:p>
        </w:tc>
        <w:tc>
          <w:tcPr>
            <w:tcW w:w="0" w:type="dxa"/>
            <w:vAlign w:val="bottom"/>
          </w:tcPr>
          <w:p>
            <w:pPr>
              <w:spacing w:after="0"/>
              <w:rPr>
                <w:sz w:val="1"/>
                <w:szCs w:val="1"/>
                <w:color w:val="auto"/>
              </w:rPr>
            </w:pPr>
          </w:p>
        </w:tc>
      </w:tr>
      <w:tr>
        <w:trPr>
          <w:trHeight w:val="33"/>
        </w:trPr>
        <w:tc>
          <w:tcPr>
            <w:tcW w:w="6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Reinsurance ceded</w:t>
            </w:r>
          </w:p>
        </w:tc>
        <w:tc>
          <w:tcPr>
            <w:tcW w:w="74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(89)</w:t>
            </w:r>
          </w:p>
        </w:tc>
        <w:tc>
          <w:tcPr>
            <w:tcW w:w="1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6"/>
              </w:rPr>
              <w:t>(205)</w:t>
            </w:r>
          </w:p>
        </w:tc>
        <w:tc>
          <w:tcPr>
            <w:tcW w:w="10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(318)</w:t>
            </w:r>
          </w:p>
        </w:tc>
        <w:tc>
          <w:tcPr>
            <w:tcW w:w="1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(554)</w:t>
            </w:r>
          </w:p>
        </w:tc>
        <w:tc>
          <w:tcPr>
            <w:tcW w:w="0" w:type="dxa"/>
            <w:vAlign w:val="bottom"/>
          </w:tcPr>
          <w:p>
            <w:pPr>
              <w:spacing w:after="0"/>
              <w:rPr>
                <w:sz w:val="1"/>
                <w:szCs w:val="1"/>
                <w:color w:val="auto"/>
              </w:rPr>
            </w:pPr>
          </w:p>
        </w:tc>
      </w:tr>
      <w:tr>
        <w:trPr>
          <w:trHeight w:val="217"/>
        </w:trPr>
        <w:tc>
          <w:tcPr>
            <w:tcW w:w="6180" w:type="dxa"/>
            <w:vAlign w:val="bottom"/>
          </w:tcPr>
          <w:p>
            <w:pPr>
              <w:ind w:left="200"/>
              <w:spacing w:after="0"/>
              <w:rPr>
                <w:sz w:val="20"/>
                <w:szCs w:val="20"/>
                <w:color w:val="auto"/>
              </w:rPr>
            </w:pPr>
            <w:r>
              <w:rPr>
                <w:rFonts w:ascii="Arial" w:cs="Arial" w:eastAsia="Arial" w:hAnsi="Arial"/>
                <w:sz w:val="16"/>
                <w:szCs w:val="16"/>
                <w:color w:val="auto"/>
              </w:rPr>
              <w:t>Net policyholder benefits and claims</w:t>
            </w:r>
          </w:p>
        </w:tc>
        <w:tc>
          <w:tcPr>
            <w:tcW w:w="740" w:type="dxa"/>
            <w:vAlign w:val="bottom"/>
            <w:tcBorders>
              <w:top w:val="single" w:sz="8" w:color="auto"/>
            </w:tcBorders>
          </w:tcPr>
          <w:p>
            <w:pPr>
              <w:jc w:val="right"/>
              <w:ind w:right="560"/>
              <w:spacing w:after="0"/>
              <w:rPr>
                <w:sz w:val="20"/>
                <w:szCs w:val="20"/>
                <w:color w:val="auto"/>
              </w:rPr>
            </w:pPr>
            <w:r>
              <w:rPr>
                <w:rFonts w:ascii="Arial" w:cs="Arial" w:eastAsia="Arial" w:hAnsi="Arial"/>
                <w:sz w:val="16"/>
                <w:szCs w:val="16"/>
                <w:color w:val="auto"/>
                <w:w w:val="89"/>
              </w:rPr>
              <w:t>$</w:t>
            </w: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(80)</w:t>
            </w:r>
          </w:p>
        </w:tc>
        <w:tc>
          <w:tcPr>
            <w:tcW w:w="120" w:type="dxa"/>
            <w:vAlign w:val="bottom"/>
          </w:tcPr>
          <w:p>
            <w:pPr>
              <w:spacing w:after="0"/>
              <w:rPr>
                <w:sz w:val="18"/>
                <w:szCs w:val="18"/>
                <w:color w:val="auto"/>
              </w:rPr>
            </w:pPr>
          </w:p>
        </w:tc>
        <w:tc>
          <w:tcPr>
            <w:tcW w:w="820" w:type="dxa"/>
            <w:vAlign w:val="bottom"/>
            <w:tcBorders>
              <w:top w:val="single" w:sz="8" w:color="auto"/>
            </w:tcBorders>
          </w:tcPr>
          <w:p>
            <w:pPr>
              <w:jc w:val="right"/>
              <w:ind w:right="620"/>
              <w:spacing w:after="0"/>
              <w:rPr>
                <w:sz w:val="20"/>
                <w:szCs w:val="20"/>
                <w:color w:val="auto"/>
              </w:rPr>
            </w:pPr>
            <w:r>
              <w:rPr>
                <w:rFonts w:ascii="Arial" w:cs="Arial" w:eastAsia="Arial" w:hAnsi="Arial"/>
                <w:sz w:val="16"/>
                <w:szCs w:val="16"/>
                <w:color w:val="auto"/>
              </w:rPr>
              <w:t>$</w:t>
            </w: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96"/>
              </w:rPr>
              <w:t>(196)</w:t>
            </w:r>
          </w:p>
        </w:tc>
        <w:tc>
          <w:tcPr>
            <w:tcW w:w="100" w:type="dxa"/>
            <w:vAlign w:val="bottom"/>
          </w:tcPr>
          <w:p>
            <w:pPr>
              <w:spacing w:after="0"/>
              <w:rPr>
                <w:sz w:val="18"/>
                <w:szCs w:val="18"/>
                <w:color w:val="auto"/>
              </w:rPr>
            </w:pPr>
          </w:p>
        </w:tc>
        <w:tc>
          <w:tcPr>
            <w:tcW w:w="800" w:type="dxa"/>
            <w:vAlign w:val="bottom"/>
            <w:tcBorders>
              <w:top w:val="single" w:sz="8" w:color="auto"/>
            </w:tcBorders>
          </w:tcPr>
          <w:p>
            <w:pPr>
              <w:jc w:val="right"/>
              <w:ind w:right="600"/>
              <w:spacing w:after="0"/>
              <w:rPr>
                <w:sz w:val="20"/>
                <w:szCs w:val="20"/>
                <w:color w:val="auto"/>
              </w:rPr>
            </w:pPr>
            <w:r>
              <w:rPr>
                <w:rFonts w:ascii="Arial" w:cs="Arial" w:eastAsia="Arial" w:hAnsi="Arial"/>
                <w:sz w:val="16"/>
                <w:szCs w:val="16"/>
                <w:color w:val="auto"/>
              </w:rPr>
              <w:t>$</w:t>
            </w: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(297)</w:t>
            </w:r>
          </w:p>
        </w:tc>
        <w:tc>
          <w:tcPr>
            <w:tcW w:w="120" w:type="dxa"/>
            <w:vAlign w:val="bottom"/>
          </w:tcPr>
          <w:p>
            <w:pPr>
              <w:spacing w:after="0"/>
              <w:rPr>
                <w:sz w:val="18"/>
                <w:szCs w:val="18"/>
                <w:color w:val="auto"/>
              </w:rPr>
            </w:pPr>
          </w:p>
        </w:tc>
        <w:tc>
          <w:tcPr>
            <w:tcW w:w="460" w:type="dxa"/>
            <w:vAlign w:val="bottom"/>
            <w:tcBorders>
              <w:top w:val="single" w:sz="8" w:color="auto"/>
            </w:tcBorders>
          </w:tcPr>
          <w:p>
            <w:pPr>
              <w:jc w:val="right"/>
              <w:ind w:right="279"/>
              <w:spacing w:after="0"/>
              <w:rPr>
                <w:sz w:val="20"/>
                <w:szCs w:val="20"/>
                <w:color w:val="auto"/>
              </w:rPr>
            </w:pPr>
            <w:r>
              <w:rPr>
                <w:rFonts w:ascii="Arial" w:cs="Arial" w:eastAsia="Arial" w:hAnsi="Arial"/>
                <w:sz w:val="16"/>
                <w:szCs w:val="16"/>
                <w:color w:val="auto"/>
                <w:w w:val="89"/>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(491)</w:t>
            </w:r>
          </w:p>
        </w:tc>
        <w:tc>
          <w:tcPr>
            <w:tcW w:w="0" w:type="dxa"/>
            <w:vAlign w:val="bottom"/>
          </w:tcPr>
          <w:p>
            <w:pPr>
              <w:spacing w:after="0"/>
              <w:rPr>
                <w:sz w:val="1"/>
                <w:szCs w:val="1"/>
                <w:color w:val="auto"/>
              </w:rPr>
            </w:pPr>
          </w:p>
        </w:tc>
      </w:tr>
      <w:tr>
        <w:trPr>
          <w:trHeight w:val="73"/>
        </w:trPr>
        <w:tc>
          <w:tcPr>
            <w:tcW w:w="6180" w:type="dxa"/>
            <w:vAlign w:val="bottom"/>
            <w:tcBorders>
              <w:bottom w:val="single" w:sz="8" w:color="CCEEFF"/>
            </w:tcBorders>
          </w:tcPr>
          <w:p>
            <w:pPr>
              <w:spacing w:after="0"/>
              <w:rPr>
                <w:sz w:val="6"/>
                <w:szCs w:val="6"/>
                <w:color w:val="auto"/>
              </w:rPr>
            </w:pPr>
          </w:p>
        </w:tc>
        <w:tc>
          <w:tcPr>
            <w:tcW w:w="740" w:type="dxa"/>
            <w:vAlign w:val="bottom"/>
            <w:tcBorders>
              <w:bottom w:val="single" w:sz="8" w:color="auto"/>
            </w:tcBorders>
          </w:tcPr>
          <w:p>
            <w:pPr>
              <w:spacing w:after="0"/>
              <w:rPr>
                <w:sz w:val="6"/>
                <w:szCs w:val="6"/>
                <w:color w:val="auto"/>
              </w:rPr>
            </w:pPr>
          </w:p>
        </w:tc>
        <w:tc>
          <w:tcPr>
            <w:tcW w:w="42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820" w:type="dxa"/>
            <w:vAlign w:val="bottom"/>
            <w:tcBorders>
              <w:bottom w:val="single" w:sz="8" w:color="auto"/>
            </w:tcBorders>
          </w:tcPr>
          <w:p>
            <w:pPr>
              <w:spacing w:after="0"/>
              <w:rPr>
                <w:sz w:val="6"/>
                <w:szCs w:val="6"/>
                <w:color w:val="auto"/>
              </w:rPr>
            </w:pPr>
          </w:p>
        </w:tc>
        <w:tc>
          <w:tcPr>
            <w:tcW w:w="44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800" w:type="dxa"/>
            <w:vAlign w:val="bottom"/>
            <w:tcBorders>
              <w:bottom w:val="single" w:sz="8" w:color="auto"/>
            </w:tcBorders>
          </w:tcPr>
          <w:p>
            <w:pPr>
              <w:spacing w:after="0"/>
              <w:rPr>
                <w:sz w:val="6"/>
                <w:szCs w:val="6"/>
                <w:color w:val="auto"/>
              </w:rPr>
            </w:pPr>
          </w:p>
        </w:tc>
        <w:tc>
          <w:tcPr>
            <w:tcW w:w="44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460" w:type="dxa"/>
            <w:vAlign w:val="bottom"/>
            <w:tcBorders>
              <w:bottom w:val="single" w:sz="8" w:color="auto"/>
            </w:tcBorders>
          </w:tcPr>
          <w:p>
            <w:pPr>
              <w:spacing w:after="0"/>
              <w:rPr>
                <w:sz w:val="6"/>
                <w:szCs w:val="6"/>
                <w:color w:val="auto"/>
              </w:rPr>
            </w:pPr>
          </w:p>
        </w:tc>
        <w:tc>
          <w:tcPr>
            <w:tcW w:w="78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6180" w:type="dxa"/>
            <w:vAlign w:val="bottom"/>
            <w:shd w:val="clear" w:color="auto" w:fill="CCEEFF"/>
          </w:tcPr>
          <w:p>
            <w:pPr>
              <w:ind w:left="40"/>
              <w:spacing w:after="0" w:line="177" w:lineRule="exact"/>
              <w:rPr>
                <w:sz w:val="20"/>
                <w:szCs w:val="20"/>
                <w:color w:val="auto"/>
              </w:rPr>
            </w:pPr>
            <w:r>
              <w:rPr>
                <w:rFonts w:ascii="Arial" w:cs="Arial" w:eastAsia="Arial" w:hAnsi="Arial"/>
                <w:sz w:val="16"/>
                <w:szCs w:val="16"/>
                <w:b w:val="1"/>
                <w:bCs w:val="1"/>
                <w:color w:val="auto"/>
              </w:rPr>
              <w:t>Interest credited to policyholder account balances</w:t>
            </w:r>
          </w:p>
        </w:tc>
        <w:tc>
          <w:tcPr>
            <w:tcW w:w="74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74"/>
        </w:trPr>
        <w:tc>
          <w:tcPr>
            <w:tcW w:w="6180" w:type="dxa"/>
            <w:vAlign w:val="bottom"/>
            <w:shd w:val="clear" w:color="auto" w:fill="CCEEFF"/>
          </w:tcPr>
          <w:p>
            <w:pPr>
              <w:spacing w:after="0"/>
              <w:rPr>
                <w:sz w:val="6"/>
                <w:szCs w:val="6"/>
                <w:color w:val="auto"/>
              </w:rPr>
            </w:pPr>
          </w:p>
        </w:tc>
        <w:tc>
          <w:tcPr>
            <w:tcW w:w="740" w:type="dxa"/>
            <w:vAlign w:val="bottom"/>
            <w:shd w:val="clear" w:color="auto" w:fill="CCEEFF"/>
          </w:tcPr>
          <w:p>
            <w:pPr>
              <w:spacing w:after="0"/>
              <w:rPr>
                <w:sz w:val="6"/>
                <w:szCs w:val="6"/>
                <w:color w:val="auto"/>
              </w:rPr>
            </w:pPr>
          </w:p>
        </w:tc>
        <w:tc>
          <w:tcPr>
            <w:tcW w:w="4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820" w:type="dxa"/>
            <w:vAlign w:val="bottom"/>
            <w:shd w:val="clear" w:color="auto" w:fill="CCEEFF"/>
          </w:tcPr>
          <w:p>
            <w:pPr>
              <w:spacing w:after="0"/>
              <w:rPr>
                <w:sz w:val="6"/>
                <w:szCs w:val="6"/>
                <w:color w:val="auto"/>
              </w:rPr>
            </w:pPr>
          </w:p>
        </w:tc>
        <w:tc>
          <w:tcPr>
            <w:tcW w:w="4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800" w:type="dxa"/>
            <w:vAlign w:val="bottom"/>
            <w:shd w:val="clear" w:color="auto" w:fill="CCEEFF"/>
          </w:tcPr>
          <w:p>
            <w:pPr>
              <w:spacing w:after="0"/>
              <w:rPr>
                <w:sz w:val="6"/>
                <w:szCs w:val="6"/>
                <w:color w:val="auto"/>
              </w:rPr>
            </w:pPr>
          </w:p>
        </w:tc>
        <w:tc>
          <w:tcPr>
            <w:tcW w:w="44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460" w:type="dxa"/>
            <w:vAlign w:val="bottom"/>
            <w:shd w:val="clear" w:color="auto" w:fill="CCEEFF"/>
          </w:tcPr>
          <w:p>
            <w:pPr>
              <w:spacing w:after="0"/>
              <w:rPr>
                <w:sz w:val="6"/>
                <w:szCs w:val="6"/>
                <w:color w:val="auto"/>
              </w:rPr>
            </w:pPr>
          </w:p>
        </w:tc>
        <w:tc>
          <w:tcPr>
            <w:tcW w:w="78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37"/>
        </w:trPr>
        <w:tc>
          <w:tcPr>
            <w:tcW w:w="6180" w:type="dxa"/>
            <w:vAlign w:val="bottom"/>
          </w:tcPr>
          <w:p>
            <w:pPr>
              <w:ind w:left="40"/>
              <w:spacing w:after="0"/>
              <w:rPr>
                <w:sz w:val="20"/>
                <w:szCs w:val="20"/>
                <w:color w:val="auto"/>
              </w:rPr>
            </w:pPr>
            <w:r>
              <w:rPr>
                <w:rFonts w:ascii="Arial" w:cs="Arial" w:eastAsia="Arial" w:hAnsi="Arial"/>
                <w:sz w:val="16"/>
                <w:szCs w:val="16"/>
                <w:color w:val="auto"/>
              </w:rPr>
              <w:t>Reinsurance assumed</w:t>
            </w:r>
          </w:p>
        </w:tc>
        <w:tc>
          <w:tcPr>
            <w:tcW w:w="740" w:type="dxa"/>
            <w:vAlign w:val="bottom"/>
          </w:tcPr>
          <w:p>
            <w:pPr>
              <w:jc w:val="right"/>
              <w:ind w:right="560"/>
              <w:spacing w:after="0"/>
              <w:rPr>
                <w:sz w:val="20"/>
                <w:szCs w:val="20"/>
                <w:color w:val="auto"/>
              </w:rPr>
            </w:pPr>
            <w:r>
              <w:rPr>
                <w:rFonts w:ascii="Arial" w:cs="Arial" w:eastAsia="Arial" w:hAnsi="Arial"/>
                <w:sz w:val="16"/>
                <w:szCs w:val="16"/>
                <w:color w:val="auto"/>
                <w:w w:val="89"/>
              </w:rPr>
              <w:t>$</w:t>
            </w:r>
          </w:p>
        </w:tc>
        <w:tc>
          <w:tcPr>
            <w:tcW w:w="420" w:type="dxa"/>
            <w:vAlign w:val="bottom"/>
          </w:tcPr>
          <w:p>
            <w:pPr>
              <w:jc w:val="right"/>
              <w:ind w:right="39"/>
              <w:spacing w:after="0"/>
              <w:rPr>
                <w:sz w:val="20"/>
                <w:szCs w:val="20"/>
                <w:color w:val="auto"/>
              </w:rPr>
            </w:pPr>
            <w:r>
              <w:rPr>
                <w:rFonts w:ascii="Arial" w:cs="Arial" w:eastAsia="Arial" w:hAnsi="Arial"/>
                <w:sz w:val="16"/>
                <w:szCs w:val="16"/>
                <w:color w:val="auto"/>
              </w:rPr>
              <w:t>18</w:t>
            </w:r>
          </w:p>
        </w:tc>
        <w:tc>
          <w:tcPr>
            <w:tcW w:w="120" w:type="dxa"/>
            <w:vAlign w:val="bottom"/>
          </w:tcPr>
          <w:p>
            <w:pPr>
              <w:spacing w:after="0"/>
              <w:rPr>
                <w:sz w:val="20"/>
                <w:szCs w:val="20"/>
                <w:color w:val="auto"/>
              </w:rPr>
            </w:pPr>
          </w:p>
        </w:tc>
        <w:tc>
          <w:tcPr>
            <w:tcW w:w="820" w:type="dxa"/>
            <w:vAlign w:val="bottom"/>
          </w:tcPr>
          <w:p>
            <w:pPr>
              <w:jc w:val="right"/>
              <w:ind w:right="620"/>
              <w:spacing w:after="0"/>
              <w:rPr>
                <w:sz w:val="20"/>
                <w:szCs w:val="20"/>
                <w:color w:val="auto"/>
              </w:rPr>
            </w:pPr>
            <w:r>
              <w:rPr>
                <w:rFonts w:ascii="Arial" w:cs="Arial" w:eastAsia="Arial" w:hAnsi="Arial"/>
                <w:sz w:val="16"/>
                <w:szCs w:val="16"/>
                <w:color w:val="auto"/>
              </w:rPr>
              <w:t>$</w:t>
            </w:r>
          </w:p>
        </w:tc>
        <w:tc>
          <w:tcPr>
            <w:tcW w:w="440" w:type="dxa"/>
            <w:vAlign w:val="bottom"/>
          </w:tcPr>
          <w:p>
            <w:pPr>
              <w:jc w:val="right"/>
              <w:ind w:right="19"/>
              <w:spacing w:after="0"/>
              <w:rPr>
                <w:sz w:val="20"/>
                <w:szCs w:val="20"/>
                <w:color w:val="auto"/>
              </w:rPr>
            </w:pPr>
            <w:r>
              <w:rPr>
                <w:rFonts w:ascii="Arial" w:cs="Arial" w:eastAsia="Arial" w:hAnsi="Arial"/>
                <w:sz w:val="16"/>
                <w:szCs w:val="16"/>
                <w:color w:val="auto"/>
              </w:rPr>
              <w:t>18</w:t>
            </w:r>
          </w:p>
        </w:tc>
        <w:tc>
          <w:tcPr>
            <w:tcW w:w="100" w:type="dxa"/>
            <w:vAlign w:val="bottom"/>
          </w:tcPr>
          <w:p>
            <w:pPr>
              <w:spacing w:after="0"/>
              <w:rPr>
                <w:sz w:val="20"/>
                <w:szCs w:val="20"/>
                <w:color w:val="auto"/>
              </w:rPr>
            </w:pPr>
          </w:p>
        </w:tc>
        <w:tc>
          <w:tcPr>
            <w:tcW w:w="800" w:type="dxa"/>
            <w:vAlign w:val="bottom"/>
          </w:tcPr>
          <w:p>
            <w:pPr>
              <w:jc w:val="right"/>
              <w:ind w:right="600"/>
              <w:spacing w:after="0"/>
              <w:rPr>
                <w:sz w:val="20"/>
                <w:szCs w:val="20"/>
                <w:color w:val="auto"/>
              </w:rPr>
            </w:pPr>
            <w:r>
              <w:rPr>
                <w:rFonts w:ascii="Arial" w:cs="Arial" w:eastAsia="Arial" w:hAnsi="Arial"/>
                <w:sz w:val="16"/>
                <w:szCs w:val="16"/>
                <w:color w:val="auto"/>
              </w:rPr>
              <w:t>$</w:t>
            </w:r>
          </w:p>
        </w:tc>
        <w:tc>
          <w:tcPr>
            <w:tcW w:w="440" w:type="dxa"/>
            <w:vAlign w:val="bottom"/>
          </w:tcPr>
          <w:p>
            <w:pPr>
              <w:jc w:val="right"/>
              <w:ind w:right="19"/>
              <w:spacing w:after="0"/>
              <w:rPr>
                <w:sz w:val="20"/>
                <w:szCs w:val="20"/>
                <w:color w:val="auto"/>
              </w:rPr>
            </w:pPr>
            <w:r>
              <w:rPr>
                <w:rFonts w:ascii="Arial" w:cs="Arial" w:eastAsia="Arial" w:hAnsi="Arial"/>
                <w:sz w:val="16"/>
                <w:szCs w:val="16"/>
                <w:color w:val="auto"/>
              </w:rPr>
              <w:t>54</w:t>
            </w:r>
          </w:p>
        </w:tc>
        <w:tc>
          <w:tcPr>
            <w:tcW w:w="120" w:type="dxa"/>
            <w:vAlign w:val="bottom"/>
          </w:tcPr>
          <w:p>
            <w:pPr>
              <w:spacing w:after="0"/>
              <w:rPr>
                <w:sz w:val="20"/>
                <w:szCs w:val="20"/>
                <w:color w:val="auto"/>
              </w:rPr>
            </w:pPr>
          </w:p>
        </w:tc>
        <w:tc>
          <w:tcPr>
            <w:tcW w:w="460" w:type="dxa"/>
            <w:vAlign w:val="bottom"/>
          </w:tcPr>
          <w:p>
            <w:pPr>
              <w:jc w:val="right"/>
              <w:ind w:right="279"/>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57</w:t>
            </w:r>
          </w:p>
        </w:tc>
        <w:tc>
          <w:tcPr>
            <w:tcW w:w="0" w:type="dxa"/>
            <w:vAlign w:val="bottom"/>
          </w:tcPr>
          <w:p>
            <w:pPr>
              <w:spacing w:after="0"/>
              <w:rPr>
                <w:sz w:val="1"/>
                <w:szCs w:val="1"/>
                <w:color w:val="auto"/>
              </w:rPr>
            </w:pPr>
          </w:p>
        </w:tc>
      </w:tr>
      <w:tr>
        <w:trPr>
          <w:trHeight w:val="33"/>
        </w:trPr>
        <w:tc>
          <w:tcPr>
            <w:tcW w:w="6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Reinsurance ceded</w:t>
            </w:r>
          </w:p>
        </w:tc>
        <w:tc>
          <w:tcPr>
            <w:tcW w:w="74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0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1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0" w:type="dxa"/>
            <w:vAlign w:val="bottom"/>
          </w:tcPr>
          <w:p>
            <w:pPr>
              <w:spacing w:after="0"/>
              <w:rPr>
                <w:sz w:val="1"/>
                <w:szCs w:val="1"/>
                <w:color w:val="auto"/>
              </w:rPr>
            </w:pPr>
          </w:p>
        </w:tc>
      </w:tr>
      <w:tr>
        <w:trPr>
          <w:trHeight w:val="217"/>
        </w:trPr>
        <w:tc>
          <w:tcPr>
            <w:tcW w:w="6180" w:type="dxa"/>
            <w:vAlign w:val="bottom"/>
          </w:tcPr>
          <w:p>
            <w:pPr>
              <w:ind w:left="200"/>
              <w:spacing w:after="0"/>
              <w:rPr>
                <w:sz w:val="20"/>
                <w:szCs w:val="20"/>
                <w:color w:val="auto"/>
              </w:rPr>
            </w:pPr>
            <w:r>
              <w:rPr>
                <w:rFonts w:ascii="Arial" w:cs="Arial" w:eastAsia="Arial" w:hAnsi="Arial"/>
                <w:sz w:val="16"/>
                <w:szCs w:val="16"/>
                <w:color w:val="auto"/>
              </w:rPr>
              <w:t>Net interest credited to policyholder account balances</w:t>
            </w:r>
          </w:p>
        </w:tc>
        <w:tc>
          <w:tcPr>
            <w:tcW w:w="740" w:type="dxa"/>
            <w:vAlign w:val="bottom"/>
            <w:tcBorders>
              <w:top w:val="single" w:sz="8" w:color="auto"/>
            </w:tcBorders>
          </w:tcPr>
          <w:p>
            <w:pPr>
              <w:jc w:val="right"/>
              <w:ind w:right="560"/>
              <w:spacing w:after="0"/>
              <w:rPr>
                <w:sz w:val="20"/>
                <w:szCs w:val="20"/>
                <w:color w:val="auto"/>
              </w:rPr>
            </w:pPr>
            <w:r>
              <w:rPr>
                <w:rFonts w:ascii="Arial" w:cs="Arial" w:eastAsia="Arial" w:hAnsi="Arial"/>
                <w:sz w:val="16"/>
                <w:szCs w:val="16"/>
                <w:color w:val="auto"/>
                <w:w w:val="89"/>
              </w:rPr>
              <w:t>$</w:t>
            </w:r>
          </w:p>
        </w:tc>
        <w:tc>
          <w:tcPr>
            <w:tcW w:w="4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14</w:t>
            </w:r>
          </w:p>
        </w:tc>
        <w:tc>
          <w:tcPr>
            <w:tcW w:w="120" w:type="dxa"/>
            <w:vAlign w:val="bottom"/>
          </w:tcPr>
          <w:p>
            <w:pPr>
              <w:spacing w:after="0"/>
              <w:rPr>
                <w:sz w:val="18"/>
                <w:szCs w:val="18"/>
                <w:color w:val="auto"/>
              </w:rPr>
            </w:pPr>
          </w:p>
        </w:tc>
        <w:tc>
          <w:tcPr>
            <w:tcW w:w="820" w:type="dxa"/>
            <w:vAlign w:val="bottom"/>
            <w:tcBorders>
              <w:top w:val="single" w:sz="8" w:color="auto"/>
            </w:tcBorders>
          </w:tcPr>
          <w:p>
            <w:pPr>
              <w:jc w:val="right"/>
              <w:ind w:right="620"/>
              <w:spacing w:after="0"/>
              <w:rPr>
                <w:sz w:val="20"/>
                <w:szCs w:val="20"/>
                <w:color w:val="auto"/>
              </w:rPr>
            </w:pPr>
            <w:r>
              <w:rPr>
                <w:rFonts w:ascii="Arial" w:cs="Arial" w:eastAsia="Arial" w:hAnsi="Arial"/>
                <w:sz w:val="16"/>
                <w:szCs w:val="16"/>
                <w:color w:val="auto"/>
              </w:rPr>
              <w:t>$</w:t>
            </w:r>
          </w:p>
        </w:tc>
        <w:tc>
          <w:tcPr>
            <w:tcW w:w="4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14</w:t>
            </w:r>
          </w:p>
        </w:tc>
        <w:tc>
          <w:tcPr>
            <w:tcW w:w="100" w:type="dxa"/>
            <w:vAlign w:val="bottom"/>
          </w:tcPr>
          <w:p>
            <w:pPr>
              <w:spacing w:after="0"/>
              <w:rPr>
                <w:sz w:val="18"/>
                <w:szCs w:val="18"/>
                <w:color w:val="auto"/>
              </w:rPr>
            </w:pPr>
          </w:p>
        </w:tc>
        <w:tc>
          <w:tcPr>
            <w:tcW w:w="800" w:type="dxa"/>
            <w:vAlign w:val="bottom"/>
            <w:tcBorders>
              <w:top w:val="single" w:sz="8" w:color="auto"/>
            </w:tcBorders>
          </w:tcPr>
          <w:p>
            <w:pPr>
              <w:jc w:val="right"/>
              <w:ind w:right="600"/>
              <w:spacing w:after="0"/>
              <w:rPr>
                <w:sz w:val="20"/>
                <w:szCs w:val="20"/>
                <w:color w:val="auto"/>
              </w:rPr>
            </w:pPr>
            <w:r>
              <w:rPr>
                <w:rFonts w:ascii="Arial" w:cs="Arial" w:eastAsia="Arial" w:hAnsi="Arial"/>
                <w:sz w:val="16"/>
                <w:szCs w:val="16"/>
                <w:color w:val="auto"/>
              </w:rPr>
              <w:t>$</w:t>
            </w:r>
          </w:p>
        </w:tc>
        <w:tc>
          <w:tcPr>
            <w:tcW w:w="4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42</w:t>
            </w:r>
          </w:p>
        </w:tc>
        <w:tc>
          <w:tcPr>
            <w:tcW w:w="120" w:type="dxa"/>
            <w:vAlign w:val="bottom"/>
          </w:tcPr>
          <w:p>
            <w:pPr>
              <w:spacing w:after="0"/>
              <w:rPr>
                <w:sz w:val="18"/>
                <w:szCs w:val="18"/>
                <w:color w:val="auto"/>
              </w:rPr>
            </w:pPr>
          </w:p>
        </w:tc>
        <w:tc>
          <w:tcPr>
            <w:tcW w:w="460" w:type="dxa"/>
            <w:vAlign w:val="bottom"/>
            <w:tcBorders>
              <w:top w:val="single" w:sz="8" w:color="auto"/>
            </w:tcBorders>
          </w:tcPr>
          <w:p>
            <w:pPr>
              <w:jc w:val="right"/>
              <w:ind w:right="279"/>
              <w:spacing w:after="0"/>
              <w:rPr>
                <w:sz w:val="20"/>
                <w:szCs w:val="20"/>
                <w:color w:val="auto"/>
              </w:rPr>
            </w:pPr>
            <w:r>
              <w:rPr>
                <w:rFonts w:ascii="Arial" w:cs="Arial" w:eastAsia="Arial" w:hAnsi="Arial"/>
                <w:sz w:val="16"/>
                <w:szCs w:val="16"/>
                <w:color w:val="auto"/>
                <w:w w:val="89"/>
              </w:rPr>
              <w:t>$</w:t>
            </w:r>
          </w:p>
        </w:tc>
        <w:tc>
          <w:tcPr>
            <w:tcW w:w="7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45</w:t>
            </w:r>
          </w:p>
        </w:tc>
        <w:tc>
          <w:tcPr>
            <w:tcW w:w="0" w:type="dxa"/>
            <w:vAlign w:val="bottom"/>
          </w:tcPr>
          <w:p>
            <w:pPr>
              <w:spacing w:after="0"/>
              <w:rPr>
                <w:sz w:val="1"/>
                <w:szCs w:val="1"/>
                <w:color w:val="auto"/>
              </w:rPr>
            </w:pPr>
          </w:p>
        </w:tc>
      </w:tr>
      <w:tr>
        <w:trPr>
          <w:trHeight w:val="73"/>
        </w:trPr>
        <w:tc>
          <w:tcPr>
            <w:tcW w:w="6180" w:type="dxa"/>
            <w:vAlign w:val="bottom"/>
            <w:tcBorders>
              <w:bottom w:val="single" w:sz="8" w:color="CCEEFF"/>
            </w:tcBorders>
          </w:tcPr>
          <w:p>
            <w:pPr>
              <w:spacing w:after="0"/>
              <w:rPr>
                <w:sz w:val="6"/>
                <w:szCs w:val="6"/>
                <w:color w:val="auto"/>
              </w:rPr>
            </w:pPr>
          </w:p>
        </w:tc>
        <w:tc>
          <w:tcPr>
            <w:tcW w:w="740" w:type="dxa"/>
            <w:vAlign w:val="bottom"/>
            <w:tcBorders>
              <w:bottom w:val="single" w:sz="8" w:color="auto"/>
            </w:tcBorders>
          </w:tcPr>
          <w:p>
            <w:pPr>
              <w:spacing w:after="0"/>
              <w:rPr>
                <w:sz w:val="6"/>
                <w:szCs w:val="6"/>
                <w:color w:val="auto"/>
              </w:rPr>
            </w:pPr>
          </w:p>
        </w:tc>
        <w:tc>
          <w:tcPr>
            <w:tcW w:w="42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820" w:type="dxa"/>
            <w:vAlign w:val="bottom"/>
            <w:tcBorders>
              <w:bottom w:val="single" w:sz="8" w:color="auto"/>
            </w:tcBorders>
          </w:tcPr>
          <w:p>
            <w:pPr>
              <w:spacing w:after="0"/>
              <w:rPr>
                <w:sz w:val="6"/>
                <w:szCs w:val="6"/>
                <w:color w:val="auto"/>
              </w:rPr>
            </w:pPr>
          </w:p>
        </w:tc>
        <w:tc>
          <w:tcPr>
            <w:tcW w:w="44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800" w:type="dxa"/>
            <w:vAlign w:val="bottom"/>
            <w:tcBorders>
              <w:bottom w:val="single" w:sz="8" w:color="auto"/>
            </w:tcBorders>
          </w:tcPr>
          <w:p>
            <w:pPr>
              <w:spacing w:after="0"/>
              <w:rPr>
                <w:sz w:val="6"/>
                <w:szCs w:val="6"/>
                <w:color w:val="auto"/>
              </w:rPr>
            </w:pPr>
          </w:p>
        </w:tc>
        <w:tc>
          <w:tcPr>
            <w:tcW w:w="44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460" w:type="dxa"/>
            <w:vAlign w:val="bottom"/>
            <w:tcBorders>
              <w:bottom w:val="single" w:sz="8" w:color="auto"/>
            </w:tcBorders>
          </w:tcPr>
          <w:p>
            <w:pPr>
              <w:spacing w:after="0"/>
              <w:rPr>
                <w:sz w:val="6"/>
                <w:szCs w:val="6"/>
                <w:color w:val="auto"/>
              </w:rPr>
            </w:pPr>
          </w:p>
        </w:tc>
        <w:tc>
          <w:tcPr>
            <w:tcW w:w="78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6180" w:type="dxa"/>
            <w:vAlign w:val="bottom"/>
            <w:shd w:val="clear" w:color="auto" w:fill="CCEEFF"/>
          </w:tcPr>
          <w:p>
            <w:pPr>
              <w:ind w:left="40"/>
              <w:spacing w:after="0" w:line="177" w:lineRule="exact"/>
              <w:rPr>
                <w:sz w:val="20"/>
                <w:szCs w:val="20"/>
                <w:color w:val="auto"/>
              </w:rPr>
            </w:pPr>
            <w:r>
              <w:rPr>
                <w:rFonts w:ascii="Arial" w:cs="Arial" w:eastAsia="Arial" w:hAnsi="Arial"/>
                <w:sz w:val="16"/>
                <w:szCs w:val="16"/>
                <w:b w:val="1"/>
                <w:bCs w:val="1"/>
                <w:color w:val="auto"/>
                <w:w w:val="99"/>
              </w:rPr>
              <w:t>Amortization of deferred policy acquisition costs and value of business acquired</w:t>
            </w:r>
          </w:p>
        </w:tc>
        <w:tc>
          <w:tcPr>
            <w:tcW w:w="74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74"/>
        </w:trPr>
        <w:tc>
          <w:tcPr>
            <w:tcW w:w="6180" w:type="dxa"/>
            <w:vAlign w:val="bottom"/>
            <w:shd w:val="clear" w:color="auto" w:fill="CCEEFF"/>
          </w:tcPr>
          <w:p>
            <w:pPr>
              <w:spacing w:after="0"/>
              <w:rPr>
                <w:sz w:val="6"/>
                <w:szCs w:val="6"/>
                <w:color w:val="auto"/>
              </w:rPr>
            </w:pPr>
          </w:p>
        </w:tc>
        <w:tc>
          <w:tcPr>
            <w:tcW w:w="740" w:type="dxa"/>
            <w:vAlign w:val="bottom"/>
            <w:shd w:val="clear" w:color="auto" w:fill="CCEEFF"/>
          </w:tcPr>
          <w:p>
            <w:pPr>
              <w:spacing w:after="0"/>
              <w:rPr>
                <w:sz w:val="6"/>
                <w:szCs w:val="6"/>
                <w:color w:val="auto"/>
              </w:rPr>
            </w:pPr>
          </w:p>
        </w:tc>
        <w:tc>
          <w:tcPr>
            <w:tcW w:w="4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820" w:type="dxa"/>
            <w:vAlign w:val="bottom"/>
            <w:shd w:val="clear" w:color="auto" w:fill="CCEEFF"/>
          </w:tcPr>
          <w:p>
            <w:pPr>
              <w:spacing w:after="0"/>
              <w:rPr>
                <w:sz w:val="6"/>
                <w:szCs w:val="6"/>
                <w:color w:val="auto"/>
              </w:rPr>
            </w:pPr>
          </w:p>
        </w:tc>
        <w:tc>
          <w:tcPr>
            <w:tcW w:w="4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800" w:type="dxa"/>
            <w:vAlign w:val="bottom"/>
            <w:shd w:val="clear" w:color="auto" w:fill="CCEEFF"/>
          </w:tcPr>
          <w:p>
            <w:pPr>
              <w:spacing w:after="0"/>
              <w:rPr>
                <w:sz w:val="6"/>
                <w:szCs w:val="6"/>
                <w:color w:val="auto"/>
              </w:rPr>
            </w:pPr>
          </w:p>
        </w:tc>
        <w:tc>
          <w:tcPr>
            <w:tcW w:w="44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460" w:type="dxa"/>
            <w:vAlign w:val="bottom"/>
            <w:shd w:val="clear" w:color="auto" w:fill="CCEEFF"/>
          </w:tcPr>
          <w:p>
            <w:pPr>
              <w:spacing w:after="0"/>
              <w:rPr>
                <w:sz w:val="6"/>
                <w:szCs w:val="6"/>
                <w:color w:val="auto"/>
              </w:rPr>
            </w:pPr>
          </w:p>
        </w:tc>
        <w:tc>
          <w:tcPr>
            <w:tcW w:w="78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37"/>
        </w:trPr>
        <w:tc>
          <w:tcPr>
            <w:tcW w:w="6180" w:type="dxa"/>
            <w:vAlign w:val="bottom"/>
          </w:tcPr>
          <w:p>
            <w:pPr>
              <w:ind w:left="40"/>
              <w:spacing w:after="0"/>
              <w:rPr>
                <w:sz w:val="20"/>
                <w:szCs w:val="20"/>
                <w:color w:val="auto"/>
              </w:rPr>
            </w:pPr>
            <w:r>
              <w:rPr>
                <w:rFonts w:ascii="Arial" w:cs="Arial" w:eastAsia="Arial" w:hAnsi="Arial"/>
                <w:sz w:val="16"/>
                <w:szCs w:val="16"/>
                <w:color w:val="auto"/>
              </w:rPr>
              <w:t>Reinsurance assumed</w:t>
            </w:r>
          </w:p>
        </w:tc>
        <w:tc>
          <w:tcPr>
            <w:tcW w:w="740" w:type="dxa"/>
            <w:vAlign w:val="bottom"/>
          </w:tcPr>
          <w:p>
            <w:pPr>
              <w:jc w:val="right"/>
              <w:ind w:right="560"/>
              <w:spacing w:after="0"/>
              <w:rPr>
                <w:sz w:val="20"/>
                <w:szCs w:val="20"/>
                <w:color w:val="auto"/>
              </w:rPr>
            </w:pPr>
            <w:r>
              <w:rPr>
                <w:rFonts w:ascii="Arial" w:cs="Arial" w:eastAsia="Arial" w:hAnsi="Arial"/>
                <w:sz w:val="16"/>
                <w:szCs w:val="16"/>
                <w:color w:val="auto"/>
                <w:w w:val="89"/>
              </w:rPr>
              <w:t>$</w:t>
            </w:r>
          </w:p>
        </w:tc>
        <w:tc>
          <w:tcPr>
            <w:tcW w:w="5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620"/>
              <w:spacing w:after="0"/>
              <w:rPr>
                <w:sz w:val="20"/>
                <w:szCs w:val="20"/>
                <w:color w:val="auto"/>
              </w:rPr>
            </w:pPr>
            <w:r>
              <w:rPr>
                <w:rFonts w:ascii="Arial" w:cs="Arial" w:eastAsia="Arial" w:hAnsi="Arial"/>
                <w:sz w:val="16"/>
                <w:szCs w:val="16"/>
                <w:color w:val="auto"/>
              </w:rPr>
              <w:t>$</w:t>
            </w:r>
          </w:p>
        </w:tc>
        <w:tc>
          <w:tcPr>
            <w:tcW w:w="440" w:type="dxa"/>
            <w:vAlign w:val="bottom"/>
          </w:tcPr>
          <w:p>
            <w:pPr>
              <w:jc w:val="right"/>
              <w:ind w:right="19"/>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20"/>
                <w:szCs w:val="20"/>
                <w:color w:val="auto"/>
              </w:rPr>
            </w:pPr>
          </w:p>
        </w:tc>
        <w:tc>
          <w:tcPr>
            <w:tcW w:w="800" w:type="dxa"/>
            <w:vAlign w:val="bottom"/>
          </w:tcPr>
          <w:p>
            <w:pPr>
              <w:jc w:val="right"/>
              <w:ind w:right="600"/>
              <w:spacing w:after="0"/>
              <w:rPr>
                <w:sz w:val="20"/>
                <w:szCs w:val="20"/>
                <w:color w:val="auto"/>
              </w:rPr>
            </w:pPr>
            <w:r>
              <w:rPr>
                <w:rFonts w:ascii="Arial" w:cs="Arial" w:eastAsia="Arial" w:hAnsi="Arial"/>
                <w:sz w:val="16"/>
                <w:szCs w:val="16"/>
                <w:color w:val="auto"/>
              </w:rPr>
              <w:t>$</w:t>
            </w:r>
          </w:p>
        </w:tc>
        <w:tc>
          <w:tcPr>
            <w:tcW w:w="440" w:type="dxa"/>
            <w:vAlign w:val="bottom"/>
          </w:tcPr>
          <w:p>
            <w:pPr>
              <w:jc w:val="right"/>
              <w:ind w:right="19"/>
              <w:spacing w:after="0"/>
              <w:rPr>
                <w:sz w:val="20"/>
                <w:szCs w:val="20"/>
                <w:color w:val="auto"/>
              </w:rPr>
            </w:pPr>
            <w:r>
              <w:rPr>
                <w:rFonts w:ascii="Arial" w:cs="Arial" w:eastAsia="Arial" w:hAnsi="Arial"/>
                <w:sz w:val="16"/>
                <w:szCs w:val="16"/>
                <w:color w:val="auto"/>
              </w:rPr>
              <w:t>24</w:t>
            </w:r>
          </w:p>
        </w:tc>
        <w:tc>
          <w:tcPr>
            <w:tcW w:w="120" w:type="dxa"/>
            <w:vAlign w:val="bottom"/>
          </w:tcPr>
          <w:p>
            <w:pPr>
              <w:spacing w:after="0"/>
              <w:rPr>
                <w:sz w:val="20"/>
                <w:szCs w:val="20"/>
                <w:color w:val="auto"/>
              </w:rPr>
            </w:pPr>
          </w:p>
        </w:tc>
        <w:tc>
          <w:tcPr>
            <w:tcW w:w="460" w:type="dxa"/>
            <w:vAlign w:val="bottom"/>
          </w:tcPr>
          <w:p>
            <w:pPr>
              <w:jc w:val="right"/>
              <w:ind w:right="279"/>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33"/>
        </w:trPr>
        <w:tc>
          <w:tcPr>
            <w:tcW w:w="6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Reinsurance ceded</w:t>
            </w:r>
          </w:p>
        </w:tc>
        <w:tc>
          <w:tcPr>
            <w:tcW w:w="74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w:t>
            </w:r>
          </w:p>
        </w:tc>
        <w:tc>
          <w:tcPr>
            <w:tcW w:w="1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10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600"/>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w:t>
            </w:r>
          </w:p>
        </w:tc>
        <w:tc>
          <w:tcPr>
            <w:tcW w:w="1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jc w:val="right"/>
              <w:ind w:right="279"/>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(133)</w:t>
            </w:r>
          </w:p>
        </w:tc>
        <w:tc>
          <w:tcPr>
            <w:tcW w:w="0" w:type="dxa"/>
            <w:vAlign w:val="bottom"/>
          </w:tcPr>
          <w:p>
            <w:pPr>
              <w:spacing w:after="0"/>
              <w:rPr>
                <w:sz w:val="1"/>
                <w:szCs w:val="1"/>
                <w:color w:val="auto"/>
              </w:rPr>
            </w:pPr>
          </w:p>
        </w:tc>
      </w:tr>
      <w:tr>
        <w:trPr>
          <w:trHeight w:val="200"/>
        </w:trPr>
        <w:tc>
          <w:tcPr>
            <w:tcW w:w="6180" w:type="dxa"/>
            <w:vAlign w:val="bottom"/>
          </w:tcPr>
          <w:p>
            <w:pPr>
              <w:ind w:left="200"/>
              <w:spacing w:after="0"/>
              <w:rPr>
                <w:sz w:val="20"/>
                <w:szCs w:val="20"/>
                <w:color w:val="auto"/>
              </w:rPr>
            </w:pPr>
            <w:r>
              <w:rPr>
                <w:rFonts w:ascii="Arial" w:cs="Arial" w:eastAsia="Arial" w:hAnsi="Arial"/>
                <w:sz w:val="16"/>
                <w:szCs w:val="16"/>
                <w:color w:val="auto"/>
              </w:rPr>
              <w:t>Net amortization of deferred policy acquisition costs and value of</w:t>
            </w:r>
          </w:p>
        </w:tc>
        <w:tc>
          <w:tcPr>
            <w:tcW w:w="740" w:type="dxa"/>
            <w:vAlign w:val="bottom"/>
            <w:tcBorders>
              <w:top w:val="single" w:sz="8" w:color="auto"/>
            </w:tcBorders>
            <w:vMerge w:val="restart"/>
          </w:tcPr>
          <w:p>
            <w:pPr>
              <w:jc w:val="right"/>
              <w:ind w:right="560"/>
              <w:spacing w:after="0"/>
              <w:rPr>
                <w:sz w:val="20"/>
                <w:szCs w:val="20"/>
                <w:color w:val="auto"/>
              </w:rPr>
            </w:pPr>
            <w:r>
              <w:rPr>
                <w:rFonts w:ascii="Arial" w:cs="Arial" w:eastAsia="Arial" w:hAnsi="Arial"/>
                <w:sz w:val="16"/>
                <w:szCs w:val="16"/>
                <w:color w:val="auto"/>
                <w:w w:val="89"/>
              </w:rPr>
              <w:t>$</w:t>
            </w:r>
          </w:p>
        </w:tc>
        <w:tc>
          <w:tcPr>
            <w:tcW w:w="420" w:type="dxa"/>
            <w:vAlign w:val="bottom"/>
            <w:tcBorders>
              <w:top w:val="single" w:sz="8" w:color="auto"/>
            </w:tcBorders>
            <w:vMerge w:val="restart"/>
          </w:tcPr>
          <w:p>
            <w:pPr>
              <w:jc w:val="right"/>
              <w:ind w:right="39"/>
              <w:spacing w:after="0"/>
              <w:rPr>
                <w:sz w:val="20"/>
                <w:szCs w:val="20"/>
                <w:color w:val="auto"/>
              </w:rPr>
            </w:pPr>
            <w:r>
              <w:rPr>
                <w:rFonts w:ascii="Arial" w:cs="Arial" w:eastAsia="Arial" w:hAnsi="Arial"/>
                <w:sz w:val="16"/>
                <w:szCs w:val="16"/>
                <w:color w:val="auto"/>
              </w:rPr>
              <w:t>5</w:t>
            </w:r>
          </w:p>
        </w:tc>
        <w:tc>
          <w:tcPr>
            <w:tcW w:w="120" w:type="dxa"/>
            <w:vAlign w:val="bottom"/>
          </w:tcPr>
          <w:p>
            <w:pPr>
              <w:spacing w:after="0"/>
              <w:rPr>
                <w:sz w:val="17"/>
                <w:szCs w:val="17"/>
                <w:color w:val="auto"/>
              </w:rPr>
            </w:pPr>
          </w:p>
        </w:tc>
        <w:tc>
          <w:tcPr>
            <w:tcW w:w="820" w:type="dxa"/>
            <w:vAlign w:val="bottom"/>
            <w:tcBorders>
              <w:top w:val="single" w:sz="8" w:color="auto"/>
            </w:tcBorders>
            <w:vMerge w:val="restart"/>
          </w:tcPr>
          <w:p>
            <w:pPr>
              <w:jc w:val="right"/>
              <w:ind w:right="620"/>
              <w:spacing w:after="0"/>
              <w:rPr>
                <w:sz w:val="20"/>
                <w:szCs w:val="20"/>
                <w:color w:val="auto"/>
              </w:rPr>
            </w:pPr>
            <w:r>
              <w:rPr>
                <w:rFonts w:ascii="Arial" w:cs="Arial" w:eastAsia="Arial" w:hAnsi="Arial"/>
                <w:sz w:val="16"/>
                <w:szCs w:val="16"/>
                <w:color w:val="auto"/>
              </w:rPr>
              <w:t>$</w:t>
            </w:r>
          </w:p>
        </w:tc>
        <w:tc>
          <w:tcPr>
            <w:tcW w:w="44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(9)</w:t>
            </w:r>
          </w:p>
        </w:tc>
        <w:tc>
          <w:tcPr>
            <w:tcW w:w="100" w:type="dxa"/>
            <w:vAlign w:val="bottom"/>
          </w:tcPr>
          <w:p>
            <w:pPr>
              <w:spacing w:after="0"/>
              <w:rPr>
                <w:sz w:val="17"/>
                <w:szCs w:val="17"/>
                <w:color w:val="auto"/>
              </w:rPr>
            </w:pPr>
          </w:p>
        </w:tc>
        <w:tc>
          <w:tcPr>
            <w:tcW w:w="800" w:type="dxa"/>
            <w:vAlign w:val="bottom"/>
            <w:tcBorders>
              <w:top w:val="single" w:sz="8" w:color="auto"/>
            </w:tcBorders>
            <w:vMerge w:val="restart"/>
          </w:tcPr>
          <w:p>
            <w:pPr>
              <w:jc w:val="right"/>
              <w:ind w:right="600"/>
              <w:spacing w:after="0"/>
              <w:rPr>
                <w:sz w:val="20"/>
                <w:szCs w:val="20"/>
                <w:color w:val="auto"/>
              </w:rPr>
            </w:pPr>
            <w:r>
              <w:rPr>
                <w:rFonts w:ascii="Arial" w:cs="Arial" w:eastAsia="Arial" w:hAnsi="Arial"/>
                <w:sz w:val="16"/>
                <w:szCs w:val="16"/>
                <w:color w:val="auto"/>
              </w:rPr>
              <w:t>$</w:t>
            </w:r>
          </w:p>
        </w:tc>
        <w:tc>
          <w:tcPr>
            <w:tcW w:w="440" w:type="dxa"/>
            <w:vAlign w:val="bottom"/>
            <w:tcBorders>
              <w:top w:val="single" w:sz="8" w:color="auto"/>
            </w:tcBorders>
            <w:vMerge w:val="restart"/>
          </w:tcPr>
          <w:p>
            <w:pPr>
              <w:jc w:val="right"/>
              <w:ind w:right="19"/>
              <w:spacing w:after="0"/>
              <w:rPr>
                <w:sz w:val="20"/>
                <w:szCs w:val="20"/>
                <w:color w:val="auto"/>
              </w:rPr>
            </w:pPr>
            <w:r>
              <w:rPr>
                <w:rFonts w:ascii="Arial" w:cs="Arial" w:eastAsia="Arial" w:hAnsi="Arial"/>
                <w:sz w:val="16"/>
                <w:szCs w:val="16"/>
                <w:color w:val="auto"/>
              </w:rPr>
              <w:t>42</w:t>
            </w:r>
          </w:p>
        </w:tc>
        <w:tc>
          <w:tcPr>
            <w:tcW w:w="120" w:type="dxa"/>
            <w:vAlign w:val="bottom"/>
          </w:tcPr>
          <w:p>
            <w:pPr>
              <w:spacing w:after="0"/>
              <w:rPr>
                <w:sz w:val="17"/>
                <w:szCs w:val="17"/>
                <w:color w:val="auto"/>
              </w:rPr>
            </w:pPr>
          </w:p>
        </w:tc>
        <w:tc>
          <w:tcPr>
            <w:tcW w:w="460" w:type="dxa"/>
            <w:vAlign w:val="bottom"/>
            <w:tcBorders>
              <w:top w:val="single" w:sz="8" w:color="auto"/>
            </w:tcBorders>
            <w:vMerge w:val="restart"/>
          </w:tcPr>
          <w:p>
            <w:pPr>
              <w:jc w:val="right"/>
              <w:ind w:right="279"/>
              <w:spacing w:after="0"/>
              <w:rPr>
                <w:sz w:val="20"/>
                <w:szCs w:val="20"/>
                <w:color w:val="auto"/>
              </w:rPr>
            </w:pPr>
            <w:r>
              <w:rPr>
                <w:rFonts w:ascii="Arial" w:cs="Arial" w:eastAsia="Arial" w:hAnsi="Arial"/>
                <w:sz w:val="16"/>
                <w:szCs w:val="16"/>
                <w:color w:val="auto"/>
                <w:w w:val="89"/>
              </w:rPr>
              <w:t>$</w:t>
            </w:r>
          </w:p>
        </w:tc>
        <w:tc>
          <w:tcPr>
            <w:tcW w:w="78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(125)</w:t>
            </w:r>
          </w:p>
        </w:tc>
        <w:tc>
          <w:tcPr>
            <w:tcW w:w="0" w:type="dxa"/>
            <w:vAlign w:val="bottom"/>
          </w:tcPr>
          <w:p>
            <w:pPr>
              <w:spacing w:after="0"/>
              <w:rPr>
                <w:sz w:val="1"/>
                <w:szCs w:val="1"/>
                <w:color w:val="auto"/>
              </w:rPr>
            </w:pPr>
          </w:p>
        </w:tc>
      </w:tr>
      <w:tr>
        <w:trPr>
          <w:trHeight w:val="259"/>
        </w:trPr>
        <w:tc>
          <w:tcPr>
            <w:tcW w:w="618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business acquired</w:t>
            </w:r>
          </w:p>
        </w:tc>
        <w:tc>
          <w:tcPr>
            <w:tcW w:w="740" w:type="dxa"/>
            <w:vAlign w:val="bottom"/>
            <w:tcBorders>
              <w:bottom w:val="single" w:sz="8" w:color="auto"/>
            </w:tcBorders>
            <w:vMerge w:val="continue"/>
          </w:tcPr>
          <w:p>
            <w:pPr>
              <w:spacing w:after="0"/>
              <w:rPr>
                <w:sz w:val="22"/>
                <w:szCs w:val="22"/>
                <w:color w:val="auto"/>
              </w:rPr>
            </w:pPr>
          </w:p>
        </w:tc>
        <w:tc>
          <w:tcPr>
            <w:tcW w:w="420" w:type="dxa"/>
            <w:vAlign w:val="bottom"/>
            <w:tcBorders>
              <w:bottom w:val="single" w:sz="8" w:color="auto"/>
            </w:tcBorders>
            <w:vMerge w:val="continue"/>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820" w:type="dxa"/>
            <w:vAlign w:val="bottom"/>
            <w:tcBorders>
              <w:bottom w:val="single" w:sz="8" w:color="auto"/>
            </w:tcBorders>
            <w:vMerge w:val="continue"/>
          </w:tcPr>
          <w:p>
            <w:pPr>
              <w:spacing w:after="0"/>
              <w:rPr>
                <w:sz w:val="22"/>
                <w:szCs w:val="22"/>
                <w:color w:val="auto"/>
              </w:rPr>
            </w:pPr>
          </w:p>
        </w:tc>
        <w:tc>
          <w:tcPr>
            <w:tcW w:w="440" w:type="dxa"/>
            <w:vAlign w:val="bottom"/>
            <w:tcBorders>
              <w:bottom w:val="single" w:sz="8" w:color="auto"/>
            </w:tcBorders>
            <w:vMerge w:val="continue"/>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800" w:type="dxa"/>
            <w:vAlign w:val="bottom"/>
            <w:tcBorders>
              <w:bottom w:val="single" w:sz="8" w:color="auto"/>
            </w:tcBorders>
            <w:vMerge w:val="continue"/>
          </w:tcPr>
          <w:p>
            <w:pPr>
              <w:spacing w:after="0"/>
              <w:rPr>
                <w:sz w:val="22"/>
                <w:szCs w:val="22"/>
                <w:color w:val="auto"/>
              </w:rPr>
            </w:pPr>
          </w:p>
        </w:tc>
        <w:tc>
          <w:tcPr>
            <w:tcW w:w="440" w:type="dxa"/>
            <w:vAlign w:val="bottom"/>
            <w:tcBorders>
              <w:bottom w:val="single" w:sz="8" w:color="auto"/>
            </w:tcBorders>
            <w:vMerge w:val="continue"/>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460" w:type="dxa"/>
            <w:vAlign w:val="bottom"/>
            <w:tcBorders>
              <w:bottom w:val="single" w:sz="8" w:color="auto"/>
            </w:tcBorders>
            <w:vMerge w:val="continue"/>
          </w:tcPr>
          <w:p>
            <w:pPr>
              <w:spacing w:after="0"/>
              <w:rPr>
                <w:sz w:val="22"/>
                <w:szCs w:val="22"/>
                <w:color w:val="auto"/>
              </w:rPr>
            </w:pPr>
          </w:p>
        </w:tc>
        <w:tc>
          <w:tcPr>
            <w:tcW w:w="780" w:type="dxa"/>
            <w:vAlign w:val="bottom"/>
            <w:tcBorders>
              <w:bottom w:val="single" w:sz="8" w:color="auto"/>
            </w:tcBorders>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184"/>
        </w:trPr>
        <w:tc>
          <w:tcPr>
            <w:tcW w:w="618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Other expenses</w:t>
            </w:r>
          </w:p>
        </w:tc>
        <w:tc>
          <w:tcPr>
            <w:tcW w:w="74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74"/>
        </w:trPr>
        <w:tc>
          <w:tcPr>
            <w:tcW w:w="6180" w:type="dxa"/>
            <w:vAlign w:val="bottom"/>
            <w:shd w:val="clear" w:color="auto" w:fill="CCEEFF"/>
          </w:tcPr>
          <w:p>
            <w:pPr>
              <w:spacing w:after="0"/>
              <w:rPr>
                <w:sz w:val="6"/>
                <w:szCs w:val="6"/>
                <w:color w:val="auto"/>
              </w:rPr>
            </w:pPr>
          </w:p>
        </w:tc>
        <w:tc>
          <w:tcPr>
            <w:tcW w:w="740" w:type="dxa"/>
            <w:vAlign w:val="bottom"/>
            <w:shd w:val="clear" w:color="auto" w:fill="CCEEFF"/>
          </w:tcPr>
          <w:p>
            <w:pPr>
              <w:spacing w:after="0"/>
              <w:rPr>
                <w:sz w:val="6"/>
                <w:szCs w:val="6"/>
                <w:color w:val="auto"/>
              </w:rPr>
            </w:pPr>
          </w:p>
        </w:tc>
        <w:tc>
          <w:tcPr>
            <w:tcW w:w="4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820" w:type="dxa"/>
            <w:vAlign w:val="bottom"/>
            <w:shd w:val="clear" w:color="auto" w:fill="CCEEFF"/>
          </w:tcPr>
          <w:p>
            <w:pPr>
              <w:spacing w:after="0"/>
              <w:rPr>
                <w:sz w:val="6"/>
                <w:szCs w:val="6"/>
                <w:color w:val="auto"/>
              </w:rPr>
            </w:pPr>
          </w:p>
        </w:tc>
        <w:tc>
          <w:tcPr>
            <w:tcW w:w="4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800" w:type="dxa"/>
            <w:vAlign w:val="bottom"/>
            <w:shd w:val="clear" w:color="auto" w:fill="CCEEFF"/>
          </w:tcPr>
          <w:p>
            <w:pPr>
              <w:spacing w:after="0"/>
              <w:rPr>
                <w:sz w:val="6"/>
                <w:szCs w:val="6"/>
                <w:color w:val="auto"/>
              </w:rPr>
            </w:pPr>
          </w:p>
        </w:tc>
        <w:tc>
          <w:tcPr>
            <w:tcW w:w="44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460" w:type="dxa"/>
            <w:vAlign w:val="bottom"/>
            <w:shd w:val="clear" w:color="auto" w:fill="CCEEFF"/>
          </w:tcPr>
          <w:p>
            <w:pPr>
              <w:spacing w:after="0"/>
              <w:rPr>
                <w:sz w:val="6"/>
                <w:szCs w:val="6"/>
                <w:color w:val="auto"/>
              </w:rPr>
            </w:pPr>
          </w:p>
        </w:tc>
        <w:tc>
          <w:tcPr>
            <w:tcW w:w="78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37"/>
        </w:trPr>
        <w:tc>
          <w:tcPr>
            <w:tcW w:w="6180" w:type="dxa"/>
            <w:vAlign w:val="bottom"/>
          </w:tcPr>
          <w:p>
            <w:pPr>
              <w:ind w:left="40"/>
              <w:spacing w:after="0"/>
              <w:rPr>
                <w:sz w:val="20"/>
                <w:szCs w:val="20"/>
                <w:color w:val="auto"/>
              </w:rPr>
            </w:pPr>
            <w:r>
              <w:rPr>
                <w:rFonts w:ascii="Arial" w:cs="Arial" w:eastAsia="Arial" w:hAnsi="Arial"/>
                <w:sz w:val="16"/>
                <w:szCs w:val="16"/>
                <w:color w:val="auto"/>
              </w:rPr>
              <w:t>Reinsurance assumed</w:t>
            </w:r>
          </w:p>
        </w:tc>
        <w:tc>
          <w:tcPr>
            <w:tcW w:w="740" w:type="dxa"/>
            <w:vAlign w:val="bottom"/>
          </w:tcPr>
          <w:p>
            <w:pPr>
              <w:jc w:val="right"/>
              <w:ind w:right="560"/>
              <w:spacing w:after="0"/>
              <w:rPr>
                <w:sz w:val="20"/>
                <w:szCs w:val="20"/>
                <w:color w:val="auto"/>
              </w:rPr>
            </w:pPr>
            <w:r>
              <w:rPr>
                <w:rFonts w:ascii="Arial" w:cs="Arial" w:eastAsia="Arial" w:hAnsi="Arial"/>
                <w:sz w:val="16"/>
                <w:szCs w:val="16"/>
                <w:color w:val="auto"/>
                <w:w w:val="89"/>
              </w:rPr>
              <w:t>$</w:t>
            </w:r>
          </w:p>
        </w:tc>
        <w:tc>
          <w:tcPr>
            <w:tcW w:w="420" w:type="dxa"/>
            <w:vAlign w:val="bottom"/>
          </w:tcPr>
          <w:p>
            <w:pPr>
              <w:jc w:val="right"/>
              <w:ind w:right="39"/>
              <w:spacing w:after="0"/>
              <w:rPr>
                <w:sz w:val="20"/>
                <w:szCs w:val="20"/>
                <w:color w:val="auto"/>
              </w:rPr>
            </w:pPr>
            <w:r>
              <w:rPr>
                <w:rFonts w:ascii="Arial" w:cs="Arial" w:eastAsia="Arial" w:hAnsi="Arial"/>
                <w:sz w:val="16"/>
                <w:szCs w:val="16"/>
                <w:color w:val="auto"/>
              </w:rPr>
              <w:t>13</w:t>
            </w:r>
          </w:p>
        </w:tc>
        <w:tc>
          <w:tcPr>
            <w:tcW w:w="120" w:type="dxa"/>
            <w:vAlign w:val="bottom"/>
          </w:tcPr>
          <w:p>
            <w:pPr>
              <w:spacing w:after="0"/>
              <w:rPr>
                <w:sz w:val="20"/>
                <w:szCs w:val="20"/>
                <w:color w:val="auto"/>
              </w:rPr>
            </w:pPr>
          </w:p>
        </w:tc>
        <w:tc>
          <w:tcPr>
            <w:tcW w:w="820" w:type="dxa"/>
            <w:vAlign w:val="bottom"/>
          </w:tcPr>
          <w:p>
            <w:pPr>
              <w:jc w:val="right"/>
              <w:ind w:right="620"/>
              <w:spacing w:after="0"/>
              <w:rPr>
                <w:sz w:val="20"/>
                <w:szCs w:val="20"/>
                <w:color w:val="auto"/>
              </w:rPr>
            </w:pPr>
            <w:r>
              <w:rPr>
                <w:rFonts w:ascii="Arial" w:cs="Arial" w:eastAsia="Arial" w:hAnsi="Arial"/>
                <w:sz w:val="16"/>
                <w:szCs w:val="16"/>
                <w:color w:val="auto"/>
              </w:rPr>
              <w:t>$</w:t>
            </w:r>
          </w:p>
        </w:tc>
        <w:tc>
          <w:tcPr>
            <w:tcW w:w="5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600"/>
              <w:spacing w:after="0"/>
              <w:rPr>
                <w:sz w:val="20"/>
                <w:szCs w:val="20"/>
                <w:color w:val="auto"/>
              </w:rPr>
            </w:pPr>
            <w:r>
              <w:rPr>
                <w:rFonts w:ascii="Arial" w:cs="Arial" w:eastAsia="Arial" w:hAnsi="Arial"/>
                <w:sz w:val="16"/>
                <w:szCs w:val="16"/>
                <w:color w:val="auto"/>
              </w:rPr>
              <w:t>$</w:t>
            </w:r>
          </w:p>
        </w:tc>
        <w:tc>
          <w:tcPr>
            <w:tcW w:w="440" w:type="dxa"/>
            <w:vAlign w:val="bottom"/>
          </w:tcPr>
          <w:p>
            <w:pPr>
              <w:jc w:val="right"/>
              <w:ind w:right="19"/>
              <w:spacing w:after="0"/>
              <w:rPr>
                <w:sz w:val="20"/>
                <w:szCs w:val="20"/>
                <w:color w:val="auto"/>
              </w:rPr>
            </w:pPr>
            <w:r>
              <w:rPr>
                <w:rFonts w:ascii="Arial" w:cs="Arial" w:eastAsia="Arial" w:hAnsi="Arial"/>
                <w:sz w:val="16"/>
                <w:szCs w:val="16"/>
                <w:color w:val="auto"/>
              </w:rPr>
              <w:t>34</w:t>
            </w:r>
          </w:p>
        </w:tc>
        <w:tc>
          <w:tcPr>
            <w:tcW w:w="120" w:type="dxa"/>
            <w:vAlign w:val="bottom"/>
          </w:tcPr>
          <w:p>
            <w:pPr>
              <w:spacing w:after="0"/>
              <w:rPr>
                <w:sz w:val="20"/>
                <w:szCs w:val="20"/>
                <w:color w:val="auto"/>
              </w:rPr>
            </w:pPr>
          </w:p>
        </w:tc>
        <w:tc>
          <w:tcPr>
            <w:tcW w:w="460" w:type="dxa"/>
            <w:vAlign w:val="bottom"/>
          </w:tcPr>
          <w:p>
            <w:pPr>
              <w:jc w:val="right"/>
              <w:ind w:right="279"/>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16</w:t>
            </w:r>
          </w:p>
        </w:tc>
        <w:tc>
          <w:tcPr>
            <w:tcW w:w="0" w:type="dxa"/>
            <w:vAlign w:val="bottom"/>
          </w:tcPr>
          <w:p>
            <w:pPr>
              <w:spacing w:after="0"/>
              <w:rPr>
                <w:sz w:val="1"/>
                <w:szCs w:val="1"/>
                <w:color w:val="auto"/>
              </w:rPr>
            </w:pPr>
          </w:p>
        </w:tc>
      </w:tr>
      <w:tr>
        <w:trPr>
          <w:trHeight w:val="33"/>
        </w:trPr>
        <w:tc>
          <w:tcPr>
            <w:tcW w:w="6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Reinsurance ceded</w:t>
            </w:r>
          </w:p>
        </w:tc>
        <w:tc>
          <w:tcPr>
            <w:tcW w:w="74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w:t>
            </w:r>
          </w:p>
        </w:tc>
        <w:tc>
          <w:tcPr>
            <w:tcW w:w="10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w:t>
            </w:r>
          </w:p>
        </w:tc>
        <w:tc>
          <w:tcPr>
            <w:tcW w:w="1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w:t>
            </w:r>
          </w:p>
        </w:tc>
        <w:tc>
          <w:tcPr>
            <w:tcW w:w="0" w:type="dxa"/>
            <w:vAlign w:val="bottom"/>
          </w:tcPr>
          <w:p>
            <w:pPr>
              <w:spacing w:after="0"/>
              <w:rPr>
                <w:sz w:val="1"/>
                <w:szCs w:val="1"/>
                <w:color w:val="auto"/>
              </w:rPr>
            </w:pPr>
          </w:p>
        </w:tc>
      </w:tr>
      <w:tr>
        <w:trPr>
          <w:trHeight w:val="217"/>
        </w:trPr>
        <w:tc>
          <w:tcPr>
            <w:tcW w:w="6180" w:type="dxa"/>
            <w:vAlign w:val="bottom"/>
          </w:tcPr>
          <w:p>
            <w:pPr>
              <w:ind w:left="200"/>
              <w:spacing w:after="0"/>
              <w:rPr>
                <w:sz w:val="20"/>
                <w:szCs w:val="20"/>
                <w:color w:val="auto"/>
              </w:rPr>
            </w:pPr>
            <w:r>
              <w:rPr>
                <w:rFonts w:ascii="Arial" w:cs="Arial" w:eastAsia="Arial" w:hAnsi="Arial"/>
                <w:sz w:val="16"/>
                <w:szCs w:val="16"/>
                <w:color w:val="auto"/>
              </w:rPr>
              <w:t>Net other expenses</w:t>
            </w:r>
          </w:p>
        </w:tc>
        <w:tc>
          <w:tcPr>
            <w:tcW w:w="740" w:type="dxa"/>
            <w:vAlign w:val="bottom"/>
            <w:tcBorders>
              <w:top w:val="single" w:sz="8" w:color="auto"/>
            </w:tcBorders>
          </w:tcPr>
          <w:p>
            <w:pPr>
              <w:jc w:val="right"/>
              <w:ind w:right="560"/>
              <w:spacing w:after="0"/>
              <w:rPr>
                <w:sz w:val="20"/>
                <w:szCs w:val="20"/>
                <w:color w:val="auto"/>
              </w:rPr>
            </w:pPr>
            <w:r>
              <w:rPr>
                <w:rFonts w:ascii="Arial" w:cs="Arial" w:eastAsia="Arial" w:hAnsi="Arial"/>
                <w:sz w:val="16"/>
                <w:szCs w:val="16"/>
                <w:color w:val="auto"/>
                <w:w w:val="89"/>
              </w:rPr>
              <w:t>$</w:t>
            </w:r>
          </w:p>
        </w:tc>
        <w:tc>
          <w:tcPr>
            <w:tcW w:w="4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12</w:t>
            </w:r>
          </w:p>
        </w:tc>
        <w:tc>
          <w:tcPr>
            <w:tcW w:w="120" w:type="dxa"/>
            <w:vAlign w:val="bottom"/>
          </w:tcPr>
          <w:p>
            <w:pPr>
              <w:spacing w:after="0"/>
              <w:rPr>
                <w:sz w:val="18"/>
                <w:szCs w:val="18"/>
                <w:color w:val="auto"/>
              </w:rPr>
            </w:pPr>
          </w:p>
        </w:tc>
        <w:tc>
          <w:tcPr>
            <w:tcW w:w="820" w:type="dxa"/>
            <w:vAlign w:val="bottom"/>
            <w:tcBorders>
              <w:top w:val="single" w:sz="8" w:color="auto"/>
            </w:tcBorders>
          </w:tcPr>
          <w:p>
            <w:pPr>
              <w:jc w:val="right"/>
              <w:ind w:right="620"/>
              <w:spacing w:after="0"/>
              <w:rPr>
                <w:sz w:val="20"/>
                <w:szCs w:val="20"/>
                <w:color w:val="auto"/>
              </w:rPr>
            </w:pPr>
            <w:r>
              <w:rPr>
                <w:rFonts w:ascii="Arial" w:cs="Arial" w:eastAsia="Arial" w:hAnsi="Arial"/>
                <w:sz w:val="16"/>
                <w:szCs w:val="16"/>
                <w:color w:val="auto"/>
              </w:rPr>
              <w:t>$</w:t>
            </w:r>
          </w:p>
        </w:tc>
        <w:tc>
          <w:tcPr>
            <w:tcW w:w="4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18"/>
                <w:szCs w:val="18"/>
                <w:color w:val="auto"/>
              </w:rPr>
            </w:pPr>
          </w:p>
        </w:tc>
        <w:tc>
          <w:tcPr>
            <w:tcW w:w="800" w:type="dxa"/>
            <w:vAlign w:val="bottom"/>
            <w:tcBorders>
              <w:top w:val="single" w:sz="8" w:color="auto"/>
            </w:tcBorders>
          </w:tcPr>
          <w:p>
            <w:pPr>
              <w:jc w:val="right"/>
              <w:ind w:right="600"/>
              <w:spacing w:after="0"/>
              <w:rPr>
                <w:sz w:val="20"/>
                <w:szCs w:val="20"/>
                <w:color w:val="auto"/>
              </w:rPr>
            </w:pPr>
            <w:r>
              <w:rPr>
                <w:rFonts w:ascii="Arial" w:cs="Arial" w:eastAsia="Arial" w:hAnsi="Arial"/>
                <w:sz w:val="16"/>
                <w:szCs w:val="16"/>
                <w:color w:val="auto"/>
              </w:rPr>
              <w:t>$</w:t>
            </w:r>
          </w:p>
        </w:tc>
        <w:tc>
          <w:tcPr>
            <w:tcW w:w="4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48</w:t>
            </w:r>
          </w:p>
        </w:tc>
        <w:tc>
          <w:tcPr>
            <w:tcW w:w="120" w:type="dxa"/>
            <w:vAlign w:val="bottom"/>
          </w:tcPr>
          <w:p>
            <w:pPr>
              <w:spacing w:after="0"/>
              <w:rPr>
                <w:sz w:val="18"/>
                <w:szCs w:val="18"/>
                <w:color w:val="auto"/>
              </w:rPr>
            </w:pPr>
          </w:p>
        </w:tc>
        <w:tc>
          <w:tcPr>
            <w:tcW w:w="460" w:type="dxa"/>
            <w:vAlign w:val="bottom"/>
            <w:tcBorders>
              <w:top w:val="single" w:sz="8" w:color="auto"/>
            </w:tcBorders>
          </w:tcPr>
          <w:p>
            <w:pPr>
              <w:jc w:val="right"/>
              <w:ind w:right="279"/>
              <w:spacing w:after="0"/>
              <w:rPr>
                <w:sz w:val="20"/>
                <w:szCs w:val="20"/>
                <w:color w:val="auto"/>
              </w:rPr>
            </w:pPr>
            <w:r>
              <w:rPr>
                <w:rFonts w:ascii="Arial" w:cs="Arial" w:eastAsia="Arial" w:hAnsi="Arial"/>
                <w:sz w:val="16"/>
                <w:szCs w:val="16"/>
                <w:color w:val="auto"/>
                <w:w w:val="89"/>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33"/>
        </w:trPr>
        <w:tc>
          <w:tcPr>
            <w:tcW w:w="618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1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420"/>
          </w:cols>
          <w:pgMar w:left="240" w:top="234" w:right="239" w:bottom="1440" w:gutter="0" w:footer="0" w:header="0"/>
        </w:sectPr>
      </w:pPr>
    </w:p>
    <w:bookmarkStart w:id="71" w:name="page72"/>
    <w:bookmarkEnd w:id="71"/>
    <w:p>
      <w:pPr>
        <w:ind w:left="340"/>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109" w:lineRule="exact"/>
        <w:rPr>
          <w:sz w:val="20"/>
          <w:szCs w:val="20"/>
          <w:color w:val="auto"/>
        </w:rPr>
      </w:pPr>
    </w:p>
    <w:p>
      <w:pPr>
        <w:ind w:left="4840"/>
        <w:spacing w:after="0"/>
        <w:rPr>
          <w:sz w:val="20"/>
          <w:szCs w:val="20"/>
          <w:color w:val="auto"/>
        </w:rPr>
      </w:pPr>
      <w:r>
        <w:rPr>
          <w:rFonts w:ascii="Arial" w:cs="Arial" w:eastAsia="Arial" w:hAnsi="Arial"/>
          <w:sz w:val="18"/>
          <w:szCs w:val="18"/>
          <w:b w:val="1"/>
          <w:bCs w:val="1"/>
          <w:color w:val="auto"/>
        </w:rPr>
        <w:t>Brighthouse Financial, Inc.</w:t>
      </w:r>
    </w:p>
    <w:p>
      <w:pPr>
        <w:spacing w:after="0" w:line="117" w:lineRule="exact"/>
        <w:rPr>
          <w:sz w:val="20"/>
          <w:szCs w:val="20"/>
          <w:color w:val="auto"/>
        </w:rPr>
      </w:pPr>
    </w:p>
    <w:p>
      <w:pPr>
        <w:ind w:left="1640"/>
        <w:spacing w:after="0"/>
        <w:rPr>
          <w:sz w:val="20"/>
          <w:szCs w:val="20"/>
          <w:color w:val="auto"/>
        </w:rPr>
      </w:pPr>
      <w:r>
        <w:rPr>
          <w:rFonts w:ascii="Arial" w:cs="Arial" w:eastAsia="Arial" w:hAnsi="Arial"/>
          <w:sz w:val="18"/>
          <w:szCs w:val="18"/>
          <w:b w:val="1"/>
          <w:bCs w:val="1"/>
          <w:color w:val="auto"/>
        </w:rPr>
        <w:t>Notes to the Interim Condensed Consolidated and Combined Financial Statements (Unaudited) — (continued)</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12. Related Party Transactions (continued)</w:t>
      </w:r>
    </w:p>
    <w:p>
      <w:pPr>
        <w:spacing w:after="0" w:line="36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Information regarding the significant effects of reinsurance with former affiliates included on the interim condensed consolidated and combined balance sheets was as follows at:</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140" w:type="dxa"/>
            <w:vAlign w:val="bottom"/>
            <w:tcBorders>
              <w:bottom w:val="single" w:sz="8" w:color="auto"/>
            </w:tcBorders>
            <w:gridSpan w:val="3"/>
          </w:tcPr>
          <w:p>
            <w:pPr>
              <w:jc w:val="right"/>
              <w:ind w:right="261"/>
              <w:spacing w:after="0"/>
              <w:rPr>
                <w:sz w:val="20"/>
                <w:szCs w:val="20"/>
                <w:color w:val="auto"/>
              </w:rPr>
            </w:pPr>
            <w:r>
              <w:rPr>
                <w:rFonts w:ascii="Arial" w:cs="Arial" w:eastAsia="Arial" w:hAnsi="Arial"/>
                <w:sz w:val="14"/>
                <w:szCs w:val="14"/>
                <w:b w:val="1"/>
                <w:bCs w:val="1"/>
                <w:color w:val="auto"/>
              </w:rPr>
              <w:t>September 30, 2017</w:t>
            </w:r>
          </w:p>
        </w:tc>
        <w:tc>
          <w:tcPr>
            <w:tcW w:w="4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460" w:type="dxa"/>
            <w:vAlign w:val="bottom"/>
            <w:tcBorders>
              <w:bottom w:val="single" w:sz="8" w:color="auto"/>
            </w:tcBorders>
            <w:gridSpan w:val="4"/>
          </w:tcPr>
          <w:p>
            <w:pPr>
              <w:jc w:val="right"/>
              <w:ind w:right="720"/>
              <w:spacing w:after="0"/>
              <w:rPr>
                <w:sz w:val="20"/>
                <w:szCs w:val="20"/>
                <w:color w:val="auto"/>
              </w:rPr>
            </w:pPr>
            <w:r>
              <w:rPr>
                <w:rFonts w:ascii="Arial" w:cs="Arial" w:eastAsia="Arial" w:hAnsi="Arial"/>
                <w:sz w:val="14"/>
                <w:szCs w:val="14"/>
                <w:b w:val="1"/>
                <w:bCs w:val="1"/>
                <w:color w:val="auto"/>
              </w:rPr>
              <w:t>December 31, 2016</w:t>
            </w:r>
          </w:p>
        </w:tc>
      </w:tr>
      <w:tr>
        <w:trPr>
          <w:trHeight w:val="264"/>
        </w:trPr>
        <w:tc>
          <w:tcPr>
            <w:tcW w:w="562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gridSpan w:val="2"/>
          </w:tcPr>
          <w:p>
            <w:pPr>
              <w:ind w:left="140"/>
              <w:spacing w:after="0"/>
              <w:rPr>
                <w:sz w:val="20"/>
                <w:szCs w:val="20"/>
                <w:color w:val="auto"/>
              </w:rPr>
            </w:pPr>
            <w:r>
              <w:rPr>
                <w:rFonts w:ascii="Arial" w:cs="Arial" w:eastAsia="Arial" w:hAnsi="Arial"/>
                <w:sz w:val="14"/>
                <w:szCs w:val="14"/>
                <w:b w:val="1"/>
                <w:bCs w:val="1"/>
                <w:color w:val="auto"/>
              </w:rPr>
              <w:t>Assumed</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Ceded</w:t>
            </w:r>
          </w:p>
        </w:tc>
        <w:tc>
          <w:tcPr>
            <w:tcW w:w="48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Assumed</w:t>
            </w:r>
          </w:p>
        </w:tc>
        <w:tc>
          <w:tcPr>
            <w:tcW w:w="3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00"/>
              <w:spacing w:after="0"/>
              <w:rPr>
                <w:sz w:val="20"/>
                <w:szCs w:val="20"/>
                <w:color w:val="auto"/>
              </w:rPr>
            </w:pPr>
            <w:r>
              <w:rPr>
                <w:rFonts w:ascii="Arial" w:cs="Arial" w:eastAsia="Arial" w:hAnsi="Arial"/>
                <w:sz w:val="14"/>
                <w:szCs w:val="14"/>
                <w:b w:val="1"/>
                <w:bCs w:val="1"/>
                <w:color w:val="auto"/>
              </w:rPr>
              <w:t>Ceded</w:t>
            </w:r>
          </w:p>
        </w:tc>
      </w:tr>
      <w:tr>
        <w:trPr>
          <w:trHeight w:val="250"/>
        </w:trPr>
        <w:tc>
          <w:tcPr>
            <w:tcW w:w="56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94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millions)</w:t>
            </w: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56"/>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Assets</w:t>
            </w:r>
          </w:p>
        </w:tc>
        <w:tc>
          <w:tcPr>
            <w:tcW w:w="2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spacing w:after="0"/>
              <w:rPr>
                <w:sz w:val="22"/>
                <w:szCs w:val="22"/>
                <w:color w:val="auto"/>
              </w:rPr>
            </w:pPr>
          </w:p>
        </w:tc>
      </w:tr>
      <w:tr>
        <w:trPr>
          <w:trHeight w:val="237"/>
        </w:trPr>
        <w:tc>
          <w:tcPr>
            <w:tcW w:w="5620" w:type="dxa"/>
            <w:vAlign w:val="bottom"/>
          </w:tcPr>
          <w:p>
            <w:pPr>
              <w:ind w:left="40"/>
              <w:spacing w:after="0"/>
              <w:rPr>
                <w:sz w:val="20"/>
                <w:szCs w:val="20"/>
                <w:color w:val="auto"/>
              </w:rPr>
            </w:pPr>
            <w:r>
              <w:rPr>
                <w:rFonts w:ascii="Arial" w:cs="Arial" w:eastAsia="Arial" w:hAnsi="Arial"/>
                <w:sz w:val="16"/>
                <w:szCs w:val="16"/>
                <w:color w:val="auto"/>
              </w:rPr>
              <w:t>Premiums, reinsurance and other receivables</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41"/>
              <w:spacing w:after="0"/>
              <w:rPr>
                <w:sz w:val="20"/>
                <w:szCs w:val="20"/>
                <w:color w:val="auto"/>
              </w:rPr>
            </w:pPr>
            <w:r>
              <w:rPr>
                <w:rFonts w:ascii="Arial" w:cs="Arial" w:eastAsia="Arial" w:hAnsi="Arial"/>
                <w:sz w:val="16"/>
                <w:szCs w:val="16"/>
                <w:color w:val="auto"/>
              </w:rPr>
              <w:t>21</w:t>
            </w:r>
          </w:p>
        </w:tc>
        <w:tc>
          <w:tcPr>
            <w:tcW w:w="120" w:type="dxa"/>
            <w:vAlign w:val="bottom"/>
          </w:tcPr>
          <w:p>
            <w:pPr>
              <w:spacing w:after="0"/>
              <w:rPr>
                <w:sz w:val="20"/>
                <w:szCs w:val="20"/>
                <w:color w:val="auto"/>
              </w:rPr>
            </w:pPr>
          </w:p>
        </w:tc>
        <w:tc>
          <w:tcPr>
            <w:tcW w:w="900" w:type="dxa"/>
            <w:vAlign w:val="bottom"/>
          </w:tcPr>
          <w:p>
            <w:pPr>
              <w:jc w:val="right"/>
              <w:ind w:right="701"/>
              <w:spacing w:after="0"/>
              <w:rPr>
                <w:sz w:val="20"/>
                <w:szCs w:val="20"/>
                <w:color w:val="auto"/>
              </w:rPr>
            </w:pPr>
            <w:r>
              <w:rPr>
                <w:rFonts w:ascii="Arial" w:cs="Arial" w:eastAsia="Arial" w:hAnsi="Arial"/>
                <w:sz w:val="16"/>
                <w:szCs w:val="16"/>
                <w:color w:val="auto"/>
              </w:rPr>
              <w:t>$</w:t>
            </w:r>
          </w:p>
        </w:tc>
        <w:tc>
          <w:tcPr>
            <w:tcW w:w="480" w:type="dxa"/>
            <w:vAlign w:val="bottom"/>
          </w:tcPr>
          <w:p>
            <w:pPr>
              <w:jc w:val="right"/>
              <w:ind w:right="20"/>
              <w:spacing w:after="0"/>
              <w:rPr>
                <w:sz w:val="20"/>
                <w:szCs w:val="20"/>
                <w:color w:val="auto"/>
              </w:rPr>
            </w:pPr>
            <w:r>
              <w:rPr>
                <w:rFonts w:ascii="Arial" w:cs="Arial" w:eastAsia="Arial" w:hAnsi="Arial"/>
                <w:sz w:val="16"/>
                <w:szCs w:val="16"/>
                <w:color w:val="auto"/>
                <w:w w:val="89"/>
              </w:rPr>
              <w:t>3,332</w:t>
            </w:r>
          </w:p>
        </w:tc>
        <w:tc>
          <w:tcPr>
            <w:tcW w:w="120" w:type="dxa"/>
            <w:vAlign w:val="bottom"/>
          </w:tcPr>
          <w:p>
            <w:pPr>
              <w:spacing w:after="0"/>
              <w:rPr>
                <w:sz w:val="20"/>
                <w:szCs w:val="20"/>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ind w:right="21"/>
              <w:spacing w:after="0"/>
              <w:rPr>
                <w:sz w:val="20"/>
                <w:szCs w:val="20"/>
                <w:color w:val="auto"/>
              </w:rPr>
            </w:pPr>
            <w:r>
              <w:rPr>
                <w:rFonts w:ascii="Arial" w:cs="Arial" w:eastAsia="Arial" w:hAnsi="Arial"/>
                <w:sz w:val="16"/>
                <w:szCs w:val="16"/>
                <w:color w:val="auto"/>
              </w:rPr>
              <w:t>21</w:t>
            </w:r>
          </w:p>
        </w:tc>
        <w:tc>
          <w:tcPr>
            <w:tcW w:w="100" w:type="dxa"/>
            <w:vAlign w:val="bottom"/>
          </w:tcPr>
          <w:p>
            <w:pPr>
              <w:spacing w:after="0"/>
              <w:rPr>
                <w:sz w:val="20"/>
                <w:szCs w:val="20"/>
                <w:color w:val="auto"/>
              </w:rPr>
            </w:pP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20"/>
              <w:spacing w:after="0"/>
              <w:rPr>
                <w:sz w:val="20"/>
                <w:szCs w:val="20"/>
                <w:color w:val="auto"/>
              </w:rPr>
            </w:pPr>
            <w:r>
              <w:rPr>
                <w:rFonts w:ascii="Arial" w:cs="Arial" w:eastAsia="Arial" w:hAnsi="Arial"/>
                <w:sz w:val="16"/>
                <w:szCs w:val="16"/>
                <w:color w:val="auto"/>
              </w:rPr>
              <w:t>4,020</w:t>
            </w:r>
          </w:p>
        </w:tc>
      </w:tr>
      <w:tr>
        <w:trPr>
          <w:trHeight w:val="33"/>
        </w:trPr>
        <w:tc>
          <w:tcPr>
            <w:tcW w:w="5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Deferred policy acquisition costs and value of business acquired</w:t>
            </w:r>
          </w:p>
        </w:tc>
        <w:tc>
          <w:tcPr>
            <w:tcW w:w="2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7</w:t>
            </w:r>
          </w:p>
        </w:tc>
        <w:tc>
          <w:tcPr>
            <w:tcW w:w="1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(452)</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71</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(406)</w:t>
            </w:r>
          </w:p>
        </w:tc>
      </w:tr>
      <w:tr>
        <w:trPr>
          <w:trHeight w:val="217"/>
        </w:trPr>
        <w:tc>
          <w:tcPr>
            <w:tcW w:w="5620" w:type="dxa"/>
            <w:vAlign w:val="bottom"/>
          </w:tcPr>
          <w:p>
            <w:pPr>
              <w:ind w:left="200"/>
              <w:spacing w:after="0"/>
              <w:rPr>
                <w:sz w:val="20"/>
                <w:szCs w:val="20"/>
                <w:color w:val="auto"/>
              </w:rPr>
            </w:pPr>
            <w:r>
              <w:rPr>
                <w:rFonts w:ascii="Arial" w:cs="Arial" w:eastAsia="Arial" w:hAnsi="Arial"/>
                <w:sz w:val="16"/>
                <w:szCs w:val="16"/>
                <w:color w:val="auto"/>
              </w:rPr>
              <w:t>Total assets</w:t>
            </w:r>
          </w:p>
        </w:tc>
        <w:tc>
          <w:tcPr>
            <w:tcW w:w="26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tcBorders>
          </w:tcPr>
          <w:p>
            <w:pPr>
              <w:jc w:val="right"/>
              <w:ind w:right="41"/>
              <w:spacing w:after="0"/>
              <w:rPr>
                <w:sz w:val="20"/>
                <w:szCs w:val="20"/>
                <w:color w:val="auto"/>
              </w:rPr>
            </w:pPr>
            <w:r>
              <w:rPr>
                <w:rFonts w:ascii="Arial" w:cs="Arial" w:eastAsia="Arial" w:hAnsi="Arial"/>
                <w:sz w:val="16"/>
                <w:szCs w:val="16"/>
                <w:color w:val="auto"/>
              </w:rPr>
              <w:t>28</w:t>
            </w:r>
          </w:p>
        </w:tc>
        <w:tc>
          <w:tcPr>
            <w:tcW w:w="120" w:type="dxa"/>
            <w:vAlign w:val="bottom"/>
          </w:tcPr>
          <w:p>
            <w:pPr>
              <w:spacing w:after="0"/>
              <w:rPr>
                <w:sz w:val="18"/>
                <w:szCs w:val="18"/>
                <w:color w:val="auto"/>
              </w:rPr>
            </w:pPr>
          </w:p>
        </w:tc>
        <w:tc>
          <w:tcPr>
            <w:tcW w:w="900" w:type="dxa"/>
            <w:vAlign w:val="bottom"/>
            <w:tcBorders>
              <w:top w:val="single" w:sz="8" w:color="auto"/>
            </w:tcBorders>
          </w:tcPr>
          <w:p>
            <w:pPr>
              <w:jc w:val="right"/>
              <w:ind w:right="701"/>
              <w:spacing w:after="0"/>
              <w:rPr>
                <w:sz w:val="20"/>
                <w:szCs w:val="20"/>
                <w:color w:val="auto"/>
              </w:rPr>
            </w:pPr>
            <w:r>
              <w:rPr>
                <w:rFonts w:ascii="Arial" w:cs="Arial" w:eastAsia="Arial" w:hAnsi="Arial"/>
                <w:sz w:val="16"/>
                <w:szCs w:val="16"/>
                <w:color w:val="auto"/>
              </w:rPr>
              <w:t>$</w:t>
            </w:r>
          </w:p>
        </w:tc>
        <w:tc>
          <w:tcPr>
            <w:tcW w:w="48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w w:val="89"/>
              </w:rPr>
              <w:t>2,880</w:t>
            </w:r>
          </w:p>
        </w:tc>
        <w:tc>
          <w:tcPr>
            <w:tcW w:w="120" w:type="dxa"/>
            <w:vAlign w:val="bottom"/>
          </w:tcPr>
          <w:p>
            <w:pPr>
              <w:spacing w:after="0"/>
              <w:rPr>
                <w:sz w:val="18"/>
                <w:szCs w:val="18"/>
                <w:color w:val="auto"/>
              </w:rPr>
            </w:pPr>
          </w:p>
        </w:tc>
        <w:tc>
          <w:tcPr>
            <w:tcW w:w="340" w:type="dxa"/>
            <w:vAlign w:val="bottom"/>
            <w:tcBorders>
              <w:top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000" w:type="dxa"/>
            <w:vAlign w:val="bottom"/>
            <w:tcBorders>
              <w:top w:val="single" w:sz="8" w:color="auto"/>
            </w:tcBorders>
          </w:tcPr>
          <w:p>
            <w:pPr>
              <w:jc w:val="right"/>
              <w:ind w:right="21"/>
              <w:spacing w:after="0"/>
              <w:rPr>
                <w:sz w:val="20"/>
                <w:szCs w:val="20"/>
                <w:color w:val="auto"/>
              </w:rPr>
            </w:pPr>
            <w:r>
              <w:rPr>
                <w:rFonts w:ascii="Arial" w:cs="Arial" w:eastAsia="Arial" w:hAnsi="Arial"/>
                <w:sz w:val="16"/>
                <w:szCs w:val="16"/>
                <w:color w:val="auto"/>
              </w:rPr>
              <w:t>92</w:t>
            </w:r>
          </w:p>
        </w:tc>
        <w:tc>
          <w:tcPr>
            <w:tcW w:w="100" w:type="dxa"/>
            <w:vAlign w:val="bottom"/>
          </w:tcPr>
          <w:p>
            <w:pPr>
              <w:spacing w:after="0"/>
              <w:rPr>
                <w:sz w:val="18"/>
                <w:szCs w:val="18"/>
                <w:color w:val="auto"/>
              </w:rPr>
            </w:pPr>
          </w:p>
        </w:tc>
        <w:tc>
          <w:tcPr>
            <w:tcW w:w="30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06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3,614</w:t>
            </w:r>
          </w:p>
        </w:tc>
      </w:tr>
      <w:tr>
        <w:trPr>
          <w:trHeight w:val="73"/>
        </w:trPr>
        <w:tc>
          <w:tcPr>
            <w:tcW w:w="5620" w:type="dxa"/>
            <w:vAlign w:val="bottom"/>
            <w:tcBorders>
              <w:bottom w:val="single" w:sz="8" w:color="CCEEFF"/>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112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900" w:type="dxa"/>
            <w:vAlign w:val="bottom"/>
            <w:tcBorders>
              <w:bottom w:val="single" w:sz="8" w:color="auto"/>
            </w:tcBorders>
          </w:tcPr>
          <w:p>
            <w:pPr>
              <w:spacing w:after="0"/>
              <w:rPr>
                <w:sz w:val="6"/>
                <w:szCs w:val="6"/>
                <w:color w:val="auto"/>
              </w:rPr>
            </w:pPr>
          </w:p>
        </w:tc>
        <w:tc>
          <w:tcPr>
            <w:tcW w:w="48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100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1060" w:type="dxa"/>
            <w:vAlign w:val="bottom"/>
            <w:tcBorders>
              <w:bottom w:val="single" w:sz="8" w:color="auto"/>
            </w:tcBorders>
          </w:tcPr>
          <w:p>
            <w:pPr>
              <w:spacing w:after="0"/>
              <w:rPr>
                <w:sz w:val="6"/>
                <w:szCs w:val="6"/>
                <w:color w:val="auto"/>
              </w:rPr>
            </w:pPr>
          </w:p>
        </w:tc>
      </w:tr>
      <w:tr>
        <w:trPr>
          <w:trHeight w:val="177"/>
        </w:trPr>
        <w:tc>
          <w:tcPr>
            <w:tcW w:w="5620" w:type="dxa"/>
            <w:vAlign w:val="bottom"/>
            <w:shd w:val="clear" w:color="auto" w:fill="CCEEFF"/>
          </w:tcPr>
          <w:p>
            <w:pPr>
              <w:ind w:left="40"/>
              <w:spacing w:after="0" w:line="177" w:lineRule="exact"/>
              <w:rPr>
                <w:sz w:val="20"/>
                <w:szCs w:val="20"/>
                <w:color w:val="auto"/>
              </w:rPr>
            </w:pPr>
            <w:r>
              <w:rPr>
                <w:rFonts w:ascii="Arial" w:cs="Arial" w:eastAsia="Arial" w:hAnsi="Arial"/>
                <w:sz w:val="16"/>
                <w:szCs w:val="16"/>
                <w:b w:val="1"/>
                <w:bCs w:val="1"/>
                <w:color w:val="auto"/>
              </w:rPr>
              <w:t>Liabilities</w:t>
            </w:r>
          </w:p>
        </w:tc>
        <w:tc>
          <w:tcPr>
            <w:tcW w:w="26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r>
      <w:tr>
        <w:trPr>
          <w:trHeight w:val="74"/>
        </w:trPr>
        <w:tc>
          <w:tcPr>
            <w:tcW w:w="562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11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900" w:type="dxa"/>
            <w:vAlign w:val="bottom"/>
            <w:shd w:val="clear" w:color="auto" w:fill="CCEEFF"/>
          </w:tcPr>
          <w:p>
            <w:pPr>
              <w:spacing w:after="0"/>
              <w:rPr>
                <w:sz w:val="6"/>
                <w:szCs w:val="6"/>
                <w:color w:val="auto"/>
              </w:rPr>
            </w:pPr>
          </w:p>
        </w:tc>
        <w:tc>
          <w:tcPr>
            <w:tcW w:w="48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10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00" w:type="dxa"/>
            <w:vAlign w:val="bottom"/>
            <w:shd w:val="clear" w:color="auto" w:fill="CCEEFF"/>
          </w:tcPr>
          <w:p>
            <w:pPr>
              <w:spacing w:after="0"/>
              <w:rPr>
                <w:sz w:val="6"/>
                <w:szCs w:val="6"/>
                <w:color w:val="auto"/>
              </w:rPr>
            </w:pPr>
          </w:p>
        </w:tc>
        <w:tc>
          <w:tcPr>
            <w:tcW w:w="1060" w:type="dxa"/>
            <w:vAlign w:val="bottom"/>
            <w:shd w:val="clear" w:color="auto" w:fill="CCEEFF"/>
          </w:tcPr>
          <w:p>
            <w:pPr>
              <w:spacing w:after="0"/>
              <w:rPr>
                <w:sz w:val="6"/>
                <w:szCs w:val="6"/>
                <w:color w:val="auto"/>
              </w:rPr>
            </w:pPr>
          </w:p>
        </w:tc>
      </w:tr>
      <w:tr>
        <w:trPr>
          <w:trHeight w:val="237"/>
        </w:trPr>
        <w:tc>
          <w:tcPr>
            <w:tcW w:w="5620" w:type="dxa"/>
            <w:vAlign w:val="bottom"/>
          </w:tcPr>
          <w:p>
            <w:pPr>
              <w:ind w:left="40"/>
              <w:spacing w:after="0"/>
              <w:rPr>
                <w:sz w:val="20"/>
                <w:szCs w:val="20"/>
                <w:color w:val="auto"/>
              </w:rPr>
            </w:pPr>
            <w:r>
              <w:rPr>
                <w:rFonts w:ascii="Arial" w:cs="Arial" w:eastAsia="Arial" w:hAnsi="Arial"/>
                <w:sz w:val="16"/>
                <w:szCs w:val="16"/>
                <w:color w:val="auto"/>
              </w:rPr>
              <w:t>Future policy benefits</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41"/>
              <w:spacing w:after="0"/>
              <w:rPr>
                <w:sz w:val="20"/>
                <w:szCs w:val="20"/>
                <w:color w:val="auto"/>
              </w:rPr>
            </w:pPr>
            <w:r>
              <w:rPr>
                <w:rFonts w:ascii="Arial" w:cs="Arial" w:eastAsia="Arial" w:hAnsi="Arial"/>
                <w:sz w:val="16"/>
                <w:szCs w:val="16"/>
                <w:color w:val="auto"/>
              </w:rPr>
              <w:t>70</w:t>
            </w:r>
          </w:p>
        </w:tc>
        <w:tc>
          <w:tcPr>
            <w:tcW w:w="120" w:type="dxa"/>
            <w:vAlign w:val="bottom"/>
          </w:tcPr>
          <w:p>
            <w:pPr>
              <w:spacing w:after="0"/>
              <w:rPr>
                <w:sz w:val="20"/>
                <w:szCs w:val="20"/>
                <w:color w:val="auto"/>
              </w:rPr>
            </w:pPr>
          </w:p>
        </w:tc>
        <w:tc>
          <w:tcPr>
            <w:tcW w:w="900" w:type="dxa"/>
            <w:vAlign w:val="bottom"/>
          </w:tcPr>
          <w:p>
            <w:pPr>
              <w:jc w:val="right"/>
              <w:ind w:right="701"/>
              <w:spacing w:after="0"/>
              <w:rPr>
                <w:sz w:val="20"/>
                <w:szCs w:val="20"/>
                <w:color w:val="auto"/>
              </w:rPr>
            </w:pPr>
            <w:r>
              <w:rPr>
                <w:rFonts w:ascii="Arial" w:cs="Arial" w:eastAsia="Arial" w:hAnsi="Arial"/>
                <w:sz w:val="16"/>
                <w:szCs w:val="16"/>
                <w:color w:val="auto"/>
              </w:rPr>
              <w:t>$</w:t>
            </w:r>
          </w:p>
        </w:tc>
        <w:tc>
          <w:tcPr>
            <w:tcW w:w="6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ind w:right="21"/>
              <w:spacing w:after="0"/>
              <w:rPr>
                <w:sz w:val="20"/>
                <w:szCs w:val="20"/>
                <w:color w:val="auto"/>
              </w:rPr>
            </w:pPr>
            <w:r>
              <w:rPr>
                <w:rFonts w:ascii="Arial" w:cs="Arial" w:eastAsia="Arial" w:hAnsi="Arial"/>
                <w:sz w:val="16"/>
                <w:szCs w:val="16"/>
                <w:color w:val="auto"/>
              </w:rPr>
              <w:t>170</w:t>
            </w:r>
          </w:p>
        </w:tc>
        <w:tc>
          <w:tcPr>
            <w:tcW w:w="100" w:type="dxa"/>
            <w:vAlign w:val="bottom"/>
          </w:tcPr>
          <w:p>
            <w:pPr>
              <w:spacing w:after="0"/>
              <w:rPr>
                <w:sz w:val="20"/>
                <w:szCs w:val="20"/>
                <w:color w:val="auto"/>
              </w:rPr>
            </w:pP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20"/>
              <w:spacing w:after="0"/>
              <w:rPr>
                <w:sz w:val="20"/>
                <w:szCs w:val="20"/>
                <w:color w:val="auto"/>
              </w:rPr>
            </w:pPr>
            <w:r>
              <w:rPr>
                <w:rFonts w:ascii="Arial" w:cs="Arial" w:eastAsia="Arial" w:hAnsi="Arial"/>
                <w:sz w:val="16"/>
                <w:szCs w:val="16"/>
                <w:color w:val="auto"/>
              </w:rPr>
              <w:t>—</w:t>
            </w:r>
          </w:p>
        </w:tc>
      </w:tr>
      <w:tr>
        <w:trPr>
          <w:trHeight w:val="33"/>
        </w:trPr>
        <w:tc>
          <w:tcPr>
            <w:tcW w:w="5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Policyholder account balances</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460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r>
      <w:tr>
        <w:trPr>
          <w:trHeight w:val="237"/>
        </w:trPr>
        <w:tc>
          <w:tcPr>
            <w:tcW w:w="5620" w:type="dxa"/>
            <w:vAlign w:val="bottom"/>
          </w:tcPr>
          <w:p>
            <w:pPr>
              <w:ind w:left="40"/>
              <w:spacing w:after="0"/>
              <w:rPr>
                <w:sz w:val="20"/>
                <w:szCs w:val="20"/>
                <w:color w:val="auto"/>
              </w:rPr>
            </w:pPr>
            <w:r>
              <w:rPr>
                <w:rFonts w:ascii="Arial" w:cs="Arial" w:eastAsia="Arial" w:hAnsi="Arial"/>
                <w:sz w:val="16"/>
                <w:szCs w:val="16"/>
                <w:color w:val="auto"/>
              </w:rPr>
              <w:t>Other policy-related balances</w:t>
            </w:r>
          </w:p>
        </w:tc>
        <w:tc>
          <w:tcPr>
            <w:tcW w:w="260" w:type="dxa"/>
            <w:vAlign w:val="bottom"/>
          </w:tcPr>
          <w:p>
            <w:pPr>
              <w:spacing w:after="0"/>
              <w:rPr>
                <w:sz w:val="20"/>
                <w:szCs w:val="20"/>
                <w:color w:val="auto"/>
              </w:rPr>
            </w:pPr>
          </w:p>
        </w:tc>
        <w:tc>
          <w:tcPr>
            <w:tcW w:w="1120" w:type="dxa"/>
            <w:vAlign w:val="bottom"/>
          </w:tcPr>
          <w:p>
            <w:pPr>
              <w:jc w:val="right"/>
              <w:ind w:right="41"/>
              <w:spacing w:after="0"/>
              <w:rPr>
                <w:sz w:val="20"/>
                <w:szCs w:val="20"/>
                <w:color w:val="auto"/>
              </w:rPr>
            </w:pPr>
            <w:r>
              <w:rPr>
                <w:rFonts w:ascii="Arial" w:cs="Arial" w:eastAsia="Arial" w:hAnsi="Arial"/>
                <w:sz w:val="16"/>
                <w:szCs w:val="16"/>
                <w:color w:val="auto"/>
              </w:rPr>
              <w:t>1,671</w:t>
            </w: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6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0"/>
                <w:szCs w:val="20"/>
                <w:color w:val="auto"/>
              </w:rPr>
            </w:pPr>
          </w:p>
        </w:tc>
        <w:tc>
          <w:tcPr>
            <w:tcW w:w="1000" w:type="dxa"/>
            <w:vAlign w:val="bottom"/>
          </w:tcPr>
          <w:p>
            <w:pPr>
              <w:jc w:val="right"/>
              <w:ind w:right="21"/>
              <w:spacing w:after="0"/>
              <w:rPr>
                <w:sz w:val="20"/>
                <w:szCs w:val="20"/>
                <w:color w:val="auto"/>
              </w:rPr>
            </w:pPr>
            <w:r>
              <w:rPr>
                <w:rFonts w:ascii="Arial" w:cs="Arial" w:eastAsia="Arial" w:hAnsi="Arial"/>
                <w:sz w:val="16"/>
                <w:szCs w:val="16"/>
                <w:color w:val="auto"/>
              </w:rPr>
              <w:t>1,677</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ind w:right="20"/>
              <w:spacing w:after="0"/>
              <w:rPr>
                <w:sz w:val="20"/>
                <w:szCs w:val="20"/>
                <w:color w:val="auto"/>
              </w:rPr>
            </w:pPr>
            <w:r>
              <w:rPr>
                <w:rFonts w:ascii="Arial" w:cs="Arial" w:eastAsia="Arial" w:hAnsi="Arial"/>
                <w:sz w:val="16"/>
                <w:szCs w:val="16"/>
                <w:color w:val="auto"/>
              </w:rPr>
              <w:t>—</w:t>
            </w:r>
          </w:p>
        </w:tc>
      </w:tr>
      <w:tr>
        <w:trPr>
          <w:trHeight w:val="33"/>
        </w:trPr>
        <w:tc>
          <w:tcPr>
            <w:tcW w:w="5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liabilities</w:t>
            </w:r>
          </w:p>
        </w:tc>
        <w:tc>
          <w:tcPr>
            <w:tcW w:w="2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29</w:t>
            </w:r>
          </w:p>
        </w:tc>
        <w:tc>
          <w:tcPr>
            <w:tcW w:w="1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383</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10</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715</w:t>
            </w:r>
          </w:p>
        </w:tc>
      </w:tr>
      <w:tr>
        <w:trPr>
          <w:trHeight w:val="217"/>
        </w:trPr>
        <w:tc>
          <w:tcPr>
            <w:tcW w:w="5620" w:type="dxa"/>
            <w:vAlign w:val="bottom"/>
          </w:tcPr>
          <w:p>
            <w:pPr>
              <w:ind w:left="200"/>
              <w:spacing w:after="0"/>
              <w:rPr>
                <w:sz w:val="20"/>
                <w:szCs w:val="20"/>
                <w:color w:val="auto"/>
              </w:rPr>
            </w:pPr>
            <w:r>
              <w:rPr>
                <w:rFonts w:ascii="Arial" w:cs="Arial" w:eastAsia="Arial" w:hAnsi="Arial"/>
                <w:sz w:val="16"/>
                <w:szCs w:val="16"/>
                <w:color w:val="auto"/>
              </w:rPr>
              <w:t>Total liabilities</w:t>
            </w:r>
          </w:p>
        </w:tc>
        <w:tc>
          <w:tcPr>
            <w:tcW w:w="26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tcBorders>
          </w:tcPr>
          <w:p>
            <w:pPr>
              <w:jc w:val="right"/>
              <w:ind w:right="41"/>
              <w:spacing w:after="0"/>
              <w:rPr>
                <w:sz w:val="20"/>
                <w:szCs w:val="20"/>
                <w:color w:val="auto"/>
              </w:rPr>
            </w:pPr>
            <w:r>
              <w:rPr>
                <w:rFonts w:ascii="Arial" w:cs="Arial" w:eastAsia="Arial" w:hAnsi="Arial"/>
                <w:sz w:val="16"/>
                <w:szCs w:val="16"/>
                <w:color w:val="auto"/>
              </w:rPr>
              <w:t>1,770</w:t>
            </w:r>
          </w:p>
        </w:tc>
        <w:tc>
          <w:tcPr>
            <w:tcW w:w="120" w:type="dxa"/>
            <w:vAlign w:val="bottom"/>
          </w:tcPr>
          <w:p>
            <w:pPr>
              <w:spacing w:after="0"/>
              <w:rPr>
                <w:sz w:val="18"/>
                <w:szCs w:val="18"/>
                <w:color w:val="auto"/>
              </w:rPr>
            </w:pPr>
          </w:p>
        </w:tc>
        <w:tc>
          <w:tcPr>
            <w:tcW w:w="900" w:type="dxa"/>
            <w:vAlign w:val="bottom"/>
            <w:tcBorders>
              <w:top w:val="single" w:sz="8" w:color="auto"/>
            </w:tcBorders>
          </w:tcPr>
          <w:p>
            <w:pPr>
              <w:jc w:val="right"/>
              <w:ind w:right="701"/>
              <w:spacing w:after="0"/>
              <w:rPr>
                <w:sz w:val="20"/>
                <w:szCs w:val="20"/>
                <w:color w:val="auto"/>
              </w:rPr>
            </w:pPr>
            <w:r>
              <w:rPr>
                <w:rFonts w:ascii="Arial" w:cs="Arial" w:eastAsia="Arial" w:hAnsi="Arial"/>
                <w:sz w:val="16"/>
                <w:szCs w:val="16"/>
                <w:color w:val="auto"/>
              </w:rPr>
              <w:t>$</w:t>
            </w:r>
          </w:p>
        </w:tc>
        <w:tc>
          <w:tcPr>
            <w:tcW w:w="48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383</w:t>
            </w:r>
          </w:p>
        </w:tc>
        <w:tc>
          <w:tcPr>
            <w:tcW w:w="120" w:type="dxa"/>
            <w:vAlign w:val="bottom"/>
          </w:tcPr>
          <w:p>
            <w:pPr>
              <w:spacing w:after="0"/>
              <w:rPr>
                <w:sz w:val="18"/>
                <w:szCs w:val="18"/>
                <w:color w:val="auto"/>
              </w:rPr>
            </w:pPr>
          </w:p>
        </w:tc>
        <w:tc>
          <w:tcPr>
            <w:tcW w:w="340" w:type="dxa"/>
            <w:vAlign w:val="bottom"/>
            <w:tcBorders>
              <w:top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000" w:type="dxa"/>
            <w:vAlign w:val="bottom"/>
            <w:tcBorders>
              <w:top w:val="single" w:sz="8" w:color="auto"/>
            </w:tcBorders>
          </w:tcPr>
          <w:p>
            <w:pPr>
              <w:jc w:val="right"/>
              <w:ind w:right="21"/>
              <w:spacing w:after="0"/>
              <w:rPr>
                <w:sz w:val="20"/>
                <w:szCs w:val="20"/>
                <w:color w:val="auto"/>
              </w:rPr>
            </w:pPr>
            <w:r>
              <w:rPr>
                <w:rFonts w:ascii="Arial" w:cs="Arial" w:eastAsia="Arial" w:hAnsi="Arial"/>
                <w:sz w:val="16"/>
                <w:szCs w:val="16"/>
                <w:color w:val="auto"/>
              </w:rPr>
              <w:t>2,317</w:t>
            </w:r>
          </w:p>
        </w:tc>
        <w:tc>
          <w:tcPr>
            <w:tcW w:w="100" w:type="dxa"/>
            <w:vAlign w:val="bottom"/>
          </w:tcPr>
          <w:p>
            <w:pPr>
              <w:spacing w:after="0"/>
              <w:rPr>
                <w:sz w:val="18"/>
                <w:szCs w:val="18"/>
                <w:color w:val="auto"/>
              </w:rPr>
            </w:pPr>
          </w:p>
        </w:tc>
        <w:tc>
          <w:tcPr>
            <w:tcW w:w="30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06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715</w:t>
            </w:r>
          </w:p>
        </w:tc>
      </w:tr>
      <w:tr>
        <w:trPr>
          <w:trHeight w:val="33"/>
        </w:trPr>
        <w:tc>
          <w:tcPr>
            <w:tcW w:w="56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0"/>
        </w:trPr>
        <w:tc>
          <w:tcPr>
            <w:tcW w:w="56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Company assumes risks from former affiliates related to guaranteed minimum benefit guarantees written directly by the related party. The assumed reinsurance agreement contains embedded derivatives and changes in the estimated fair value are also included within net derivative gains (losses). The embedded derivatives associated with the agreement are included within policyholder account balances and were $0 and $460 million at September 30, 2017 and December 31, 2016, respectively. Net derivative gains (losses) associated with the embedded derivatives were $0 and $110 million for the three months and nine months ended September 30, 2017, respectively, and $15 million and ($184) million for the three months and nine months ended September 30, 2016, respectively.</w:t>
      </w:r>
    </w:p>
    <w:p>
      <w:pPr>
        <w:spacing w:after="0" w:line="8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Company cedes risks to a former affiliate related to guaranteed minimum benefit guarantees written directly by the Company. The ceded reinsurance agreement contains embedded derivatives and changes in the estimated fair value are also included within net derivative gains (losses). The embedded derivatives associated with the cessions are included within premiums, reinsurance and other receivables and were $2 million and $390 million at September 30, 2017 and December 31, 2016, respectively. Net derivative gains (losses) associated with the embedded derivatives were ($1) million and ($264) million for the three months and nine months ended September 30, 2017, respectively, and ($7) million and $257 million for the three months and nine months ended September 30, 2016, respectively.</w:t>
      </w:r>
    </w:p>
    <w:p>
      <w:pPr>
        <w:spacing w:after="0" w:line="85"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In May 2017, the Company recaptured from MLIC risks related to multiple life products ceded under yearly renewable term and coinsurance agreements. This recapture resulted in an increase in cash and cash equivalents of $214 million and a decrease in premiums, reinsurance and other receivables of $189 million. The Company recognized a gain of $17 million, net of income tax, as a result of reinsurance termination.</w:t>
      </w:r>
    </w:p>
    <w:p>
      <w:pPr>
        <w:spacing w:after="0" w:line="111"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In January 2017, MLIC recaptured risks related to guaranteed minimum benefit guarantees on certain variable annuities being reinsured by the Company. This recapture resulted in a decrease in investments and cash and cash equivalents of $568 million, a decrease in future policy benefits of $106 million, and a decrease in policyholder account balances of $460 million. In June 2017, there was an adjustment to the recapture amounts of this transaction, which resulted in an increase in premiums, reinsurance and other receivables of $140 million at June 30, 2017. The Company recognized a gain of $91 million and $89 million, net of income tax, for the three months and six months ended June 30, 2017, as a result of this transaction.</w:t>
      </w:r>
    </w:p>
    <w:p>
      <w:pPr>
        <w:spacing w:after="0" w:line="64"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In January 2017, the Company executed a novation and assignment of a reinsurance agreement under which MLIC reinsured certain variable annuities, including guaranteed minimum benefits, issued by Brighthouse NY and NELICO. As a result of the novation and assignment, the reinsurance agreement is now between Brighthouse Insurance and Brighthouse NY and NELICO. The transaction is treated as a termination of the existing reinsurance agreement with recognition of a loss and a new reinsurance agreement with no recognition of a gain or loss. The transaction resulted in an increase in other liabilities of $274 million. The Company recognized a loss of $178 million, net of income tax, as a result of this transaction.</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420"/>
          </w:cols>
          <w:pgMar w:left="240" w:top="234" w:right="239" w:bottom="1440" w:gutter="0" w:footer="0" w:header="0"/>
        </w:sectPr>
      </w:pPr>
    </w:p>
    <w:bookmarkStart w:id="72" w:name="page73"/>
    <w:bookmarkEnd w:id="72"/>
    <w:p>
      <w:pPr>
        <w:ind w:left="340"/>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109"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Brighthouse Financial, Inc.</w:t>
      </w:r>
    </w:p>
    <w:p>
      <w:pPr>
        <w:spacing w:after="0" w:line="117" w:lineRule="exact"/>
        <w:rPr>
          <w:sz w:val="20"/>
          <w:szCs w:val="20"/>
          <w:color w:val="auto"/>
        </w:rPr>
      </w:pPr>
    </w:p>
    <w:p>
      <w:pPr>
        <w:ind w:left="1640"/>
        <w:spacing w:after="0"/>
        <w:rPr>
          <w:sz w:val="20"/>
          <w:szCs w:val="20"/>
          <w:color w:val="auto"/>
        </w:rPr>
      </w:pPr>
      <w:r>
        <w:rPr>
          <w:rFonts w:ascii="Arial" w:cs="Arial" w:eastAsia="Arial" w:hAnsi="Arial"/>
          <w:sz w:val="18"/>
          <w:szCs w:val="18"/>
          <w:b w:val="1"/>
          <w:bCs w:val="1"/>
          <w:color w:val="auto"/>
        </w:rPr>
        <w:t>Notes to the Interim Condensed Consolidated and Combined Financial Statements (Unaudited) — (continued)</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12. Related Party Transactions (continued)</w:t>
      </w:r>
    </w:p>
    <w:p>
      <w:pPr>
        <w:spacing w:after="0" w:line="364"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Financing and Capital Support Arrangements</w:t>
      </w:r>
    </w:p>
    <w:p>
      <w:pPr>
        <w:spacing w:after="0" w:line="11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Company had collateral financing arrangements with MetLife that were used to support reinsurance obligations arising under previously affiliated reinsurance agreements. The Company recognized interest expense for such arrangements of $0 and $55 million for the three months and nine months ended September 30, 2017, respectively, and $32 million and $94 million for the three months and nine months ended September 30, 2016, respectively. See Note 7 for subsequent information regarding the termination of these arrangements.</w:t>
      </w:r>
    </w:p>
    <w:p>
      <w:pPr>
        <w:spacing w:after="0" w:line="7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Additionally, MetLife provided various capital support commitments and guarantees to certain Brighthouse Financial, Inc. entities. Under this arrangement, MetLife had a net worth maintenance agreement with the Company, pursuant to which MetLife agreed to cause the Company to meet specified capital and surplus levels and had guaranteed liquidity necessary to enable it to meet its current obligations on a timely basis. In connection with the Separation, this net worth maintenance agreement was terminated on August 4, 2017.</w:t>
      </w:r>
    </w:p>
    <w:p>
      <w:pPr>
        <w:spacing w:after="0" w:line="79"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Investment Transactions</w:t>
      </w:r>
    </w:p>
    <w:p>
      <w:pPr>
        <w:spacing w:after="0" w:line="117"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Prior to the Separation, the Company had extended loans to certain subsidiaries of MetLife, Inc. Additionally, in the ordinary course of business, the Company had previously transferred invested assets, primarily consisting of fixed maturity securities, to and from former affiliates. See Note 4 for further discussion of the related party investment transactions.</w:t>
      </w:r>
    </w:p>
    <w:p>
      <w:pPr>
        <w:spacing w:after="0" w:line="73"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Shared Services and Overhead Allocations</w:t>
      </w:r>
    </w:p>
    <w:p>
      <w:pPr>
        <w:spacing w:after="0" w:line="117"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MetLife provides the Company certain services, which include, but are not limited to, treasury, financial planning and analysis, legal, human resources, tax planning, internal audit, financial reporting, and information technology. In 2017, the Company is charged for these services through a transition services agreement and allocated to the legal entities and products within the Company. When specific identification to a particular legal entity and/or product is not practicable, an allocation methodology based on various performance measures or activity-based costing, such as sales, new policies/contracts issued, reserves, and in-force policy counts is used. The bases for such charges are modified and adjusted by management when necessary or appropriate to reflect fairly and equitably the actual incidence of cost incurred by the Company and/or affiliate. Management believes that the methods used to allocate expenses under these arrangements are reasonable. Expenses incurred with MetLife related to these arrangements, recorded in other expenses, were $101 million and $296 million for the three months and nine months ended September 30, 2017, respectively, and $190 million and $686 million for the three months and nine months ended September 30, 2016, respectively.</w:t>
      </w:r>
    </w:p>
    <w:p>
      <w:pPr>
        <w:spacing w:after="0" w:line="74"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Stock-Based Compensation Plans</w:t>
      </w:r>
    </w:p>
    <w:p>
      <w:pPr>
        <w:spacing w:after="0" w:line="11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Prior to the Separation, the Company’s executive officers participated in MetLife stock-based compensation plans, the costs of which were allocated to the Company and recorded in the combined statements of operations. The Separation constituted the end of the Company’s employees’ employment with MetLife, Inc. and its affiliates. Any MetLife stock compensation awards held by the Company’s employees immediately prior to the separation were retained or forfeited in accordance with their terms.</w:t>
      </w:r>
    </w:p>
    <w:p>
      <w:pPr>
        <w:spacing w:after="0" w:line="79"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The Company has established a nonqualified deferred compensation plan to pay cash compensation to employees of the Company who forfeited MetLife stock compensation awards as a result of the Separation and/or did not receive stock compensation awards from MetLife in 2017. The cash compensation for employees who forfeited MetLife stock compensation awards is subject to service requirements that generally replicate the service requirements for the awards that were forfeited as a result of the Separation. In addition, for the Company’s executive officers, cash compensation for forfeited awards is subject to achievement of Company-specific performance criteria. The cash compensation for employees who did not receive stock compensation awards from MetLife in 2017 is subject to service requirements and, for the Company’s executive officers, the achievement of Company-specific performance criteria. The Company intends to submit the performance criteria applicable to compensation under the nonqualified deferred compensation plan for shareholder approval at the Company’s first annual meeting of shareholders occurring in 2018.</w:t>
      </w:r>
    </w:p>
    <w:p>
      <w:pPr>
        <w:spacing w:after="0" w:line="71"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Tax Impacts Recognized at Separation</w:t>
      </w:r>
    </w:p>
    <w:p>
      <w:pPr>
        <w:spacing w:after="0" w:line="117" w:lineRule="exact"/>
        <w:rPr>
          <w:sz w:val="20"/>
          <w:szCs w:val="20"/>
          <w:color w:val="auto"/>
        </w:rPr>
      </w:pPr>
    </w:p>
    <w:p>
      <w:pPr>
        <w:jc w:val="both"/>
        <w:ind w:left="180" w:firstLine="324"/>
        <w:spacing w:after="0" w:line="257" w:lineRule="auto"/>
        <w:rPr>
          <w:sz w:val="20"/>
          <w:szCs w:val="20"/>
          <w:color w:val="auto"/>
        </w:rPr>
      </w:pPr>
      <w:r>
        <w:rPr>
          <w:rFonts w:ascii="Arial" w:cs="Arial" w:eastAsia="Arial" w:hAnsi="Arial"/>
          <w:sz w:val="18"/>
          <w:szCs w:val="18"/>
          <w:color w:val="auto"/>
        </w:rPr>
        <w:t>On July 27, 2017, a Tax Separation Agreement was entered into between MetLife, Inc. and Brighthouse Financial, Inc., on behalf of itself and each its subsidiaries (the “Brighthouse Group”). As of the Distribution date, the existing tax sharing agreement, dated as of June 24, 1986 that was in effect for the U.S. federal income tax consolidated group of which MetLife, Inc. is the parent, was terminated with respect to the Brighthouse Group. The Tax Separation Agreement sets forth the agreement on the rights and obligations of MetLife, Inc. and Brighthouse Financial, Inc. and their respective affiliates regarding the</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420"/>
          </w:cols>
          <w:pgMar w:left="240" w:top="234" w:right="239" w:bottom="1440" w:gutter="0" w:footer="0" w:header="0"/>
        </w:sectPr>
      </w:pPr>
    </w:p>
    <w:bookmarkStart w:id="73" w:name="page74"/>
    <w:bookmarkEnd w:id="73"/>
    <w:p>
      <w:pPr>
        <w:ind w:left="340"/>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109" w:lineRule="exact"/>
        <w:rPr>
          <w:sz w:val="20"/>
          <w:szCs w:val="20"/>
          <w:color w:val="auto"/>
        </w:rPr>
      </w:pPr>
    </w:p>
    <w:p>
      <w:pPr>
        <w:ind w:left="4840"/>
        <w:spacing w:after="0"/>
        <w:rPr>
          <w:sz w:val="20"/>
          <w:szCs w:val="20"/>
          <w:color w:val="auto"/>
        </w:rPr>
      </w:pPr>
      <w:r>
        <w:rPr>
          <w:rFonts w:ascii="Arial" w:cs="Arial" w:eastAsia="Arial" w:hAnsi="Arial"/>
          <w:sz w:val="18"/>
          <w:szCs w:val="18"/>
          <w:b w:val="1"/>
          <w:bCs w:val="1"/>
          <w:color w:val="auto"/>
        </w:rPr>
        <w:t>Brighthouse Financial, Inc.</w:t>
      </w:r>
    </w:p>
    <w:p>
      <w:pPr>
        <w:spacing w:after="0" w:line="117" w:lineRule="exact"/>
        <w:rPr>
          <w:sz w:val="20"/>
          <w:szCs w:val="20"/>
          <w:color w:val="auto"/>
        </w:rPr>
      </w:pPr>
    </w:p>
    <w:p>
      <w:pPr>
        <w:ind w:left="1640"/>
        <w:spacing w:after="0"/>
        <w:rPr>
          <w:sz w:val="20"/>
          <w:szCs w:val="20"/>
          <w:color w:val="auto"/>
        </w:rPr>
      </w:pPr>
      <w:r>
        <w:rPr>
          <w:rFonts w:ascii="Arial" w:cs="Arial" w:eastAsia="Arial" w:hAnsi="Arial"/>
          <w:sz w:val="18"/>
          <w:szCs w:val="18"/>
          <w:b w:val="1"/>
          <w:bCs w:val="1"/>
          <w:color w:val="auto"/>
        </w:rPr>
        <w:t>Notes to the Interim Condensed Consolidated and Combined Financial Statements (Unaudited) — (continued)</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12. Related Party Transactions (continued)</w:t>
      </w:r>
    </w:p>
    <w:p>
      <w:pPr>
        <w:spacing w:after="0" w:line="364" w:lineRule="exact"/>
        <w:rPr>
          <w:sz w:val="20"/>
          <w:szCs w:val="20"/>
          <w:color w:val="auto"/>
        </w:rPr>
      </w:pPr>
    </w:p>
    <w:p>
      <w:pPr>
        <w:ind w:left="180" w:right="20"/>
        <w:spacing w:after="0" w:line="277" w:lineRule="auto"/>
        <w:rPr>
          <w:sz w:val="20"/>
          <w:szCs w:val="20"/>
          <w:color w:val="auto"/>
        </w:rPr>
      </w:pPr>
      <w:r>
        <w:rPr>
          <w:rFonts w:ascii="Arial" w:cs="Arial" w:eastAsia="Arial" w:hAnsi="Arial"/>
          <w:sz w:val="18"/>
          <w:szCs w:val="18"/>
          <w:color w:val="auto"/>
        </w:rPr>
        <w:t>responsibility, handling and allocation of federal, state, local, and non-U.S. taxes, and various other tax matters. See Note 1 of the Notes to the Combined Financial Statements included in the Form 10 for information regarding the former tax sharing agreement.</w:t>
      </w:r>
    </w:p>
    <w:p>
      <w:pPr>
        <w:spacing w:after="0" w:line="62" w:lineRule="exact"/>
        <w:rPr>
          <w:sz w:val="20"/>
          <w:szCs w:val="20"/>
          <w:color w:val="auto"/>
        </w:rPr>
      </w:pPr>
    </w:p>
    <w:p>
      <w:pPr>
        <w:ind w:left="180" w:right="20" w:firstLine="324"/>
        <w:spacing w:after="0" w:line="308" w:lineRule="auto"/>
        <w:rPr>
          <w:sz w:val="20"/>
          <w:szCs w:val="20"/>
          <w:color w:val="auto"/>
        </w:rPr>
      </w:pPr>
      <w:r>
        <w:rPr>
          <w:rFonts w:ascii="Arial" w:cs="Arial" w:eastAsia="Arial" w:hAnsi="Arial"/>
          <w:sz w:val="17"/>
          <w:szCs w:val="17"/>
          <w:color w:val="auto"/>
        </w:rPr>
        <w:t>Brighthouse Life Insurance Company recognized a $553 million payable to MetLife, Inc. offset by a decrease to shareholder’s net investment related to a tax receivable agreement, which represents 86% of a $643 million deferred tax asset recorded in the second quarter of 2017.</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Broker-Dealer Transactions</w:t>
      </w:r>
    </w:p>
    <w:p>
      <w:pPr>
        <w:spacing w:after="0" w:line="117"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Beginning in March 2017, Brighthouse Securities, LLC, a registered broker-dealer affiliate, began distributing certain of the Company’s existing and future variable insurance products, and the MetLife broker-dealers discontinued such distributions. Prior to March 2017, the Company recognized related party revenues and expenses arising from transactions with MetLife broker-dealers that previously sold the Company’s variable annuity and life products. The related party expense for the Company was commissions collected on the sale of variable products by the Company and passed through to the broker-dealer. The related party revenue for the Company was fee income from trusts and mutual funds whose shares serve as investment options of policyholders of the Company.</w:t>
      </w:r>
    </w:p>
    <w:p>
      <w:pPr>
        <w:spacing w:after="0" w:line="8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income and expense from transactions with MetLife broker-dealers for the periods indicated:</w:t>
      </w:r>
    </w:p>
    <w:p>
      <w:pPr>
        <w:spacing w:after="0" w:line="312"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50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580" w:type="dxa"/>
            <w:vAlign w:val="bottom"/>
            <w:gridSpan w:val="2"/>
          </w:tcPr>
          <w:p>
            <w:pPr>
              <w:jc w:val="center"/>
              <w:ind w:right="422"/>
              <w:spacing w:after="0"/>
              <w:rPr>
                <w:sz w:val="20"/>
                <w:szCs w:val="20"/>
                <w:color w:val="auto"/>
              </w:rPr>
            </w:pPr>
            <w:r>
              <w:rPr>
                <w:rFonts w:ascii="Arial" w:cs="Arial" w:eastAsia="Arial" w:hAnsi="Arial"/>
                <w:sz w:val="14"/>
                <w:szCs w:val="14"/>
                <w:b w:val="1"/>
                <w:bCs w:val="1"/>
                <w:color w:val="auto"/>
                <w:w w:val="95"/>
              </w:rPr>
              <w:t>Three Months</w:t>
            </w: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5"/>
              </w:rPr>
              <w:t>Nine Months</w:t>
            </w:r>
          </w:p>
        </w:tc>
        <w:tc>
          <w:tcPr>
            <w:tcW w:w="960" w:type="dxa"/>
            <w:vAlign w:val="bottom"/>
          </w:tcPr>
          <w:p>
            <w:pPr>
              <w:spacing w:after="0"/>
              <w:rPr>
                <w:sz w:val="14"/>
                <w:szCs w:val="14"/>
                <w:color w:val="auto"/>
              </w:rPr>
            </w:pPr>
          </w:p>
        </w:tc>
      </w:tr>
      <w:tr>
        <w:trPr>
          <w:trHeight w:val="149"/>
        </w:trPr>
        <w:tc>
          <w:tcPr>
            <w:tcW w:w="50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580" w:type="dxa"/>
            <w:vAlign w:val="bottom"/>
            <w:gridSpan w:val="2"/>
          </w:tcPr>
          <w:p>
            <w:pPr>
              <w:jc w:val="center"/>
              <w:ind w:right="462"/>
              <w:spacing w:after="0" w:line="149" w:lineRule="exact"/>
              <w:rPr>
                <w:sz w:val="20"/>
                <w:szCs w:val="20"/>
                <w:color w:val="auto"/>
              </w:rPr>
            </w:pPr>
            <w:r>
              <w:rPr>
                <w:rFonts w:ascii="Arial" w:cs="Arial" w:eastAsia="Arial" w:hAnsi="Arial"/>
                <w:sz w:val="14"/>
                <w:szCs w:val="14"/>
                <w:b w:val="1"/>
                <w:bCs w:val="1"/>
                <w:color w:val="auto"/>
                <w:w w:val="93"/>
              </w:rPr>
              <w:t>Ended</w:t>
            </w: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3"/>
              </w:rPr>
              <w:t>Ended</w:t>
            </w:r>
          </w:p>
        </w:tc>
        <w:tc>
          <w:tcPr>
            <w:tcW w:w="960" w:type="dxa"/>
            <w:vAlign w:val="bottom"/>
          </w:tcPr>
          <w:p>
            <w:pPr>
              <w:spacing w:after="0"/>
              <w:rPr>
                <w:sz w:val="12"/>
                <w:szCs w:val="12"/>
                <w:color w:val="auto"/>
              </w:rPr>
            </w:pPr>
          </w:p>
        </w:tc>
      </w:tr>
      <w:tr>
        <w:trPr>
          <w:trHeight w:val="192"/>
        </w:trPr>
        <w:tc>
          <w:tcPr>
            <w:tcW w:w="5040" w:type="dxa"/>
            <w:vAlign w:val="bottom"/>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2"/>
          </w:tcPr>
          <w:p>
            <w:pPr>
              <w:jc w:val="center"/>
              <w:ind w:right="422"/>
              <w:spacing w:after="0"/>
              <w:rPr>
                <w:sz w:val="20"/>
                <w:szCs w:val="20"/>
                <w:color w:val="auto"/>
              </w:rPr>
            </w:pPr>
            <w:r>
              <w:rPr>
                <w:rFonts w:ascii="Arial" w:cs="Arial" w:eastAsia="Arial" w:hAnsi="Arial"/>
                <w:sz w:val="14"/>
                <w:szCs w:val="14"/>
                <w:b w:val="1"/>
                <w:bCs w:val="1"/>
                <w:color w:val="auto"/>
                <w:w w:val="91"/>
              </w:rPr>
              <w:t>September 30,</w:t>
            </w:r>
          </w:p>
        </w:tc>
        <w:tc>
          <w:tcPr>
            <w:tcW w:w="4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1"/>
              </w:rPr>
              <w:t>September 30,</w:t>
            </w:r>
          </w:p>
        </w:tc>
        <w:tc>
          <w:tcPr>
            <w:tcW w:w="960" w:type="dxa"/>
            <w:vAlign w:val="bottom"/>
            <w:tcBorders>
              <w:bottom w:val="single" w:sz="8" w:color="auto"/>
            </w:tcBorders>
          </w:tcPr>
          <w:p>
            <w:pPr>
              <w:spacing w:after="0"/>
              <w:rPr>
                <w:sz w:val="16"/>
                <w:szCs w:val="16"/>
                <w:color w:val="auto"/>
              </w:rPr>
            </w:pPr>
          </w:p>
        </w:tc>
      </w:tr>
      <w:tr>
        <w:trPr>
          <w:trHeight w:val="264"/>
        </w:trPr>
        <w:tc>
          <w:tcPr>
            <w:tcW w:w="5040" w:type="dxa"/>
            <w:vAlign w:val="bottom"/>
          </w:tcPr>
          <w:p>
            <w:pPr>
              <w:spacing w:after="0"/>
              <w:rPr>
                <w:sz w:val="22"/>
                <w:szCs w:val="22"/>
                <w:color w:val="auto"/>
              </w:rPr>
            </w:pPr>
          </w:p>
        </w:tc>
        <w:tc>
          <w:tcPr>
            <w:tcW w:w="1000" w:type="dxa"/>
            <w:vAlign w:val="bottom"/>
            <w:tcBorders>
              <w:bottom w:val="single" w:sz="8" w:color="auto"/>
            </w:tcBorders>
          </w:tcPr>
          <w:p>
            <w:pPr>
              <w:jc w:val="right"/>
              <w:ind w:right="22"/>
              <w:spacing w:after="0"/>
              <w:rPr>
                <w:sz w:val="20"/>
                <w:szCs w:val="20"/>
                <w:color w:val="auto"/>
              </w:rPr>
            </w:pPr>
            <w:r>
              <w:rPr>
                <w:rFonts w:ascii="Arial" w:cs="Arial" w:eastAsia="Arial" w:hAnsi="Arial"/>
                <w:sz w:val="14"/>
                <w:szCs w:val="14"/>
                <w:b w:val="1"/>
                <w:bCs w:val="1"/>
                <w:color w:val="auto"/>
              </w:rPr>
              <w:t>2017</w:t>
            </w:r>
          </w:p>
        </w:tc>
        <w:tc>
          <w:tcPr>
            <w:tcW w:w="5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2"/>
              <w:spacing w:after="0"/>
              <w:rPr>
                <w:sz w:val="20"/>
                <w:szCs w:val="20"/>
                <w:color w:val="auto"/>
              </w:rPr>
            </w:pPr>
            <w:r>
              <w:rPr>
                <w:rFonts w:ascii="Arial" w:cs="Arial" w:eastAsia="Arial" w:hAnsi="Arial"/>
                <w:sz w:val="14"/>
                <w:szCs w:val="14"/>
                <w:b w:val="1"/>
                <w:bCs w:val="1"/>
                <w:color w:val="auto"/>
              </w:rPr>
              <w:t>2016</w:t>
            </w:r>
          </w:p>
        </w:tc>
        <w:tc>
          <w:tcPr>
            <w:tcW w:w="46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22"/>
              <w:spacing w:after="0"/>
              <w:rPr>
                <w:sz w:val="20"/>
                <w:szCs w:val="20"/>
                <w:color w:val="auto"/>
              </w:rPr>
            </w:pPr>
            <w:r>
              <w:rPr>
                <w:rFonts w:ascii="Arial" w:cs="Arial" w:eastAsia="Arial" w:hAnsi="Arial"/>
                <w:sz w:val="14"/>
                <w:szCs w:val="14"/>
                <w:b w:val="1"/>
                <w:bCs w:val="1"/>
                <w:color w:val="auto"/>
              </w:rPr>
              <w:t>2017</w:t>
            </w:r>
          </w:p>
        </w:tc>
        <w:tc>
          <w:tcPr>
            <w:tcW w:w="50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502"/>
              <w:spacing w:after="0"/>
              <w:rPr>
                <w:sz w:val="20"/>
                <w:szCs w:val="20"/>
                <w:color w:val="auto"/>
              </w:rPr>
            </w:pPr>
            <w:r>
              <w:rPr>
                <w:rFonts w:ascii="Arial" w:cs="Arial" w:eastAsia="Arial" w:hAnsi="Arial"/>
                <w:sz w:val="14"/>
                <w:szCs w:val="14"/>
                <w:b w:val="1"/>
                <w:bCs w:val="1"/>
                <w:color w:val="auto"/>
              </w:rPr>
              <w:t>2016</w:t>
            </w:r>
          </w:p>
        </w:tc>
      </w:tr>
      <w:tr>
        <w:trPr>
          <w:trHeight w:val="250"/>
        </w:trPr>
        <w:tc>
          <w:tcPr>
            <w:tcW w:w="50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540" w:type="dxa"/>
            <w:vAlign w:val="bottom"/>
            <w:gridSpan w:val="3"/>
          </w:tcPr>
          <w:p>
            <w:pPr>
              <w:jc w:val="right"/>
              <w:ind w:right="562"/>
              <w:spacing w:after="0"/>
              <w:rPr>
                <w:sz w:val="20"/>
                <w:szCs w:val="20"/>
                <w:color w:val="auto"/>
              </w:rPr>
            </w:pPr>
            <w:r>
              <w:rPr>
                <w:rFonts w:ascii="Arial" w:cs="Arial" w:eastAsia="Arial" w:hAnsi="Arial"/>
                <w:sz w:val="14"/>
                <w:szCs w:val="14"/>
                <w:b w:val="1"/>
                <w:bCs w:val="1"/>
                <w:color w:val="auto"/>
              </w:rPr>
              <w:t>(In millions)</w:t>
            </w:r>
          </w:p>
        </w:tc>
        <w:tc>
          <w:tcPr>
            <w:tcW w:w="5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56"/>
        </w:trPr>
        <w:tc>
          <w:tcPr>
            <w:tcW w:w="5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Fee income</w:t>
            </w:r>
          </w:p>
        </w:tc>
        <w:tc>
          <w:tcPr>
            <w:tcW w:w="1000" w:type="dxa"/>
            <w:vAlign w:val="bottom"/>
            <w:tcBorders>
              <w:bottom w:val="single" w:sz="8" w:color="CCEEFF"/>
            </w:tcBorders>
            <w:shd w:val="clear" w:color="auto" w:fill="CCEEFF"/>
          </w:tcPr>
          <w:p>
            <w:pPr>
              <w:jc w:val="right"/>
              <w:ind w:right="802"/>
              <w:spacing w:after="0"/>
              <w:rPr>
                <w:sz w:val="20"/>
                <w:szCs w:val="20"/>
                <w:color w:val="auto"/>
              </w:rPr>
            </w:pPr>
            <w:r>
              <w:rPr>
                <w:rFonts w:ascii="Arial" w:cs="Arial" w:eastAsia="Arial" w:hAnsi="Arial"/>
                <w:sz w:val="16"/>
                <w:szCs w:val="16"/>
                <w:color w:val="auto"/>
              </w:rPr>
              <w:t>$</w:t>
            </w:r>
          </w:p>
        </w:tc>
        <w:tc>
          <w:tcPr>
            <w:tcW w:w="5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CCEEFF"/>
            </w:tcBorders>
            <w:shd w:val="clear" w:color="auto" w:fill="CCEEFF"/>
          </w:tcPr>
          <w:p>
            <w:pPr>
              <w:jc w:val="right"/>
              <w:ind w:right="802"/>
              <w:spacing w:after="0"/>
              <w:rPr>
                <w:sz w:val="20"/>
                <w:szCs w:val="20"/>
                <w:color w:val="auto"/>
              </w:rPr>
            </w:pPr>
            <w:r>
              <w:rPr>
                <w:rFonts w:ascii="Arial" w:cs="Arial" w:eastAsia="Arial" w:hAnsi="Arial"/>
                <w:sz w:val="16"/>
                <w:szCs w:val="16"/>
                <w:color w:val="auto"/>
              </w:rPr>
              <w:t>$</w:t>
            </w:r>
          </w:p>
        </w:tc>
        <w:tc>
          <w:tcPr>
            <w:tcW w:w="46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54</w:t>
            </w:r>
          </w:p>
        </w:tc>
        <w:tc>
          <w:tcPr>
            <w:tcW w:w="12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782"/>
              <w:spacing w:after="0"/>
              <w:rPr>
                <w:sz w:val="20"/>
                <w:szCs w:val="20"/>
                <w:color w:val="auto"/>
              </w:rPr>
            </w:pPr>
            <w:r>
              <w:rPr>
                <w:rFonts w:ascii="Arial" w:cs="Arial" w:eastAsia="Arial" w:hAnsi="Arial"/>
                <w:sz w:val="16"/>
                <w:szCs w:val="16"/>
                <w:color w:val="auto"/>
                <w:w w:val="89"/>
              </w:rPr>
              <w:t>$</w:t>
            </w:r>
          </w:p>
        </w:tc>
        <w:tc>
          <w:tcPr>
            <w:tcW w:w="500" w:type="dxa"/>
            <w:vAlign w:val="bottom"/>
            <w:tcBorders>
              <w:bottom w:val="single" w:sz="8" w:color="CCEEFF"/>
            </w:tcBorders>
            <w:shd w:val="clear" w:color="auto" w:fill="CCEEFF"/>
          </w:tcPr>
          <w:p>
            <w:pPr>
              <w:jc w:val="right"/>
              <w:ind w:right="44"/>
              <w:spacing w:after="0"/>
              <w:rPr>
                <w:sz w:val="20"/>
                <w:szCs w:val="20"/>
                <w:color w:val="auto"/>
              </w:rPr>
            </w:pPr>
            <w:r>
              <w:rPr>
                <w:rFonts w:ascii="Arial" w:cs="Arial" w:eastAsia="Arial" w:hAnsi="Arial"/>
                <w:sz w:val="16"/>
                <w:szCs w:val="16"/>
                <w:color w:val="auto"/>
              </w:rPr>
              <w:t>117</w:t>
            </w:r>
          </w:p>
        </w:tc>
        <w:tc>
          <w:tcPr>
            <w:tcW w:w="580" w:type="dxa"/>
            <w:vAlign w:val="bottom"/>
            <w:tcBorders>
              <w:bottom w:val="single" w:sz="8" w:color="CCEEFF"/>
            </w:tcBorders>
            <w:shd w:val="clear" w:color="auto" w:fill="CCEEFF"/>
          </w:tcPr>
          <w:p>
            <w:pPr>
              <w:jc w:val="right"/>
              <w:ind w:right="29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161</w:t>
            </w:r>
          </w:p>
        </w:tc>
      </w:tr>
      <w:tr>
        <w:trPr>
          <w:trHeight w:val="237"/>
        </w:trPr>
        <w:tc>
          <w:tcPr>
            <w:tcW w:w="5040" w:type="dxa"/>
            <w:vAlign w:val="bottom"/>
          </w:tcPr>
          <w:p>
            <w:pPr>
              <w:ind w:left="20"/>
              <w:spacing w:after="0"/>
              <w:rPr>
                <w:sz w:val="20"/>
                <w:szCs w:val="20"/>
                <w:color w:val="auto"/>
              </w:rPr>
            </w:pPr>
            <w:r>
              <w:rPr>
                <w:rFonts w:ascii="Arial" w:cs="Arial" w:eastAsia="Arial" w:hAnsi="Arial"/>
                <w:sz w:val="16"/>
                <w:szCs w:val="16"/>
                <w:color w:val="auto"/>
              </w:rPr>
              <w:t>Commission expense</w:t>
            </w:r>
          </w:p>
        </w:tc>
        <w:tc>
          <w:tcPr>
            <w:tcW w:w="1000" w:type="dxa"/>
            <w:vAlign w:val="bottom"/>
          </w:tcPr>
          <w:p>
            <w:pPr>
              <w:jc w:val="right"/>
              <w:ind w:right="802"/>
              <w:spacing w:after="0"/>
              <w:rPr>
                <w:sz w:val="20"/>
                <w:szCs w:val="20"/>
                <w:color w:val="auto"/>
              </w:rPr>
            </w:pPr>
            <w:r>
              <w:rPr>
                <w:rFonts w:ascii="Arial" w:cs="Arial" w:eastAsia="Arial" w:hAnsi="Arial"/>
                <w:sz w:val="16"/>
                <w:szCs w:val="16"/>
                <w:color w:val="auto"/>
              </w:rPr>
              <w:t>$</w:t>
            </w:r>
          </w:p>
        </w:tc>
        <w:tc>
          <w:tcPr>
            <w:tcW w:w="500" w:type="dxa"/>
            <w:vAlign w:val="bottom"/>
          </w:tcPr>
          <w:p>
            <w:pPr>
              <w:ind w:left="200"/>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802"/>
              <w:spacing w:after="0"/>
              <w:rPr>
                <w:sz w:val="20"/>
                <w:szCs w:val="20"/>
                <w:color w:val="auto"/>
              </w:rPr>
            </w:pPr>
            <w:r>
              <w:rPr>
                <w:rFonts w:ascii="Arial" w:cs="Arial" w:eastAsia="Arial" w:hAnsi="Arial"/>
                <w:sz w:val="16"/>
                <w:szCs w:val="16"/>
                <w:color w:val="auto"/>
              </w:rPr>
              <w:t>$</w:t>
            </w:r>
          </w:p>
        </w:tc>
        <w:tc>
          <w:tcPr>
            <w:tcW w:w="460" w:type="dxa"/>
            <w:vAlign w:val="bottom"/>
          </w:tcPr>
          <w:p>
            <w:pPr>
              <w:jc w:val="right"/>
              <w:ind w:right="22"/>
              <w:spacing w:after="0"/>
              <w:rPr>
                <w:sz w:val="20"/>
                <w:szCs w:val="20"/>
                <w:color w:val="auto"/>
              </w:rPr>
            </w:pPr>
            <w:r>
              <w:rPr>
                <w:rFonts w:ascii="Arial" w:cs="Arial" w:eastAsia="Arial" w:hAnsi="Arial"/>
                <w:sz w:val="16"/>
                <w:szCs w:val="16"/>
                <w:color w:val="auto"/>
              </w:rPr>
              <w:t>160</w:t>
            </w:r>
          </w:p>
        </w:tc>
        <w:tc>
          <w:tcPr>
            <w:tcW w:w="120" w:type="dxa"/>
            <w:vAlign w:val="bottom"/>
          </w:tcPr>
          <w:p>
            <w:pPr>
              <w:spacing w:after="0"/>
              <w:rPr>
                <w:sz w:val="20"/>
                <w:szCs w:val="20"/>
                <w:color w:val="auto"/>
              </w:rPr>
            </w:pPr>
          </w:p>
        </w:tc>
        <w:tc>
          <w:tcPr>
            <w:tcW w:w="960" w:type="dxa"/>
            <w:vAlign w:val="bottom"/>
          </w:tcPr>
          <w:p>
            <w:pPr>
              <w:jc w:val="right"/>
              <w:ind w:right="782"/>
              <w:spacing w:after="0"/>
              <w:rPr>
                <w:sz w:val="20"/>
                <w:szCs w:val="20"/>
                <w:color w:val="auto"/>
              </w:rPr>
            </w:pPr>
            <w:r>
              <w:rPr>
                <w:rFonts w:ascii="Arial" w:cs="Arial" w:eastAsia="Arial" w:hAnsi="Arial"/>
                <w:sz w:val="16"/>
                <w:szCs w:val="16"/>
                <w:color w:val="auto"/>
                <w:w w:val="89"/>
              </w:rPr>
              <w:t>$</w:t>
            </w:r>
          </w:p>
        </w:tc>
        <w:tc>
          <w:tcPr>
            <w:tcW w:w="500" w:type="dxa"/>
            <w:vAlign w:val="bottom"/>
          </w:tcPr>
          <w:p>
            <w:pPr>
              <w:jc w:val="right"/>
              <w:ind w:right="44"/>
              <w:spacing w:after="0"/>
              <w:rPr>
                <w:sz w:val="20"/>
                <w:szCs w:val="20"/>
                <w:color w:val="auto"/>
              </w:rPr>
            </w:pPr>
            <w:r>
              <w:rPr>
                <w:rFonts w:ascii="Arial" w:cs="Arial" w:eastAsia="Arial" w:hAnsi="Arial"/>
                <w:sz w:val="16"/>
                <w:szCs w:val="16"/>
                <w:color w:val="auto"/>
              </w:rPr>
              <w:t>323</w:t>
            </w:r>
          </w:p>
        </w:tc>
        <w:tc>
          <w:tcPr>
            <w:tcW w:w="580" w:type="dxa"/>
            <w:vAlign w:val="bottom"/>
          </w:tcPr>
          <w:p>
            <w:pPr>
              <w:jc w:val="right"/>
              <w:ind w:right="299"/>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42"/>
              <w:spacing w:after="0"/>
              <w:rPr>
                <w:sz w:val="20"/>
                <w:szCs w:val="20"/>
                <w:color w:val="auto"/>
              </w:rPr>
            </w:pPr>
            <w:r>
              <w:rPr>
                <w:rFonts w:ascii="Arial" w:cs="Arial" w:eastAsia="Arial" w:hAnsi="Arial"/>
                <w:sz w:val="16"/>
                <w:szCs w:val="16"/>
                <w:color w:val="auto"/>
              </w:rPr>
              <w:t>480</w:t>
            </w:r>
          </w:p>
        </w:tc>
      </w:tr>
    </w:tbl>
    <w:p>
      <w:pPr>
        <w:spacing w:after="0" w:line="12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assets and liabilities from transactions with MetLife broker-dealers at:</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20" w:type="dxa"/>
            <w:vAlign w:val="bottom"/>
          </w:tcPr>
          <w:p>
            <w:pPr>
              <w:spacing w:after="0"/>
              <w:rPr>
                <w:sz w:val="16"/>
                <w:szCs w:val="16"/>
                <w:color w:val="auto"/>
              </w:rPr>
            </w:pPr>
          </w:p>
        </w:tc>
        <w:tc>
          <w:tcPr>
            <w:tcW w:w="2280" w:type="dxa"/>
            <w:vAlign w:val="bottom"/>
            <w:tcBorders>
              <w:bottom w:val="single" w:sz="8" w:color="auto"/>
            </w:tcBorders>
          </w:tcPr>
          <w:p>
            <w:pPr>
              <w:jc w:val="right"/>
              <w:ind w:right="182"/>
              <w:spacing w:after="0"/>
              <w:rPr>
                <w:sz w:val="20"/>
                <w:szCs w:val="20"/>
                <w:color w:val="auto"/>
              </w:rPr>
            </w:pPr>
            <w:r>
              <w:rPr>
                <w:rFonts w:ascii="Arial" w:cs="Arial" w:eastAsia="Arial" w:hAnsi="Arial"/>
                <w:sz w:val="14"/>
                <w:szCs w:val="14"/>
                <w:b w:val="1"/>
                <w:bCs w:val="1"/>
                <w:color w:val="auto"/>
              </w:rPr>
              <w:t>September 30, 2017</w:t>
            </w:r>
          </w:p>
        </w:tc>
        <w:tc>
          <w:tcPr>
            <w:tcW w:w="58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2260" w:type="dxa"/>
            <w:vAlign w:val="bottom"/>
            <w:tcBorders>
              <w:bottom w:val="single" w:sz="8" w:color="auto"/>
            </w:tcBorders>
          </w:tcPr>
          <w:p>
            <w:pPr>
              <w:jc w:val="right"/>
              <w:ind w:right="762"/>
              <w:spacing w:after="0"/>
              <w:rPr>
                <w:sz w:val="20"/>
                <w:szCs w:val="20"/>
                <w:color w:val="auto"/>
              </w:rPr>
            </w:pPr>
            <w:r>
              <w:rPr>
                <w:rFonts w:ascii="Arial" w:cs="Arial" w:eastAsia="Arial" w:hAnsi="Arial"/>
                <w:sz w:val="14"/>
                <w:szCs w:val="14"/>
                <w:b w:val="1"/>
                <w:bCs w:val="1"/>
                <w:color w:val="auto"/>
              </w:rPr>
              <w:t>December 31, 2016</w:t>
            </w:r>
          </w:p>
        </w:tc>
      </w:tr>
      <w:tr>
        <w:trPr>
          <w:trHeight w:val="250"/>
        </w:trPr>
        <w:tc>
          <w:tcPr>
            <w:tcW w:w="5620" w:type="dxa"/>
            <w:vAlign w:val="bottom"/>
          </w:tcPr>
          <w:p>
            <w:pPr>
              <w:spacing w:after="0"/>
              <w:rPr>
                <w:sz w:val="21"/>
                <w:szCs w:val="21"/>
                <w:color w:val="auto"/>
              </w:rPr>
            </w:pPr>
          </w:p>
        </w:tc>
        <w:tc>
          <w:tcPr>
            <w:tcW w:w="2280" w:type="dxa"/>
            <w:vAlign w:val="bottom"/>
          </w:tcPr>
          <w:p>
            <w:pPr>
              <w:spacing w:after="0"/>
              <w:rPr>
                <w:sz w:val="21"/>
                <w:szCs w:val="21"/>
                <w:color w:val="auto"/>
              </w:rPr>
            </w:pPr>
          </w:p>
        </w:tc>
        <w:tc>
          <w:tcPr>
            <w:tcW w:w="1260" w:type="dxa"/>
            <w:vAlign w:val="bottom"/>
            <w:gridSpan w:val="2"/>
          </w:tcPr>
          <w:p>
            <w:pPr>
              <w:ind w:left="260"/>
              <w:spacing w:after="0"/>
              <w:rPr>
                <w:sz w:val="20"/>
                <w:szCs w:val="20"/>
                <w:color w:val="auto"/>
              </w:rPr>
            </w:pPr>
            <w:r>
              <w:rPr>
                <w:rFonts w:ascii="Arial" w:cs="Arial" w:eastAsia="Arial" w:hAnsi="Arial"/>
                <w:sz w:val="14"/>
                <w:szCs w:val="14"/>
                <w:b w:val="1"/>
                <w:bCs w:val="1"/>
                <w:color w:val="auto"/>
              </w:rPr>
              <w:t>(In millions)</w:t>
            </w:r>
          </w:p>
        </w:tc>
        <w:tc>
          <w:tcPr>
            <w:tcW w:w="2260" w:type="dxa"/>
            <w:vAlign w:val="bottom"/>
          </w:tcPr>
          <w:p>
            <w:pPr>
              <w:spacing w:after="0"/>
              <w:rPr>
                <w:sz w:val="21"/>
                <w:szCs w:val="21"/>
                <w:color w:val="auto"/>
              </w:rPr>
            </w:pPr>
          </w:p>
        </w:tc>
      </w:tr>
      <w:tr>
        <w:trPr>
          <w:trHeight w:val="256"/>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Fee income receivables</w:t>
            </w:r>
          </w:p>
        </w:tc>
        <w:tc>
          <w:tcPr>
            <w:tcW w:w="2280" w:type="dxa"/>
            <w:vAlign w:val="bottom"/>
            <w:tcBorders>
              <w:bottom w:val="single" w:sz="8" w:color="CCEEFF"/>
            </w:tcBorders>
            <w:shd w:val="clear" w:color="auto" w:fill="CCEEFF"/>
          </w:tcPr>
          <w:p>
            <w:pPr>
              <w:jc w:val="right"/>
              <w:ind w:right="2102"/>
              <w:spacing w:after="0"/>
              <w:rPr>
                <w:sz w:val="20"/>
                <w:szCs w:val="20"/>
                <w:color w:val="auto"/>
              </w:rPr>
            </w:pPr>
            <w:r>
              <w:rPr>
                <w:rFonts w:ascii="Arial" w:cs="Arial" w:eastAsia="Arial" w:hAnsi="Arial"/>
                <w:sz w:val="16"/>
                <w:szCs w:val="16"/>
                <w:color w:val="auto"/>
                <w:w w:val="89"/>
              </w:rPr>
              <w:t>$</w:t>
            </w:r>
          </w:p>
        </w:tc>
        <w:tc>
          <w:tcPr>
            <w:tcW w:w="58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CCEEFF"/>
            </w:tcBorders>
            <w:shd w:val="clear" w:color="auto" w:fill="CCEEFF"/>
          </w:tcPr>
          <w:p>
            <w:pPr>
              <w:jc w:val="right"/>
              <w:ind w:right="379"/>
              <w:spacing w:after="0"/>
              <w:rPr>
                <w:sz w:val="20"/>
                <w:szCs w:val="20"/>
                <w:color w:val="auto"/>
              </w:rPr>
            </w:pPr>
            <w:r>
              <w:rPr>
                <w:rFonts w:ascii="Arial" w:cs="Arial" w:eastAsia="Arial" w:hAnsi="Arial"/>
                <w:sz w:val="16"/>
                <w:szCs w:val="16"/>
                <w:color w:val="auto"/>
              </w:rPr>
              <w:t>$</w:t>
            </w:r>
          </w:p>
        </w:tc>
        <w:tc>
          <w:tcPr>
            <w:tcW w:w="226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21</w:t>
            </w:r>
          </w:p>
        </w:tc>
      </w:tr>
      <w:tr>
        <w:trPr>
          <w:trHeight w:val="237"/>
        </w:trPr>
        <w:tc>
          <w:tcPr>
            <w:tcW w:w="5620" w:type="dxa"/>
            <w:vAlign w:val="bottom"/>
          </w:tcPr>
          <w:p>
            <w:pPr>
              <w:ind w:left="40"/>
              <w:spacing w:after="0"/>
              <w:rPr>
                <w:sz w:val="20"/>
                <w:szCs w:val="20"/>
                <w:color w:val="auto"/>
              </w:rPr>
            </w:pPr>
            <w:r>
              <w:rPr>
                <w:rFonts w:ascii="Arial" w:cs="Arial" w:eastAsia="Arial" w:hAnsi="Arial"/>
                <w:sz w:val="16"/>
                <w:szCs w:val="16"/>
                <w:color w:val="auto"/>
              </w:rPr>
              <w:t>Secured demand notes</w:t>
            </w:r>
          </w:p>
        </w:tc>
        <w:tc>
          <w:tcPr>
            <w:tcW w:w="2280" w:type="dxa"/>
            <w:vAlign w:val="bottom"/>
          </w:tcPr>
          <w:p>
            <w:pPr>
              <w:jc w:val="right"/>
              <w:ind w:right="2102"/>
              <w:spacing w:after="0"/>
              <w:rPr>
                <w:sz w:val="20"/>
                <w:szCs w:val="20"/>
                <w:color w:val="auto"/>
              </w:rPr>
            </w:pPr>
            <w:r>
              <w:rPr>
                <w:rFonts w:ascii="Arial" w:cs="Arial" w:eastAsia="Arial" w:hAnsi="Arial"/>
                <w:sz w:val="16"/>
                <w:szCs w:val="16"/>
                <w:color w:val="auto"/>
                <w:w w:val="89"/>
              </w:rPr>
              <w:t>$</w:t>
            </w:r>
          </w:p>
        </w:tc>
        <w:tc>
          <w:tcPr>
            <w:tcW w:w="580" w:type="dxa"/>
            <w:vAlign w:val="bottom"/>
          </w:tcPr>
          <w:p>
            <w:pPr>
              <w:ind w:left="300"/>
              <w:spacing w:after="0"/>
              <w:rPr>
                <w:sz w:val="20"/>
                <w:szCs w:val="20"/>
                <w:color w:val="auto"/>
              </w:rPr>
            </w:pPr>
            <w:r>
              <w:rPr>
                <w:rFonts w:ascii="Arial" w:cs="Arial" w:eastAsia="Arial" w:hAnsi="Arial"/>
                <w:sz w:val="16"/>
                <w:szCs w:val="16"/>
                <w:color w:val="auto"/>
              </w:rPr>
              <w:t>—</w:t>
            </w:r>
          </w:p>
        </w:tc>
        <w:tc>
          <w:tcPr>
            <w:tcW w:w="680" w:type="dxa"/>
            <w:vAlign w:val="bottom"/>
          </w:tcPr>
          <w:p>
            <w:pPr>
              <w:jc w:val="right"/>
              <w:ind w:right="379"/>
              <w:spacing w:after="0"/>
              <w:rPr>
                <w:sz w:val="20"/>
                <w:szCs w:val="20"/>
                <w:color w:val="auto"/>
              </w:rPr>
            </w:pPr>
            <w:r>
              <w:rPr>
                <w:rFonts w:ascii="Arial" w:cs="Arial" w:eastAsia="Arial" w:hAnsi="Arial"/>
                <w:sz w:val="16"/>
                <w:szCs w:val="16"/>
                <w:color w:val="auto"/>
              </w:rPr>
              <w:t>$</w:t>
            </w:r>
          </w:p>
        </w:tc>
        <w:tc>
          <w:tcPr>
            <w:tcW w:w="2260" w:type="dxa"/>
            <w:vAlign w:val="bottom"/>
          </w:tcPr>
          <w:p>
            <w:pPr>
              <w:jc w:val="right"/>
              <w:ind w:right="22"/>
              <w:spacing w:after="0"/>
              <w:rPr>
                <w:sz w:val="20"/>
                <w:szCs w:val="20"/>
                <w:color w:val="auto"/>
              </w:rPr>
            </w:pPr>
            <w:r>
              <w:rPr>
                <w:rFonts w:ascii="Arial" w:cs="Arial" w:eastAsia="Arial" w:hAnsi="Arial"/>
                <w:sz w:val="16"/>
                <w:szCs w:val="16"/>
                <w:color w:val="auto"/>
              </w:rPr>
              <w:t>20</w:t>
            </w:r>
          </w:p>
        </w:tc>
      </w:tr>
    </w:tbl>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420"/>
          </w:cols>
          <w:pgMar w:left="240" w:top="234" w:right="239" w:bottom="1440" w:gutter="0" w:footer="0" w:header="0"/>
        </w:sectPr>
      </w:pPr>
    </w:p>
    <w:bookmarkStart w:id="74" w:name="page75"/>
    <w:bookmarkEnd w:id="74"/>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71" w:lineRule="exact"/>
        <w:rPr>
          <w:sz w:val="20"/>
          <w:szCs w:val="20"/>
          <w:color w:val="auto"/>
        </w:rPr>
      </w:pPr>
    </w:p>
    <w:p>
      <w:pPr>
        <w:ind w:left="2120"/>
        <w:spacing w:after="0"/>
        <w:rPr>
          <w:sz w:val="20"/>
          <w:szCs w:val="20"/>
          <w:color w:val="auto"/>
        </w:rPr>
      </w:pPr>
      <w:r>
        <w:rPr>
          <w:rFonts w:ascii="Arial" w:cs="Arial" w:eastAsia="Arial" w:hAnsi="Arial"/>
          <w:sz w:val="18"/>
          <w:szCs w:val="18"/>
          <w:b w:val="1"/>
          <w:bCs w:val="1"/>
          <w:color w:val="auto"/>
        </w:rPr>
        <w:t>Index to Management’s Discussion and Analysis of Financial Condition and Results of Operations</w:t>
      </w:r>
    </w:p>
    <w:p>
      <w:pPr>
        <w:spacing w:after="0" w:line="396"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8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5740" w:type="dxa"/>
            <w:vAlign w:val="bottom"/>
          </w:tcPr>
          <w:p>
            <w:pPr>
              <w:spacing w:after="0"/>
              <w:rPr>
                <w:sz w:val="16"/>
                <w:szCs w:val="16"/>
                <w:color w:val="auto"/>
              </w:rPr>
            </w:pPr>
          </w:p>
        </w:tc>
        <w:tc>
          <w:tcPr>
            <w:tcW w:w="900" w:type="dxa"/>
            <w:vAlign w:val="bottom"/>
            <w:tcBorders>
              <w:bottom w:val="single" w:sz="8" w:color="auto"/>
            </w:tcBorders>
            <w:gridSpan w:val="5"/>
          </w:tcPr>
          <w:p>
            <w:pPr>
              <w:ind w:left="300"/>
              <w:spacing w:after="0"/>
              <w:rPr>
                <w:sz w:val="20"/>
                <w:szCs w:val="20"/>
                <w:color w:val="auto"/>
              </w:rPr>
            </w:pPr>
            <w:r>
              <w:rPr>
                <w:rFonts w:ascii="Arial" w:cs="Arial" w:eastAsia="Arial" w:hAnsi="Arial"/>
                <w:sz w:val="14"/>
                <w:szCs w:val="14"/>
                <w:b w:val="1"/>
                <w:bCs w:val="1"/>
                <w:color w:val="auto"/>
              </w:rPr>
              <w:t>Page</w:t>
            </w:r>
          </w:p>
        </w:tc>
      </w:tr>
      <w:tr>
        <w:trPr>
          <w:trHeight w:val="189"/>
        </w:trPr>
        <w:tc>
          <w:tcPr>
            <w:tcW w:w="1140" w:type="dxa"/>
            <w:vAlign w:val="bottom"/>
            <w:gridSpan w:val="3"/>
          </w:tcPr>
          <w:p>
            <w:pPr>
              <w:spacing w:after="0" w:line="170" w:lineRule="exact"/>
              <w:rPr>
                <w:rFonts w:ascii="Arial" w:cs="Arial" w:eastAsia="Arial" w:hAnsi="Arial"/>
                <w:sz w:val="18"/>
                <w:szCs w:val="18"/>
                <w:color w:val="0000EE"/>
              </w:rPr>
            </w:pPr>
            <w:hyperlink w:anchor="page76">
              <w:r>
                <w:rPr>
                  <w:rFonts w:ascii="Arial" w:cs="Arial" w:eastAsia="Arial" w:hAnsi="Arial"/>
                  <w:sz w:val="18"/>
                  <w:szCs w:val="18"/>
                  <w:color w:val="0000EE"/>
                </w:rPr>
                <w:t>Introduction</w:t>
              </w:r>
            </w:hyperlink>
          </w:p>
        </w:tc>
        <w:tc>
          <w:tcPr>
            <w:tcW w:w="3600" w:type="dxa"/>
            <w:vAlign w:val="bottom"/>
            <w:gridSpan w:val="10"/>
          </w:tcPr>
          <w:p>
            <w:pPr>
              <w:spacing w:after="0"/>
              <w:rPr>
                <w:sz w:val="16"/>
                <w:szCs w:val="16"/>
                <w:color w:val="auto"/>
              </w:rPr>
            </w:pPr>
          </w:p>
        </w:tc>
        <w:tc>
          <w:tcPr>
            <w:tcW w:w="6280" w:type="dxa"/>
            <w:vAlign w:val="bottom"/>
            <w:gridSpan w:val="4"/>
          </w:tcPr>
          <w:p>
            <w:pPr>
              <w:jc w:val="center"/>
              <w:ind w:left="6010"/>
              <w:spacing w:after="0" w:line="170" w:lineRule="exact"/>
              <w:rPr>
                <w:rFonts w:ascii="Arial" w:cs="Arial" w:eastAsia="Arial" w:hAnsi="Arial"/>
                <w:sz w:val="18"/>
                <w:szCs w:val="18"/>
                <w:color w:val="0000EE"/>
                <w:w w:val="89"/>
              </w:rPr>
            </w:pPr>
            <w:hyperlink w:anchor="page76">
              <w:r>
                <w:rPr>
                  <w:rFonts w:ascii="Arial" w:cs="Arial" w:eastAsia="Arial" w:hAnsi="Arial"/>
                  <w:sz w:val="18"/>
                  <w:szCs w:val="18"/>
                  <w:color w:val="0000EE"/>
                  <w:w w:val="89"/>
                </w:rPr>
                <w:t>74</w:t>
              </w:r>
            </w:hyperlink>
          </w:p>
        </w:tc>
        <w:tc>
          <w:tcPr>
            <w:tcW w:w="40" w:type="dxa"/>
            <w:vAlign w:val="bottom"/>
          </w:tcPr>
          <w:p>
            <w:pPr>
              <w:spacing w:after="0"/>
              <w:rPr>
                <w:sz w:val="16"/>
                <w:szCs w:val="16"/>
                <w:color w:val="auto"/>
              </w:rPr>
            </w:pPr>
          </w:p>
        </w:tc>
        <w:tc>
          <w:tcPr>
            <w:tcW w:w="320" w:type="dxa"/>
            <w:vAlign w:val="bottom"/>
          </w:tcPr>
          <w:p>
            <w:pPr>
              <w:spacing w:after="0"/>
              <w:rPr>
                <w:sz w:val="16"/>
                <w:szCs w:val="16"/>
                <w:color w:val="auto"/>
              </w:rPr>
            </w:pPr>
          </w:p>
        </w:tc>
      </w:tr>
      <w:tr>
        <w:trPr>
          <w:trHeight w:val="27"/>
        </w:trPr>
        <w:tc>
          <w:tcPr>
            <w:tcW w:w="820" w:type="dxa"/>
            <w:vAlign w:val="bottom"/>
            <w:shd w:val="clear" w:color="auto" w:fill="0000EE"/>
          </w:tcPr>
          <w:p>
            <w:pPr>
              <w:spacing w:after="0"/>
              <w:rPr>
                <w:sz w:val="2"/>
                <w:szCs w:val="2"/>
                <w:color w:val="auto"/>
              </w:rPr>
            </w:pPr>
          </w:p>
        </w:tc>
        <w:tc>
          <w:tcPr>
            <w:tcW w:w="320" w:type="dxa"/>
            <w:vAlign w:val="bottom"/>
            <w:tcBorders>
              <w:left w:val="single" w:sz="8" w:color="0000EE"/>
            </w:tcBorders>
            <w:gridSpan w:val="2"/>
            <w:shd w:val="clear" w:color="auto" w:fill="0000EE"/>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840" w:type="dxa"/>
            <w:vAlign w:val="bottom"/>
          </w:tcPr>
          <w:p>
            <w:pPr>
              <w:spacing w:after="0"/>
              <w:rPr>
                <w:sz w:val="2"/>
                <w:szCs w:val="2"/>
                <w:color w:val="auto"/>
              </w:rPr>
            </w:pPr>
          </w:p>
        </w:tc>
        <w:tc>
          <w:tcPr>
            <w:tcW w:w="608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shd w:val="clear" w:color="auto" w:fill="0000EE"/>
          </w:tcPr>
          <w:p>
            <w:pPr>
              <w:spacing w:after="0"/>
              <w:rPr>
                <w:sz w:val="2"/>
                <w:szCs w:val="2"/>
                <w:color w:val="auto"/>
              </w:rPr>
            </w:pPr>
          </w:p>
        </w:tc>
        <w:tc>
          <w:tcPr>
            <w:tcW w:w="40" w:type="dxa"/>
            <w:vAlign w:val="bottom"/>
          </w:tcPr>
          <w:p>
            <w:pPr>
              <w:spacing w:after="0"/>
              <w:rPr>
                <w:sz w:val="2"/>
                <w:szCs w:val="2"/>
                <w:color w:val="auto"/>
              </w:rPr>
            </w:pPr>
          </w:p>
        </w:tc>
        <w:tc>
          <w:tcPr>
            <w:tcW w:w="320" w:type="dxa"/>
            <w:vAlign w:val="bottom"/>
          </w:tcPr>
          <w:p>
            <w:pPr>
              <w:spacing w:after="0"/>
              <w:rPr>
                <w:sz w:val="2"/>
                <w:szCs w:val="2"/>
                <w:color w:val="auto"/>
              </w:rPr>
            </w:pPr>
          </w:p>
        </w:tc>
      </w:tr>
      <w:tr>
        <w:trPr>
          <w:trHeight w:val="257"/>
        </w:trPr>
        <w:tc>
          <w:tcPr>
            <w:tcW w:w="1460" w:type="dxa"/>
            <w:vAlign w:val="bottom"/>
            <w:gridSpan w:val="4"/>
          </w:tcPr>
          <w:p>
            <w:pPr>
              <w:spacing w:after="0"/>
              <w:rPr>
                <w:rFonts w:ascii="Arial" w:cs="Arial" w:eastAsia="Arial" w:hAnsi="Arial"/>
                <w:sz w:val="18"/>
                <w:szCs w:val="18"/>
                <w:color w:val="0000EE"/>
                <w:w w:val="89"/>
              </w:rPr>
            </w:pPr>
            <w:hyperlink w:anchor="page77">
              <w:r>
                <w:rPr>
                  <w:rFonts w:ascii="Arial" w:cs="Arial" w:eastAsia="Arial" w:hAnsi="Arial"/>
                  <w:sz w:val="18"/>
                  <w:szCs w:val="18"/>
                  <w:color w:val="0000EE"/>
                  <w:w w:val="89"/>
                </w:rPr>
                <w:t>Executive Summary</w:t>
              </w:r>
            </w:hyperlink>
          </w:p>
        </w:tc>
        <w:tc>
          <w:tcPr>
            <w:tcW w:w="3280" w:type="dxa"/>
            <w:vAlign w:val="bottom"/>
            <w:gridSpan w:val="9"/>
          </w:tcPr>
          <w:p>
            <w:pPr>
              <w:spacing w:after="0"/>
              <w:rPr>
                <w:sz w:val="22"/>
                <w:szCs w:val="22"/>
                <w:color w:val="auto"/>
              </w:rPr>
            </w:pPr>
          </w:p>
        </w:tc>
        <w:tc>
          <w:tcPr>
            <w:tcW w:w="6280" w:type="dxa"/>
            <w:vAlign w:val="bottom"/>
            <w:gridSpan w:val="4"/>
          </w:tcPr>
          <w:p>
            <w:pPr>
              <w:jc w:val="center"/>
              <w:ind w:left="6010"/>
              <w:spacing w:after="0"/>
              <w:rPr>
                <w:rFonts w:ascii="Arial" w:cs="Arial" w:eastAsia="Arial" w:hAnsi="Arial"/>
                <w:sz w:val="18"/>
                <w:szCs w:val="18"/>
                <w:color w:val="0000EE"/>
                <w:w w:val="89"/>
              </w:rPr>
            </w:pPr>
            <w:hyperlink w:anchor="page77">
              <w:r>
                <w:rPr>
                  <w:rFonts w:ascii="Arial" w:cs="Arial" w:eastAsia="Arial" w:hAnsi="Arial"/>
                  <w:sz w:val="18"/>
                  <w:szCs w:val="18"/>
                  <w:color w:val="0000EE"/>
                  <w:w w:val="89"/>
                </w:rPr>
                <w:t>75</w:t>
              </w:r>
            </w:hyperlink>
          </w:p>
        </w:tc>
        <w:tc>
          <w:tcPr>
            <w:tcW w:w="40" w:type="dxa"/>
            <w:vAlign w:val="bottom"/>
          </w:tcPr>
          <w:p>
            <w:pPr>
              <w:spacing w:after="0"/>
              <w:rPr>
                <w:sz w:val="22"/>
                <w:szCs w:val="22"/>
                <w:color w:val="auto"/>
              </w:rPr>
            </w:pPr>
          </w:p>
        </w:tc>
        <w:tc>
          <w:tcPr>
            <w:tcW w:w="320" w:type="dxa"/>
            <w:vAlign w:val="bottom"/>
          </w:tcPr>
          <w:p>
            <w:pPr>
              <w:spacing w:after="0"/>
              <w:rPr>
                <w:sz w:val="22"/>
                <w:szCs w:val="22"/>
                <w:color w:val="auto"/>
              </w:rPr>
            </w:pPr>
          </w:p>
        </w:tc>
      </w:tr>
      <w:tr>
        <w:trPr>
          <w:trHeight w:val="20"/>
        </w:trPr>
        <w:tc>
          <w:tcPr>
            <w:tcW w:w="820" w:type="dxa"/>
            <w:vAlign w:val="bottom"/>
            <w:shd w:val="clear" w:color="auto" w:fill="0000EE"/>
          </w:tcPr>
          <w:p>
            <w:pPr>
              <w:spacing w:after="0" w:line="20" w:lineRule="exact"/>
              <w:rPr>
                <w:sz w:val="1"/>
                <w:szCs w:val="1"/>
                <w:color w:val="auto"/>
              </w:rPr>
            </w:pPr>
          </w:p>
        </w:tc>
        <w:tc>
          <w:tcPr>
            <w:tcW w:w="320" w:type="dxa"/>
            <w:vAlign w:val="bottom"/>
            <w:tcBorders>
              <w:left w:val="single" w:sz="8" w:color="0000EE"/>
            </w:tcBorders>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0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250"/>
        </w:trPr>
        <w:tc>
          <w:tcPr>
            <w:tcW w:w="1140" w:type="dxa"/>
            <w:vAlign w:val="bottom"/>
            <w:gridSpan w:val="3"/>
          </w:tcPr>
          <w:p>
            <w:pPr>
              <w:spacing w:after="0"/>
              <w:rPr>
                <w:rFonts w:ascii="Arial" w:cs="Arial" w:eastAsia="Arial" w:hAnsi="Arial"/>
                <w:sz w:val="18"/>
                <w:szCs w:val="18"/>
                <w:color w:val="0000EE"/>
                <w:w w:val="89"/>
              </w:rPr>
            </w:pPr>
            <w:hyperlink w:anchor="page81">
              <w:r>
                <w:rPr>
                  <w:rFonts w:ascii="Arial" w:cs="Arial" w:eastAsia="Arial" w:hAnsi="Arial"/>
                  <w:sz w:val="18"/>
                  <w:szCs w:val="18"/>
                  <w:color w:val="0000EE"/>
                  <w:w w:val="89"/>
                </w:rPr>
                <w:t>Industry Trends</w:t>
              </w:r>
            </w:hyperlink>
          </w:p>
        </w:tc>
        <w:tc>
          <w:tcPr>
            <w:tcW w:w="320" w:type="dxa"/>
            <w:vAlign w:val="bottom"/>
          </w:tcPr>
          <w:p>
            <w:pPr>
              <w:spacing w:after="0"/>
              <w:rPr>
                <w:sz w:val="21"/>
                <w:szCs w:val="21"/>
                <w:color w:val="auto"/>
              </w:rPr>
            </w:pPr>
          </w:p>
        </w:tc>
        <w:tc>
          <w:tcPr>
            <w:tcW w:w="3280" w:type="dxa"/>
            <w:vAlign w:val="bottom"/>
            <w:gridSpan w:val="9"/>
          </w:tcPr>
          <w:p>
            <w:pPr>
              <w:spacing w:after="0"/>
              <w:rPr>
                <w:sz w:val="21"/>
                <w:szCs w:val="21"/>
                <w:color w:val="auto"/>
              </w:rPr>
            </w:pPr>
          </w:p>
        </w:tc>
        <w:tc>
          <w:tcPr>
            <w:tcW w:w="6280" w:type="dxa"/>
            <w:vAlign w:val="bottom"/>
            <w:gridSpan w:val="4"/>
          </w:tcPr>
          <w:p>
            <w:pPr>
              <w:jc w:val="center"/>
              <w:ind w:left="6010"/>
              <w:spacing w:after="0"/>
              <w:rPr>
                <w:rFonts w:ascii="Arial" w:cs="Arial" w:eastAsia="Arial" w:hAnsi="Arial"/>
                <w:sz w:val="18"/>
                <w:szCs w:val="18"/>
                <w:color w:val="0000EE"/>
                <w:w w:val="89"/>
              </w:rPr>
            </w:pPr>
            <w:hyperlink w:anchor="page81">
              <w:r>
                <w:rPr>
                  <w:rFonts w:ascii="Arial" w:cs="Arial" w:eastAsia="Arial" w:hAnsi="Arial"/>
                  <w:sz w:val="18"/>
                  <w:szCs w:val="18"/>
                  <w:color w:val="0000EE"/>
                  <w:w w:val="89"/>
                </w:rPr>
                <w:t>79</w:t>
              </w:r>
            </w:hyperlink>
          </w:p>
        </w:tc>
        <w:tc>
          <w:tcPr>
            <w:tcW w:w="40" w:type="dxa"/>
            <w:vAlign w:val="bottom"/>
          </w:tcPr>
          <w:p>
            <w:pPr>
              <w:spacing w:after="0"/>
              <w:rPr>
                <w:sz w:val="21"/>
                <w:szCs w:val="21"/>
                <w:color w:val="auto"/>
              </w:rPr>
            </w:pPr>
          </w:p>
        </w:tc>
        <w:tc>
          <w:tcPr>
            <w:tcW w:w="320" w:type="dxa"/>
            <w:vAlign w:val="bottom"/>
          </w:tcPr>
          <w:p>
            <w:pPr>
              <w:spacing w:after="0"/>
              <w:rPr>
                <w:sz w:val="21"/>
                <w:szCs w:val="21"/>
                <w:color w:val="auto"/>
              </w:rPr>
            </w:pPr>
          </w:p>
        </w:tc>
      </w:tr>
      <w:tr>
        <w:trPr>
          <w:trHeight w:val="20"/>
        </w:trPr>
        <w:tc>
          <w:tcPr>
            <w:tcW w:w="820" w:type="dxa"/>
            <w:vAlign w:val="bottom"/>
            <w:shd w:val="clear" w:color="auto" w:fill="0000EE"/>
          </w:tcPr>
          <w:p>
            <w:pPr>
              <w:spacing w:after="0" w:line="20" w:lineRule="exact"/>
              <w:rPr>
                <w:sz w:val="1"/>
                <w:szCs w:val="1"/>
                <w:color w:val="auto"/>
              </w:rPr>
            </w:pPr>
          </w:p>
        </w:tc>
        <w:tc>
          <w:tcPr>
            <w:tcW w:w="320" w:type="dxa"/>
            <w:vAlign w:val="bottom"/>
            <w:tcBorders>
              <w:left w:val="single" w:sz="8" w:color="0000EE"/>
            </w:tcBorders>
            <w:gridSpan w:val="2"/>
            <w:shd w:val="clear" w:color="auto" w:fill="0000EE"/>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0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250"/>
        </w:trPr>
        <w:tc>
          <w:tcPr>
            <w:tcW w:w="4740" w:type="dxa"/>
            <w:vAlign w:val="bottom"/>
            <w:gridSpan w:val="13"/>
          </w:tcPr>
          <w:p>
            <w:pPr>
              <w:spacing w:after="0"/>
              <w:rPr>
                <w:rFonts w:ascii="Arial" w:cs="Arial" w:eastAsia="Arial" w:hAnsi="Arial"/>
                <w:sz w:val="18"/>
                <w:szCs w:val="18"/>
                <w:color w:val="0000EE"/>
              </w:rPr>
            </w:pPr>
            <w:hyperlink w:anchor="page85">
              <w:r>
                <w:rPr>
                  <w:rFonts w:ascii="Arial" w:cs="Arial" w:eastAsia="Arial" w:hAnsi="Arial"/>
                  <w:sz w:val="18"/>
                  <w:szCs w:val="18"/>
                  <w:color w:val="0000EE"/>
                </w:rPr>
                <w:t>Summary of Critical Accounting Estimates</w:t>
              </w:r>
            </w:hyperlink>
          </w:p>
        </w:tc>
        <w:tc>
          <w:tcPr>
            <w:tcW w:w="6280" w:type="dxa"/>
            <w:vAlign w:val="bottom"/>
            <w:gridSpan w:val="4"/>
          </w:tcPr>
          <w:p>
            <w:pPr>
              <w:jc w:val="center"/>
              <w:ind w:left="6010"/>
              <w:spacing w:after="0"/>
              <w:rPr>
                <w:rFonts w:ascii="Arial" w:cs="Arial" w:eastAsia="Arial" w:hAnsi="Arial"/>
                <w:sz w:val="18"/>
                <w:szCs w:val="18"/>
                <w:color w:val="0000EE"/>
                <w:w w:val="89"/>
              </w:rPr>
            </w:pPr>
            <w:hyperlink w:anchor="page85">
              <w:r>
                <w:rPr>
                  <w:rFonts w:ascii="Arial" w:cs="Arial" w:eastAsia="Arial" w:hAnsi="Arial"/>
                  <w:sz w:val="18"/>
                  <w:szCs w:val="18"/>
                  <w:color w:val="0000EE"/>
                  <w:w w:val="89"/>
                </w:rPr>
                <w:t>83</w:t>
              </w:r>
            </w:hyperlink>
          </w:p>
        </w:tc>
        <w:tc>
          <w:tcPr>
            <w:tcW w:w="40" w:type="dxa"/>
            <w:vAlign w:val="bottom"/>
          </w:tcPr>
          <w:p>
            <w:pPr>
              <w:spacing w:after="0"/>
              <w:rPr>
                <w:sz w:val="21"/>
                <w:szCs w:val="21"/>
                <w:color w:val="auto"/>
              </w:rPr>
            </w:pPr>
          </w:p>
        </w:tc>
        <w:tc>
          <w:tcPr>
            <w:tcW w:w="320" w:type="dxa"/>
            <w:vAlign w:val="bottom"/>
          </w:tcPr>
          <w:p>
            <w:pPr>
              <w:spacing w:after="0"/>
              <w:rPr>
                <w:sz w:val="21"/>
                <w:szCs w:val="21"/>
                <w:color w:val="auto"/>
              </w:rPr>
            </w:pPr>
          </w:p>
        </w:tc>
      </w:tr>
      <w:tr>
        <w:trPr>
          <w:trHeight w:val="20"/>
        </w:trPr>
        <w:tc>
          <w:tcPr>
            <w:tcW w:w="820" w:type="dxa"/>
            <w:vAlign w:val="bottom"/>
            <w:shd w:val="clear" w:color="auto" w:fill="0000EE"/>
          </w:tcPr>
          <w:p>
            <w:pPr>
              <w:spacing w:after="0" w:line="20" w:lineRule="exact"/>
              <w:rPr>
                <w:sz w:val="1"/>
                <w:szCs w:val="1"/>
                <w:color w:val="auto"/>
              </w:rPr>
            </w:pPr>
          </w:p>
        </w:tc>
        <w:tc>
          <w:tcPr>
            <w:tcW w:w="740" w:type="dxa"/>
            <w:vAlign w:val="bottom"/>
            <w:tcBorders>
              <w:left w:val="single" w:sz="8" w:color="0000EE"/>
            </w:tcBorders>
            <w:gridSpan w:val="4"/>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78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0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250"/>
        </w:trPr>
        <w:tc>
          <w:tcPr>
            <w:tcW w:w="3220" w:type="dxa"/>
            <w:vAlign w:val="bottom"/>
            <w:gridSpan w:val="9"/>
          </w:tcPr>
          <w:p>
            <w:pPr>
              <w:spacing w:after="0"/>
              <w:rPr>
                <w:rFonts w:ascii="Arial" w:cs="Arial" w:eastAsia="Arial" w:hAnsi="Arial"/>
                <w:sz w:val="18"/>
                <w:szCs w:val="18"/>
                <w:color w:val="0000EE"/>
                <w:w w:val="91"/>
              </w:rPr>
            </w:pPr>
            <w:hyperlink w:anchor="page86">
              <w:r>
                <w:rPr>
                  <w:rFonts w:ascii="Arial" w:cs="Arial" w:eastAsia="Arial" w:hAnsi="Arial"/>
                  <w:sz w:val="18"/>
                  <w:szCs w:val="18"/>
                  <w:color w:val="0000EE"/>
                  <w:w w:val="91"/>
                </w:rPr>
                <w:t>Non-GAAP and Other Financial Disclosures</w:t>
              </w:r>
            </w:hyperlink>
          </w:p>
        </w:tc>
        <w:tc>
          <w:tcPr>
            <w:tcW w:w="1520" w:type="dxa"/>
            <w:vAlign w:val="bottom"/>
            <w:gridSpan w:val="4"/>
          </w:tcPr>
          <w:p>
            <w:pPr>
              <w:spacing w:after="0"/>
              <w:rPr>
                <w:sz w:val="21"/>
                <w:szCs w:val="21"/>
                <w:color w:val="auto"/>
              </w:rPr>
            </w:pPr>
          </w:p>
        </w:tc>
        <w:tc>
          <w:tcPr>
            <w:tcW w:w="6280" w:type="dxa"/>
            <w:vAlign w:val="bottom"/>
            <w:gridSpan w:val="4"/>
          </w:tcPr>
          <w:p>
            <w:pPr>
              <w:jc w:val="center"/>
              <w:ind w:left="6010"/>
              <w:spacing w:after="0"/>
              <w:rPr>
                <w:rFonts w:ascii="Arial" w:cs="Arial" w:eastAsia="Arial" w:hAnsi="Arial"/>
                <w:sz w:val="18"/>
                <w:szCs w:val="18"/>
                <w:color w:val="0000EE"/>
                <w:w w:val="89"/>
              </w:rPr>
            </w:pPr>
            <w:hyperlink w:anchor="page86">
              <w:r>
                <w:rPr>
                  <w:rFonts w:ascii="Arial" w:cs="Arial" w:eastAsia="Arial" w:hAnsi="Arial"/>
                  <w:sz w:val="18"/>
                  <w:szCs w:val="18"/>
                  <w:color w:val="0000EE"/>
                  <w:w w:val="89"/>
                </w:rPr>
                <w:t>84</w:t>
              </w:r>
            </w:hyperlink>
          </w:p>
        </w:tc>
        <w:tc>
          <w:tcPr>
            <w:tcW w:w="40" w:type="dxa"/>
            <w:vAlign w:val="bottom"/>
          </w:tcPr>
          <w:p>
            <w:pPr>
              <w:spacing w:after="0"/>
              <w:rPr>
                <w:sz w:val="21"/>
                <w:szCs w:val="21"/>
                <w:color w:val="auto"/>
              </w:rPr>
            </w:pPr>
          </w:p>
        </w:tc>
        <w:tc>
          <w:tcPr>
            <w:tcW w:w="320" w:type="dxa"/>
            <w:vAlign w:val="bottom"/>
          </w:tcPr>
          <w:p>
            <w:pPr>
              <w:spacing w:after="0"/>
              <w:rPr>
                <w:sz w:val="21"/>
                <w:szCs w:val="21"/>
                <w:color w:val="auto"/>
              </w:rPr>
            </w:pPr>
          </w:p>
        </w:tc>
      </w:tr>
      <w:tr>
        <w:trPr>
          <w:trHeight w:val="20"/>
        </w:trPr>
        <w:tc>
          <w:tcPr>
            <w:tcW w:w="820" w:type="dxa"/>
            <w:vAlign w:val="bottom"/>
            <w:shd w:val="clear" w:color="auto" w:fill="0000EE"/>
          </w:tcPr>
          <w:p>
            <w:pPr>
              <w:spacing w:after="0" w:line="20" w:lineRule="exact"/>
              <w:rPr>
                <w:sz w:val="1"/>
                <w:szCs w:val="1"/>
                <w:color w:val="auto"/>
              </w:rPr>
            </w:pPr>
          </w:p>
        </w:tc>
        <w:tc>
          <w:tcPr>
            <w:tcW w:w="740" w:type="dxa"/>
            <w:vAlign w:val="bottom"/>
            <w:tcBorders>
              <w:left w:val="single" w:sz="8" w:color="0000EE"/>
            </w:tcBorders>
            <w:gridSpan w:val="4"/>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900" w:type="dxa"/>
            <w:vAlign w:val="bottom"/>
            <w:tcBorders>
              <w:left w:val="single" w:sz="8" w:color="0000EE"/>
            </w:tcBorders>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0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250"/>
        </w:trPr>
        <w:tc>
          <w:tcPr>
            <w:tcW w:w="1560" w:type="dxa"/>
            <w:vAlign w:val="bottom"/>
            <w:gridSpan w:val="5"/>
          </w:tcPr>
          <w:p>
            <w:pPr>
              <w:spacing w:after="0"/>
              <w:rPr>
                <w:rFonts w:ascii="Arial" w:cs="Arial" w:eastAsia="Arial" w:hAnsi="Arial"/>
                <w:sz w:val="18"/>
                <w:szCs w:val="18"/>
                <w:color w:val="0000EE"/>
                <w:w w:val="88"/>
              </w:rPr>
            </w:pPr>
            <w:hyperlink w:anchor="page89">
              <w:r>
                <w:rPr>
                  <w:rFonts w:ascii="Arial" w:cs="Arial" w:eastAsia="Arial" w:hAnsi="Arial"/>
                  <w:sz w:val="18"/>
                  <w:szCs w:val="18"/>
                  <w:color w:val="0000EE"/>
                  <w:w w:val="88"/>
                </w:rPr>
                <w:t>Results of Operations</w:t>
              </w:r>
            </w:hyperlink>
          </w:p>
        </w:tc>
        <w:tc>
          <w:tcPr>
            <w:tcW w:w="1660" w:type="dxa"/>
            <w:vAlign w:val="bottom"/>
            <w:gridSpan w:val="4"/>
          </w:tcPr>
          <w:p>
            <w:pPr>
              <w:spacing w:after="0"/>
              <w:rPr>
                <w:sz w:val="21"/>
                <w:szCs w:val="21"/>
                <w:color w:val="auto"/>
              </w:rPr>
            </w:pPr>
          </w:p>
        </w:tc>
        <w:tc>
          <w:tcPr>
            <w:tcW w:w="1520" w:type="dxa"/>
            <w:vAlign w:val="bottom"/>
            <w:gridSpan w:val="4"/>
          </w:tcPr>
          <w:p>
            <w:pPr>
              <w:spacing w:after="0"/>
              <w:rPr>
                <w:sz w:val="21"/>
                <w:szCs w:val="21"/>
                <w:color w:val="auto"/>
              </w:rPr>
            </w:pPr>
          </w:p>
        </w:tc>
        <w:tc>
          <w:tcPr>
            <w:tcW w:w="6280" w:type="dxa"/>
            <w:vAlign w:val="bottom"/>
            <w:gridSpan w:val="4"/>
          </w:tcPr>
          <w:p>
            <w:pPr>
              <w:jc w:val="center"/>
              <w:ind w:left="6010"/>
              <w:spacing w:after="0"/>
              <w:rPr>
                <w:rFonts w:ascii="Arial" w:cs="Arial" w:eastAsia="Arial" w:hAnsi="Arial"/>
                <w:sz w:val="18"/>
                <w:szCs w:val="18"/>
                <w:color w:val="0000EE"/>
                <w:w w:val="89"/>
              </w:rPr>
            </w:pPr>
            <w:hyperlink w:anchor="page89">
              <w:r>
                <w:rPr>
                  <w:rFonts w:ascii="Arial" w:cs="Arial" w:eastAsia="Arial" w:hAnsi="Arial"/>
                  <w:sz w:val="18"/>
                  <w:szCs w:val="18"/>
                  <w:color w:val="0000EE"/>
                  <w:w w:val="89"/>
                </w:rPr>
                <w:t>87</w:t>
              </w:r>
            </w:hyperlink>
          </w:p>
        </w:tc>
        <w:tc>
          <w:tcPr>
            <w:tcW w:w="40" w:type="dxa"/>
            <w:vAlign w:val="bottom"/>
          </w:tcPr>
          <w:p>
            <w:pPr>
              <w:spacing w:after="0"/>
              <w:rPr>
                <w:sz w:val="21"/>
                <w:szCs w:val="21"/>
                <w:color w:val="auto"/>
              </w:rPr>
            </w:pPr>
          </w:p>
        </w:tc>
        <w:tc>
          <w:tcPr>
            <w:tcW w:w="320" w:type="dxa"/>
            <w:vAlign w:val="bottom"/>
          </w:tcPr>
          <w:p>
            <w:pPr>
              <w:spacing w:after="0"/>
              <w:rPr>
                <w:sz w:val="21"/>
                <w:szCs w:val="21"/>
                <w:color w:val="auto"/>
              </w:rPr>
            </w:pPr>
          </w:p>
        </w:tc>
      </w:tr>
      <w:tr>
        <w:trPr>
          <w:trHeight w:val="20"/>
        </w:trPr>
        <w:tc>
          <w:tcPr>
            <w:tcW w:w="820" w:type="dxa"/>
            <w:vAlign w:val="bottom"/>
            <w:shd w:val="clear" w:color="auto" w:fill="0000EE"/>
          </w:tcPr>
          <w:p>
            <w:pPr>
              <w:spacing w:after="0" w:line="20" w:lineRule="exact"/>
              <w:rPr>
                <w:sz w:val="1"/>
                <w:szCs w:val="1"/>
                <w:color w:val="auto"/>
              </w:rPr>
            </w:pPr>
          </w:p>
        </w:tc>
        <w:tc>
          <w:tcPr>
            <w:tcW w:w="740" w:type="dxa"/>
            <w:vAlign w:val="bottom"/>
            <w:tcBorders>
              <w:left w:val="single" w:sz="8" w:color="0000EE"/>
            </w:tcBorders>
            <w:gridSpan w:val="4"/>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8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0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250"/>
        </w:trPr>
        <w:tc>
          <w:tcPr>
            <w:tcW w:w="1560" w:type="dxa"/>
            <w:vAlign w:val="bottom"/>
            <w:gridSpan w:val="5"/>
          </w:tcPr>
          <w:p>
            <w:pPr>
              <w:spacing w:after="0"/>
              <w:rPr>
                <w:rFonts w:ascii="Arial" w:cs="Arial" w:eastAsia="Arial" w:hAnsi="Arial"/>
                <w:sz w:val="18"/>
                <w:szCs w:val="18"/>
                <w:color w:val="0000EE"/>
              </w:rPr>
            </w:pPr>
            <w:hyperlink w:anchor="page106">
              <w:r>
                <w:rPr>
                  <w:rFonts w:ascii="Arial" w:cs="Arial" w:eastAsia="Arial" w:hAnsi="Arial"/>
                  <w:sz w:val="18"/>
                  <w:szCs w:val="18"/>
                  <w:color w:val="0000EE"/>
                </w:rPr>
                <w:t>Investments</w:t>
              </w:r>
            </w:hyperlink>
          </w:p>
        </w:tc>
        <w:tc>
          <w:tcPr>
            <w:tcW w:w="3180" w:type="dxa"/>
            <w:vAlign w:val="bottom"/>
            <w:gridSpan w:val="8"/>
          </w:tcPr>
          <w:p>
            <w:pPr>
              <w:spacing w:after="0"/>
              <w:rPr>
                <w:sz w:val="21"/>
                <w:szCs w:val="21"/>
                <w:color w:val="auto"/>
              </w:rPr>
            </w:pPr>
          </w:p>
        </w:tc>
        <w:tc>
          <w:tcPr>
            <w:tcW w:w="6640" w:type="dxa"/>
            <w:vAlign w:val="bottom"/>
            <w:gridSpan w:val="6"/>
          </w:tcPr>
          <w:p>
            <w:pPr>
              <w:jc w:val="center"/>
              <w:ind w:left="5650"/>
              <w:spacing w:after="0"/>
              <w:rPr>
                <w:rFonts w:ascii="Arial" w:cs="Arial" w:eastAsia="Arial" w:hAnsi="Arial"/>
                <w:sz w:val="18"/>
                <w:szCs w:val="18"/>
                <w:color w:val="0000EE"/>
                <w:w w:val="86"/>
              </w:rPr>
            </w:pPr>
            <w:hyperlink w:anchor="page106">
              <w:r>
                <w:rPr>
                  <w:rFonts w:ascii="Arial" w:cs="Arial" w:eastAsia="Arial" w:hAnsi="Arial"/>
                  <w:sz w:val="18"/>
                  <w:szCs w:val="18"/>
                  <w:color w:val="0000EE"/>
                  <w:w w:val="86"/>
                </w:rPr>
                <w:t>104</w:t>
              </w:r>
            </w:hyperlink>
          </w:p>
        </w:tc>
      </w:tr>
      <w:tr>
        <w:trPr>
          <w:trHeight w:val="20"/>
        </w:trPr>
        <w:tc>
          <w:tcPr>
            <w:tcW w:w="820" w:type="dxa"/>
            <w:vAlign w:val="bottom"/>
            <w:shd w:val="clear" w:color="auto" w:fill="0000EE"/>
          </w:tcPr>
          <w:p>
            <w:pPr>
              <w:spacing w:after="0" w:line="20" w:lineRule="exact"/>
              <w:rPr>
                <w:sz w:val="1"/>
                <w:szCs w:val="1"/>
                <w:color w:val="auto"/>
              </w:rPr>
            </w:pPr>
          </w:p>
        </w:tc>
        <w:tc>
          <w:tcPr>
            <w:tcW w:w="860" w:type="dxa"/>
            <w:vAlign w:val="bottom"/>
            <w:tcBorders>
              <w:left w:val="single" w:sz="8" w:color="0000EE"/>
            </w:tcBorders>
            <w:gridSpan w:val="5"/>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8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080" w:type="dxa"/>
            <w:vAlign w:val="bottom"/>
            <w:tcBorders>
              <w:right w:val="single" w:sz="8" w:color="0000EE"/>
            </w:tcBorders>
            <w:gridSpan w:val="2"/>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320" w:type="dxa"/>
            <w:vAlign w:val="bottom"/>
            <w:tcBorders>
              <w:left w:val="single" w:sz="8" w:color="0000EE"/>
            </w:tcBorders>
          </w:tcPr>
          <w:p>
            <w:pPr>
              <w:spacing w:after="0" w:line="20" w:lineRule="exact"/>
              <w:rPr>
                <w:sz w:val="1"/>
                <w:szCs w:val="1"/>
                <w:color w:val="auto"/>
              </w:rPr>
            </w:pPr>
          </w:p>
        </w:tc>
      </w:tr>
      <w:tr>
        <w:trPr>
          <w:trHeight w:val="250"/>
        </w:trPr>
        <w:tc>
          <w:tcPr>
            <w:tcW w:w="820" w:type="dxa"/>
            <w:vAlign w:val="bottom"/>
          </w:tcPr>
          <w:p>
            <w:pPr>
              <w:spacing w:after="0"/>
              <w:rPr>
                <w:rFonts w:ascii="Arial" w:cs="Arial" w:eastAsia="Arial" w:hAnsi="Arial"/>
                <w:sz w:val="18"/>
                <w:szCs w:val="18"/>
                <w:color w:val="0000EE"/>
                <w:w w:val="87"/>
              </w:rPr>
            </w:pPr>
            <w:hyperlink w:anchor="page119">
              <w:r>
                <w:rPr>
                  <w:rFonts w:ascii="Arial" w:cs="Arial" w:eastAsia="Arial" w:hAnsi="Arial"/>
                  <w:sz w:val="18"/>
                  <w:szCs w:val="18"/>
                  <w:color w:val="0000EE"/>
                  <w:w w:val="87"/>
                </w:rPr>
                <w:t>Derivatives</w:t>
              </w:r>
            </w:hyperlink>
          </w:p>
        </w:tc>
        <w:tc>
          <w:tcPr>
            <w:tcW w:w="3920" w:type="dxa"/>
            <w:vAlign w:val="bottom"/>
            <w:gridSpan w:val="12"/>
          </w:tcPr>
          <w:p>
            <w:pPr>
              <w:spacing w:after="0"/>
              <w:rPr>
                <w:sz w:val="21"/>
                <w:szCs w:val="21"/>
                <w:color w:val="auto"/>
              </w:rPr>
            </w:pPr>
          </w:p>
        </w:tc>
        <w:tc>
          <w:tcPr>
            <w:tcW w:w="6320" w:type="dxa"/>
            <w:vAlign w:val="bottom"/>
            <w:gridSpan w:val="5"/>
          </w:tcPr>
          <w:p>
            <w:pPr>
              <w:jc w:val="center"/>
              <w:ind w:left="5970"/>
              <w:spacing w:after="0"/>
              <w:rPr>
                <w:rFonts w:ascii="Arial" w:cs="Arial" w:eastAsia="Arial" w:hAnsi="Arial"/>
                <w:sz w:val="18"/>
                <w:szCs w:val="18"/>
                <w:color w:val="0000EE"/>
                <w:w w:val="86"/>
              </w:rPr>
            </w:pPr>
            <w:hyperlink w:anchor="page119">
              <w:r>
                <w:rPr>
                  <w:rFonts w:ascii="Arial" w:cs="Arial" w:eastAsia="Arial" w:hAnsi="Arial"/>
                  <w:sz w:val="18"/>
                  <w:szCs w:val="18"/>
                  <w:color w:val="0000EE"/>
                  <w:w w:val="86"/>
                </w:rPr>
                <w:t>117</w:t>
              </w:r>
            </w:hyperlink>
          </w:p>
        </w:tc>
        <w:tc>
          <w:tcPr>
            <w:tcW w:w="320" w:type="dxa"/>
            <w:vAlign w:val="bottom"/>
          </w:tcPr>
          <w:p>
            <w:pPr>
              <w:spacing w:after="0"/>
              <w:rPr>
                <w:sz w:val="21"/>
                <w:szCs w:val="21"/>
                <w:color w:val="auto"/>
              </w:rPr>
            </w:pPr>
          </w:p>
        </w:tc>
      </w:tr>
      <w:tr>
        <w:trPr>
          <w:trHeight w:val="20"/>
        </w:trPr>
        <w:tc>
          <w:tcPr>
            <w:tcW w:w="820" w:type="dxa"/>
            <w:vAlign w:val="bottom"/>
            <w:shd w:val="clear" w:color="auto" w:fill="0000EE"/>
          </w:tcPr>
          <w:p>
            <w:pPr>
              <w:spacing w:after="0" w:line="20" w:lineRule="exact"/>
              <w:rPr>
                <w:sz w:val="1"/>
                <w:szCs w:val="1"/>
                <w:color w:val="auto"/>
              </w:rPr>
            </w:pPr>
          </w:p>
        </w:tc>
        <w:tc>
          <w:tcPr>
            <w:tcW w:w="860" w:type="dxa"/>
            <w:vAlign w:val="bottom"/>
            <w:gridSpan w:val="5"/>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8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080" w:type="dxa"/>
            <w:vAlign w:val="bottom"/>
            <w:gridSpan w:val="2"/>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250"/>
        </w:trPr>
        <w:tc>
          <w:tcPr>
            <w:tcW w:w="2320" w:type="dxa"/>
            <w:vAlign w:val="bottom"/>
            <w:gridSpan w:val="7"/>
          </w:tcPr>
          <w:p>
            <w:pPr>
              <w:spacing w:after="0"/>
              <w:rPr>
                <w:rFonts w:ascii="Arial" w:cs="Arial" w:eastAsia="Arial" w:hAnsi="Arial"/>
                <w:sz w:val="18"/>
                <w:szCs w:val="18"/>
                <w:color w:val="0000EE"/>
                <w:w w:val="86"/>
              </w:rPr>
            </w:pPr>
            <w:hyperlink w:anchor="page121">
              <w:r>
                <w:rPr>
                  <w:rFonts w:ascii="Arial" w:cs="Arial" w:eastAsia="Arial" w:hAnsi="Arial"/>
                  <w:sz w:val="18"/>
                  <w:szCs w:val="18"/>
                  <w:color w:val="0000EE"/>
                  <w:w w:val="86"/>
                </w:rPr>
                <w:t>Off Balance Sheet Arrangements</w:t>
              </w:r>
            </w:hyperlink>
          </w:p>
        </w:tc>
        <w:tc>
          <w:tcPr>
            <w:tcW w:w="2420" w:type="dxa"/>
            <w:vAlign w:val="bottom"/>
            <w:gridSpan w:val="6"/>
          </w:tcPr>
          <w:p>
            <w:pPr>
              <w:spacing w:after="0"/>
              <w:rPr>
                <w:sz w:val="21"/>
                <w:szCs w:val="21"/>
                <w:color w:val="auto"/>
              </w:rPr>
            </w:pPr>
          </w:p>
        </w:tc>
        <w:tc>
          <w:tcPr>
            <w:tcW w:w="6320" w:type="dxa"/>
            <w:vAlign w:val="bottom"/>
            <w:gridSpan w:val="5"/>
          </w:tcPr>
          <w:p>
            <w:pPr>
              <w:jc w:val="center"/>
              <w:ind w:left="5970"/>
              <w:spacing w:after="0"/>
              <w:rPr>
                <w:rFonts w:ascii="Arial" w:cs="Arial" w:eastAsia="Arial" w:hAnsi="Arial"/>
                <w:sz w:val="18"/>
                <w:szCs w:val="18"/>
                <w:color w:val="0000EE"/>
                <w:w w:val="86"/>
              </w:rPr>
            </w:pPr>
            <w:hyperlink w:anchor="page121">
              <w:r>
                <w:rPr>
                  <w:rFonts w:ascii="Arial" w:cs="Arial" w:eastAsia="Arial" w:hAnsi="Arial"/>
                  <w:sz w:val="18"/>
                  <w:szCs w:val="18"/>
                  <w:color w:val="0000EE"/>
                  <w:w w:val="86"/>
                </w:rPr>
                <w:t>119</w:t>
              </w:r>
            </w:hyperlink>
          </w:p>
        </w:tc>
        <w:tc>
          <w:tcPr>
            <w:tcW w:w="320" w:type="dxa"/>
            <w:vAlign w:val="bottom"/>
          </w:tcPr>
          <w:p>
            <w:pPr>
              <w:spacing w:after="0"/>
              <w:rPr>
                <w:sz w:val="21"/>
                <w:szCs w:val="21"/>
                <w:color w:val="auto"/>
              </w:rPr>
            </w:pPr>
          </w:p>
        </w:tc>
      </w:tr>
      <w:tr>
        <w:trPr>
          <w:trHeight w:val="20"/>
        </w:trPr>
        <w:tc>
          <w:tcPr>
            <w:tcW w:w="1680" w:type="dxa"/>
            <w:vAlign w:val="bottom"/>
            <w:gridSpan w:val="6"/>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980" w:type="dxa"/>
            <w:vAlign w:val="bottom"/>
            <w:tcBorders>
              <w:left w:val="single" w:sz="8" w:color="0000EE"/>
            </w:tcBorders>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080" w:type="dxa"/>
            <w:vAlign w:val="bottom"/>
            <w:gridSpan w:val="2"/>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250"/>
        </w:trPr>
        <w:tc>
          <w:tcPr>
            <w:tcW w:w="2320" w:type="dxa"/>
            <w:vAlign w:val="bottom"/>
            <w:gridSpan w:val="7"/>
          </w:tcPr>
          <w:p>
            <w:pPr>
              <w:spacing w:after="0"/>
              <w:rPr>
                <w:rFonts w:ascii="Arial" w:cs="Arial" w:eastAsia="Arial" w:hAnsi="Arial"/>
                <w:sz w:val="18"/>
                <w:szCs w:val="18"/>
                <w:color w:val="0000EE"/>
              </w:rPr>
            </w:pPr>
            <w:hyperlink w:anchor="page121">
              <w:r>
                <w:rPr>
                  <w:rFonts w:ascii="Arial" w:cs="Arial" w:eastAsia="Arial" w:hAnsi="Arial"/>
                  <w:sz w:val="18"/>
                  <w:szCs w:val="18"/>
                  <w:color w:val="0000EE"/>
                </w:rPr>
                <w:t>Policyholder Liabilities</w:t>
              </w:r>
            </w:hyperlink>
          </w:p>
        </w:tc>
        <w:tc>
          <w:tcPr>
            <w:tcW w:w="2420" w:type="dxa"/>
            <w:vAlign w:val="bottom"/>
            <w:gridSpan w:val="6"/>
          </w:tcPr>
          <w:p>
            <w:pPr>
              <w:spacing w:after="0"/>
              <w:rPr>
                <w:sz w:val="21"/>
                <w:szCs w:val="21"/>
                <w:color w:val="auto"/>
              </w:rPr>
            </w:pPr>
          </w:p>
        </w:tc>
        <w:tc>
          <w:tcPr>
            <w:tcW w:w="6320" w:type="dxa"/>
            <w:vAlign w:val="bottom"/>
            <w:gridSpan w:val="5"/>
          </w:tcPr>
          <w:p>
            <w:pPr>
              <w:jc w:val="center"/>
              <w:ind w:left="5970"/>
              <w:spacing w:after="0"/>
              <w:rPr>
                <w:rFonts w:ascii="Arial" w:cs="Arial" w:eastAsia="Arial" w:hAnsi="Arial"/>
                <w:sz w:val="18"/>
                <w:szCs w:val="18"/>
                <w:color w:val="0000EE"/>
                <w:w w:val="86"/>
              </w:rPr>
            </w:pPr>
            <w:hyperlink w:anchor="page121">
              <w:r>
                <w:rPr>
                  <w:rFonts w:ascii="Arial" w:cs="Arial" w:eastAsia="Arial" w:hAnsi="Arial"/>
                  <w:sz w:val="18"/>
                  <w:szCs w:val="18"/>
                  <w:color w:val="0000EE"/>
                  <w:w w:val="86"/>
                </w:rPr>
                <w:t>119</w:t>
              </w:r>
            </w:hyperlink>
          </w:p>
        </w:tc>
        <w:tc>
          <w:tcPr>
            <w:tcW w:w="320" w:type="dxa"/>
            <w:vAlign w:val="bottom"/>
          </w:tcPr>
          <w:p>
            <w:pPr>
              <w:spacing w:after="0"/>
              <w:rPr>
                <w:sz w:val="21"/>
                <w:szCs w:val="21"/>
                <w:color w:val="auto"/>
              </w:rPr>
            </w:pPr>
          </w:p>
        </w:tc>
      </w:tr>
      <w:tr>
        <w:trPr>
          <w:trHeight w:val="20"/>
        </w:trPr>
        <w:tc>
          <w:tcPr>
            <w:tcW w:w="1680" w:type="dxa"/>
            <w:vAlign w:val="bottom"/>
            <w:gridSpan w:val="6"/>
            <w:shd w:val="clear" w:color="auto" w:fill="0000EE"/>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8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080" w:type="dxa"/>
            <w:vAlign w:val="bottom"/>
            <w:gridSpan w:val="2"/>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250"/>
        </w:trPr>
        <w:tc>
          <w:tcPr>
            <w:tcW w:w="2320" w:type="dxa"/>
            <w:vAlign w:val="bottom"/>
            <w:gridSpan w:val="7"/>
          </w:tcPr>
          <w:p>
            <w:pPr>
              <w:spacing w:after="0"/>
              <w:rPr>
                <w:rFonts w:ascii="Arial" w:cs="Arial" w:eastAsia="Arial" w:hAnsi="Arial"/>
                <w:sz w:val="18"/>
                <w:szCs w:val="18"/>
                <w:color w:val="0000EE"/>
                <w:w w:val="90"/>
              </w:rPr>
            </w:pPr>
            <w:hyperlink w:anchor="page124">
              <w:r>
                <w:rPr>
                  <w:rFonts w:ascii="Arial" w:cs="Arial" w:eastAsia="Arial" w:hAnsi="Arial"/>
                  <w:sz w:val="18"/>
                  <w:szCs w:val="18"/>
                  <w:color w:val="0000EE"/>
                  <w:w w:val="90"/>
                </w:rPr>
                <w:t>Liquidity and Capital Resources</w:t>
              </w:r>
            </w:hyperlink>
          </w:p>
        </w:tc>
        <w:tc>
          <w:tcPr>
            <w:tcW w:w="2420" w:type="dxa"/>
            <w:vAlign w:val="bottom"/>
            <w:gridSpan w:val="6"/>
          </w:tcPr>
          <w:p>
            <w:pPr>
              <w:spacing w:after="0"/>
              <w:rPr>
                <w:sz w:val="21"/>
                <w:szCs w:val="21"/>
                <w:color w:val="auto"/>
              </w:rPr>
            </w:pPr>
          </w:p>
        </w:tc>
        <w:tc>
          <w:tcPr>
            <w:tcW w:w="6640" w:type="dxa"/>
            <w:vAlign w:val="bottom"/>
            <w:gridSpan w:val="6"/>
          </w:tcPr>
          <w:p>
            <w:pPr>
              <w:jc w:val="center"/>
              <w:ind w:left="5650"/>
              <w:spacing w:after="0"/>
              <w:rPr>
                <w:rFonts w:ascii="Arial" w:cs="Arial" w:eastAsia="Arial" w:hAnsi="Arial"/>
                <w:sz w:val="18"/>
                <w:szCs w:val="18"/>
                <w:color w:val="0000EE"/>
                <w:w w:val="86"/>
              </w:rPr>
            </w:pPr>
            <w:hyperlink w:anchor="page124">
              <w:r>
                <w:rPr>
                  <w:rFonts w:ascii="Arial" w:cs="Arial" w:eastAsia="Arial" w:hAnsi="Arial"/>
                  <w:sz w:val="18"/>
                  <w:szCs w:val="18"/>
                  <w:color w:val="0000EE"/>
                  <w:w w:val="86"/>
                </w:rPr>
                <w:t>122</w:t>
              </w:r>
            </w:hyperlink>
          </w:p>
        </w:tc>
      </w:tr>
      <w:tr>
        <w:trPr>
          <w:trHeight w:val="20"/>
        </w:trPr>
        <w:tc>
          <w:tcPr>
            <w:tcW w:w="2320" w:type="dxa"/>
            <w:vAlign w:val="bottom"/>
            <w:gridSpan w:val="7"/>
            <w:shd w:val="clear" w:color="auto" w:fill="0000EE"/>
          </w:tcPr>
          <w:p>
            <w:pPr>
              <w:spacing w:after="0" w:line="20" w:lineRule="exact"/>
              <w:rPr>
                <w:sz w:val="1"/>
                <w:szCs w:val="1"/>
                <w:color w:val="auto"/>
              </w:rPr>
            </w:pPr>
          </w:p>
        </w:tc>
        <w:tc>
          <w:tcPr>
            <w:tcW w:w="98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080" w:type="dxa"/>
            <w:vAlign w:val="bottom"/>
            <w:tcBorders>
              <w:right w:val="single" w:sz="8" w:color="0000EE"/>
            </w:tcBorders>
            <w:gridSpan w:val="2"/>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320" w:type="dxa"/>
            <w:vAlign w:val="bottom"/>
            <w:tcBorders>
              <w:left w:val="single" w:sz="8" w:color="0000EE"/>
            </w:tcBorders>
          </w:tcPr>
          <w:p>
            <w:pPr>
              <w:spacing w:after="0" w:line="20" w:lineRule="exact"/>
              <w:rPr>
                <w:sz w:val="1"/>
                <w:szCs w:val="1"/>
                <w:color w:val="auto"/>
              </w:rPr>
            </w:pPr>
          </w:p>
        </w:tc>
      </w:tr>
      <w:tr>
        <w:trPr>
          <w:trHeight w:val="250"/>
        </w:trPr>
        <w:tc>
          <w:tcPr>
            <w:tcW w:w="4740" w:type="dxa"/>
            <w:vAlign w:val="bottom"/>
            <w:gridSpan w:val="13"/>
          </w:tcPr>
          <w:p>
            <w:pPr>
              <w:spacing w:after="0"/>
              <w:rPr>
                <w:rFonts w:ascii="Arial" w:cs="Arial" w:eastAsia="Arial" w:hAnsi="Arial"/>
                <w:sz w:val="18"/>
                <w:szCs w:val="18"/>
                <w:color w:val="0000EE"/>
              </w:rPr>
            </w:pPr>
            <w:hyperlink w:anchor="page134">
              <w:r>
                <w:rPr>
                  <w:rFonts w:ascii="Arial" w:cs="Arial" w:eastAsia="Arial" w:hAnsi="Arial"/>
                  <w:sz w:val="18"/>
                  <w:szCs w:val="18"/>
                  <w:color w:val="0000EE"/>
                </w:rPr>
                <w:t>Adoption of New Accounting Pronouncements</w:t>
              </w:r>
            </w:hyperlink>
          </w:p>
        </w:tc>
        <w:tc>
          <w:tcPr>
            <w:tcW w:w="6640" w:type="dxa"/>
            <w:vAlign w:val="bottom"/>
            <w:gridSpan w:val="6"/>
          </w:tcPr>
          <w:p>
            <w:pPr>
              <w:jc w:val="center"/>
              <w:ind w:left="5650"/>
              <w:spacing w:after="0"/>
              <w:rPr>
                <w:rFonts w:ascii="Arial" w:cs="Arial" w:eastAsia="Arial" w:hAnsi="Arial"/>
                <w:sz w:val="18"/>
                <w:szCs w:val="18"/>
                <w:color w:val="0000EE"/>
                <w:w w:val="86"/>
              </w:rPr>
            </w:pPr>
            <w:hyperlink w:anchor="page134">
              <w:r>
                <w:rPr>
                  <w:rFonts w:ascii="Arial" w:cs="Arial" w:eastAsia="Arial" w:hAnsi="Arial"/>
                  <w:sz w:val="18"/>
                  <w:szCs w:val="18"/>
                  <w:color w:val="0000EE"/>
                  <w:w w:val="86"/>
                </w:rPr>
                <w:t>132</w:t>
              </w:r>
            </w:hyperlink>
          </w:p>
        </w:tc>
      </w:tr>
      <w:tr>
        <w:trPr>
          <w:trHeight w:val="20"/>
        </w:trPr>
        <w:tc>
          <w:tcPr>
            <w:tcW w:w="3300" w:type="dxa"/>
            <w:vAlign w:val="bottom"/>
            <w:gridSpan w:val="10"/>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080" w:type="dxa"/>
            <w:vAlign w:val="bottom"/>
            <w:tcBorders>
              <w:right w:val="single" w:sz="8" w:color="0000EE"/>
            </w:tcBorders>
            <w:gridSpan w:val="2"/>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320" w:type="dxa"/>
            <w:vAlign w:val="bottom"/>
            <w:tcBorders>
              <w:left w:val="single" w:sz="8" w:color="0000EE"/>
            </w:tcBorders>
          </w:tcPr>
          <w:p>
            <w:pPr>
              <w:spacing w:after="0" w:line="20" w:lineRule="exact"/>
              <w:rPr>
                <w:sz w:val="1"/>
                <w:szCs w:val="1"/>
                <w:color w:val="auto"/>
              </w:rPr>
            </w:pPr>
          </w:p>
        </w:tc>
      </w:tr>
      <w:tr>
        <w:trPr>
          <w:trHeight w:val="250"/>
        </w:trPr>
        <w:tc>
          <w:tcPr>
            <w:tcW w:w="3900" w:type="dxa"/>
            <w:vAlign w:val="bottom"/>
            <w:gridSpan w:val="12"/>
          </w:tcPr>
          <w:p>
            <w:pPr>
              <w:spacing w:after="0"/>
              <w:rPr>
                <w:rFonts w:ascii="Arial" w:cs="Arial" w:eastAsia="Arial" w:hAnsi="Arial"/>
                <w:sz w:val="18"/>
                <w:szCs w:val="18"/>
                <w:color w:val="0000EE"/>
                <w:w w:val="91"/>
              </w:rPr>
            </w:pPr>
            <w:hyperlink w:anchor="page134">
              <w:r>
                <w:rPr>
                  <w:rFonts w:ascii="Arial" w:cs="Arial" w:eastAsia="Arial" w:hAnsi="Arial"/>
                  <w:sz w:val="18"/>
                  <w:szCs w:val="18"/>
                  <w:color w:val="0000EE"/>
                  <w:w w:val="91"/>
                </w:rPr>
                <w:t>Future Adoption of New Accounting Pronouncements</w:t>
              </w:r>
            </w:hyperlink>
          </w:p>
        </w:tc>
        <w:tc>
          <w:tcPr>
            <w:tcW w:w="840" w:type="dxa"/>
            <w:vAlign w:val="bottom"/>
          </w:tcPr>
          <w:p>
            <w:pPr>
              <w:spacing w:after="0"/>
              <w:rPr>
                <w:sz w:val="21"/>
                <w:szCs w:val="21"/>
                <w:color w:val="auto"/>
              </w:rPr>
            </w:pPr>
          </w:p>
        </w:tc>
        <w:tc>
          <w:tcPr>
            <w:tcW w:w="6640" w:type="dxa"/>
            <w:vAlign w:val="bottom"/>
            <w:gridSpan w:val="6"/>
          </w:tcPr>
          <w:p>
            <w:pPr>
              <w:jc w:val="center"/>
              <w:ind w:left="5650"/>
              <w:spacing w:after="0"/>
              <w:rPr>
                <w:rFonts w:ascii="Arial" w:cs="Arial" w:eastAsia="Arial" w:hAnsi="Arial"/>
                <w:sz w:val="18"/>
                <w:szCs w:val="18"/>
                <w:color w:val="0000EE"/>
                <w:w w:val="86"/>
              </w:rPr>
            </w:pPr>
            <w:hyperlink w:anchor="page134">
              <w:r>
                <w:rPr>
                  <w:rFonts w:ascii="Arial" w:cs="Arial" w:eastAsia="Arial" w:hAnsi="Arial"/>
                  <w:sz w:val="18"/>
                  <w:szCs w:val="18"/>
                  <w:color w:val="0000EE"/>
                  <w:w w:val="86"/>
                </w:rPr>
                <w:t>132</w:t>
              </w:r>
            </w:hyperlink>
          </w:p>
        </w:tc>
      </w:tr>
      <w:tr>
        <w:trPr>
          <w:trHeight w:val="20"/>
        </w:trPr>
        <w:tc>
          <w:tcPr>
            <w:tcW w:w="3300" w:type="dxa"/>
            <w:vAlign w:val="bottom"/>
            <w:gridSpan w:val="10"/>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080" w:type="dxa"/>
            <w:vAlign w:val="bottom"/>
            <w:tcBorders>
              <w:right w:val="single" w:sz="8" w:color="0000EE"/>
            </w:tcBorders>
            <w:gridSpan w:val="2"/>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320" w:type="dxa"/>
            <w:vAlign w:val="bottom"/>
            <w:tcBorders>
              <w:left w:val="single" w:sz="8" w:color="0000EE"/>
            </w:tcBorders>
          </w:tcPr>
          <w:p>
            <w:pPr>
              <w:spacing w:after="0" w:line="20" w:lineRule="exact"/>
              <w:rPr>
                <w:sz w:val="1"/>
                <w:szCs w:val="1"/>
                <w:color w:val="auto"/>
              </w:rPr>
            </w:pPr>
          </w:p>
        </w:tc>
      </w:tr>
      <w:tr>
        <w:trPr>
          <w:trHeight w:val="250"/>
        </w:trPr>
        <w:tc>
          <w:tcPr>
            <w:tcW w:w="3900" w:type="dxa"/>
            <w:vAlign w:val="bottom"/>
            <w:gridSpan w:val="12"/>
          </w:tcPr>
          <w:p>
            <w:pPr>
              <w:spacing w:after="0"/>
              <w:rPr>
                <w:rFonts w:ascii="Arial" w:cs="Arial" w:eastAsia="Arial" w:hAnsi="Arial"/>
                <w:sz w:val="18"/>
                <w:szCs w:val="18"/>
                <w:color w:val="0000EE"/>
              </w:rPr>
            </w:pPr>
            <w:hyperlink w:anchor="page135">
              <w:r>
                <w:rPr>
                  <w:rFonts w:ascii="Arial" w:cs="Arial" w:eastAsia="Arial" w:hAnsi="Arial"/>
                  <w:sz w:val="18"/>
                  <w:szCs w:val="18"/>
                  <w:color w:val="0000EE"/>
                </w:rPr>
                <w:t>Note Regarding Forward-Looking Statements</w:t>
              </w:r>
            </w:hyperlink>
          </w:p>
        </w:tc>
        <w:tc>
          <w:tcPr>
            <w:tcW w:w="840" w:type="dxa"/>
            <w:vAlign w:val="bottom"/>
          </w:tcPr>
          <w:p>
            <w:pPr>
              <w:spacing w:after="0"/>
              <w:rPr>
                <w:sz w:val="21"/>
                <w:szCs w:val="21"/>
                <w:color w:val="auto"/>
              </w:rPr>
            </w:pPr>
          </w:p>
        </w:tc>
        <w:tc>
          <w:tcPr>
            <w:tcW w:w="6640" w:type="dxa"/>
            <w:vAlign w:val="bottom"/>
            <w:gridSpan w:val="6"/>
          </w:tcPr>
          <w:p>
            <w:pPr>
              <w:jc w:val="center"/>
              <w:ind w:left="5650"/>
              <w:spacing w:after="0"/>
              <w:rPr>
                <w:rFonts w:ascii="Arial" w:cs="Arial" w:eastAsia="Arial" w:hAnsi="Arial"/>
                <w:sz w:val="18"/>
                <w:szCs w:val="18"/>
                <w:color w:val="0000EE"/>
                <w:w w:val="86"/>
              </w:rPr>
            </w:pPr>
            <w:hyperlink w:anchor="page135">
              <w:r>
                <w:rPr>
                  <w:rFonts w:ascii="Arial" w:cs="Arial" w:eastAsia="Arial" w:hAnsi="Arial"/>
                  <w:sz w:val="18"/>
                  <w:szCs w:val="18"/>
                  <w:color w:val="0000EE"/>
                  <w:w w:val="86"/>
                </w:rPr>
                <w:t>133</w:t>
              </w:r>
            </w:hyperlink>
          </w:p>
        </w:tc>
      </w:tr>
      <w:tr>
        <w:trPr>
          <w:trHeight w:val="507"/>
        </w:trPr>
        <w:tc>
          <w:tcPr>
            <w:tcW w:w="8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78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740" w:type="dxa"/>
            <w:vAlign w:val="bottom"/>
          </w:tcPr>
          <w:p>
            <w:pPr>
              <w:jc w:val="right"/>
              <w:ind w:right="4630"/>
              <w:spacing w:after="0"/>
              <w:rPr>
                <w:sz w:val="20"/>
                <w:szCs w:val="20"/>
                <w:color w:val="auto"/>
              </w:rPr>
            </w:pPr>
            <w:r>
              <w:rPr>
                <w:rFonts w:ascii="Arial" w:cs="Arial" w:eastAsia="Arial" w:hAnsi="Arial"/>
                <w:sz w:val="18"/>
                <w:szCs w:val="18"/>
                <w:color w:val="auto"/>
              </w:rPr>
              <w:t>73</w:t>
            </w:r>
          </w:p>
        </w:tc>
        <w:tc>
          <w:tcPr>
            <w:tcW w:w="340" w:type="dxa"/>
            <w:vAlign w:val="bottom"/>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320" w:type="dxa"/>
            <w:vAlign w:val="bottom"/>
          </w:tcPr>
          <w:p>
            <w:pPr>
              <w:spacing w:after="0"/>
              <w:rPr>
                <w:sz w:val="24"/>
                <w:szCs w:val="24"/>
                <w:color w:val="auto"/>
              </w:rPr>
            </w:pPr>
          </w:p>
        </w:tc>
      </w:tr>
    </w:tbl>
    <w:p>
      <w:pPr>
        <w:sectPr>
          <w:pgSz w:w="11900" w:h="16838" w:orient="portrait"/>
          <w:cols w:equalWidth="0" w:num="1">
            <w:col w:w="11420"/>
          </w:cols>
          <w:pgMar w:left="240" w:top="126" w:right="239" w:bottom="1440" w:gutter="0" w:footer="0" w:header="0"/>
        </w:sectPr>
      </w:pPr>
    </w:p>
    <w:bookmarkStart w:id="75" w:name="page76"/>
    <w:bookmarkEnd w:id="75"/>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Introduction</w:t>
      </w:r>
    </w:p>
    <w:p>
      <w:pPr>
        <w:spacing w:after="0" w:line="175"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For purposes of this discussion, “Brighthouse,” the “Company,” “we,” “our” and “us” refer to Brighthouse Financial, Inc. a corporation originally incorporated in Delaware in 2016, and its subsidiaries. Brighthouse Financial, Inc. was formerly a wholly-owned subsidiary of MetLife, Inc. (MetLife, Inc., together with its subsidiaries and affiliates, “MetLife”). This Management’s Discussion and Analysis of Financial Condition and Results of Operations should be read in conjunction with (i) the unaudited interim condensed consolidated and combined financial statements and related notes included in Item 1 of this Quarterly Report on Form 10-Q; (ii) Amendment No. 5 to our Registration Statement on Form 10, filed with the U.S. Securities and Exchange Commission (“SEC”) on June 30, 2017 (the “Form 10”); (iii) our Quarterly Report on Form 10-Q for the quarter ended June 30, 2017 (the “Second Quarter Form 10-Q”); and (iv) our current reports on Form 8-K filed in 2017. The following discussion may contain forward-looking statements that reflect our plans, estimates and beliefs. Our actual results could differ materially from those discussed in these forward-looking statements. Factors that could cause or contribute to these differences include those factors discussed below and elsewhere in this report, particularly in “—Note Regarding Forward-Looking Statements” and the Risk Factors set forth in Part II, Item 1A of this Quarterly Report on Form 10-Q.</w:t>
      </w:r>
    </w:p>
    <w:p>
      <w:pPr>
        <w:spacing w:after="0" w:line="124"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The term “Separation” refers to the separation of MetLife, Inc.’s former Brighthouse Financial segment from MetLife’s other businesses and the creation of a separate, publicly traded company, Brighthouse Financial, Inc., to hold the assets (including the equity interests of certain MetLife, Inc. subsidiaries) and liabilities associated with MetLife, Inc.’s Brighthouse Financial segment from and after the Distribution; the term “Distribution” refers to the distribution on August 4, 2017 of 96,776,670, or 80.8%, of the 119,773,106 shares of Brighthouse Financial, Inc. common stock outstanding immediately prior to the Distribution date by MetLife, Inc. to shareholders of MetLife, Inc. as of the record date for the Distribution. See “— Executive Summary — The Separation.”</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Presentation</w:t>
      </w:r>
    </w:p>
    <w:p>
      <w:pPr>
        <w:spacing w:after="0" w:line="117"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Prior to discussing our Results of Operations, we present background information and definitions that we believe are useful to understanding the discussion of our financial results. This information precedes the Results of Operations and is most beneficial when read in the sequence presented. A summary of key informational sections is as follows:</w:t>
      </w:r>
    </w:p>
    <w:p>
      <w:pPr>
        <w:spacing w:after="0" w:line="73" w:lineRule="exact"/>
        <w:rPr>
          <w:sz w:val="20"/>
          <w:szCs w:val="20"/>
          <w:color w:val="auto"/>
        </w:rPr>
      </w:pPr>
    </w:p>
    <w:p>
      <w:pPr>
        <w:ind w:left="660" w:hanging="328"/>
        <w:spacing w:after="0"/>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“Executive Summary” contains the following sub-sections:</w:t>
      </w:r>
    </w:p>
    <w:p>
      <w:pPr>
        <w:spacing w:after="0" w:line="117" w:lineRule="exact"/>
        <w:rPr>
          <w:rFonts w:ascii="Arial" w:cs="Arial" w:eastAsia="Arial" w:hAnsi="Arial"/>
          <w:sz w:val="18"/>
          <w:szCs w:val="18"/>
          <w:color w:val="auto"/>
        </w:rPr>
      </w:pPr>
    </w:p>
    <w:p>
      <w:pPr>
        <w:ind w:left="1300" w:hanging="320"/>
        <w:spacing w:after="0"/>
        <w:tabs>
          <w:tab w:leader="none" w:pos="1300" w:val="left"/>
        </w:tabs>
        <w:numPr>
          <w:ilvl w:val="1"/>
          <w:numId w:val="45"/>
        </w:numPr>
        <w:rPr>
          <w:rFonts w:ascii="Arial" w:cs="Arial" w:eastAsia="Arial" w:hAnsi="Arial"/>
          <w:sz w:val="17"/>
          <w:szCs w:val="17"/>
          <w:color w:val="auto"/>
        </w:rPr>
      </w:pPr>
      <w:r>
        <w:rPr>
          <w:rFonts w:ascii="Arial" w:cs="Arial" w:eastAsia="Arial" w:hAnsi="Arial"/>
          <w:sz w:val="17"/>
          <w:szCs w:val="17"/>
          <w:color w:val="auto"/>
        </w:rPr>
        <w:t>“Overview” provides information regarding our business, reporting segments and results as discussed in the Results of Operations.</w:t>
      </w:r>
    </w:p>
    <w:p>
      <w:pPr>
        <w:spacing w:after="0" w:line="128" w:lineRule="exact"/>
        <w:rPr>
          <w:rFonts w:ascii="Arial" w:cs="Arial" w:eastAsia="Arial" w:hAnsi="Arial"/>
          <w:sz w:val="17"/>
          <w:szCs w:val="17"/>
          <w:color w:val="auto"/>
        </w:rPr>
      </w:pPr>
    </w:p>
    <w:p>
      <w:pPr>
        <w:ind w:left="1300" w:hanging="320"/>
        <w:spacing w:after="0"/>
        <w:tabs>
          <w:tab w:leader="none" w:pos="1300" w:val="left"/>
        </w:tabs>
        <w:numPr>
          <w:ilvl w:val="1"/>
          <w:numId w:val="45"/>
        </w:numPr>
        <w:rPr>
          <w:rFonts w:ascii="Arial" w:cs="Arial" w:eastAsia="Arial" w:hAnsi="Arial"/>
          <w:sz w:val="17"/>
          <w:szCs w:val="17"/>
          <w:color w:val="auto"/>
        </w:rPr>
      </w:pPr>
      <w:r>
        <w:rPr>
          <w:rFonts w:ascii="Arial" w:cs="Arial" w:eastAsia="Arial" w:hAnsi="Arial"/>
          <w:sz w:val="17"/>
          <w:szCs w:val="17"/>
          <w:color w:val="auto"/>
        </w:rPr>
        <w:t>“Background” presents details of the Company’s legal entity structure and key events that led up to the completion of the Separation.</w:t>
      </w:r>
    </w:p>
    <w:p>
      <w:pPr>
        <w:spacing w:after="0" w:line="128" w:lineRule="exact"/>
        <w:rPr>
          <w:rFonts w:ascii="Arial" w:cs="Arial" w:eastAsia="Arial" w:hAnsi="Arial"/>
          <w:sz w:val="17"/>
          <w:szCs w:val="17"/>
          <w:color w:val="auto"/>
        </w:rPr>
      </w:pPr>
    </w:p>
    <w:p>
      <w:pPr>
        <w:jc w:val="both"/>
        <w:ind w:left="1300" w:hanging="320"/>
        <w:spacing w:after="0" w:line="264" w:lineRule="auto"/>
        <w:tabs>
          <w:tab w:leader="none" w:pos="1300" w:val="left"/>
        </w:tabs>
        <w:numPr>
          <w:ilvl w:val="1"/>
          <w:numId w:val="45"/>
        </w:numPr>
        <w:rPr>
          <w:rFonts w:ascii="Arial" w:cs="Arial" w:eastAsia="Arial" w:hAnsi="Arial"/>
          <w:sz w:val="18"/>
          <w:szCs w:val="18"/>
          <w:color w:val="auto"/>
        </w:rPr>
      </w:pPr>
      <w:r>
        <w:rPr>
          <w:rFonts w:ascii="Arial" w:cs="Arial" w:eastAsia="Arial" w:hAnsi="Arial"/>
          <w:sz w:val="18"/>
          <w:szCs w:val="18"/>
          <w:color w:val="auto"/>
        </w:rPr>
        <w:t>“Certain Business Events” defines significant events that impacted either or both net income (loss) and operating earnings (loss), as defined in “— Non-GAAP and Other Financial Disclosures”, which management believes are not indicative of performance in the respective periods. Events defined in this section are referred to in the Results of Operations discussion.</w:t>
      </w:r>
    </w:p>
    <w:p>
      <w:pPr>
        <w:spacing w:after="0" w:line="73" w:lineRule="exact"/>
        <w:rPr>
          <w:rFonts w:ascii="Arial" w:cs="Arial" w:eastAsia="Arial" w:hAnsi="Arial"/>
          <w:sz w:val="18"/>
          <w:szCs w:val="18"/>
          <w:color w:val="auto"/>
        </w:rPr>
      </w:pPr>
    </w:p>
    <w:p>
      <w:pPr>
        <w:ind w:left="1300" w:hanging="320"/>
        <w:spacing w:after="0" w:line="277" w:lineRule="auto"/>
        <w:tabs>
          <w:tab w:leader="none" w:pos="1300" w:val="left"/>
        </w:tabs>
        <w:numPr>
          <w:ilvl w:val="1"/>
          <w:numId w:val="45"/>
        </w:numPr>
        <w:rPr>
          <w:rFonts w:ascii="Arial" w:cs="Arial" w:eastAsia="Arial" w:hAnsi="Arial"/>
          <w:sz w:val="18"/>
          <w:szCs w:val="18"/>
          <w:color w:val="auto"/>
        </w:rPr>
      </w:pPr>
      <w:r>
        <w:rPr>
          <w:rFonts w:ascii="Arial" w:cs="Arial" w:eastAsia="Arial" w:hAnsi="Arial"/>
          <w:sz w:val="18"/>
          <w:szCs w:val="18"/>
          <w:color w:val="auto"/>
        </w:rPr>
        <w:t>“Actuarial Assumption Review” describes the changes in key assumptions applied in 2017 and 2016, respectively, resulting in a favorable impact to net income (loss) in the current period.</w:t>
      </w:r>
    </w:p>
    <w:p>
      <w:pPr>
        <w:spacing w:after="0" w:line="62"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“Industry Trends” discusses updates and changes to a number of trends and uncertainties included in the Form 10 and the Second Quarter Form 10-Q that we believe may materially affect our future financial condition, results of operations or cash flows.</w:t>
      </w:r>
    </w:p>
    <w:p>
      <w:pPr>
        <w:spacing w:after="0" w:line="62"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“Summary of Critical Accounting Estimates” explains the most critical estimates and judgments applied in determining our accounting principles generally accepted in the United States (“GAAP”) results.</w:t>
      </w:r>
    </w:p>
    <w:p>
      <w:pPr>
        <w:spacing w:after="0" w:line="62" w:lineRule="exact"/>
        <w:rPr>
          <w:rFonts w:ascii="Arial" w:cs="Arial" w:eastAsia="Arial" w:hAnsi="Arial"/>
          <w:sz w:val="18"/>
          <w:szCs w:val="18"/>
          <w:color w:val="auto"/>
        </w:rPr>
      </w:pPr>
    </w:p>
    <w:p>
      <w:pPr>
        <w:jc w:val="both"/>
        <w:ind w:left="660" w:hanging="328"/>
        <w:spacing w:after="0" w:line="257" w:lineRule="auto"/>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“Non-GAAP and Other Financial Disclosures” defines key financial measures presented in the Results of Operations that are not calculated in accordance with GAAP but are used by management in evaluating company and segment performance. As described in this section, operating earnings (loss) is presented by key business activities which are derived from, but different than, the line items presented in the GAAP statement of operations. This section also refers to certain other terms used to describe our insurance business and financial and operating metrics, but is not intended to be exhaustive.</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420"/>
          </w:cols>
          <w:pgMar w:left="240" w:top="126" w:right="239" w:bottom="1440" w:gutter="0" w:footer="0" w:header="0"/>
        </w:sectPr>
      </w:pPr>
    </w:p>
    <w:bookmarkStart w:id="76" w:name="page77"/>
    <w:bookmarkEnd w:id="76"/>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Summary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w:t>
      </w:r>
    </w:p>
    <w:p>
      <w:pPr>
        <w:spacing w:after="0" w:line="117"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color w:val="auto"/>
        </w:rPr>
        <w:t>We are a major provider of life insurance and annuity products. Our products serve the financial security needs of our customers and are offered solely in the United States through multiple independent distribution channels and marketing arrangements with a diverse network of distribution partners.</w:t>
      </w:r>
    </w:p>
    <w:p>
      <w:pPr>
        <w:spacing w:after="0" w:line="16"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For operating purposes, we have established three reporting segments: (i) Annuities, (ii) Life and (iii) Run-off, which consists of operations relating to products we are not actively selling and which are separately managed. In addition, we report certain of our results of operations not included in the segments in Corporate &amp; Other. We allocate capital to our segments based on an internal capital model.</w:t>
      </w:r>
    </w:p>
    <w:p>
      <w:pPr>
        <w:spacing w:after="0" w:line="73"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As previously announced, in the third quarter of 2016, the Company reorganized its businesses in anticipation of the Separation. Also, in the fourth quarter of 2016, the Company moved the universal life policies with secondary guarantees (“ULSG”) business from the Life segment to the Run-off segment (“ULSG Re-segmentation”). These changes were applied retrospectively and did not have an impact on total consolidated net income (loss) or operating earnings (loss) in the prior periods.</w:t>
      </w:r>
    </w:p>
    <w:p>
      <w:pPr>
        <w:spacing w:after="0" w:line="7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See “Management’s Discussion and Analysis of Financial Condition and Results of Operations — Executive Summary — Overview,” “Business — Segments and Corporate &amp; Other” and “Business — Description of our Segments, Products and Operations” included in the Form 10 along with Note 2 of the Notes to the Interim Condensed Consolidated and Combined Financial Statements for further information on our segments and Corporate &amp; Other, including allocated capital.</w:t>
      </w:r>
    </w:p>
    <w:p>
      <w:pPr>
        <w:spacing w:after="0" w:line="7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table below presents a summary of our net income (loss) and operating earnings (loss) for the three months and nine months ended September 30, 2017. For a detailed discussion of our results see “— Results of Operations.”</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520" w:type="dxa"/>
            <w:vAlign w:val="bottom"/>
            <w:gridSpan w:val="8"/>
          </w:tcPr>
          <w:p>
            <w:pPr>
              <w:ind w:left="340"/>
              <w:spacing w:after="0"/>
              <w:rPr>
                <w:sz w:val="20"/>
                <w:szCs w:val="20"/>
                <w:color w:val="auto"/>
              </w:rPr>
            </w:pPr>
            <w:r>
              <w:rPr>
                <w:rFonts w:ascii="Arial" w:cs="Arial" w:eastAsia="Arial" w:hAnsi="Arial"/>
                <w:sz w:val="16"/>
                <w:szCs w:val="16"/>
                <w:b w:val="1"/>
                <w:bCs w:val="1"/>
                <w:color w:val="auto"/>
              </w:rPr>
              <w:t>Three Months Ended September 30,</w:t>
            </w:r>
          </w:p>
        </w:tc>
        <w:tc>
          <w:tcPr>
            <w:tcW w:w="360" w:type="dxa"/>
            <w:vAlign w:val="bottom"/>
          </w:tcPr>
          <w:p>
            <w:pPr>
              <w:spacing w:after="0"/>
              <w:rPr>
                <w:sz w:val="18"/>
                <w:szCs w:val="18"/>
                <w:color w:val="auto"/>
              </w:rPr>
            </w:pPr>
          </w:p>
        </w:tc>
        <w:tc>
          <w:tcPr>
            <w:tcW w:w="3160" w:type="dxa"/>
            <w:vAlign w:val="bottom"/>
            <w:gridSpan w:val="7"/>
          </w:tcPr>
          <w:p>
            <w:pPr>
              <w:jc w:val="right"/>
              <w:ind w:right="451"/>
              <w:spacing w:after="0"/>
              <w:rPr>
                <w:sz w:val="20"/>
                <w:szCs w:val="20"/>
                <w:color w:val="auto"/>
              </w:rPr>
            </w:pPr>
            <w:r>
              <w:rPr>
                <w:rFonts w:ascii="Arial" w:cs="Arial" w:eastAsia="Arial" w:hAnsi="Arial"/>
                <w:sz w:val="16"/>
                <w:szCs w:val="16"/>
                <w:b w:val="1"/>
                <w:bCs w:val="1"/>
                <w:color w:val="auto"/>
                <w:w w:val="98"/>
              </w:rPr>
              <w:t>Nine Months Ended September 30,</w:t>
            </w:r>
          </w:p>
        </w:tc>
      </w:tr>
      <w:tr>
        <w:trPr>
          <w:trHeight w:val="33"/>
        </w:trPr>
        <w:tc>
          <w:tcPr>
            <w:tcW w:w="4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31"/>
        </w:trPr>
        <w:tc>
          <w:tcPr>
            <w:tcW w:w="4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ind w:right="312"/>
              <w:spacing w:after="0"/>
              <w:rPr>
                <w:sz w:val="20"/>
                <w:szCs w:val="20"/>
                <w:color w:val="auto"/>
              </w:rPr>
            </w:pPr>
            <w:r>
              <w:rPr>
                <w:rFonts w:ascii="Arial" w:cs="Arial" w:eastAsia="Arial" w:hAnsi="Arial"/>
                <w:sz w:val="16"/>
                <w:szCs w:val="16"/>
                <w:b w:val="1"/>
                <w:bCs w:val="1"/>
                <w:color w:val="auto"/>
              </w:rPr>
              <w:t>2017</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jc w:val="right"/>
              <w:ind w:right="351"/>
              <w:spacing w:after="0"/>
              <w:rPr>
                <w:sz w:val="20"/>
                <w:szCs w:val="20"/>
                <w:color w:val="auto"/>
              </w:rPr>
            </w:pPr>
            <w:r>
              <w:rPr>
                <w:rFonts w:ascii="Arial" w:cs="Arial" w:eastAsia="Arial" w:hAnsi="Arial"/>
                <w:sz w:val="16"/>
                <w:szCs w:val="16"/>
                <w:b w:val="1"/>
                <w:bCs w:val="1"/>
                <w:color w:val="auto"/>
              </w:rPr>
              <w:t>2016</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gridSpan w:val="2"/>
          </w:tcPr>
          <w:p>
            <w:pPr>
              <w:ind w:left="80"/>
              <w:spacing w:after="0"/>
              <w:rPr>
                <w:sz w:val="20"/>
                <w:szCs w:val="20"/>
                <w:color w:val="auto"/>
              </w:rPr>
            </w:pPr>
            <w:r>
              <w:rPr>
                <w:rFonts w:ascii="Arial" w:cs="Arial" w:eastAsia="Arial" w:hAnsi="Arial"/>
                <w:sz w:val="16"/>
                <w:szCs w:val="16"/>
                <w:b w:val="1"/>
                <w:bCs w:val="1"/>
                <w:color w:val="auto"/>
              </w:rPr>
              <w:t>Change</w:t>
            </w:r>
          </w:p>
        </w:tc>
        <w:tc>
          <w:tcPr>
            <w:tcW w:w="360" w:type="dxa"/>
            <w:vAlign w:val="bottom"/>
          </w:tcPr>
          <w:p>
            <w:pPr>
              <w:spacing w:after="0"/>
              <w:rPr>
                <w:sz w:val="20"/>
                <w:szCs w:val="20"/>
                <w:color w:val="auto"/>
              </w:rPr>
            </w:pPr>
          </w:p>
        </w:tc>
        <w:tc>
          <w:tcPr>
            <w:tcW w:w="800" w:type="dxa"/>
            <w:vAlign w:val="bottom"/>
          </w:tcPr>
          <w:p>
            <w:pPr>
              <w:jc w:val="right"/>
              <w:ind w:right="332"/>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ind w:right="331"/>
              <w:spacing w:after="0"/>
              <w:rPr>
                <w:sz w:val="20"/>
                <w:szCs w:val="20"/>
                <w:color w:val="auto"/>
              </w:rPr>
            </w:pPr>
            <w:r>
              <w:rPr>
                <w:rFonts w:ascii="Arial" w:cs="Arial" w:eastAsia="Arial" w:hAnsi="Arial"/>
                <w:sz w:val="16"/>
                <w:szCs w:val="16"/>
                <w:b w:val="1"/>
                <w:bCs w:val="1"/>
                <w:color w:val="auto"/>
              </w:rPr>
              <w:t>2016</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jc w:val="right"/>
              <w:ind w:right="151"/>
              <w:spacing w:after="0"/>
              <w:rPr>
                <w:sz w:val="20"/>
                <w:szCs w:val="20"/>
                <w:color w:val="auto"/>
              </w:rPr>
            </w:pPr>
            <w:r>
              <w:rPr>
                <w:rFonts w:ascii="Arial" w:cs="Arial" w:eastAsia="Arial" w:hAnsi="Arial"/>
                <w:sz w:val="16"/>
                <w:szCs w:val="16"/>
                <w:b w:val="1"/>
                <w:bCs w:val="1"/>
                <w:color w:val="auto"/>
                <w:w w:val="95"/>
              </w:rPr>
              <w:t>Change</w:t>
            </w:r>
          </w:p>
        </w:tc>
      </w:tr>
      <w:tr>
        <w:trPr>
          <w:trHeight w:val="33"/>
        </w:trPr>
        <w:tc>
          <w:tcPr>
            <w:tcW w:w="4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3"/>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17"/>
        </w:trPr>
        <w:tc>
          <w:tcPr>
            <w:tcW w:w="4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3"/>
          </w:tcPr>
          <w:p>
            <w:pPr>
              <w:jc w:val="right"/>
              <w:spacing w:after="0"/>
              <w:rPr>
                <w:sz w:val="20"/>
                <w:szCs w:val="20"/>
                <w:color w:val="auto"/>
              </w:rPr>
            </w:pPr>
            <w:r>
              <w:rPr>
                <w:rFonts w:ascii="Arial" w:cs="Arial" w:eastAsia="Arial" w:hAnsi="Arial"/>
                <w:sz w:val="16"/>
                <w:szCs w:val="16"/>
                <w:b w:val="1"/>
                <w:bCs w:val="1"/>
                <w:color w:val="auto"/>
              </w:rPr>
              <w:t>(In millions)</w:t>
            </w: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33"/>
        </w:trPr>
        <w:tc>
          <w:tcPr>
            <w:tcW w:w="4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(loss) before provision for income tax</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(124)</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(252)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(393)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(1,928)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1,535</w:t>
            </w: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Provision for income tax expense (benefit)</w:t>
            </w:r>
          </w:p>
        </w:tc>
        <w:tc>
          <w:tcPr>
            <w:tcW w:w="260" w:type="dxa"/>
            <w:vAlign w:val="bottom"/>
          </w:tcPr>
          <w:p>
            <w:pPr>
              <w:spacing w:after="0"/>
              <w:rPr>
                <w:sz w:val="21"/>
                <w:szCs w:val="21"/>
                <w:color w:val="auto"/>
              </w:rPr>
            </w:pPr>
          </w:p>
        </w:tc>
        <w:tc>
          <w:tcPr>
            <w:tcW w:w="860" w:type="dxa"/>
            <w:vAlign w:val="bottom"/>
          </w:tcPr>
          <w:p>
            <w:pPr>
              <w:jc w:val="right"/>
              <w:ind w:right="92"/>
              <w:spacing w:after="0"/>
              <w:rPr>
                <w:sz w:val="20"/>
                <w:szCs w:val="20"/>
                <w:color w:val="auto"/>
              </w:rPr>
            </w:pPr>
            <w:r>
              <w:rPr>
                <w:rFonts w:ascii="Arial" w:cs="Arial" w:eastAsia="Arial" w:hAnsi="Arial"/>
                <w:sz w:val="18"/>
                <w:szCs w:val="18"/>
                <w:color w:val="auto"/>
              </w:rPr>
              <w:t>819</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ind w:right="31"/>
              <w:spacing w:after="0"/>
              <w:rPr>
                <w:sz w:val="20"/>
                <w:szCs w:val="20"/>
                <w:color w:val="auto"/>
              </w:rPr>
            </w:pPr>
            <w:r>
              <w:rPr>
                <w:rFonts w:ascii="Arial" w:cs="Arial" w:eastAsia="Arial" w:hAnsi="Arial"/>
                <w:sz w:val="18"/>
                <w:szCs w:val="18"/>
                <w:color w:val="auto"/>
              </w:rPr>
              <w:t>(94)</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913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00" w:type="dxa"/>
            <w:vAlign w:val="bottom"/>
          </w:tcPr>
          <w:p>
            <w:pPr>
              <w:jc w:val="right"/>
              <w:ind w:right="112"/>
              <w:spacing w:after="0"/>
              <w:rPr>
                <w:sz w:val="20"/>
                <w:szCs w:val="20"/>
                <w:color w:val="auto"/>
              </w:rPr>
            </w:pPr>
            <w:r>
              <w:rPr>
                <w:rFonts w:ascii="Arial" w:cs="Arial" w:eastAsia="Arial" w:hAnsi="Arial"/>
                <w:sz w:val="18"/>
                <w:szCs w:val="18"/>
                <w:color w:val="auto"/>
              </w:rPr>
              <w:t>653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jc w:val="right"/>
              <w:ind w:right="51"/>
              <w:spacing w:after="0"/>
              <w:rPr>
                <w:sz w:val="20"/>
                <w:szCs w:val="20"/>
                <w:color w:val="auto"/>
              </w:rPr>
            </w:pPr>
            <w:r>
              <w:rPr>
                <w:rFonts w:ascii="Arial" w:cs="Arial" w:eastAsia="Arial" w:hAnsi="Arial"/>
                <w:sz w:val="18"/>
                <w:szCs w:val="18"/>
                <w:color w:val="auto"/>
              </w:rPr>
              <w:t>(754)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1,407</w:t>
            </w:r>
          </w:p>
        </w:tc>
      </w:tr>
      <w:tr>
        <w:trPr>
          <w:trHeight w:val="27"/>
        </w:trPr>
        <w:tc>
          <w:tcPr>
            <w:tcW w:w="4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69"/>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(943)</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(158)</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(785)</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(1,046)</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(1,174)</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128</w:t>
            </w:r>
          </w:p>
        </w:tc>
      </w:tr>
      <w:tr>
        <w:trPr>
          <w:trHeight w:val="20"/>
        </w:trPr>
        <w:tc>
          <w:tcPr>
            <w:tcW w:w="4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r>
      <w:tr>
        <w:trPr>
          <w:trHeight w:val="264"/>
        </w:trPr>
        <w:tc>
          <w:tcPr>
            <w:tcW w:w="4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20" w:type="dxa"/>
            <w:vAlign w:val="bottom"/>
          </w:tcPr>
          <w:p>
            <w:pPr>
              <w:spacing w:after="0"/>
              <w:rPr>
                <w:sz w:val="22"/>
                <w:szCs w:val="22"/>
                <w:color w:val="auto"/>
              </w:rPr>
            </w:pPr>
          </w:p>
        </w:tc>
      </w:tr>
      <w:tr>
        <w:trPr>
          <w:trHeight w:val="229"/>
        </w:trPr>
        <w:tc>
          <w:tcPr>
            <w:tcW w:w="4120" w:type="dxa"/>
            <w:vAlign w:val="bottom"/>
            <w:shd w:val="clear" w:color="auto" w:fill="CCEEFF"/>
          </w:tcPr>
          <w:p>
            <w:pPr>
              <w:ind w:left="40"/>
              <w:spacing w:after="0"/>
              <w:rPr>
                <w:sz w:val="20"/>
                <w:szCs w:val="20"/>
                <w:color w:val="auto"/>
              </w:rPr>
            </w:pPr>
            <w:r>
              <w:rPr>
                <w:rFonts w:ascii="Arial" w:cs="Arial" w:eastAsia="Arial" w:hAnsi="Arial"/>
                <w:sz w:val="18"/>
                <w:szCs w:val="18"/>
                <w:color w:val="auto"/>
                <w:w w:val="95"/>
              </w:rPr>
              <w:t>Operating earnings (loss) before provision for income</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504</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495</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r>
      <w:tr>
        <w:trPr>
          <w:trHeight w:val="237"/>
        </w:trPr>
        <w:tc>
          <w:tcPr>
            <w:tcW w:w="41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tax</w:t>
            </w:r>
          </w:p>
        </w:tc>
        <w:tc>
          <w:tcPr>
            <w:tcW w:w="2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1,322</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1,024</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298</w:t>
            </w: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Provision for income tax expense (benefit)</w:t>
            </w:r>
          </w:p>
        </w:tc>
        <w:tc>
          <w:tcPr>
            <w:tcW w:w="260" w:type="dxa"/>
            <w:vAlign w:val="bottom"/>
          </w:tcPr>
          <w:p>
            <w:pPr>
              <w:spacing w:after="0"/>
              <w:rPr>
                <w:sz w:val="21"/>
                <w:szCs w:val="21"/>
                <w:color w:val="auto"/>
              </w:rPr>
            </w:pPr>
          </w:p>
        </w:tc>
        <w:tc>
          <w:tcPr>
            <w:tcW w:w="860" w:type="dxa"/>
            <w:vAlign w:val="bottom"/>
          </w:tcPr>
          <w:p>
            <w:pPr>
              <w:jc w:val="right"/>
              <w:ind w:right="92"/>
              <w:spacing w:after="0"/>
              <w:rPr>
                <w:sz w:val="20"/>
                <w:szCs w:val="20"/>
                <w:color w:val="auto"/>
              </w:rPr>
            </w:pPr>
            <w:r>
              <w:rPr>
                <w:rFonts w:ascii="Arial" w:cs="Arial" w:eastAsia="Arial" w:hAnsi="Arial"/>
                <w:sz w:val="18"/>
                <w:szCs w:val="18"/>
                <w:color w:val="auto"/>
              </w:rPr>
              <w:t>1,180</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ind w:right="91"/>
              <w:spacing w:after="0"/>
              <w:rPr>
                <w:sz w:val="20"/>
                <w:szCs w:val="20"/>
                <w:color w:val="auto"/>
              </w:rPr>
            </w:pPr>
            <w:r>
              <w:rPr>
                <w:rFonts w:ascii="Arial" w:cs="Arial" w:eastAsia="Arial" w:hAnsi="Arial"/>
                <w:sz w:val="18"/>
                <w:szCs w:val="18"/>
                <w:color w:val="auto"/>
              </w:rPr>
              <w:t>166</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1,014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00" w:type="dxa"/>
            <w:vAlign w:val="bottom"/>
          </w:tcPr>
          <w:p>
            <w:pPr>
              <w:jc w:val="right"/>
              <w:ind w:right="112"/>
              <w:spacing w:after="0"/>
              <w:rPr>
                <w:sz w:val="20"/>
                <w:szCs w:val="20"/>
                <w:color w:val="auto"/>
              </w:rPr>
            </w:pPr>
            <w:r>
              <w:rPr>
                <w:rFonts w:ascii="Arial" w:cs="Arial" w:eastAsia="Arial" w:hAnsi="Arial"/>
                <w:sz w:val="18"/>
                <w:szCs w:val="18"/>
                <w:color w:val="auto"/>
              </w:rPr>
              <w:t>1,394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jc w:val="right"/>
              <w:ind w:right="111"/>
              <w:spacing w:after="0"/>
              <w:rPr>
                <w:sz w:val="20"/>
                <w:szCs w:val="20"/>
                <w:color w:val="auto"/>
              </w:rPr>
            </w:pPr>
            <w:r>
              <w:rPr>
                <w:rFonts w:ascii="Arial" w:cs="Arial" w:eastAsia="Arial" w:hAnsi="Arial"/>
                <w:sz w:val="18"/>
                <w:szCs w:val="18"/>
                <w:color w:val="auto"/>
              </w:rPr>
              <w:t>276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1,118</w:t>
            </w:r>
          </w:p>
        </w:tc>
      </w:tr>
      <w:tr>
        <w:trPr>
          <w:trHeight w:val="27"/>
        </w:trPr>
        <w:tc>
          <w:tcPr>
            <w:tcW w:w="4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69"/>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earnings (loss)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(676)</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329</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(1,005)</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(72)</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748</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(820)</w:t>
            </w:r>
          </w:p>
        </w:tc>
      </w:tr>
      <w:tr>
        <w:trPr>
          <w:trHeight w:val="20"/>
        </w:trPr>
        <w:tc>
          <w:tcPr>
            <w:tcW w:w="4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r>
    </w:tbl>
    <w:p>
      <w:pPr>
        <w:spacing w:after="0" w:line="377"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As discussed in the Form 10, we have set financial targets that we believe best measure the execution of our business strategy and align with the interest of shareholders. The targets for our base case scenario are: to begin returning cash to shareholders at 50% to 70%-plus of operating earnings by approximately the year 2020; to achieve mid- to high single-digit growth in operating earnings per share annually; and to maintain a stable operating return on equity of approximately 8% on average over time. This is an update to our initial target of approximately 9% for operating return on equity. This update reflects a change in stockholders’ equity, excluding accumulated other comprehensive income (“AOCI”), to $12.5 billion, which was larger than previously anticipated. This resulted primarily from the distribution paid to MetLife being $400 million less than originally projected and certain separation and restructuring transactions resulting in a more favorable impact than originally estimated. See “Business — Select Financial Targets” included in the Form 10.</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Background</w:t>
      </w:r>
    </w:p>
    <w:p>
      <w:pPr>
        <w:spacing w:after="0" w:line="171"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Brighthouse Financial, Inc., which until the completion of the Separation on August 4, 2017 was a wholly-owned subsidiary of MetLife, Inc., is a holding company incorporated in Delaware on August 1, 2016 to own the legal entities that have historically operated a substantial portion of MetLife’s former Retail segment, as well as certain portions of its former Corporate Benefit Funding segment, which is included in our Run-off segment.</w:t>
      </w:r>
    </w:p>
    <w:p>
      <w:pPr>
        <w:spacing w:after="0" w:line="11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This Management’s Discussion and Analysis of Financial Condition and Results of Operations is intended to help the reader understand the results of operations, financial condition and cash flows of Brighthouse for the periods indicated. In addition to</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420"/>
          </w:cols>
          <w:pgMar w:left="240" w:top="126" w:right="239" w:bottom="1440" w:gutter="0" w:footer="0" w:header="0"/>
        </w:sectPr>
      </w:pPr>
    </w:p>
    <w:bookmarkStart w:id="77" w:name="page78"/>
    <w:bookmarkEnd w:id="77"/>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Arial" w:cs="Arial" w:eastAsia="Arial" w:hAnsi="Arial"/>
          <w:sz w:val="18"/>
          <w:szCs w:val="18"/>
          <w:color w:val="auto"/>
        </w:rPr>
        <w:t>Brighthouse Financial, Inc., the companies and businesses included in the results of operations, financial condition and cash flows are:</w:t>
      </w:r>
    </w:p>
    <w:p>
      <w:pPr>
        <w:spacing w:after="0" w:line="171" w:lineRule="exact"/>
        <w:rPr>
          <w:sz w:val="20"/>
          <w:szCs w:val="20"/>
          <w:color w:val="auto"/>
        </w:rPr>
      </w:pPr>
    </w:p>
    <w:p>
      <w:pPr>
        <w:ind w:left="660" w:right="20" w:hanging="328"/>
        <w:spacing w:after="0" w:line="277" w:lineRule="auto"/>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Brighthouse Life Insurance Company (“Brighthouse Insurance”), formerly MetLife Insurance Company USA, our largest insurance operating entity, domiciled in Delaware and licensed to write business in 49 states;</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New England Life Insurance Company (“NELICO”), domiciled in Massachusetts and licensed to write business in all 50 states;</w:t>
      </w:r>
    </w:p>
    <w:p>
      <w:pPr>
        <w:spacing w:after="0" w:line="171"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Brighthouse Life Insurance Company of NY (“Brighthouse NY”), formerly First MetLife Investors Insurance Company, domiciled in New York and licensed to write business in New York, which is a subsidiary of Brighthouse Insurance;</w:t>
      </w:r>
    </w:p>
    <w:p>
      <w:pPr>
        <w:spacing w:after="0" w:line="116"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Brighthouse Reinsurance Company of Delaware (“BRCD”), our single reinsurance company licensed in Delaware, which is a subsidiary of Brighthouse Insurance;</w:t>
      </w:r>
    </w:p>
    <w:p>
      <w:pPr>
        <w:spacing w:after="0" w:line="116"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Brighthouse Investment Advisers, LLC (“Brighthouse Advisers”), formerly MetLife Advisers, LLC serving as investment advisor to certain proprietary mutual funds that are underlying investments under our and MetLife’s variable insurance products;</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Brighthouse Services, LLC (“Brighthouse Services”), an internal services and payroll company;</w:t>
      </w:r>
    </w:p>
    <w:p>
      <w:pPr>
        <w:spacing w:after="0" w:line="171"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Brighthouse Securities, LLC, registered as a broker-dealer with the SEC, approved as a member of the Financial Industry Regulatory Authority, Inc. and registered as a broker-dealer and licensed as an insurance agency in all required states; and</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46"/>
        </w:numPr>
        <w:rPr>
          <w:rFonts w:ascii="Arial" w:cs="Arial" w:eastAsia="Arial" w:hAnsi="Arial"/>
          <w:sz w:val="17"/>
          <w:szCs w:val="17"/>
          <w:color w:val="auto"/>
        </w:rPr>
      </w:pPr>
      <w:r>
        <w:rPr>
          <w:rFonts w:ascii="Arial" w:cs="Arial" w:eastAsia="Arial" w:hAnsi="Arial"/>
          <w:sz w:val="17"/>
          <w:szCs w:val="17"/>
          <w:color w:val="auto"/>
        </w:rPr>
        <w:t>Brighthouse Holdings, LLC (“BH Holdings”), a wholly-owned holding company subsidiary of Brighthouse Financial, Inc. domiciled in Delaware.</w:t>
      </w:r>
    </w:p>
    <w:p>
      <w:pPr>
        <w:spacing w:after="0" w:line="129"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The Separation</w:t>
      </w:r>
    </w:p>
    <w:p>
      <w:pPr>
        <w:spacing w:after="0" w:line="117" w:lineRule="exact"/>
        <w:rPr>
          <w:sz w:val="20"/>
          <w:szCs w:val="20"/>
          <w:color w:val="auto"/>
        </w:rPr>
      </w:pPr>
    </w:p>
    <w:p>
      <w:pPr>
        <w:jc w:val="both"/>
        <w:ind w:left="180" w:firstLine="324"/>
        <w:spacing w:after="0" w:line="277" w:lineRule="auto"/>
        <w:rPr>
          <w:sz w:val="20"/>
          <w:szCs w:val="20"/>
          <w:color w:val="auto"/>
        </w:rPr>
      </w:pPr>
      <w:r>
        <w:rPr>
          <w:rFonts w:ascii="Arial" w:cs="Arial" w:eastAsia="Arial" w:hAnsi="Arial"/>
          <w:sz w:val="18"/>
          <w:szCs w:val="18"/>
          <w:color w:val="auto"/>
        </w:rPr>
        <w:t>On January 12, 2016, MetLife, Inc. announced its plan to pursue the separation of a substantial portion of its former U.S. retail business. Additionally, on July 21, 2016, MetLife, Inc. announced that the separated business would be rebranded as “Brighthouse Financial.”</w:t>
      </w:r>
    </w:p>
    <w:p>
      <w:pPr>
        <w:spacing w:after="0" w:line="62" w:lineRule="exact"/>
        <w:rPr>
          <w:sz w:val="20"/>
          <w:szCs w:val="20"/>
          <w:color w:val="auto"/>
        </w:rPr>
      </w:pPr>
    </w:p>
    <w:p>
      <w:pPr>
        <w:jc w:val="both"/>
        <w:ind w:left="180" w:firstLine="324"/>
        <w:spacing w:after="0" w:line="271" w:lineRule="auto"/>
        <w:rPr>
          <w:sz w:val="20"/>
          <w:szCs w:val="20"/>
          <w:color w:val="auto"/>
        </w:rPr>
      </w:pPr>
      <w:r>
        <w:rPr>
          <w:rFonts w:ascii="Arial" w:cs="Arial" w:eastAsia="Arial" w:hAnsi="Arial"/>
          <w:sz w:val="17"/>
          <w:szCs w:val="17"/>
          <w:color w:val="auto"/>
        </w:rPr>
        <w:t>In July 2016, MetLife, Inc. completed the sale to Massachusetts Mutual Life Insurance Company (“MassMutual”) of MetLife’s U.S. retail advisor force and certain assets associated with the MetLife Premier Client Group (“MPCG”), including all of the issued and outstanding shares of MetLife’s affiliated broker-dealer, MetLife Securities, Inc., a wholly-owned subsidiary of MetLife, Inc. (the “U.S. Retail Advisor Force Divestiture”). MassMutual assumed all of the liabilities related to such assets that arise or occur (or have arisen or occurred) after the sale was closed. As part of the transactions, MetLife, Inc. and MassMutual entered into a product development agreement under which Brighthouse is the exclusive developer of certain annuity products to be issued by MassMutual. In connection with the Separation, we entered into an agreement with MetLife, Inc., that among other things, provides for the sharing of certain liabilities that may arise with respect to this relationship. See “Certain Relationships and Related Person Transactions — Agreements Between Us and MetLife — Master Separation Agreement,” included in the Form 10.</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420"/>
          </w:cols>
          <w:pgMar w:left="240" w:top="126" w:right="239" w:bottom="1440" w:gutter="0" w:footer="0" w:header="0"/>
        </w:sectPr>
      </w:pPr>
    </w:p>
    <w:bookmarkStart w:id="78" w:name="page79"/>
    <w:bookmarkEnd w:id="78"/>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both"/>
        <w:ind w:left="180" w:firstLine="324"/>
        <w:spacing w:after="0" w:line="268" w:lineRule="auto"/>
        <w:rPr>
          <w:sz w:val="20"/>
          <w:szCs w:val="20"/>
          <w:color w:val="auto"/>
        </w:rPr>
      </w:pPr>
      <w:r>
        <w:rPr>
          <w:rFonts w:ascii="Arial" w:cs="Arial" w:eastAsia="Arial" w:hAnsi="Arial"/>
          <w:sz w:val="17"/>
          <w:szCs w:val="17"/>
          <w:color w:val="auto"/>
        </w:rPr>
        <w:t>On October 5, 2016, Brighthouse Financial, Inc., which until the completion of the Separation on August 4, 2017 was a wholly-owned subsidiary of MetLife, Inc., filed a registration statement on Form 10 with the SEC that was declared effective by the SEC on July 6, 2017. The Form 10 disclosed MetLife, Inc.’s plans to undertake several actions, including an internal reorganization involving its U.S. retail business (the “Restructuring”) and include, among others, Brighthouse Insurance, Brighthouse NY, NELICO, Brighthouse Advisers and certain affiliated reinsurance companies in the separated business, and distribute at least 80.1% of the shares of Brighthouse Financial, Inc.’s common stock on a pro rata basis to the holders of MetLife, Inc. common stock. In connection with the Restructuring, effective April 2017 following receipt of applicable regulatory approvals, MetLife, Inc. contributed certain affiliated reinsurance companies and Brighthouse NY to Brighthouse Insurance. The affiliated reinsurance companies were then merged into BRCD, a licensed reinsurance subsidiary of Brighthouse Insurance (the “Reinsurance Merger”). On June 20, 2017, BH Holdings issued $50 million aggregate liquidation preference of fixed rate cumulative preferred units to MetLife, Inc., which MetLife, Inc. subsequently resold to unaffiliated third parties. These preferred units are reported as noncontrolling interests on the interim condensed consolidated balance sheet. Additionally, on June 16, 2017 in connection with the Separation, MetLife, Inc. forgave the $750 million principal amount of 8.595% surplus notes, and on July 28, 2017, MetLife, Inc. contributed BH Holdings to Brighthouse Financial, Inc. On August 4, 2017, MetLife, Inc. completed the distribution of Brighthouse Financial, Inc. shares to its shareholders through a distribution of 96,776,670 of the 119,773,106 shares of the Company’s common stock, representing 80.8% of MetLife’s interest in Brighthouse, to holders of MetLife common stock.</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Certain Business Events</w:t>
      </w:r>
    </w:p>
    <w:p>
      <w:pPr>
        <w:spacing w:after="0" w:line="117"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The following tables show the effect on our net income (loss) and operating earnings (loss) of the items described in the following discussion, which we do not believe are indicative of performance in the period. There may be other items not included in the tables that caused significant changes in net income (loss) and operating earnings (loss) for the periods presented, including the action taken in 2016 to increase our reserves on our variable annuity contracts, see “— Actuarial Assumption Review,” derivative losses on our economic hedges of certain liabilities in the second half of 2016 and the separation-related tax charge recognized in the third quarter of 2017. For additional discussions of these actions and their impacts on net income (loss) and operating earnings (loss), see “— Results of Operations.” Amounts presented in the following tables and the discussion of items presented are net of income tax.</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300" w:type="dxa"/>
            <w:vAlign w:val="bottom"/>
            <w:gridSpan w:val="4"/>
          </w:tcPr>
          <w:p>
            <w:pPr>
              <w:ind w:left="180"/>
              <w:spacing w:after="0"/>
              <w:rPr>
                <w:sz w:val="20"/>
                <w:szCs w:val="20"/>
                <w:color w:val="auto"/>
              </w:rPr>
            </w:pPr>
            <w:r>
              <w:rPr>
                <w:rFonts w:ascii="Arial" w:cs="Arial" w:eastAsia="Arial" w:hAnsi="Arial"/>
                <w:sz w:val="16"/>
                <w:szCs w:val="16"/>
                <w:b w:val="1"/>
                <w:bCs w:val="1"/>
                <w:color w:val="auto"/>
              </w:rPr>
              <w:t>Three Months Ended September 30,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80" w:type="dxa"/>
            <w:vAlign w:val="bottom"/>
            <w:gridSpan w:val="3"/>
          </w:tcPr>
          <w:p>
            <w:pPr>
              <w:jc w:val="right"/>
              <w:ind w:right="292"/>
              <w:spacing w:after="0"/>
              <w:rPr>
                <w:sz w:val="20"/>
                <w:szCs w:val="20"/>
                <w:color w:val="auto"/>
              </w:rPr>
            </w:pPr>
            <w:r>
              <w:rPr>
                <w:rFonts w:ascii="Arial" w:cs="Arial" w:eastAsia="Arial" w:hAnsi="Arial"/>
                <w:sz w:val="16"/>
                <w:szCs w:val="16"/>
                <w:b w:val="1"/>
                <w:bCs w:val="1"/>
                <w:color w:val="auto"/>
                <w:w w:val="94"/>
              </w:rPr>
              <w:t>Nine Months Ended September 30,</w:t>
            </w:r>
          </w:p>
        </w:tc>
      </w:tr>
      <w:tr>
        <w:trPr>
          <w:trHeight w:val="33"/>
        </w:trPr>
        <w:tc>
          <w:tcPr>
            <w:tcW w:w="46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31"/>
        </w:trPr>
        <w:tc>
          <w:tcPr>
            <w:tcW w:w="4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40" w:type="dxa"/>
            <w:vAlign w:val="bottom"/>
          </w:tcPr>
          <w:p>
            <w:pPr>
              <w:ind w:left="100"/>
              <w:spacing w:after="0"/>
              <w:rPr>
                <w:sz w:val="20"/>
                <w:szCs w:val="20"/>
                <w:color w:val="auto"/>
              </w:rPr>
            </w:pPr>
            <w:r>
              <w:rPr>
                <w:rFonts w:ascii="Arial" w:cs="Arial" w:eastAsia="Arial" w:hAnsi="Arial"/>
                <w:sz w:val="16"/>
                <w:szCs w:val="16"/>
                <w:b w:val="1"/>
                <w:bCs w:val="1"/>
                <w:color w:val="auto"/>
              </w:rPr>
              <w:t>2017</w:t>
            </w:r>
          </w:p>
        </w:tc>
        <w:tc>
          <w:tcPr>
            <w:tcW w:w="880" w:type="dxa"/>
            <w:vAlign w:val="bottom"/>
          </w:tcPr>
          <w:p>
            <w:pPr>
              <w:spacing w:after="0"/>
              <w:rPr>
                <w:sz w:val="20"/>
                <w:szCs w:val="20"/>
                <w:color w:val="auto"/>
              </w:rPr>
            </w:pPr>
          </w:p>
        </w:tc>
        <w:tc>
          <w:tcPr>
            <w:tcW w:w="860" w:type="dxa"/>
            <w:vAlign w:val="bottom"/>
          </w:tcPr>
          <w:p>
            <w:pPr>
              <w:jc w:val="right"/>
              <w:ind w:right="354"/>
              <w:spacing w:after="0"/>
              <w:rPr>
                <w:sz w:val="20"/>
                <w:szCs w:val="20"/>
                <w:color w:val="auto"/>
              </w:rPr>
            </w:pPr>
            <w:r>
              <w:rPr>
                <w:rFonts w:ascii="Arial" w:cs="Arial" w:eastAsia="Arial" w:hAnsi="Arial"/>
                <w:sz w:val="16"/>
                <w:szCs w:val="16"/>
                <w:b w:val="1"/>
                <w:bCs w:val="1"/>
                <w:color w:val="auto"/>
              </w:rPr>
              <w:t>2016</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tcPr>
          <w:p>
            <w:pPr>
              <w:jc w:val="right"/>
              <w:ind w:right="794"/>
              <w:spacing w:after="0"/>
              <w:rPr>
                <w:sz w:val="20"/>
                <w:szCs w:val="20"/>
                <w:color w:val="auto"/>
              </w:rPr>
            </w:pPr>
            <w:r>
              <w:rPr>
                <w:rFonts w:ascii="Arial" w:cs="Arial" w:eastAsia="Arial" w:hAnsi="Arial"/>
                <w:sz w:val="16"/>
                <w:szCs w:val="16"/>
                <w:b w:val="1"/>
                <w:bCs w:val="1"/>
                <w:color w:val="auto"/>
                <w:w w:val="95"/>
              </w:rPr>
              <w:t>2017</w:t>
            </w:r>
          </w:p>
        </w:tc>
        <w:tc>
          <w:tcPr>
            <w:tcW w:w="820" w:type="dxa"/>
            <w:vAlign w:val="bottom"/>
          </w:tcPr>
          <w:p>
            <w:pPr>
              <w:spacing w:after="0"/>
              <w:rPr>
                <w:sz w:val="20"/>
                <w:szCs w:val="20"/>
                <w:color w:val="auto"/>
              </w:rPr>
            </w:pPr>
          </w:p>
        </w:tc>
        <w:tc>
          <w:tcPr>
            <w:tcW w:w="820" w:type="dxa"/>
            <w:vAlign w:val="bottom"/>
          </w:tcPr>
          <w:p>
            <w:pPr>
              <w:jc w:val="right"/>
              <w:ind w:right="312"/>
              <w:spacing w:after="0"/>
              <w:rPr>
                <w:sz w:val="20"/>
                <w:szCs w:val="20"/>
                <w:color w:val="auto"/>
              </w:rPr>
            </w:pPr>
            <w:r>
              <w:rPr>
                <w:rFonts w:ascii="Arial" w:cs="Arial" w:eastAsia="Arial" w:hAnsi="Arial"/>
                <w:sz w:val="16"/>
                <w:szCs w:val="16"/>
                <w:b w:val="1"/>
                <w:bCs w:val="1"/>
                <w:color w:val="auto"/>
              </w:rPr>
              <w:t>2016</w:t>
            </w:r>
          </w:p>
        </w:tc>
      </w:tr>
      <w:tr>
        <w:trPr>
          <w:trHeight w:val="33"/>
        </w:trPr>
        <w:tc>
          <w:tcPr>
            <w:tcW w:w="46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17"/>
        </w:trPr>
        <w:tc>
          <w:tcPr>
            <w:tcW w:w="4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80" w:type="dxa"/>
            <w:vAlign w:val="bottom"/>
            <w:gridSpan w:val="4"/>
          </w:tcPr>
          <w:p>
            <w:pPr>
              <w:jc w:val="center"/>
              <w:ind w:left="154"/>
              <w:spacing w:after="0"/>
              <w:rPr>
                <w:sz w:val="20"/>
                <w:szCs w:val="20"/>
                <w:color w:val="auto"/>
              </w:rPr>
            </w:pPr>
            <w:r>
              <w:rPr>
                <w:rFonts w:ascii="Arial" w:cs="Arial" w:eastAsia="Arial" w:hAnsi="Arial"/>
                <w:sz w:val="16"/>
                <w:szCs w:val="16"/>
                <w:b w:val="1"/>
                <w:bCs w:val="1"/>
                <w:color w:val="auto"/>
                <w:w w:val="93"/>
              </w:rPr>
              <w:t>(In millions)</w:t>
            </w:r>
          </w:p>
        </w:tc>
        <w:tc>
          <w:tcPr>
            <w:tcW w:w="1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33"/>
        </w:trPr>
        <w:tc>
          <w:tcPr>
            <w:tcW w:w="4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8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4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Income (Loss):</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r>
      <w:tr>
        <w:trPr>
          <w:trHeight w:val="243"/>
        </w:trPr>
        <w:tc>
          <w:tcPr>
            <w:tcW w:w="4600" w:type="dxa"/>
            <w:vAlign w:val="bottom"/>
          </w:tcPr>
          <w:p>
            <w:pPr>
              <w:ind w:left="40"/>
              <w:spacing w:after="0"/>
              <w:rPr>
                <w:sz w:val="20"/>
                <w:szCs w:val="20"/>
                <w:color w:val="auto"/>
              </w:rPr>
            </w:pPr>
            <w:r>
              <w:rPr>
                <w:rFonts w:ascii="Arial" w:cs="Arial" w:eastAsia="Arial" w:hAnsi="Arial"/>
                <w:sz w:val="18"/>
                <w:szCs w:val="18"/>
                <w:color w:val="auto"/>
              </w:rPr>
              <w:t>ULSG Model Change</w:t>
            </w:r>
          </w:p>
        </w:tc>
        <w:tc>
          <w:tcPr>
            <w:tcW w:w="34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w:t>
            </w:r>
          </w:p>
        </w:tc>
        <w:tc>
          <w:tcPr>
            <w:tcW w:w="1440" w:type="dxa"/>
            <w:vAlign w:val="bottom"/>
          </w:tcPr>
          <w:p>
            <w:pPr>
              <w:ind w:left="58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98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ind w:right="20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ind w:right="534"/>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(429)</w:t>
            </w:r>
          </w:p>
        </w:tc>
      </w:tr>
      <w:tr>
        <w:trPr>
          <w:trHeight w:val="27"/>
        </w:trPr>
        <w:tc>
          <w:tcPr>
            <w:tcW w:w="4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8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4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SPDA Recaptures</w:t>
            </w:r>
          </w:p>
        </w:tc>
        <w:tc>
          <w:tcPr>
            <w:tcW w:w="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CCEEFF"/>
            </w:tcBorders>
            <w:shd w:val="clear" w:color="auto" w:fill="CCEEFF"/>
          </w:tcPr>
          <w:p>
            <w:pPr>
              <w:jc w:val="right"/>
              <w:ind w:right="534"/>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246</w:t>
            </w:r>
          </w:p>
        </w:tc>
      </w:tr>
      <w:tr>
        <w:trPr>
          <w:trHeight w:val="243"/>
        </w:trPr>
        <w:tc>
          <w:tcPr>
            <w:tcW w:w="4600" w:type="dxa"/>
            <w:vAlign w:val="bottom"/>
          </w:tcPr>
          <w:p>
            <w:pPr>
              <w:ind w:left="40"/>
              <w:spacing w:after="0"/>
              <w:rPr>
                <w:sz w:val="20"/>
                <w:szCs w:val="20"/>
                <w:color w:val="auto"/>
              </w:rPr>
            </w:pPr>
            <w:r>
              <w:rPr>
                <w:rFonts w:ascii="Arial" w:cs="Arial" w:eastAsia="Arial" w:hAnsi="Arial"/>
                <w:sz w:val="18"/>
                <w:szCs w:val="18"/>
                <w:color w:val="auto"/>
              </w:rPr>
              <w:t>2017 VA Recaptures</w:t>
            </w:r>
          </w:p>
        </w:tc>
        <w:tc>
          <w:tcPr>
            <w:tcW w:w="34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w:t>
            </w:r>
          </w:p>
        </w:tc>
        <w:tc>
          <w:tcPr>
            <w:tcW w:w="1440" w:type="dxa"/>
            <w:vAlign w:val="bottom"/>
          </w:tcPr>
          <w:p>
            <w:pPr>
              <w:ind w:left="58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98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ind w:right="20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ind w:right="474"/>
              <w:spacing w:after="0"/>
              <w:rPr>
                <w:sz w:val="20"/>
                <w:szCs w:val="20"/>
                <w:color w:val="auto"/>
              </w:rPr>
            </w:pPr>
            <w:r>
              <w:rPr>
                <w:rFonts w:ascii="Arial" w:cs="Arial" w:eastAsia="Arial" w:hAnsi="Arial"/>
                <w:sz w:val="18"/>
                <w:szCs w:val="18"/>
                <w:color w:val="auto"/>
              </w:rPr>
              <w:t>(91)</w:t>
            </w:r>
          </w:p>
        </w:tc>
        <w:tc>
          <w:tcPr>
            <w:tcW w:w="8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507"/>
        </w:trPr>
        <w:tc>
          <w:tcPr>
            <w:tcW w:w="4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300" w:type="dxa"/>
            <w:vAlign w:val="bottom"/>
            <w:gridSpan w:val="4"/>
          </w:tcPr>
          <w:p>
            <w:pPr>
              <w:ind w:left="300"/>
              <w:spacing w:after="0"/>
              <w:rPr>
                <w:sz w:val="20"/>
                <w:szCs w:val="20"/>
                <w:color w:val="auto"/>
              </w:rPr>
            </w:pPr>
            <w:r>
              <w:rPr>
                <w:rFonts w:ascii="Arial" w:cs="Arial" w:eastAsia="Arial" w:hAnsi="Arial"/>
                <w:sz w:val="16"/>
                <w:szCs w:val="16"/>
                <w:b w:val="1"/>
                <w:bCs w:val="1"/>
                <w:color w:val="auto"/>
              </w:rPr>
              <w:t>Three Months Ended September 30,</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80" w:type="dxa"/>
            <w:vAlign w:val="bottom"/>
            <w:gridSpan w:val="3"/>
          </w:tcPr>
          <w:p>
            <w:pPr>
              <w:ind w:left="140"/>
              <w:spacing w:after="0"/>
              <w:rPr>
                <w:sz w:val="20"/>
                <w:szCs w:val="20"/>
                <w:color w:val="auto"/>
              </w:rPr>
            </w:pPr>
            <w:r>
              <w:rPr>
                <w:rFonts w:ascii="Arial" w:cs="Arial" w:eastAsia="Arial" w:hAnsi="Arial"/>
                <w:sz w:val="16"/>
                <w:szCs w:val="16"/>
                <w:b w:val="1"/>
                <w:bCs w:val="1"/>
                <w:color w:val="auto"/>
              </w:rPr>
              <w:t>Nine Months Ended September 30,</w:t>
            </w:r>
          </w:p>
        </w:tc>
      </w:tr>
      <w:tr>
        <w:trPr>
          <w:trHeight w:val="33"/>
        </w:trPr>
        <w:tc>
          <w:tcPr>
            <w:tcW w:w="4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31"/>
        </w:trPr>
        <w:tc>
          <w:tcPr>
            <w:tcW w:w="4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40" w:type="dxa"/>
            <w:vAlign w:val="bottom"/>
          </w:tcPr>
          <w:p>
            <w:pPr>
              <w:ind w:left="200"/>
              <w:spacing w:after="0"/>
              <w:rPr>
                <w:sz w:val="20"/>
                <w:szCs w:val="20"/>
                <w:color w:val="auto"/>
              </w:rPr>
            </w:pPr>
            <w:r>
              <w:rPr>
                <w:rFonts w:ascii="Arial" w:cs="Arial" w:eastAsia="Arial" w:hAnsi="Arial"/>
                <w:sz w:val="16"/>
                <w:szCs w:val="16"/>
                <w:b w:val="1"/>
                <w:bCs w:val="1"/>
                <w:color w:val="auto"/>
              </w:rPr>
              <w:t>2017</w:t>
            </w:r>
          </w:p>
        </w:tc>
        <w:tc>
          <w:tcPr>
            <w:tcW w:w="880" w:type="dxa"/>
            <w:vAlign w:val="bottom"/>
          </w:tcPr>
          <w:p>
            <w:pPr>
              <w:spacing w:after="0"/>
              <w:rPr>
                <w:sz w:val="20"/>
                <w:szCs w:val="20"/>
                <w:color w:val="auto"/>
              </w:rPr>
            </w:pPr>
          </w:p>
        </w:tc>
        <w:tc>
          <w:tcPr>
            <w:tcW w:w="860" w:type="dxa"/>
            <w:vAlign w:val="bottom"/>
          </w:tcPr>
          <w:p>
            <w:pPr>
              <w:jc w:val="right"/>
              <w:ind w:right="234"/>
              <w:spacing w:after="0"/>
              <w:rPr>
                <w:sz w:val="20"/>
                <w:szCs w:val="20"/>
                <w:color w:val="auto"/>
              </w:rPr>
            </w:pPr>
            <w:r>
              <w:rPr>
                <w:rFonts w:ascii="Arial" w:cs="Arial" w:eastAsia="Arial" w:hAnsi="Arial"/>
                <w:sz w:val="16"/>
                <w:szCs w:val="16"/>
                <w:b w:val="1"/>
                <w:bCs w:val="1"/>
                <w:color w:val="auto"/>
              </w:rPr>
              <w:t>2016</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tcPr>
          <w:p>
            <w:pPr>
              <w:ind w:left="160"/>
              <w:spacing w:after="0"/>
              <w:rPr>
                <w:sz w:val="20"/>
                <w:szCs w:val="20"/>
                <w:color w:val="auto"/>
              </w:rPr>
            </w:pPr>
            <w:r>
              <w:rPr>
                <w:rFonts w:ascii="Arial" w:cs="Arial" w:eastAsia="Arial" w:hAnsi="Arial"/>
                <w:sz w:val="16"/>
                <w:szCs w:val="16"/>
                <w:b w:val="1"/>
                <w:bCs w:val="1"/>
                <w:color w:val="auto"/>
              </w:rPr>
              <w:t>2017</w:t>
            </w:r>
          </w:p>
        </w:tc>
        <w:tc>
          <w:tcPr>
            <w:tcW w:w="820" w:type="dxa"/>
            <w:vAlign w:val="bottom"/>
          </w:tcPr>
          <w:p>
            <w:pPr>
              <w:spacing w:after="0"/>
              <w:rPr>
                <w:sz w:val="20"/>
                <w:szCs w:val="20"/>
                <w:color w:val="auto"/>
              </w:rPr>
            </w:pPr>
          </w:p>
        </w:tc>
        <w:tc>
          <w:tcPr>
            <w:tcW w:w="820" w:type="dxa"/>
            <w:vAlign w:val="bottom"/>
          </w:tcPr>
          <w:p>
            <w:pPr>
              <w:jc w:val="right"/>
              <w:ind w:right="272"/>
              <w:spacing w:after="0"/>
              <w:rPr>
                <w:sz w:val="20"/>
                <w:szCs w:val="20"/>
                <w:color w:val="auto"/>
              </w:rPr>
            </w:pPr>
            <w:r>
              <w:rPr>
                <w:rFonts w:ascii="Arial" w:cs="Arial" w:eastAsia="Arial" w:hAnsi="Arial"/>
                <w:sz w:val="16"/>
                <w:szCs w:val="16"/>
                <w:b w:val="1"/>
                <w:bCs w:val="1"/>
                <w:color w:val="auto"/>
              </w:rPr>
              <w:t>2016</w:t>
            </w:r>
          </w:p>
        </w:tc>
      </w:tr>
      <w:tr>
        <w:trPr>
          <w:trHeight w:val="33"/>
        </w:trPr>
        <w:tc>
          <w:tcPr>
            <w:tcW w:w="4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gridSpan w:val="3"/>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17"/>
        </w:trPr>
        <w:tc>
          <w:tcPr>
            <w:tcW w:w="4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80" w:type="dxa"/>
            <w:vAlign w:val="bottom"/>
            <w:gridSpan w:val="4"/>
          </w:tcPr>
          <w:p>
            <w:pPr>
              <w:jc w:val="right"/>
              <w:ind w:right="40"/>
              <w:spacing w:after="0"/>
              <w:rPr>
                <w:sz w:val="20"/>
                <w:szCs w:val="20"/>
                <w:color w:val="auto"/>
              </w:rPr>
            </w:pPr>
            <w:r>
              <w:rPr>
                <w:rFonts w:ascii="Arial" w:cs="Arial" w:eastAsia="Arial" w:hAnsi="Arial"/>
                <w:sz w:val="16"/>
                <w:szCs w:val="16"/>
                <w:b w:val="1"/>
                <w:bCs w:val="1"/>
                <w:color w:val="auto"/>
              </w:rPr>
              <w:t>(In millions)</w:t>
            </w:r>
          </w:p>
        </w:tc>
        <w:tc>
          <w:tcPr>
            <w:tcW w:w="1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33"/>
        </w:trPr>
        <w:tc>
          <w:tcPr>
            <w:tcW w:w="4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8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4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Operating Income:</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r>
      <w:tr>
        <w:trPr>
          <w:trHeight w:val="243"/>
        </w:trPr>
        <w:tc>
          <w:tcPr>
            <w:tcW w:w="4600" w:type="dxa"/>
            <w:vAlign w:val="bottom"/>
          </w:tcPr>
          <w:p>
            <w:pPr>
              <w:ind w:left="40"/>
              <w:spacing w:after="0"/>
              <w:rPr>
                <w:sz w:val="20"/>
                <w:szCs w:val="20"/>
                <w:color w:val="auto"/>
              </w:rPr>
            </w:pPr>
            <w:r>
              <w:rPr>
                <w:rFonts w:ascii="Arial" w:cs="Arial" w:eastAsia="Arial" w:hAnsi="Arial"/>
                <w:sz w:val="18"/>
                <w:szCs w:val="18"/>
                <w:color w:val="auto"/>
              </w:rPr>
              <w:t>ULSG Model Change</w:t>
            </w:r>
          </w:p>
        </w:tc>
        <w:tc>
          <w:tcPr>
            <w:tcW w:w="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440" w:type="dxa"/>
            <w:vAlign w:val="bottom"/>
          </w:tcPr>
          <w:p>
            <w:pPr>
              <w:ind w:left="68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center"/>
              <w:ind w:left="474"/>
              <w:spacing w:after="0"/>
              <w:rPr>
                <w:sz w:val="20"/>
                <w:szCs w:val="20"/>
                <w:color w:val="auto"/>
              </w:rPr>
            </w:pPr>
            <w:r>
              <w:rPr>
                <w:rFonts w:ascii="Arial" w:cs="Arial" w:eastAsia="Arial" w:hAnsi="Arial"/>
                <w:sz w:val="18"/>
                <w:szCs w:val="18"/>
                <w:color w:val="auto"/>
                <w:w w:val="99"/>
              </w:rPr>
              <w:t>—</w:t>
            </w:r>
          </w:p>
        </w:tc>
        <w:tc>
          <w:tcPr>
            <w:tcW w:w="3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434"/>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(429)</w:t>
            </w:r>
          </w:p>
        </w:tc>
      </w:tr>
      <w:tr>
        <w:trPr>
          <w:trHeight w:val="27"/>
        </w:trPr>
        <w:tc>
          <w:tcPr>
            <w:tcW w:w="4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880" w:type="dxa"/>
            <w:vAlign w:val="bottom"/>
          </w:tcPr>
          <w:p>
            <w:pPr>
              <w:spacing w:after="0"/>
              <w:rPr>
                <w:sz w:val="2"/>
                <w:szCs w:val="2"/>
                <w:color w:val="auto"/>
              </w:rPr>
            </w:pPr>
          </w:p>
        </w:tc>
        <w:tc>
          <w:tcPr>
            <w:tcW w:w="98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4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SPDA Recaptures</w:t>
            </w:r>
          </w:p>
        </w:tc>
        <w:tc>
          <w:tcPr>
            <w:tcW w:w="3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gridSpan w:val="2"/>
            <w:shd w:val="clear" w:color="auto" w:fill="CCEEFF"/>
          </w:tcPr>
          <w:p>
            <w:pPr>
              <w:jc w:val="center"/>
              <w:ind w:left="474"/>
              <w:spacing w:after="0"/>
              <w:rPr>
                <w:sz w:val="20"/>
                <w:szCs w:val="20"/>
                <w:color w:val="auto"/>
              </w:rPr>
            </w:pPr>
            <w:r>
              <w:rPr>
                <w:rFonts w:ascii="Arial" w:cs="Arial" w:eastAsia="Arial" w:hAnsi="Arial"/>
                <w:sz w:val="18"/>
                <w:szCs w:val="18"/>
                <w:color w:val="auto"/>
                <w:w w:val="99"/>
              </w:rPr>
              <w:t>—</w:t>
            </w:r>
          </w:p>
        </w:tc>
        <w:tc>
          <w:tcPr>
            <w:tcW w:w="3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434"/>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246</w:t>
            </w:r>
          </w:p>
        </w:tc>
      </w:tr>
      <w:tr>
        <w:trPr>
          <w:trHeight w:val="243"/>
        </w:trPr>
        <w:tc>
          <w:tcPr>
            <w:tcW w:w="4600" w:type="dxa"/>
            <w:vAlign w:val="bottom"/>
          </w:tcPr>
          <w:p>
            <w:pPr>
              <w:ind w:left="40"/>
              <w:spacing w:after="0"/>
              <w:rPr>
                <w:sz w:val="20"/>
                <w:szCs w:val="20"/>
                <w:color w:val="auto"/>
              </w:rPr>
            </w:pPr>
            <w:r>
              <w:rPr>
                <w:rFonts w:ascii="Arial" w:cs="Arial" w:eastAsia="Arial" w:hAnsi="Arial"/>
                <w:sz w:val="18"/>
                <w:szCs w:val="18"/>
                <w:color w:val="auto"/>
              </w:rPr>
              <w:t>2017 VA Recaptures</w:t>
            </w:r>
          </w:p>
        </w:tc>
        <w:tc>
          <w:tcPr>
            <w:tcW w:w="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440" w:type="dxa"/>
            <w:vAlign w:val="bottom"/>
          </w:tcPr>
          <w:p>
            <w:pPr>
              <w:ind w:left="68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center"/>
              <w:ind w:left="474"/>
              <w:spacing w:after="0"/>
              <w:rPr>
                <w:sz w:val="20"/>
                <w:szCs w:val="20"/>
                <w:color w:val="auto"/>
              </w:rPr>
            </w:pPr>
            <w:r>
              <w:rPr>
                <w:rFonts w:ascii="Arial" w:cs="Arial" w:eastAsia="Arial" w:hAnsi="Arial"/>
                <w:sz w:val="18"/>
                <w:szCs w:val="18"/>
                <w:color w:val="auto"/>
                <w:w w:val="99"/>
              </w:rPr>
              <w:t>—</w:t>
            </w:r>
          </w:p>
        </w:tc>
        <w:tc>
          <w:tcPr>
            <w:tcW w:w="3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434"/>
              <w:spacing w:after="0"/>
              <w:rPr>
                <w:sz w:val="20"/>
                <w:szCs w:val="20"/>
                <w:color w:val="auto"/>
              </w:rPr>
            </w:pPr>
            <w:r>
              <w:rPr>
                <w:rFonts w:ascii="Arial" w:cs="Arial" w:eastAsia="Arial" w:hAnsi="Arial"/>
                <w:sz w:val="18"/>
                <w:szCs w:val="18"/>
                <w:color w:val="auto"/>
              </w:rPr>
              <w:t>9</w:t>
            </w: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2"/>
              <w:spacing w:after="0"/>
              <w:rPr>
                <w:sz w:val="20"/>
                <w:szCs w:val="20"/>
                <w:color w:val="auto"/>
              </w:rPr>
            </w:pPr>
            <w:r>
              <w:rPr>
                <w:rFonts w:ascii="Arial" w:cs="Arial" w:eastAsia="Arial" w:hAnsi="Arial"/>
                <w:sz w:val="18"/>
                <w:szCs w:val="18"/>
                <w:color w:val="auto"/>
              </w:rPr>
              <w:t>—</w:t>
            </w:r>
          </w:p>
        </w:tc>
      </w:tr>
    </w:tbl>
    <w:p>
      <w:pPr>
        <w:spacing w:after="0" w:line="283"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i w:val="1"/>
          <w:iCs w:val="1"/>
          <w:color w:val="auto"/>
        </w:rPr>
        <w:t>ULSG Model Change</w:t>
      </w:r>
      <w:r>
        <w:rPr>
          <w:rFonts w:ascii="Arial" w:cs="Arial" w:eastAsia="Arial" w:hAnsi="Arial"/>
          <w:sz w:val="18"/>
          <w:szCs w:val="18"/>
          <w:color w:val="auto"/>
        </w:rPr>
        <w:t>. In the second quarter of 2016, we refined our actuarial model which calculates the reserves for our ULSG products (the “ULSG</w:t>
      </w:r>
      <w:r>
        <w:rPr>
          <w:rFonts w:ascii="Arial" w:cs="Arial" w:eastAsia="Arial" w:hAnsi="Arial"/>
          <w:sz w:val="18"/>
          <w:szCs w:val="18"/>
          <w:i w:val="1"/>
          <w:iCs w:val="1"/>
          <w:color w:val="auto"/>
        </w:rPr>
        <w:t xml:space="preserve"> </w:t>
      </w:r>
      <w:r>
        <w:rPr>
          <w:rFonts w:ascii="Arial" w:cs="Arial" w:eastAsia="Arial" w:hAnsi="Arial"/>
          <w:sz w:val="18"/>
          <w:szCs w:val="18"/>
          <w:color w:val="auto"/>
        </w:rPr>
        <w:t>Model Change”). The new model treats projected premiums and death claims differently than the previous model. This change resulted in a one-time charge to net income (loss) and operating earnings (loss) of $429 million for the nine months ended September 30, 2016. Of this one-time charge, $171 million resulted directly from the model refinements, as follows:</w:t>
      </w:r>
    </w:p>
    <w:p>
      <w:pPr>
        <w:spacing w:after="0" w:line="79" w:lineRule="exact"/>
        <w:rPr>
          <w:sz w:val="20"/>
          <w:szCs w:val="20"/>
          <w:color w:val="auto"/>
        </w:rPr>
      </w:pPr>
    </w:p>
    <w:p>
      <w:pPr>
        <w:ind w:left="660" w:hanging="328"/>
        <w:spacing w:after="0"/>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 $150 million increase in insurance-related liabilities;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 $16 million decrease in amortization of unearned revenue;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 $5 million increase in amortization of deferred policy acquisition costs (“DAC”).</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420"/>
          </w:cols>
          <w:pgMar w:left="240" w:top="126" w:right="239" w:bottom="1440" w:gutter="0" w:footer="0" w:header="0"/>
        </w:sectPr>
      </w:pPr>
    </w:p>
    <w:bookmarkStart w:id="79" w:name="page80"/>
    <w:bookmarkEnd w:id="79"/>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above impacts from the model change also resulted in a reduction of expected future gross profits, which drove our loss recognition margins negative, resulting in a further DAC write-off of $237 million and an increase in insurance-related liabilities of $21 million for the nine months ended September 30, 2016. In addition to the one-time charges, as a result of the lower expected future gross profits, we have recognized ongoing increases in insurance-related liabilities of $116 million and $42 million for the nine months ended September 30, 2017 and 2016, respectively, that are not included in the preceding table. We expect to recognize similar ongoing increases in future periods. See “— Results of Operations — Consolidated Results for the Three Months and Nine Months Ended September 30, 2017 and 2016 — Operating.”</w:t>
      </w:r>
    </w:p>
    <w:p>
      <w:pPr>
        <w:spacing w:after="0" w:line="85"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i w:val="1"/>
          <w:iCs w:val="1"/>
          <w:color w:val="auto"/>
        </w:rPr>
        <w:t xml:space="preserve">SPDA Recaptures. </w:t>
      </w:r>
      <w:r>
        <w:rPr>
          <w:rFonts w:ascii="Arial" w:cs="Arial" w:eastAsia="Arial" w:hAnsi="Arial"/>
          <w:sz w:val="16"/>
          <w:szCs w:val="16"/>
          <w:color w:val="auto"/>
        </w:rPr>
        <w:t>In April and December 2016, in contemplation of the Separation, we recaptured certain blocks of single premium deferred annuities</w:t>
      </w:r>
      <w:r>
        <w:rPr>
          <w:rFonts w:ascii="Arial" w:cs="Arial" w:eastAsia="Arial" w:hAnsi="Arial"/>
          <w:sz w:val="16"/>
          <w:szCs w:val="16"/>
          <w:i w:val="1"/>
          <w:iCs w:val="1"/>
          <w:color w:val="auto"/>
        </w:rPr>
        <w:t xml:space="preserve"> </w:t>
      </w:r>
      <w:r>
        <w:rPr>
          <w:rFonts w:ascii="Arial" w:cs="Arial" w:eastAsia="Arial" w:hAnsi="Arial"/>
          <w:sz w:val="16"/>
          <w:szCs w:val="16"/>
          <w:color w:val="auto"/>
        </w:rPr>
        <w:t>ceded to Metropolitan Life Insurance Company (“MLIC”) on a 90% coinsurance basis (together, the “SPDA Recaptures”). The April 2016 recapture resulted in a benefit to both net income (loss) and operating earnings (loss) of $246 million for the nine months ended September 30, 2016, comprised of higher fee income of $190 million due to a net favorable settlement and a recovery of DAC amortization of $56 million. The SPDA Recaptures were primarily settled with market-adjusted assets-in-kind, which increased the invested asset base but also resulted in lower yields as compared to the yield used in determining the interest income recognized on the reinsurance receivable balances prior to the recaptures. Together these changes are expected to have additional impacts to net investment spread on a comparative basis which are not reflected in the preceding table. See “— Results of Operations — Segments and Corporate &amp; Other Results for the Three Months and Nine Months Ended September 30, 2017 and 2016.”</w:t>
      </w:r>
    </w:p>
    <w:p>
      <w:pPr>
        <w:spacing w:after="0" w:line="58"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i w:val="1"/>
          <w:iCs w:val="1"/>
          <w:color w:val="auto"/>
        </w:rPr>
        <w:t xml:space="preserve">2017 VA Recaptures. </w:t>
      </w:r>
      <w:r>
        <w:rPr>
          <w:rFonts w:ascii="Arial" w:cs="Arial" w:eastAsia="Arial" w:hAnsi="Arial"/>
          <w:sz w:val="18"/>
          <w:szCs w:val="18"/>
          <w:color w:val="auto"/>
        </w:rPr>
        <w:t>Effective January 1, 2017, certain ceded and assumed variable annuity reinsurance agreements with MLIC were recaptured (“2017</w:t>
      </w:r>
      <w:r>
        <w:rPr>
          <w:rFonts w:ascii="Arial" w:cs="Arial" w:eastAsia="Arial" w:hAnsi="Arial"/>
          <w:sz w:val="18"/>
          <w:szCs w:val="18"/>
          <w:i w:val="1"/>
          <w:iCs w:val="1"/>
          <w:color w:val="auto"/>
        </w:rPr>
        <w:t xml:space="preserve"> </w:t>
      </w:r>
      <w:r>
        <w:rPr>
          <w:rFonts w:ascii="Arial" w:cs="Arial" w:eastAsia="Arial" w:hAnsi="Arial"/>
          <w:sz w:val="18"/>
          <w:szCs w:val="18"/>
          <w:color w:val="auto"/>
        </w:rPr>
        <w:t>VA Recaptures”). The initial settlement of these transactions resulted in a charge in the first quarter of 2017 which decreased net income (loss) by $180 million. Of this amount, $172 million was included in guaranteed minimum life benefit riders (“GMLB Riders”), recognized in net derivative gains (losses). The remaining $8 million was included in operating earnings (loss), recognized in other expenses, net of DAC capitalization, partially offset by lower amortization of DAC and value of business acquired (“VOBA”). Upon final settlement in the second quarter of 2017, we recognized a benefit of $89 million, of which $72 million was included in GMLB Riders in net derivative gains (losses), and $17 million was included in operating earnings (loss) in other revenue.</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Awards</w:t>
      </w:r>
    </w:p>
    <w:p>
      <w:pPr>
        <w:spacing w:after="0" w:line="117" w:lineRule="exact"/>
        <w:rPr>
          <w:sz w:val="20"/>
          <w:szCs w:val="20"/>
          <w:color w:val="auto"/>
        </w:rPr>
      </w:pPr>
    </w:p>
    <w:p>
      <w:pPr>
        <w:jc w:val="both"/>
        <w:ind w:left="180" w:firstLine="324"/>
        <w:spacing w:after="0" w:line="257" w:lineRule="auto"/>
        <w:rPr>
          <w:sz w:val="20"/>
          <w:szCs w:val="20"/>
          <w:color w:val="auto"/>
        </w:rPr>
      </w:pPr>
      <w:r>
        <w:rPr>
          <w:rFonts w:ascii="Arial" w:cs="Arial" w:eastAsia="Arial" w:hAnsi="Arial"/>
          <w:sz w:val="18"/>
          <w:szCs w:val="18"/>
          <w:color w:val="auto"/>
        </w:rPr>
        <w:t>On August 9, 2017, equity awards were authorized to be made to the Company’s executive officers, independent non-employee members of the Board of Directors and certain other employees of the Company, which were converted into a number of restricted stock units based upon the closing price of the Company’s common stock on September 8, 2017 (the “Founders’ Grants”). All long-term equity awards, including the Founders’ Grants, were made pursuant to an equity compensation plan that will be presented to the Company’s stockholders for approval at the Company’s first annual meeting of stockholders, and all such awards will be contingent upon such approval.</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Actuarial Assumption Review</w:t>
      </w:r>
    </w:p>
    <w:p>
      <w:pPr>
        <w:spacing w:after="0" w:line="117"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As a result of the 2016 actuarial assumption review related to our variable annuity business, we made certain changes to policyholder behavior and long-term economic assumptions, primarily relating to annuitization utilization as well as withdrawals and risk margins. The 2016 review included an analysis of a larger body of actual experience than was previously available which, when combined with relevant industry-wide data that had recently become available, we believed provided greater insight into anticipated policyholder behavior for variable annuity contracts that are in the money. This experience included a statistically significant amount of our GMIB policies passing the ten year waiting period required to allow contractholders to use certain benefits and a longer period of experience in a low interest rate environment.</w:t>
      </w:r>
    </w:p>
    <w:p>
      <w:pPr>
        <w:spacing w:after="0" w:line="85"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For the 2017 variable annuity review we (i) made certain changes to policyholder behavior; (ii) harmonized models and assumptions between GAAP and statutory; and (iii) reflected Brighthouse specific variables after the completion of the Separation from our former parent. The policyholder behavior updates were for lapse assumptions on all variable annuities with living benefits, and withdrawal assumptions on GMWBs to reflect contract age, in addition to client age over time. This change resulted in earlier client withdrawals for GMWB contracts. This policyholder behavior update was in part informed by the recent quantitative impact study (“QIS”) conducted as part of the NAIC variable annuity reserve and capital reform initiative that is still under development. In the harmonization category of changes, on economic assumptions, we lowered our return assumption from 6.75-7.0% to 6.25-6.75% for separate account funds, consistent with our base case projections which are the basis for setting our financial targets. Additionally, in this category, we refined the DAC model time horizon to be harmonized with the estimated weighted average life of the liabilities. In the third and final category, triggered by the Separation, we updated our assumptions for determining the credit spread underlying the nonperformance risk adjustment in the valuation of our embedded derivative liabilities to be based on Brighthouse’s creditworthiness instead of that of MetLife. See “Summary of Critical Accounting Estimates — Derivatives — Nonperformance Risk Adjustment.”</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420"/>
          </w:cols>
          <w:pgMar w:left="240" w:top="126" w:right="239" w:bottom="1440" w:gutter="0" w:footer="0" w:header="0"/>
        </w:sectPr>
      </w:pPr>
    </w:p>
    <w:bookmarkStart w:id="80" w:name="page81"/>
    <w:bookmarkEnd w:id="80"/>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Updates to assumptions for our life businesses were related to realized experience in terms of mortality, lapses and premium payment patterns. Additionally, while we did not revise our long term general account rate setting methodology inherited from our former parent this year, we did experience positive impacts from differentiating the blended general account earned rates between the Life and Run-off segments. We may review and update these general account assumptions in future annual actuarial reviews.</w:t>
      </w:r>
    </w:p>
    <w:p>
      <w:pPr>
        <w:spacing w:after="0" w:line="79"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following table shows the impact on operating earnings (loss) and net income (loss) from the actuarial assumption reviews for the three and nine months ended September 30, 2017 and 2016. The impact related to GMLBs is included in net income (loss), but not included in operating earnings (loss). See “— Non-GAAP and Other Financial Disclosures.”</w:t>
      </w: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700" w:type="dxa"/>
            <w:vAlign w:val="bottom"/>
          </w:tcPr>
          <w:p>
            <w:pPr>
              <w:spacing w:after="0"/>
              <w:rPr>
                <w:sz w:val="18"/>
                <w:szCs w:val="18"/>
                <w:color w:val="auto"/>
              </w:rPr>
            </w:pPr>
          </w:p>
        </w:tc>
        <w:tc>
          <w:tcPr>
            <w:tcW w:w="2980" w:type="dxa"/>
            <w:vAlign w:val="bottom"/>
            <w:gridSpan w:val="4"/>
          </w:tcPr>
          <w:p>
            <w:pPr>
              <w:jc w:val="right"/>
              <w:spacing w:after="0"/>
              <w:rPr>
                <w:sz w:val="20"/>
                <w:szCs w:val="20"/>
                <w:color w:val="auto"/>
              </w:rPr>
            </w:pPr>
            <w:r>
              <w:rPr>
                <w:rFonts w:ascii="Arial" w:cs="Arial" w:eastAsia="Arial" w:hAnsi="Arial"/>
                <w:sz w:val="16"/>
                <w:szCs w:val="16"/>
                <w:b w:val="1"/>
                <w:bCs w:val="1"/>
                <w:color w:val="auto"/>
              </w:rPr>
              <w:t>Three Months Ended September 30,</w:t>
            </w: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920" w:type="dxa"/>
            <w:vAlign w:val="bottom"/>
            <w:gridSpan w:val="4"/>
          </w:tcPr>
          <w:p>
            <w:pPr>
              <w:jc w:val="right"/>
              <w:ind w:right="271"/>
              <w:spacing w:after="0"/>
              <w:rPr>
                <w:sz w:val="20"/>
                <w:szCs w:val="20"/>
                <w:color w:val="auto"/>
              </w:rPr>
            </w:pPr>
            <w:r>
              <w:rPr>
                <w:rFonts w:ascii="Arial" w:cs="Arial" w:eastAsia="Arial" w:hAnsi="Arial"/>
                <w:sz w:val="16"/>
                <w:szCs w:val="16"/>
                <w:b w:val="1"/>
                <w:bCs w:val="1"/>
                <w:color w:val="auto"/>
                <w:w w:val="96"/>
              </w:rPr>
              <w:t>Nine Months Ended September 30,</w:t>
            </w:r>
          </w:p>
        </w:tc>
      </w:tr>
      <w:tr>
        <w:trPr>
          <w:trHeight w:val="33"/>
        </w:trPr>
        <w:tc>
          <w:tcPr>
            <w:tcW w:w="470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1"/>
        </w:trPr>
        <w:tc>
          <w:tcPr>
            <w:tcW w:w="4700" w:type="dxa"/>
            <w:vAlign w:val="bottom"/>
          </w:tcPr>
          <w:p>
            <w:pPr>
              <w:spacing w:after="0"/>
              <w:rPr>
                <w:sz w:val="20"/>
                <w:szCs w:val="20"/>
                <w:color w:val="auto"/>
              </w:rPr>
            </w:pPr>
          </w:p>
        </w:tc>
        <w:tc>
          <w:tcPr>
            <w:tcW w:w="1080" w:type="dxa"/>
            <w:vAlign w:val="bottom"/>
          </w:tcPr>
          <w:p>
            <w:pPr>
              <w:jc w:val="right"/>
              <w:ind w:right="14"/>
              <w:spacing w:after="0"/>
              <w:rPr>
                <w:sz w:val="20"/>
                <w:szCs w:val="20"/>
                <w:color w:val="auto"/>
              </w:rPr>
            </w:pPr>
            <w:r>
              <w:rPr>
                <w:rFonts w:ascii="Arial" w:cs="Arial" w:eastAsia="Arial" w:hAnsi="Arial"/>
                <w:sz w:val="16"/>
                <w:szCs w:val="16"/>
                <w:b w:val="1"/>
                <w:bCs w:val="1"/>
                <w:color w:val="auto"/>
              </w:rPr>
              <w:t>2017</w:t>
            </w:r>
          </w:p>
        </w:tc>
        <w:tc>
          <w:tcPr>
            <w:tcW w:w="5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jc w:val="right"/>
              <w:ind w:right="133"/>
              <w:spacing w:after="0"/>
              <w:rPr>
                <w:sz w:val="20"/>
                <w:szCs w:val="20"/>
                <w:color w:val="auto"/>
              </w:rPr>
            </w:pPr>
            <w:r>
              <w:rPr>
                <w:rFonts w:ascii="Arial" w:cs="Arial" w:eastAsia="Arial" w:hAnsi="Arial"/>
                <w:sz w:val="16"/>
                <w:szCs w:val="16"/>
                <w:b w:val="1"/>
                <w:bCs w:val="1"/>
                <w:color w:val="auto"/>
              </w:rPr>
              <w:t>2016</w:t>
            </w:r>
          </w:p>
        </w:tc>
        <w:tc>
          <w:tcPr>
            <w:tcW w:w="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20" w:type="dxa"/>
            <w:vAlign w:val="bottom"/>
          </w:tcPr>
          <w:p>
            <w:pPr>
              <w:jc w:val="right"/>
              <w:ind w:right="432"/>
              <w:spacing w:after="0"/>
              <w:rPr>
                <w:sz w:val="20"/>
                <w:szCs w:val="20"/>
                <w:color w:val="auto"/>
              </w:rPr>
            </w:pPr>
            <w:r>
              <w:rPr>
                <w:rFonts w:ascii="Arial" w:cs="Arial" w:eastAsia="Arial" w:hAnsi="Arial"/>
                <w:sz w:val="16"/>
                <w:szCs w:val="16"/>
                <w:b w:val="1"/>
                <w:bCs w:val="1"/>
                <w:color w:val="auto"/>
              </w:rPr>
              <w:t>2017</w:t>
            </w:r>
          </w:p>
        </w:tc>
        <w:tc>
          <w:tcPr>
            <w:tcW w:w="2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ind w:right="551"/>
              <w:spacing w:after="0"/>
              <w:rPr>
                <w:sz w:val="20"/>
                <w:szCs w:val="20"/>
                <w:color w:val="auto"/>
              </w:rPr>
            </w:pPr>
            <w:r>
              <w:rPr>
                <w:rFonts w:ascii="Arial" w:cs="Arial" w:eastAsia="Arial" w:hAnsi="Arial"/>
                <w:sz w:val="16"/>
                <w:szCs w:val="16"/>
                <w:b w:val="1"/>
                <w:bCs w:val="1"/>
                <w:color w:val="auto"/>
              </w:rPr>
              <w:t>2016</w:t>
            </w:r>
          </w:p>
        </w:tc>
      </w:tr>
      <w:tr>
        <w:trPr>
          <w:trHeight w:val="33"/>
        </w:trPr>
        <w:tc>
          <w:tcPr>
            <w:tcW w:w="470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64"/>
        </w:trPr>
        <w:tc>
          <w:tcPr>
            <w:tcW w:w="47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20" w:type="dxa"/>
            <w:vAlign w:val="bottom"/>
          </w:tcPr>
          <w:p>
            <w:pPr>
              <w:spacing w:after="0"/>
              <w:rPr>
                <w:sz w:val="22"/>
                <w:szCs w:val="2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GMLBs</w:t>
            </w:r>
          </w:p>
        </w:tc>
        <w:tc>
          <w:tcPr>
            <w:tcW w:w="1080" w:type="dxa"/>
            <w:vAlign w:val="bottom"/>
            <w:tcBorders>
              <w:bottom w:val="single" w:sz="8" w:color="CCEEFF"/>
            </w:tcBorders>
            <w:shd w:val="clear" w:color="auto" w:fill="CCEEFF"/>
          </w:tcPr>
          <w:p>
            <w:pPr>
              <w:jc w:val="right"/>
              <w:ind w:right="874"/>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(214)</w:t>
            </w:r>
          </w:p>
        </w:tc>
        <w:tc>
          <w:tcPr>
            <w:tcW w:w="2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913"/>
              <w:spacing w:after="0"/>
              <w:rPr>
                <w:sz w:val="20"/>
                <w:szCs w:val="20"/>
                <w:color w:val="auto"/>
              </w:rPr>
            </w:pPr>
            <w:r>
              <w:rPr>
                <w:rFonts w:ascii="Arial" w:cs="Arial" w:eastAsia="Arial" w:hAnsi="Arial"/>
                <w:sz w:val="18"/>
                <w:szCs w:val="18"/>
                <w:color w:val="auto"/>
                <w:w w:val="99"/>
              </w:rPr>
              <w:t>$</w:t>
            </w:r>
          </w:p>
        </w:tc>
        <w:tc>
          <w:tcPr>
            <w:tcW w:w="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w:t>
            </w:r>
          </w:p>
        </w:tc>
        <w:tc>
          <w:tcPr>
            <w:tcW w:w="2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(214)</w:t>
            </w:r>
          </w:p>
        </w:tc>
        <w:tc>
          <w:tcPr>
            <w:tcW w:w="2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(1,526)</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Included in operating earnings (loss):</w:t>
            </w:r>
          </w:p>
        </w:tc>
        <w:tc>
          <w:tcPr>
            <w:tcW w:w="10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7"/>
        </w:trPr>
        <w:tc>
          <w:tcPr>
            <w:tcW w:w="47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Other annuity business</w:t>
            </w:r>
          </w:p>
        </w:tc>
        <w:tc>
          <w:tcPr>
            <w:tcW w:w="108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142</w:t>
            </w:r>
          </w:p>
        </w:tc>
        <w:tc>
          <w:tcPr>
            <w:tcW w:w="2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w:t>
            </w:r>
          </w:p>
        </w:tc>
        <w:tc>
          <w:tcPr>
            <w:tcW w:w="2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142</w:t>
            </w:r>
          </w:p>
        </w:tc>
        <w:tc>
          <w:tcPr>
            <w:tcW w:w="2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(130)</w:t>
            </w:r>
          </w:p>
        </w:tc>
      </w:tr>
      <w:tr>
        <w:trPr>
          <w:trHeight w:val="243"/>
        </w:trPr>
        <w:tc>
          <w:tcPr>
            <w:tcW w:w="4700" w:type="dxa"/>
            <w:vAlign w:val="bottom"/>
          </w:tcPr>
          <w:p>
            <w:pPr>
              <w:ind w:left="440"/>
              <w:spacing w:after="0"/>
              <w:rPr>
                <w:sz w:val="20"/>
                <w:szCs w:val="20"/>
                <w:color w:val="auto"/>
              </w:rPr>
            </w:pPr>
            <w:r>
              <w:rPr>
                <w:rFonts w:ascii="Arial" w:cs="Arial" w:eastAsia="Arial" w:hAnsi="Arial"/>
                <w:sz w:val="18"/>
                <w:szCs w:val="18"/>
                <w:color w:val="auto"/>
              </w:rPr>
              <w:t>Life business</w:t>
            </w:r>
          </w:p>
        </w:tc>
        <w:tc>
          <w:tcPr>
            <w:tcW w:w="108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(18)</w:t>
            </w:r>
          </w:p>
        </w:tc>
        <w:tc>
          <w:tcPr>
            <w:tcW w:w="2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360" w:type="dxa"/>
            <w:vAlign w:val="bottom"/>
          </w:tcPr>
          <w:p>
            <w:pPr>
              <w:jc w:val="right"/>
              <w:ind w:right="30"/>
              <w:spacing w:after="0"/>
              <w:rPr>
                <w:sz w:val="20"/>
                <w:szCs w:val="20"/>
                <w:color w:val="auto"/>
              </w:rPr>
            </w:pPr>
            <w:r>
              <w:rPr>
                <w:rFonts w:ascii="Arial" w:cs="Arial" w:eastAsia="Arial" w:hAnsi="Arial"/>
                <w:sz w:val="18"/>
                <w:szCs w:val="18"/>
                <w:color w:val="auto"/>
              </w:rPr>
              <w:t>3</w:t>
            </w:r>
          </w:p>
        </w:tc>
        <w:tc>
          <w:tcPr>
            <w:tcW w:w="2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(18)</w:t>
            </w:r>
          </w:p>
        </w:tc>
        <w:tc>
          <w:tcPr>
            <w:tcW w:w="2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1</w:t>
            </w:r>
          </w:p>
        </w:tc>
      </w:tr>
      <w:tr>
        <w:trPr>
          <w:trHeight w:val="27"/>
        </w:trPr>
        <w:tc>
          <w:tcPr>
            <w:tcW w:w="47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470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Run-off</w:t>
            </w:r>
          </w:p>
        </w:tc>
        <w:tc>
          <w:tcPr>
            <w:tcW w:w="108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28</w:t>
            </w:r>
          </w:p>
        </w:tc>
        <w:tc>
          <w:tcPr>
            <w:tcW w:w="2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28</w:t>
            </w:r>
          </w:p>
        </w:tc>
        <w:tc>
          <w:tcPr>
            <w:tcW w:w="2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37"/>
        </w:trPr>
        <w:tc>
          <w:tcPr>
            <w:tcW w:w="4700" w:type="dxa"/>
            <w:vAlign w:val="bottom"/>
          </w:tcPr>
          <w:p>
            <w:pPr>
              <w:ind w:left="440"/>
              <w:spacing w:after="0"/>
              <w:rPr>
                <w:sz w:val="20"/>
                <w:szCs w:val="20"/>
                <w:color w:val="auto"/>
              </w:rPr>
            </w:pPr>
            <w:r>
              <w:rPr>
                <w:rFonts w:ascii="Arial" w:cs="Arial" w:eastAsia="Arial" w:hAnsi="Arial"/>
                <w:sz w:val="18"/>
                <w:szCs w:val="18"/>
                <w:color w:val="auto"/>
              </w:rPr>
              <w:t>Total included in operating earnings (loss)</w:t>
            </w:r>
          </w:p>
        </w:tc>
        <w:tc>
          <w:tcPr>
            <w:tcW w:w="1080" w:type="dxa"/>
            <w:vAlign w:val="bottom"/>
            <w:tcBorders>
              <w:top w:val="single" w:sz="8" w:color="auto"/>
            </w:tcBorders>
          </w:tcPr>
          <w:p>
            <w:pPr>
              <w:spacing w:after="0"/>
              <w:rPr>
                <w:sz w:val="20"/>
                <w:szCs w:val="20"/>
                <w:color w:val="auto"/>
              </w:rPr>
            </w:pPr>
          </w:p>
        </w:tc>
        <w:tc>
          <w:tcPr>
            <w:tcW w:w="5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152</w:t>
            </w:r>
          </w:p>
        </w:tc>
        <w:tc>
          <w:tcPr>
            <w:tcW w:w="220" w:type="dxa"/>
            <w:vAlign w:val="bottom"/>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c>
          <w:tcPr>
            <w:tcW w:w="3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11</w:t>
            </w:r>
          </w:p>
        </w:tc>
        <w:tc>
          <w:tcPr>
            <w:tcW w:w="2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152</w:t>
            </w:r>
          </w:p>
        </w:tc>
        <w:tc>
          <w:tcPr>
            <w:tcW w:w="2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(129)</w:t>
            </w:r>
          </w:p>
        </w:tc>
      </w:tr>
      <w:tr>
        <w:trPr>
          <w:trHeight w:val="27"/>
        </w:trPr>
        <w:tc>
          <w:tcPr>
            <w:tcW w:w="470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69"/>
        </w:trPr>
        <w:tc>
          <w:tcPr>
            <w:tcW w:w="470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Total impact on net income (loss)</w:t>
            </w:r>
          </w:p>
        </w:tc>
        <w:tc>
          <w:tcPr>
            <w:tcW w:w="1080" w:type="dxa"/>
            <w:vAlign w:val="bottom"/>
            <w:tcBorders>
              <w:bottom w:val="single" w:sz="8" w:color="CCEEFF"/>
            </w:tcBorders>
            <w:shd w:val="clear" w:color="auto" w:fill="CCEEFF"/>
          </w:tcPr>
          <w:p>
            <w:pPr>
              <w:jc w:val="right"/>
              <w:ind w:right="874"/>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2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913"/>
              <w:spacing w:after="0"/>
              <w:rPr>
                <w:sz w:val="20"/>
                <w:szCs w:val="20"/>
                <w:color w:val="auto"/>
              </w:rPr>
            </w:pPr>
            <w:r>
              <w:rPr>
                <w:rFonts w:ascii="Arial" w:cs="Arial" w:eastAsia="Arial" w:hAnsi="Arial"/>
                <w:sz w:val="18"/>
                <w:szCs w:val="18"/>
                <w:color w:val="auto"/>
                <w:w w:val="99"/>
              </w:rPr>
              <w:t>$</w:t>
            </w:r>
          </w:p>
        </w:tc>
        <w:tc>
          <w:tcPr>
            <w:tcW w:w="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w:t>
            </w:r>
          </w:p>
        </w:tc>
        <w:tc>
          <w:tcPr>
            <w:tcW w:w="2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2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(1,655)</w:t>
            </w: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both"/>
        <w:ind w:firstLine="324"/>
        <w:spacing w:after="0" w:line="288" w:lineRule="auto"/>
        <w:rPr>
          <w:sz w:val="20"/>
          <w:szCs w:val="20"/>
          <w:color w:val="auto"/>
        </w:rPr>
      </w:pPr>
      <w:r>
        <w:rPr>
          <w:rFonts w:ascii="Arial" w:cs="Arial" w:eastAsia="Arial" w:hAnsi="Arial"/>
          <w:sz w:val="16"/>
          <w:szCs w:val="16"/>
          <w:color w:val="auto"/>
        </w:rPr>
        <w:t>In addition, the Form 10 contained forward-looking information regarding (i) the sensitivity of our variable annuity assets (which includes both derivatives and non-derivative assets), CTE95 and Statutory Total Asset Requirement (which represents the total amount of assets required to support the statutory reserves and capital relating to our variable annuity contracts) to instantaneous changes in equity markets and interest rates, (ii) the present value of our variable annuity in-force business of cash flows and three and five year distributable earnings under certain economic scenarios and (iii) the sensitivity of our variable annuity GAAP net income to changes in equity markets and interest rates. Such information was prepared based on our results of operations and financial condition and a range of important estimates and assumptions for the periods ending, or as of, March 31, 2017 or December 31, 2016, as applicable. In light of the results of the actuarial assumption review discussed above and our results of operations through September 30, 2017, changes in our business mix and the passage of time, it is likely that such forward-looking information could change when we next prepare and update the relevant models underlying such forward-looking information. Although no assurances can be given, we do not expect a change to our capital management targets, except as described in “— Overview.” See also further description of such targets in “Business — Select Financial Targets — Capital Management” in the Form 10.</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Industry Trends</w:t>
      </w:r>
    </w:p>
    <w:p>
      <w:pPr>
        <w:spacing w:after="0" w:line="121"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Throughout this Management’s Discussion and Analysis of Financial Condition and Results of Operations, we discuss a number of trends and uncertainties that we believe may materially affect our future financial condition, results of operations or cash flows. Where these trends or uncertainties are specific to a particular aspect of our business, we often include such a discussion under the relevant caption of this Management’s Discussion and Analysis of Financial Condition and Results of Operations, as part of our broader analysis of that area of our business. Refer to “Management’s Discussion and Analysis of Financial Condition and Results of Operations — Industry Trends and Uncertainties” included in the Form 10 for a comprehensive discussion of some of the key general trends and uncertainties that have influenced the development of our business and our historical financial performance and that we believe will continue to influence our business and results of operations in the future. In addition, significant changes or updates in certain of these trends and uncertainties are discussed below.</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Regulatory Developments</w:t>
      </w:r>
    </w:p>
    <w:p>
      <w:pPr>
        <w:spacing w:after="0" w:line="117"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Our life insurance companies are regulated primarily at the state level, with some products and services also subject to federal regulation. Brighthouse Financial, Inc. and its insurance subsidiaries are also subject to regulation under the insurance holding company laws of various U.S. jurisdictions. Furthermore, some of Brighthouse’s operations, products and services are subject to the Employee Retirement Income Security Act of 1974 (“ERISA”), consumer protection laws, securities, broker-dealer and investment advisor regulations, and environmental and unclaimed property laws and regulations. In addition, in marketing certain of Brighthouse’s products and services to plans subject to individual retirement accounts and individual retirement annuities (collectively, “IRAs”) and other plans subject to the Code, new rules issued by the Department of Labor (“DOL”) on April 6, 2016 raise the standard for recommendations to such plans and IRAs to purchase variable and index-linked annuities to a fiduciary standard. See below under this “Regulatory Developments” caption, “Business — Regulation” included in the Form 10, as well as “Risk Factors — Regulatory and Legal Risks” included in this Quarterly Report on Form 10-Q.</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420"/>
          </w:cols>
          <w:pgMar w:left="240" w:top="126" w:right="239" w:bottom="1440" w:gutter="0" w:footer="0" w:header="0"/>
        </w:sectPr>
      </w:pPr>
    </w:p>
    <w:bookmarkStart w:id="81" w:name="page82"/>
    <w:bookmarkEnd w:id="81"/>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Federal Initiatives</w:t>
      </w:r>
    </w:p>
    <w:p>
      <w:pPr>
        <w:spacing w:after="0" w:line="117"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Although the insurance business in the United States is primarily regulated by the states, federal initiatives often have an impact on our business in a variety of ways. From time to time, federal measures are proposed which may significantly and adversely affect the insurance business. These areas include financial services regulation, securities regulation, derivatives regulation, pension regulation, privacy, tort reform legislation and taxation. In addition, various forms of direct and indirect federal regulation of insurance have been proposed from time to time, including proposals for the establishment of an optional federal charter for insurance companies. See “Risk Factors — Regulatory and Legal Risks — Our insurance business is highly regulated, and changes in regulation and in supervisory and enforcement policies may materially impact our capitalization or cash flows, reduce our profitability and limit our growth.”</w:t>
      </w:r>
    </w:p>
    <w:p>
      <w:pPr>
        <w:spacing w:after="0" w:line="57"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Dodd-Frank effected the most far-reaching overhaul of financial regulation in the U.S. in decades. The full impact of Dodd-Frank on us will depend on the numerous rulemaking initiatives required or permitted by Dodd-Frank and the various studies mandated by Dodd-Frank, a number of which remain to be completed.</w:t>
      </w:r>
    </w:p>
    <w:p>
      <w:pPr>
        <w:spacing w:after="0" w:line="73"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Dodd-Frank established the FIO within the Department of the Treasury, which has the authority to participate in the negotiations of international insurance agreements with foreign regulators for the United States, as well as to collect information about the insurance industry, negotiate covered agreements with one or more foreign governments and recommend prudential standards. While not having a general supervisory or regulatory authority over the business of insurance, the director of this office performs various functions with respect to insurance, including serving as a non-voting member of Financial Stability Oversight Council (“FSOC”) and making recommendations to the FSOC regarding insurers to be designated for more stringent regulation. On December 12, 2013, the FIO issued a report, mandated by Dodd-Frank, which, among other things, urged the states to modernize and promote greater uniformity in insurance regulation. However, the report also discussed potential federal solutions if states failed to modernize and improve regulation and some of the report’s recommendations, for instance, favored a greater federal role in monitoring financial stability and identifying issues or gaps in the regulation of large national and internationally active insurers.</w:t>
      </w:r>
    </w:p>
    <w:p>
      <w:pPr>
        <w:spacing w:after="0" w:line="74"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The Trump administration has released a memorandum that generally delayed all pending regulations from publication in the Federal Register pending their review and approval by a department or agency head appointed or designated by President Trump. President Trump has also issued an executive order that calls for a comprehensive review of Dodd-Frank and requires the Secretary of the Treasury to consult with the heads of the member agencies of FSOC to identify any laws, regulations or requirements that inhibit federal regulation of the financial system in a manner consistent with the core principles identified in the executive order. On June 8, 2017, the U.S. House of Representatives passed the Financial CHOICE Act of 2017, which proposes to amend or repeal various sections of Dodd-Frank. This proposed legislation will now be considered by the U.S. Senate. We cannot predict what other proposals may be made or what legislation may be introduced or enacted, or what impact any such legislation may have on our business, results of operations and financial condition.</w:t>
      </w:r>
    </w:p>
    <w:p>
      <w:pPr>
        <w:spacing w:after="0" w:line="59"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On September 22, 2017, the US Department of the Treasury and the Office of the U.S. Trade Representative entered into a bilateral covered agreement on insurance and reinsurance with the European Union (the “Covered Agreement”), which addresses, among other things, reinsurance collateral requirements and insurance group supervision. In connection with the announcement of its signature, the US Department of the Treasury and the Office of the U.S. Trade Representative released a “Statement of the United States on the Covered Agreement with the European Union” (the “Policy Statement”). The Policy Statement encourages each U.S. state to adopt applicable credit for reinsurance laws and regulations and to phase out the amount of credit required for full credit for reinsurance cessions to EU reinsurers. It also states that the US expects that the group capital calculation under development by the National Association of Insurance Commissioners (“NAIC”) will satisfy the Covered Agreement’s group capital assessment requirement. The Covered Agreement is to be fully applicable to the US and EU 60 months after signature. However, some parts of the agreement are subject to further procedural requirements, and so full implementation of the Covered Agreement may occur, if at all, only after a significant period of time.</w:t>
      </w:r>
    </w:p>
    <w:p>
      <w:pPr>
        <w:spacing w:after="0" w:line="59"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Cybersecurity Regulation</w:t>
      </w:r>
    </w:p>
    <w:p>
      <w:pPr>
        <w:spacing w:after="0" w:line="117" w:lineRule="exact"/>
        <w:rPr>
          <w:sz w:val="20"/>
          <w:szCs w:val="20"/>
          <w:color w:val="auto"/>
        </w:rPr>
      </w:pPr>
    </w:p>
    <w:p>
      <w:pPr>
        <w:jc w:val="both"/>
        <w:ind w:firstLine="324"/>
        <w:spacing w:after="0" w:line="285" w:lineRule="auto"/>
        <w:rPr>
          <w:sz w:val="20"/>
          <w:szCs w:val="20"/>
          <w:color w:val="auto"/>
        </w:rPr>
      </w:pPr>
      <w:r>
        <w:rPr>
          <w:rFonts w:ascii="Arial" w:cs="Arial" w:eastAsia="Arial" w:hAnsi="Arial"/>
          <w:sz w:val="16"/>
          <w:szCs w:val="16"/>
          <w:color w:val="auto"/>
        </w:rPr>
        <w:t>On February 16, 2017, the New York State Department of Financial Services (“NYDFS”) announced the adoption of a new cybersecurity regulation for financial services institutions, including banking and insurance entities, under its jurisdiction. The new regulation became effective on March 1, 2017 and will be implemented in stages commencing 180 days later. Among other things, this new regulation requires these entities to establish and maintain a cybersecurity program designed to protect the consumers’ private data. The new regulation specifically provides for: (i) implementation and maintenance of, and a governance framework for overseeing, the cybersecurity program and a cybersecurity policy based on a risk assessment to be periodically conducted;</w:t>
      </w:r>
    </w:p>
    <w:p>
      <w:pPr>
        <w:spacing w:after="0" w:line="2" w:lineRule="exact"/>
        <w:rPr>
          <w:sz w:val="20"/>
          <w:szCs w:val="20"/>
          <w:color w:val="auto"/>
        </w:rPr>
      </w:pPr>
    </w:p>
    <w:p>
      <w:pPr>
        <w:jc w:val="both"/>
        <w:ind w:firstLine="8"/>
        <w:spacing w:after="0" w:line="295" w:lineRule="auto"/>
        <w:tabs>
          <w:tab w:leader="none" w:pos="292" w:val="left"/>
        </w:tabs>
        <w:numPr>
          <w:ilvl w:val="0"/>
          <w:numId w:val="48"/>
        </w:numPr>
        <w:rPr>
          <w:rFonts w:ascii="Arial" w:cs="Arial" w:eastAsia="Arial" w:hAnsi="Arial"/>
          <w:sz w:val="16"/>
          <w:szCs w:val="16"/>
          <w:color w:val="auto"/>
        </w:rPr>
      </w:pPr>
      <w:r>
        <w:rPr>
          <w:rFonts w:ascii="Arial" w:cs="Arial" w:eastAsia="Arial" w:hAnsi="Arial"/>
          <w:sz w:val="16"/>
          <w:szCs w:val="16"/>
          <w:color w:val="auto"/>
        </w:rPr>
        <w:t>development of access controls and other technology standards for data protection, and the monitoring and testing of the cybersecurity program, in accordance with the entity’s risk assessment; (iii) implementation of policies and procedures designed to ensure the security of private data accessible to or held by third-party service providers; (iv) minimum standards for cyber breach responses, including an incident response plan, preservation of data to respond to such breaches, and notice to NYDFS of material events; and (v) annual certifications of regulatory compliance to the NYDFS. In addition to New York’s</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420"/>
          </w:cols>
          <w:pgMar w:left="240" w:top="126" w:right="239" w:bottom="1440" w:gutter="0" w:footer="0" w:header="0"/>
        </w:sectPr>
      </w:pPr>
    </w:p>
    <w:bookmarkStart w:id="82" w:name="page83"/>
    <w:bookmarkEnd w:id="82"/>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cybersecurity regulation, in December 2017, the NAIC will consider the adoption of the Insurance Data Security Model Law, which was adopted by two sub-committees on August 7, 2017. Under the model law, companies that are compliant with the NYDFS cybersecurity regulation are deemed also to be in compliance with the model law. The purpose of the model law is to establish standards for data security and for the investigation and notification of insurance commissioners of cybersecurity events involving unauthorized access to, or the misuse of, certain nonpublic information.</w:t>
      </w:r>
    </w:p>
    <w:p>
      <w:pPr>
        <w:spacing w:after="0" w:line="63"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Department of Labor and ERISA Considerations</w:t>
      </w:r>
    </w:p>
    <w:p>
      <w:pPr>
        <w:spacing w:after="0" w:line="117"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We manufacture annuities for third parties to sell to tax-qualified pension plans, retirement plans and individual retirement accounts, as well as individual retirement annuities sold to individuals that are subject to ERISA or the Internal Revenue Code of 1986, as amended (the “Code”). Also, a portion of our in-force life insurance products are held by tax-qualified pension and retirement plans. While we currently believe manufacturers do not have as much exposure to ERISA and the Code as distributors, certain activities are subject to the restrictions imposed by ERISA and the Code, including the requirement under ERISA that fiduciaries must perform their duties solely in the interests of ERISA plan participants and beneficiaries, and those fiduciaries may not cause a covered plan to engage in certain prohibited transactions. The applicable provisions of ERISA and the Code are subject to enforcement by the DOL, the Internal Revenue Service and the Pension Benefit Guaranty Corporation (“PBGC”).</w:t>
      </w:r>
    </w:p>
    <w:p>
      <w:pPr>
        <w:spacing w:after="0" w:line="70"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prohibited transaction rules of ERISA and the Code generally restrict the provision of investment advice to ERISA plans and participants and IRAs if the investment recommendation results in fees paid to an individual advisor, the firm that employs the advisor or their affiliates that vary according to the investment recommendation chosen.</w:t>
      </w:r>
    </w:p>
    <w:p>
      <w:pPr>
        <w:spacing w:after="0" w:line="73"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DOL issued new regulations on April 6, 2016, that became applicable on June 9, 2017. As initially adopted, these rules substantially expand the definition of “investment advice” and require that an impartial or “best interests” standard be met in providing such advice, thereby broadening the circumstances under which distributors and manufacturers can be considered fiduciaries under ERISA or the Code. Pursuant to the final rule, certain communications with plans, plan participants and IRA holders, including the marketing of products, and marketing of investment management or advisory services, could be deemed fiduciary investment advice, thus, causing increased exposure to fiduciary liability if the distributor does not recommend what is in the client’s best interests.</w:t>
      </w:r>
    </w:p>
    <w:p>
      <w:pPr>
        <w:spacing w:after="0" w:line="85"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In connection with the promulgation of the revised fiduciary rules, the DOL also issued amendments to certain of its prohibited transaction exemptions, and issued the Best Interest Contract Exemption (“BIC”), a new prohibited transaction exemption that applies more onerous disclosure and contract requirements to transactions involving ERISA plans, plan participants and IRAs. The new and amended exemptions increase fiduciary requirements and fiduciary liability exposure for transactions involving ERISA plans, plan participants and IRAs. In general, the changes the rule made to existing prohibited transaction exemptions and contract and disclosure requirements of the new exemption (other than the impartial conduct standard) were delayed until January 1, 2018. Contracts entered into prior to June 9, 2017 are generally “grandfathered” and, as such, are not subject to the requirements of the rule and related exemptions. To retain “grandfathered” status, no investment recommendations may be made after the applicability date of the new regulations with respect to such annuity products that were sold to ERISA plans or IRAs.</w:t>
      </w:r>
    </w:p>
    <w:p>
      <w:pPr>
        <w:spacing w:after="0" w:line="71"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MetLife sold MPCG, its former Retail segment’s proprietary distribution channel, in July 2016 to MassMutual to complete a transition to an independent third-party distribution model. We will not be engaging in direct distribution of retail products, including IRA products and retail annuities sold into ERISA plans and IRAs, and therefore we anticipate that we will have limited exposure to the new DOL regulations, as the application of the vast majority of the provisions of the new DOL regulations targeted at such retail products will be reduced. Specifically, the most onerous of the requirements under the DOL Fiduciary Rule, as currently adopted, relate to BIC. The DOL guidance makes clear that distributors, not manufacturers, are primarily responsible for BIC compliance. However, we will be asked by our distributors, to assist them with preparing the voluminous disclosures required under BIC. Furthermore, if we want to retain the “grandfathered” status described above of current contracts, we will be limited in the interactions we can have directly with customers and the information that can be provided. We also anticipate that we will need to undertake certain additional tasks in order to comply with certain of the exemptions provided in the DOL regulations, including additional compliance reviews of material shared with distributors, wholesaler and call center training and product reporting and analysis. See “Risk Factors — Regulatory and Legal Risks — Our insurance business is highly regulated, and changes in regulation and in supervisory and enforcement policies may materially impact our capitalization or cash flows, reduce our profitability and limit our growth.”</w:t>
      </w:r>
    </w:p>
    <w:p>
      <w:pPr>
        <w:spacing w:after="0" w:line="65"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On February 3, 2017, President Trump, in a memorandum to the Secretary of Labor, requested that the DOL prepare an updated economic and legal analysis concerning the likely impact of the new rules, and possible revisions to the rules. In response to President Trump’s request, on June 29, 2017, the DOL issued a request for information regarding its final rule defining who is a “fiduciary” for purposes of ERISA and the Code, and also the DOL’s new and amended exemptions that were published in conjunction with the final rule. The request for information sought public input that could lead to new exemptions or changes and revisions to the final rule. On August 31, 2017, the DOL proposed an 18-month delay, from January 1, 2018 to July 1, 2019, of the applicability of significant portions of the previously proposed exemptions (including BIC and prohibited transaction</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420"/>
          </w:cols>
          <w:pgMar w:left="240" w:top="126" w:right="239" w:bottom="1440" w:gutter="0" w:footer="0" w:header="0"/>
        </w:sectPr>
      </w:pPr>
    </w:p>
    <w:bookmarkStart w:id="83" w:name="page84"/>
    <w:bookmarkEnd w:id="83"/>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exemption 84-24), to afford sufficient time to review further the previously adopted rules and such exemptions. The comment period for this proposed delay ended on September 15, 2017. On November 1, 2017, the DOL filed with the Office of Management and Budget (“OMB”) to implement the 18-month delay, which is pending review. The DOL also updated its enforcement policy for 2017 to indicate that the DOL and Internal Revenue Service will not pursue claims, until January 1, 2018, against fiduciaries who are working diligently and in good faith to comply with the final Fiduciary Rule or treat those fiduciaries as being in violation of the final Fiduciary Rule.</w:t>
      </w:r>
    </w:p>
    <w:p>
      <w:pPr>
        <w:spacing w:after="0" w:line="80"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While we continue to analyze the impact of the final regulations on our business, we anticipate that we will need to undertake certain additional tasks in order to comply with certain of the exemptions provided in the DOL regulations, including additional compliance reviews of material shared with distributors, wholesaler and call center training and product reporting and analysis.</w:t>
      </w:r>
    </w:p>
    <w:p>
      <w:pPr>
        <w:spacing w:after="0" w:line="73"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change of administration, the DOL’s June 29, 2017 request for information related to the fiduciary rule and related exemptions, and the August 31, 2017 proposed further extension of the applicability of many of the conditions of the proposed and revised exemptions leaves uncertainty over whether the regulations will be substantially modified or repealed. This uncertainty could create confusion among our distribution partners, which could negatively impact product sales. We cannot predict what other proposals may be made, what legislation may be introduced or enacted, or what impact any such legislation may have on our business, results of operations and financial condition.</w:t>
      </w:r>
    </w:p>
    <w:p>
      <w:pPr>
        <w:spacing w:after="0" w:line="80"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On July 11, 2016, the DOL, the IRS and the PBGC proposed revisions to the Form 5500, the form used for ERISA annual reporting. The revisions affect employee pension and welfare benefit plans, including our ERISA plans and require audits of information, self-directed brokerage account disclosure requirements and additional extensive disclosure. We cannot predict the effect these proposals, if enacted, will have on our business, or what other proposals may be made, what legislation, regulations or exemptions may be introduced or enacted or the impact of any such legislation, regulations or exemptions on our results of operations and financial condition.</w:t>
      </w:r>
    </w:p>
    <w:p>
      <w:pPr>
        <w:spacing w:after="0" w:line="80"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 xml:space="preserve">In addition, the DOL has issued a number of regulations that increase the level of disclosure that must be provided to plan sponsors and participants. The participant disclosure regulations and the regulations which require service providers to disclose fee and other information to plan sponsors took effect in 2012. In </w:t>
      </w:r>
      <w:r>
        <w:rPr>
          <w:rFonts w:ascii="Arial" w:cs="Arial" w:eastAsia="Arial" w:hAnsi="Arial"/>
          <w:sz w:val="16"/>
          <w:szCs w:val="16"/>
          <w:i w:val="1"/>
          <w:iCs w:val="1"/>
          <w:color w:val="auto"/>
        </w:rPr>
        <w:t>John Hancock Mutual Life Insurance Company v. Harris Trust and Savings Bank (1993)</w:t>
      </w:r>
      <w:r>
        <w:rPr>
          <w:rFonts w:ascii="Arial" w:cs="Arial" w:eastAsia="Arial" w:hAnsi="Arial"/>
          <w:sz w:val="16"/>
          <w:szCs w:val="16"/>
          <w:color w:val="auto"/>
        </w:rPr>
        <w:t>, the U.S. Supreme Court held that certain assets in excess of amounts necessary to satisfy guaranteed obligations under a participating group annuity general account contract are “plan assets.” Therefore, these assets are subject to certain fiduciary obligations under ERISA, which requires fiduciaries to perform their duties solely in the interest of ERISA plan participants and beneficiaries. On January 5, 2000, the Secretary of Labor issued final regulations indicating, in cases where an insurer has issued a policy backed by the insurer’s general account to or for an employee benefit plan, the extent to which assets of the insurer constitute plan assets for purposes of ERISA and the Code. The regulations apply only with respect to a policy issued by an insurer on or before December 31, 1998 (“Transition Policy”). No person will generally be liable under ERISA or the Code for conduct occurring prior to July 5, 2001, where the basis of a claim is that insurance company general account assets constitute plan assets. An insurer issuing a new policy that is backed by its general account and is issued to or for an employee benefit plan after December 31, 1998 will generally be subject to fiduciary obligations under ERISA, unless the policy is a guaranteed benefit policy.</w:t>
      </w:r>
    </w:p>
    <w:p>
      <w:pPr>
        <w:spacing w:after="0" w:line="65"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The regulations indicate the requirements that must be met so that assets supporting a Transition Policy will not be considered plan assets for purposes of ERISA and the Code. These requirements include detailed disclosures to be made to the employee benefits plan and the requirement that the insurer must permit the policyholder to terminate the policy on 90 days’ notice and receive without penalty, at the policyholder’s option, either (i) the unallocated accumulated fund balance (which may be subject to market value adjustment), or (ii) a book value payment of such amount in annual installments with interest. We have taken and continue to take steps designed to ensure compliance with these regulations.</w:t>
      </w:r>
    </w:p>
    <w:p>
      <w:pPr>
        <w:spacing w:after="0" w:line="64"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Federal Tax Reform Initiatives</w:t>
      </w:r>
    </w:p>
    <w:p>
      <w:pPr>
        <w:spacing w:after="0" w:line="117"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color w:val="auto"/>
        </w:rPr>
        <w:t>The Trump administration and Congress have publicly stated that fundamental U.S. tax reform is a priority, though the substance, timing and likelihood of any future tax reform are uncertain. Tax reform could modify or eliminate items from which we derive, and anticipate continuing to derive, tax benefits from, including but not limited to tax exempt investment income, DRDs, various tax credits, interest expense deductions and insurance reserve deductions.</w:t>
      </w:r>
    </w:p>
    <w:p>
      <w:pPr>
        <w:spacing w:after="0" w:line="39"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On November 2, 2017, the U.S. House of Representatives proposed the Tax Cuts and Jobs Act bill (the “House Proposed Tax Bill”) that generally calls for a reduction in tax rates, a repeal of the estate tax and simplification of the tax code. The House Proposed Tax Bill provides for a flat 20% corporate income tax rate. To help offset the cost of the rate reductions, the House Proposed Tax Bill includes a number of revenue raisers, including (1) a modification of the calculation of the dividends received deduction (“DRD”), (2) a change in how deductions are determined for insurance reserves, (3) an increase in the amount of policy acquisition expense (also called tax “DAC”), (4) limitations on the use of net operating losses (“NOLs”), and (5) limitations on deductions for net interest expense.</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420"/>
          </w:cols>
          <w:pgMar w:left="240" w:top="126" w:right="239" w:bottom="1440" w:gutter="0" w:footer="0" w:header="0"/>
        </w:sectPr>
      </w:pPr>
    </w:p>
    <w:bookmarkStart w:id="84" w:name="page85"/>
    <w:bookmarkEnd w:id="84"/>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On November 9, 2017, an amendment was proposed to the House Proposed Tax Bill further modifying the DRD, and inserting an 8% surtax on insurance company taxable income in lieu of the proposed modifications to deductible insurance reserves and DAC. The amendment indicates that the surtax is a placeholder so that more precise decisions could be made to these complex provisions.</w:t>
      </w:r>
    </w:p>
    <w:p>
      <w:pPr>
        <w:spacing w:after="0" w:line="73"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The House Proposed Tax Bill will continue to be substantially revised throughout the legislative process and we cannot predict the final version of any tax reform legislation that will be enacted. It is possible that despite a lower corporate tax rate, any final legislation could have an adverse impact on us by increasing the amount of income subject to tax, accelerating amounts subject to tax or reducing or eliminating deductions that offset tax liability.</w:t>
      </w:r>
    </w:p>
    <w:p>
      <w:pPr>
        <w:spacing w:after="0" w:line="5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likelihood of enactment of the House Proposed Tax Bill or other tax reform proposals is uncertain at this time.</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Critical Accounting Estimates</w:t>
      </w:r>
    </w:p>
    <w:p>
      <w:pPr>
        <w:spacing w:after="0" w:line="12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preparation of financial statements in conformity with GAAP requires management to adopt accounting policies and make estimates and assumptions that affect amounts reported on the Interim Condensed Consolidated and Combined Financial Statements.</w:t>
      </w:r>
    </w:p>
    <w:p>
      <w:pPr>
        <w:spacing w:after="0" w:line="6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most critical estimates include those used in determining:</w:t>
      </w:r>
    </w:p>
    <w:p>
      <w:pPr>
        <w:spacing w:after="0" w:line="117" w:lineRule="exact"/>
        <w:rPr>
          <w:sz w:val="20"/>
          <w:szCs w:val="20"/>
          <w:color w:val="auto"/>
        </w:rPr>
      </w:pPr>
    </w:p>
    <w:p>
      <w:pPr>
        <w:ind w:left="660" w:hanging="490"/>
        <w:spacing w:after="0"/>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liabilities for future policy benefits;</w:t>
      </w:r>
    </w:p>
    <w:p>
      <w:pPr>
        <w:spacing w:after="0" w:line="117" w:lineRule="exact"/>
        <w:rPr>
          <w:rFonts w:ascii="Arial" w:cs="Arial" w:eastAsia="Arial" w:hAnsi="Arial"/>
          <w:sz w:val="18"/>
          <w:szCs w:val="18"/>
          <w:color w:val="auto"/>
        </w:rPr>
      </w:pPr>
    </w:p>
    <w:p>
      <w:pPr>
        <w:ind w:left="660" w:hanging="490"/>
        <w:spacing w:after="0"/>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accounting for reinsurance;</w:t>
      </w:r>
    </w:p>
    <w:p>
      <w:pPr>
        <w:spacing w:after="0" w:line="117" w:lineRule="exact"/>
        <w:rPr>
          <w:rFonts w:ascii="Arial" w:cs="Arial" w:eastAsia="Arial" w:hAnsi="Arial"/>
          <w:sz w:val="18"/>
          <w:szCs w:val="18"/>
          <w:color w:val="auto"/>
        </w:rPr>
      </w:pPr>
    </w:p>
    <w:p>
      <w:pPr>
        <w:ind w:left="660" w:hanging="490"/>
        <w:spacing w:after="0"/>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capitalization and amortization of DAC and the establishment and amortization of VOBA;</w:t>
      </w:r>
    </w:p>
    <w:p>
      <w:pPr>
        <w:spacing w:after="0" w:line="117" w:lineRule="exact"/>
        <w:rPr>
          <w:rFonts w:ascii="Arial" w:cs="Arial" w:eastAsia="Arial" w:hAnsi="Arial"/>
          <w:sz w:val="18"/>
          <w:szCs w:val="18"/>
          <w:color w:val="auto"/>
        </w:rPr>
      </w:pPr>
    </w:p>
    <w:p>
      <w:pPr>
        <w:ind w:left="660" w:hanging="490"/>
        <w:spacing w:after="0"/>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estimated fair values of investments in the absence of quoted market values;</w:t>
      </w:r>
    </w:p>
    <w:p>
      <w:pPr>
        <w:spacing w:after="0" w:line="117" w:lineRule="exact"/>
        <w:rPr>
          <w:rFonts w:ascii="Arial" w:cs="Arial" w:eastAsia="Arial" w:hAnsi="Arial"/>
          <w:sz w:val="18"/>
          <w:szCs w:val="18"/>
          <w:color w:val="auto"/>
        </w:rPr>
      </w:pPr>
    </w:p>
    <w:p>
      <w:pPr>
        <w:ind w:left="660" w:hanging="490"/>
        <w:spacing w:after="0"/>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investment impairments;</w:t>
      </w:r>
    </w:p>
    <w:p>
      <w:pPr>
        <w:spacing w:after="0" w:line="117" w:lineRule="exact"/>
        <w:rPr>
          <w:rFonts w:ascii="Arial" w:cs="Arial" w:eastAsia="Arial" w:hAnsi="Arial"/>
          <w:sz w:val="18"/>
          <w:szCs w:val="18"/>
          <w:color w:val="auto"/>
        </w:rPr>
      </w:pPr>
    </w:p>
    <w:p>
      <w:pPr>
        <w:ind w:left="660" w:hanging="490"/>
        <w:spacing w:after="0"/>
        <w:tabs>
          <w:tab w:leader="none" w:pos="660" w:val="left"/>
        </w:tabs>
        <w:numPr>
          <w:ilvl w:val="0"/>
          <w:numId w:val="49"/>
        </w:numPr>
        <w:rPr>
          <w:rFonts w:ascii="Arial" w:cs="Arial" w:eastAsia="Arial" w:hAnsi="Arial"/>
          <w:sz w:val="17"/>
          <w:szCs w:val="17"/>
          <w:color w:val="auto"/>
        </w:rPr>
      </w:pPr>
      <w:r>
        <w:rPr>
          <w:rFonts w:ascii="Arial" w:cs="Arial" w:eastAsia="Arial" w:hAnsi="Arial"/>
          <w:sz w:val="17"/>
          <w:szCs w:val="17"/>
          <w:color w:val="auto"/>
        </w:rPr>
        <w:t>estimated fair values of freestanding derivatives and the recognition and estimated fair value of embedded derivatives requiring bifurcation;</w:t>
      </w:r>
    </w:p>
    <w:p>
      <w:pPr>
        <w:spacing w:after="0" w:line="128" w:lineRule="exact"/>
        <w:rPr>
          <w:rFonts w:ascii="Arial" w:cs="Arial" w:eastAsia="Arial" w:hAnsi="Arial"/>
          <w:sz w:val="17"/>
          <w:szCs w:val="17"/>
          <w:color w:val="auto"/>
        </w:rPr>
      </w:pPr>
    </w:p>
    <w:p>
      <w:pPr>
        <w:ind w:left="660" w:hanging="490"/>
        <w:spacing w:after="0"/>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measurement of goodwill and related impairment;</w:t>
      </w:r>
    </w:p>
    <w:p>
      <w:pPr>
        <w:spacing w:after="0" w:line="117" w:lineRule="exact"/>
        <w:rPr>
          <w:rFonts w:ascii="Arial" w:cs="Arial" w:eastAsia="Arial" w:hAnsi="Arial"/>
          <w:sz w:val="18"/>
          <w:szCs w:val="18"/>
          <w:color w:val="auto"/>
        </w:rPr>
      </w:pPr>
    </w:p>
    <w:p>
      <w:pPr>
        <w:ind w:left="660" w:hanging="490"/>
        <w:spacing w:after="0"/>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measurement of income taxes and the valuation of deferred tax assets; and</w:t>
      </w:r>
    </w:p>
    <w:p>
      <w:pPr>
        <w:spacing w:after="0" w:line="117" w:lineRule="exact"/>
        <w:rPr>
          <w:rFonts w:ascii="Arial" w:cs="Arial" w:eastAsia="Arial" w:hAnsi="Arial"/>
          <w:sz w:val="18"/>
          <w:szCs w:val="18"/>
          <w:color w:val="auto"/>
        </w:rPr>
      </w:pPr>
    </w:p>
    <w:p>
      <w:pPr>
        <w:ind w:left="660" w:hanging="490"/>
        <w:spacing w:after="0"/>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liabilities for litigation and regulatory matters.</w:t>
      </w:r>
    </w:p>
    <w:p>
      <w:pPr>
        <w:spacing w:after="0" w:line="117"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In applying our accounting policies, we make subjective and complex judgments that frequently require estimates about matters that are inherently uncertain. Many of these policies, estimates and related judgments are common in the insurance and financial services industries; others are specific to our business and operations. Actual results could differ from these estimates.</w:t>
      </w:r>
    </w:p>
    <w:p>
      <w:pPr>
        <w:spacing w:after="0" w:line="73"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The above critical accounting estimates are described in “Management’s Discussion and Analysis of Financial Condition and Results of Operations - Summary of Critical Accounting Estimates” and Note 1 of the Notes to the Combined Financial Statements included in the Form 10.</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Derivatives - Nonperformance Risk Adjustment</w:t>
      </w:r>
    </w:p>
    <w:p>
      <w:pPr>
        <w:spacing w:after="0" w:line="11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valuation of our embedded derivatives includes an adjustment for the risk that we fail to satisfy our obligations, which we refer to as our nonperformance risk. The nonperformance risk adjustment, which is captured as a spread over the risk-free rate in determining the discount rate to discount the cash flows of the liability, was previously determined by taking into consideration publicly available information relating to spreads in the secondary market for MetLife, Inc.’s debt, including related credit default swaps.</w:t>
      </w:r>
    </w:p>
    <w:p>
      <w:pPr>
        <w:spacing w:after="0" w:line="79"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In the third quarter of 2017, in connection with the Separation, we updated our assumptions for determining the credit spread underlying the nonperformance risk adjustment to be based on Brighthouse Financial, Inc.’s creditworthiness instead of that of MetLife, Inc. The credit spread was determined by taking into consideration publicly available information relating to spreads in the secondary market for Brighthouse Financial, Inc.’s debt. These observable spreads are then adjusted, as necessary, to reflect the financial strength ratings of the issuing insurance subsidiaries as compared to the credit rating of Brighthouse Financial, Inc.</w:t>
      </w:r>
    </w:p>
    <w:p>
      <w:pPr>
        <w:spacing w:after="0" w:line="8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impact of this change in methodology resulted in an increase in net income (loss) before provision for income tax of $521 million ($339 million, net of income tax).</w:t>
      </w:r>
    </w:p>
    <w:p>
      <w:pPr>
        <w:spacing w:after="0" w:line="62" w:lineRule="exact"/>
        <w:rPr>
          <w:sz w:val="20"/>
          <w:szCs w:val="20"/>
          <w:color w:val="auto"/>
        </w:rPr>
      </w:pPr>
    </w:p>
    <w:p>
      <w:pPr>
        <w:jc w:val="center"/>
        <w:ind w:left="320"/>
        <w:spacing w:after="0"/>
        <w:rPr>
          <w:sz w:val="20"/>
          <w:szCs w:val="20"/>
          <w:color w:val="auto"/>
        </w:rPr>
      </w:pPr>
      <w:r>
        <w:rPr>
          <w:rFonts w:ascii="Arial" w:cs="Arial" w:eastAsia="Arial" w:hAnsi="Arial"/>
          <w:sz w:val="16"/>
          <w:szCs w:val="16"/>
          <w:color w:val="auto"/>
        </w:rPr>
        <w:t>See Note 5 of the notes to the interim condensed consolidated and combined financial statements for additional information on our embedded derivatives.</w:t>
      </w: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420"/>
          </w:cols>
          <w:pgMar w:left="240" w:top="126" w:right="239" w:bottom="1440" w:gutter="0" w:footer="0" w:header="0"/>
        </w:sectPr>
      </w:pPr>
    </w:p>
    <w:bookmarkStart w:id="85" w:name="page86"/>
    <w:bookmarkEnd w:id="85"/>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and Other Financial Disclosures</w:t>
      </w:r>
    </w:p>
    <w:p>
      <w:pPr>
        <w:spacing w:after="0" w:line="175" w:lineRule="exact"/>
        <w:rPr>
          <w:sz w:val="20"/>
          <w:szCs w:val="20"/>
          <w:color w:val="auto"/>
        </w:rPr>
      </w:pPr>
    </w:p>
    <w:p>
      <w:pPr>
        <w:jc w:val="both"/>
        <w:ind w:right="20" w:firstLine="324"/>
        <w:spacing w:after="0" w:line="342" w:lineRule="auto"/>
        <w:rPr>
          <w:sz w:val="20"/>
          <w:szCs w:val="20"/>
          <w:color w:val="auto"/>
        </w:rPr>
      </w:pPr>
      <w:r>
        <w:rPr>
          <w:rFonts w:ascii="Arial" w:cs="Arial" w:eastAsia="Arial" w:hAnsi="Arial"/>
          <w:sz w:val="16"/>
          <w:szCs w:val="16"/>
          <w:color w:val="auto"/>
        </w:rPr>
        <w:t>In this report, we present a measure of our performance that is not calculated in accordance with GAAP. We believe that this non-GAAP financial measure enhances the understanding of our performance by highlighting the results of operations and the underlying profitability drivers of our business.</w:t>
      </w:r>
    </w:p>
    <w:p>
      <w:pPr>
        <w:spacing w:after="0" w:line="7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following non-GAAP financial measure should not be viewed as a substitute for the most directly comparable financial measure calculated in accordance with GAAP:</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40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b w:val="1"/>
                <w:bCs w:val="1"/>
                <w:color w:val="auto"/>
              </w:rPr>
              <w:t>Non-GAAP financial measures:</w:t>
            </w:r>
          </w:p>
        </w:tc>
        <w:tc>
          <w:tcPr>
            <w:tcW w:w="7400" w:type="dxa"/>
            <w:vAlign w:val="bottom"/>
            <w:tcBorders>
              <w:bottom w:val="single" w:sz="8" w:color="CCEEFF"/>
            </w:tcBorders>
            <w:gridSpan w:val="2"/>
            <w:shd w:val="clear" w:color="auto" w:fill="CCEEFF"/>
          </w:tcPr>
          <w:p>
            <w:pPr>
              <w:ind w:left="1720"/>
              <w:spacing w:after="0"/>
              <w:rPr>
                <w:sz w:val="20"/>
                <w:szCs w:val="20"/>
                <w:color w:val="auto"/>
              </w:rPr>
            </w:pPr>
            <w:r>
              <w:rPr>
                <w:rFonts w:ascii="Arial" w:cs="Arial" w:eastAsia="Arial" w:hAnsi="Arial"/>
                <w:sz w:val="16"/>
                <w:szCs w:val="16"/>
                <w:b w:val="1"/>
                <w:bCs w:val="1"/>
                <w:color w:val="auto"/>
              </w:rPr>
              <w:t>Comparable GAAP financial measures:</w:t>
            </w:r>
          </w:p>
        </w:tc>
      </w:tr>
      <w:tr>
        <w:trPr>
          <w:trHeight w:val="243"/>
        </w:trPr>
        <w:tc>
          <w:tcPr>
            <w:tcW w:w="400" w:type="dxa"/>
            <w:vAlign w:val="bottom"/>
          </w:tcPr>
          <w:p>
            <w:pPr>
              <w:ind w:left="40"/>
              <w:spacing w:after="0"/>
              <w:rPr>
                <w:sz w:val="20"/>
                <w:szCs w:val="20"/>
                <w:color w:val="auto"/>
              </w:rPr>
            </w:pPr>
            <w:r>
              <w:rPr>
                <w:rFonts w:ascii="Arial" w:cs="Arial" w:eastAsia="Arial" w:hAnsi="Arial"/>
                <w:sz w:val="18"/>
                <w:szCs w:val="18"/>
                <w:color w:val="auto"/>
              </w:rPr>
              <w:t>(i)</w:t>
            </w:r>
          </w:p>
        </w:tc>
        <w:tc>
          <w:tcPr>
            <w:tcW w:w="3620" w:type="dxa"/>
            <w:vAlign w:val="bottom"/>
          </w:tcPr>
          <w:p>
            <w:pPr>
              <w:ind w:left="100"/>
              <w:spacing w:after="0"/>
              <w:rPr>
                <w:sz w:val="20"/>
                <w:szCs w:val="20"/>
                <w:color w:val="auto"/>
              </w:rPr>
            </w:pPr>
            <w:r>
              <w:rPr>
                <w:rFonts w:ascii="Arial" w:cs="Arial" w:eastAsia="Arial" w:hAnsi="Arial"/>
                <w:sz w:val="18"/>
                <w:szCs w:val="18"/>
                <w:color w:val="auto"/>
              </w:rPr>
              <w:t>operating earnings (loss)</w:t>
            </w:r>
          </w:p>
        </w:tc>
        <w:tc>
          <w:tcPr>
            <w:tcW w:w="2100" w:type="dxa"/>
            <w:vAlign w:val="bottom"/>
          </w:tcPr>
          <w:p>
            <w:pPr>
              <w:ind w:left="1720"/>
              <w:spacing w:after="0"/>
              <w:rPr>
                <w:sz w:val="20"/>
                <w:szCs w:val="20"/>
                <w:color w:val="auto"/>
              </w:rPr>
            </w:pPr>
            <w:r>
              <w:rPr>
                <w:rFonts w:ascii="Arial" w:cs="Arial" w:eastAsia="Arial" w:hAnsi="Arial"/>
                <w:sz w:val="18"/>
                <w:szCs w:val="18"/>
                <w:color w:val="auto"/>
              </w:rPr>
              <w:t>(i)</w:t>
            </w:r>
          </w:p>
        </w:tc>
        <w:tc>
          <w:tcPr>
            <w:tcW w:w="5300" w:type="dxa"/>
            <w:vAlign w:val="bottom"/>
          </w:tcPr>
          <w:p>
            <w:pPr>
              <w:ind w:left="80"/>
              <w:spacing w:after="0"/>
              <w:rPr>
                <w:sz w:val="20"/>
                <w:szCs w:val="20"/>
                <w:color w:val="auto"/>
              </w:rPr>
            </w:pPr>
            <w:r>
              <w:rPr>
                <w:rFonts w:ascii="Arial" w:cs="Arial" w:eastAsia="Arial" w:hAnsi="Arial"/>
                <w:sz w:val="18"/>
                <w:szCs w:val="18"/>
                <w:color w:val="auto"/>
              </w:rPr>
              <w:t>net income (loss)</w:t>
            </w:r>
          </w:p>
        </w:tc>
      </w:tr>
      <w:tr>
        <w:trPr>
          <w:trHeight w:val="27"/>
        </w:trPr>
        <w:tc>
          <w:tcPr>
            <w:tcW w:w="400" w:type="dxa"/>
            <w:vAlign w:val="bottom"/>
          </w:tcPr>
          <w:p>
            <w:pPr>
              <w:spacing w:after="0"/>
              <w:rPr>
                <w:sz w:val="2"/>
                <w:szCs w:val="2"/>
                <w:color w:val="auto"/>
              </w:rPr>
            </w:pPr>
          </w:p>
        </w:tc>
        <w:tc>
          <w:tcPr>
            <w:tcW w:w="3620" w:type="dxa"/>
            <w:vAlign w:val="bottom"/>
          </w:tcPr>
          <w:p>
            <w:pPr>
              <w:spacing w:after="0"/>
              <w:rPr>
                <w:sz w:val="2"/>
                <w:szCs w:val="2"/>
                <w:color w:val="auto"/>
              </w:rPr>
            </w:pPr>
          </w:p>
        </w:tc>
        <w:tc>
          <w:tcPr>
            <w:tcW w:w="2100" w:type="dxa"/>
            <w:vAlign w:val="bottom"/>
          </w:tcPr>
          <w:p>
            <w:pPr>
              <w:spacing w:after="0"/>
              <w:rPr>
                <w:sz w:val="2"/>
                <w:szCs w:val="2"/>
                <w:color w:val="auto"/>
              </w:rPr>
            </w:pPr>
          </w:p>
        </w:tc>
        <w:tc>
          <w:tcPr>
            <w:tcW w:w="5300" w:type="dxa"/>
            <w:vAlign w:val="bottom"/>
          </w:tcPr>
          <w:p>
            <w:pPr>
              <w:spacing w:after="0"/>
              <w:rPr>
                <w:sz w:val="2"/>
                <w:szCs w:val="2"/>
                <w:color w:val="auto"/>
              </w:rPr>
            </w:pPr>
          </w:p>
        </w:tc>
      </w:tr>
      <w:tr>
        <w:trPr>
          <w:trHeight w:val="250"/>
        </w:trPr>
        <w:tc>
          <w:tcPr>
            <w:tcW w:w="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(ii)</w:t>
            </w:r>
          </w:p>
        </w:tc>
        <w:tc>
          <w:tcPr>
            <w:tcW w:w="362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operating ROE</w:t>
            </w:r>
          </w:p>
        </w:tc>
        <w:tc>
          <w:tcPr>
            <w:tcW w:w="2100" w:type="dxa"/>
            <w:vAlign w:val="bottom"/>
            <w:tcBorders>
              <w:bottom w:val="single" w:sz="8" w:color="CCEEFF"/>
            </w:tcBorders>
            <w:shd w:val="clear" w:color="auto" w:fill="CCEEFF"/>
          </w:tcPr>
          <w:p>
            <w:pPr>
              <w:ind w:left="1720"/>
              <w:spacing w:after="0"/>
              <w:rPr>
                <w:sz w:val="20"/>
                <w:szCs w:val="20"/>
                <w:color w:val="auto"/>
              </w:rPr>
            </w:pPr>
            <w:r>
              <w:rPr>
                <w:rFonts w:ascii="Arial" w:cs="Arial" w:eastAsia="Arial" w:hAnsi="Arial"/>
                <w:sz w:val="18"/>
                <w:szCs w:val="18"/>
                <w:color w:val="auto"/>
              </w:rPr>
              <w:t>(ii)</w:t>
            </w:r>
          </w:p>
        </w:tc>
        <w:tc>
          <w:tcPr>
            <w:tcW w:w="530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return on equity</w:t>
            </w:r>
          </w:p>
        </w:tc>
      </w:tr>
      <w:tr>
        <w:trPr>
          <w:trHeight w:val="243"/>
        </w:trPr>
        <w:tc>
          <w:tcPr>
            <w:tcW w:w="400" w:type="dxa"/>
            <w:vAlign w:val="bottom"/>
          </w:tcPr>
          <w:p>
            <w:pPr>
              <w:ind w:left="40"/>
              <w:spacing w:after="0"/>
              <w:rPr>
                <w:sz w:val="20"/>
                <w:szCs w:val="20"/>
                <w:color w:val="auto"/>
              </w:rPr>
            </w:pPr>
            <w:r>
              <w:rPr>
                <w:rFonts w:ascii="Arial" w:cs="Arial" w:eastAsia="Arial" w:hAnsi="Arial"/>
                <w:sz w:val="18"/>
                <w:szCs w:val="18"/>
                <w:color w:val="auto"/>
              </w:rPr>
              <w:t>(iii)</w:t>
            </w:r>
          </w:p>
        </w:tc>
        <w:tc>
          <w:tcPr>
            <w:tcW w:w="3620" w:type="dxa"/>
            <w:vAlign w:val="bottom"/>
          </w:tcPr>
          <w:p>
            <w:pPr>
              <w:ind w:left="100"/>
              <w:spacing w:after="0"/>
              <w:rPr>
                <w:sz w:val="20"/>
                <w:szCs w:val="20"/>
                <w:color w:val="auto"/>
              </w:rPr>
            </w:pPr>
            <w:r>
              <w:rPr>
                <w:rFonts w:ascii="Arial" w:cs="Arial" w:eastAsia="Arial" w:hAnsi="Arial"/>
                <w:sz w:val="18"/>
                <w:szCs w:val="18"/>
                <w:color w:val="auto"/>
              </w:rPr>
              <w:t>operating EPS</w:t>
            </w:r>
          </w:p>
        </w:tc>
        <w:tc>
          <w:tcPr>
            <w:tcW w:w="2100" w:type="dxa"/>
            <w:vAlign w:val="bottom"/>
          </w:tcPr>
          <w:p>
            <w:pPr>
              <w:ind w:left="1720"/>
              <w:spacing w:after="0"/>
              <w:rPr>
                <w:sz w:val="20"/>
                <w:szCs w:val="20"/>
                <w:color w:val="auto"/>
              </w:rPr>
            </w:pPr>
            <w:r>
              <w:rPr>
                <w:rFonts w:ascii="Arial" w:cs="Arial" w:eastAsia="Arial" w:hAnsi="Arial"/>
                <w:sz w:val="18"/>
                <w:szCs w:val="18"/>
                <w:color w:val="auto"/>
              </w:rPr>
              <w:t>(iii)</w:t>
            </w:r>
          </w:p>
        </w:tc>
        <w:tc>
          <w:tcPr>
            <w:tcW w:w="5300" w:type="dxa"/>
            <w:vAlign w:val="bottom"/>
          </w:tcPr>
          <w:p>
            <w:pPr>
              <w:ind w:left="80"/>
              <w:spacing w:after="0"/>
              <w:rPr>
                <w:sz w:val="20"/>
                <w:szCs w:val="20"/>
                <w:color w:val="auto"/>
              </w:rPr>
            </w:pPr>
            <w:r>
              <w:rPr>
                <w:rFonts w:ascii="Arial" w:cs="Arial" w:eastAsia="Arial" w:hAnsi="Arial"/>
                <w:sz w:val="18"/>
                <w:szCs w:val="18"/>
                <w:color w:val="auto"/>
              </w:rPr>
              <w:t>earnings per share</w:t>
            </w:r>
          </w:p>
        </w:tc>
      </w:tr>
    </w:tbl>
    <w:p>
      <w:pPr>
        <w:spacing w:after="0" w:line="17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See “— Results of Operations” for a reconciliation of operating earnings (loss) to net income (loss). Operating ROE and Operating EPS are only presented as future financial targets. A reconciliation of this non-GAAP measure to the most directly comparable GAAP measure is not accessible on a forward-looking basis because we believe it is not possible without unreasonable efforts to provide other than a range of net investment gains and losses and net derivative gains and losses, which can fluctuate significantly within or outside the range and from period to period and may have a material impact on net income (loss).</w:t>
      </w:r>
    </w:p>
    <w:p>
      <w:pPr>
        <w:spacing w:after="0" w:line="134"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Our definitions of the non-GAAP and other financial measures discussed in this report may differ from those used by other companies. For example, as indicated below, we exclude GMIB revenues and related embedded derivatives gains (losses) as well as GMIB benefits and associated DAC and VOBA offsets from operating earnings (loss), thereby excluding substantially all GMLB activity from operating earnings (loss).</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Earnings (Loss)</w:t>
      </w:r>
    </w:p>
    <w:p>
      <w:pPr>
        <w:spacing w:after="0" w:line="117"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Operating earnings (loss) is used by management to evaluate performance, allocate resources and facilitate comparisons to industry results. This financial measure focuses on our primary businesses principally by excluding the impact of market volatility, which could distort trends, and revenues and costs related to non-core products and businesses. Non-core businesses include discontinued operations and other businesses that have been or will be sold or exited by us, referred to as divested businesses, and certain entities required to be consolidated under GAAP.</w:t>
      </w:r>
    </w:p>
    <w:p>
      <w:pPr>
        <w:spacing w:after="0" w:line="6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are excluded from total revenues, net of income tax, in calculating operating earnings (loss):</w:t>
      </w:r>
    </w:p>
    <w:p>
      <w:pPr>
        <w:spacing w:after="0" w:line="117" w:lineRule="exact"/>
        <w:rPr>
          <w:sz w:val="20"/>
          <w:szCs w:val="20"/>
          <w:color w:val="auto"/>
        </w:rPr>
      </w:pPr>
    </w:p>
    <w:p>
      <w:pPr>
        <w:ind w:left="1300" w:hanging="320"/>
        <w:spacing w:after="0"/>
        <w:tabs>
          <w:tab w:leader="none" w:pos="13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Net investment gains (losses);</w:t>
      </w:r>
    </w:p>
    <w:p>
      <w:pPr>
        <w:spacing w:after="0" w:line="117" w:lineRule="exact"/>
        <w:rPr>
          <w:rFonts w:ascii="Arial" w:cs="Arial" w:eastAsia="Arial" w:hAnsi="Arial"/>
          <w:sz w:val="18"/>
          <w:szCs w:val="18"/>
          <w:color w:val="auto"/>
        </w:rPr>
      </w:pPr>
    </w:p>
    <w:p>
      <w:pPr>
        <w:jc w:val="both"/>
        <w:ind w:left="1300" w:hanging="320"/>
        <w:spacing w:after="0" w:line="259" w:lineRule="auto"/>
        <w:tabs>
          <w:tab w:leader="none" w:pos="13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Net derivative gains (losses) except: (i) earned income on derivatives and amortization of premium on derivatives that are hedges of investments or that are used to replicate certain investments, but do not qualify for hedge accounting treatment (“Investment Hedge Adjustments”) and (ii) earned income on derivatives and amortization of premium on derivatives that are hedges of policyholder account balances but do not qualify for hedge accounting treatment (“PAB Adjustments”);</w:t>
      </w:r>
    </w:p>
    <w:p>
      <w:pPr>
        <w:spacing w:after="0" w:line="78" w:lineRule="exact"/>
        <w:rPr>
          <w:rFonts w:ascii="Arial" w:cs="Arial" w:eastAsia="Arial" w:hAnsi="Arial"/>
          <w:sz w:val="18"/>
          <w:szCs w:val="18"/>
          <w:color w:val="auto"/>
        </w:rPr>
      </w:pPr>
    </w:p>
    <w:p>
      <w:pPr>
        <w:ind w:left="1300" w:hanging="320"/>
        <w:spacing w:after="0" w:line="277" w:lineRule="auto"/>
        <w:tabs>
          <w:tab w:leader="none" w:pos="13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Amortization of unearned revenue related to net investment gains (losses) and net derivative gains (losses) and certain variable annuity GMIB fees (“GMIB Fees”);</w:t>
      </w:r>
    </w:p>
    <w:p>
      <w:pPr>
        <w:spacing w:after="0" w:line="62" w:lineRule="exact"/>
        <w:rPr>
          <w:rFonts w:ascii="Arial" w:cs="Arial" w:eastAsia="Arial" w:hAnsi="Arial"/>
          <w:sz w:val="18"/>
          <w:szCs w:val="18"/>
          <w:color w:val="auto"/>
        </w:rPr>
      </w:pPr>
    </w:p>
    <w:p>
      <w:pPr>
        <w:ind w:left="1300" w:hanging="320"/>
        <w:spacing w:after="0"/>
        <w:tabs>
          <w:tab w:leader="none" w:pos="13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Certain amounts related to securitization entities that are variable interest entities (“VIEs”) consolidated under GAAP; and</w:t>
      </w:r>
    </w:p>
    <w:p>
      <w:pPr>
        <w:spacing w:after="0" w:line="117" w:lineRule="exact"/>
        <w:rPr>
          <w:rFonts w:ascii="Arial" w:cs="Arial" w:eastAsia="Arial" w:hAnsi="Arial"/>
          <w:sz w:val="18"/>
          <w:szCs w:val="18"/>
          <w:color w:val="auto"/>
        </w:rPr>
      </w:pPr>
    </w:p>
    <w:p>
      <w:pPr>
        <w:ind w:left="1300" w:hanging="320"/>
        <w:spacing w:after="0"/>
        <w:tabs>
          <w:tab w:leader="none" w:pos="13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Revenues from divested businesses.</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are excluded from total expenses, net of income tax, in calculating operating earnings (loss):</w:t>
      </w:r>
    </w:p>
    <w:p>
      <w:pPr>
        <w:spacing w:after="0" w:line="117" w:lineRule="exact"/>
        <w:rPr>
          <w:sz w:val="20"/>
          <w:szCs w:val="20"/>
          <w:color w:val="auto"/>
        </w:rPr>
      </w:pPr>
    </w:p>
    <w:p>
      <w:pPr>
        <w:ind w:left="1300" w:hanging="320"/>
        <w:spacing w:after="0"/>
        <w:tabs>
          <w:tab w:leader="none" w:pos="13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Amounts associated with benefits and hedging costs related to GMIBs (“GMIB Costs”);</w:t>
      </w:r>
    </w:p>
    <w:p>
      <w:pPr>
        <w:spacing w:after="0" w:line="117" w:lineRule="exact"/>
        <w:rPr>
          <w:rFonts w:ascii="Arial" w:cs="Arial" w:eastAsia="Arial" w:hAnsi="Arial"/>
          <w:sz w:val="18"/>
          <w:szCs w:val="18"/>
          <w:color w:val="auto"/>
        </w:rPr>
      </w:pPr>
    </w:p>
    <w:p>
      <w:pPr>
        <w:ind w:left="1300" w:hanging="320"/>
        <w:spacing w:after="0" w:line="277" w:lineRule="auto"/>
        <w:tabs>
          <w:tab w:leader="none" w:pos="13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Amounts associated with periodic crediting rate adjustments based on the total return of a contractually referenced pool of assets and market value adjustments associated with surrenders or terminations of contracts (“Market Value Adjustments”);</w:t>
      </w:r>
    </w:p>
    <w:p>
      <w:pPr>
        <w:spacing w:after="0" w:line="62" w:lineRule="exact"/>
        <w:rPr>
          <w:rFonts w:ascii="Arial" w:cs="Arial" w:eastAsia="Arial" w:hAnsi="Arial"/>
          <w:sz w:val="18"/>
          <w:szCs w:val="18"/>
          <w:color w:val="auto"/>
        </w:rPr>
      </w:pPr>
    </w:p>
    <w:p>
      <w:pPr>
        <w:ind w:left="1300" w:hanging="320"/>
        <w:spacing w:after="0" w:line="277" w:lineRule="auto"/>
        <w:tabs>
          <w:tab w:leader="none" w:pos="13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Amortization of DAC and VOBA related to (i) net investment gains (losses), (ii) net derivative gains (losses), (iii) GMIB Fees and GMIB Costs and (iv) Market Value Adjustments;</w:t>
      </w:r>
    </w:p>
    <w:p>
      <w:pPr>
        <w:spacing w:after="0" w:line="62" w:lineRule="exact"/>
        <w:rPr>
          <w:rFonts w:ascii="Arial" w:cs="Arial" w:eastAsia="Arial" w:hAnsi="Arial"/>
          <w:sz w:val="18"/>
          <w:szCs w:val="18"/>
          <w:color w:val="auto"/>
        </w:rPr>
      </w:pPr>
    </w:p>
    <w:p>
      <w:pPr>
        <w:ind w:left="1300" w:hanging="320"/>
        <w:spacing w:after="0" w:line="277" w:lineRule="auto"/>
        <w:tabs>
          <w:tab w:leader="none" w:pos="13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Recognition of certain contingent assets and liabilities that could not be recognized at acquisition or adjusted for during the measurement period under GAAP business combination accounting guidance;</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420"/>
          </w:cols>
          <w:pgMar w:left="240" w:top="126" w:right="239" w:bottom="1440" w:gutter="0" w:footer="0" w:header="0"/>
        </w:sectPr>
      </w:pPr>
    </w:p>
    <w:bookmarkStart w:id="86" w:name="page87"/>
    <w:bookmarkEnd w:id="86"/>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1300" w:hanging="320"/>
        <w:spacing w:after="0"/>
        <w:tabs>
          <w:tab w:leader="none" w:pos="13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Expenses of divested businesses;</w:t>
      </w:r>
    </w:p>
    <w:p>
      <w:pPr>
        <w:spacing w:after="0" w:line="117" w:lineRule="exact"/>
        <w:rPr>
          <w:rFonts w:ascii="Arial" w:cs="Arial" w:eastAsia="Arial" w:hAnsi="Arial"/>
          <w:sz w:val="18"/>
          <w:szCs w:val="18"/>
          <w:color w:val="auto"/>
        </w:rPr>
      </w:pPr>
    </w:p>
    <w:p>
      <w:pPr>
        <w:ind w:left="1300" w:hanging="320"/>
        <w:spacing w:after="0"/>
        <w:tabs>
          <w:tab w:leader="none" w:pos="13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Amounts related to securitization entities that are VIEs consolidated under GAAP;</w:t>
      </w:r>
    </w:p>
    <w:p>
      <w:pPr>
        <w:spacing w:after="0" w:line="117" w:lineRule="exact"/>
        <w:rPr>
          <w:rFonts w:ascii="Arial" w:cs="Arial" w:eastAsia="Arial" w:hAnsi="Arial"/>
          <w:sz w:val="18"/>
          <w:szCs w:val="18"/>
          <w:color w:val="auto"/>
        </w:rPr>
      </w:pPr>
    </w:p>
    <w:p>
      <w:pPr>
        <w:ind w:left="1300" w:hanging="320"/>
        <w:spacing w:after="0"/>
        <w:tabs>
          <w:tab w:leader="none" w:pos="13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Goodwill impairment; and</w:t>
      </w:r>
    </w:p>
    <w:p>
      <w:pPr>
        <w:spacing w:after="0" w:line="117" w:lineRule="exact"/>
        <w:rPr>
          <w:rFonts w:ascii="Arial" w:cs="Arial" w:eastAsia="Arial" w:hAnsi="Arial"/>
          <w:sz w:val="18"/>
          <w:szCs w:val="18"/>
          <w:color w:val="auto"/>
        </w:rPr>
      </w:pPr>
    </w:p>
    <w:p>
      <w:pPr>
        <w:ind w:left="1300" w:hanging="320"/>
        <w:spacing w:after="0"/>
        <w:tabs>
          <w:tab w:leader="none" w:pos="13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Costs related to: (i) implementation of new insurance regulatory requirements and (ii) acquisition and integration costs.</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tax impact of the adjustments mentioned are calculated net of the U.S. statutory tax rate, which could differ from our effective tax rate.</w:t>
      </w:r>
    </w:p>
    <w:p>
      <w:pPr>
        <w:spacing w:after="0" w:line="117"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color w:val="auto"/>
        </w:rPr>
        <w:t>We present operating earnings (loss) in a manner consistent with management’s view of the primary business activities that drive the profitability of our core businesses. The table below illustrates how each component of operating earnings (loss) is calculated from the GAAP statement of operations line items:</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0" w:type="dxa"/>
            <w:vAlign w:val="bottom"/>
          </w:tcPr>
          <w:p>
            <w:pPr>
              <w:spacing w:after="0"/>
              <w:rPr>
                <w:sz w:val="17"/>
                <w:szCs w:val="17"/>
                <w:color w:val="auto"/>
              </w:rPr>
            </w:pPr>
          </w:p>
        </w:tc>
        <w:tc>
          <w:tcPr>
            <w:tcW w:w="41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Component of Operating Earnings (Loss)</w:t>
            </w:r>
          </w:p>
        </w:tc>
        <w:tc>
          <w:tcPr>
            <w:tcW w:w="7280" w:type="dxa"/>
            <w:vAlign w:val="bottom"/>
            <w:shd w:val="clear" w:color="auto" w:fill="CCEEFF"/>
          </w:tcPr>
          <w:p>
            <w:pPr>
              <w:jc w:val="right"/>
              <w:ind w:right="4651"/>
              <w:spacing w:after="0"/>
              <w:rPr>
                <w:sz w:val="20"/>
                <w:szCs w:val="20"/>
                <w:color w:val="auto"/>
              </w:rPr>
            </w:pPr>
            <w:r>
              <w:rPr>
                <w:rFonts w:ascii="Arial" w:cs="Arial" w:eastAsia="Arial" w:hAnsi="Arial"/>
                <w:sz w:val="14"/>
                <w:szCs w:val="14"/>
                <w:b w:val="1"/>
                <w:bCs w:val="1"/>
                <w:color w:val="auto"/>
              </w:rPr>
              <w:t>How Derived from GAAP (1)(2)</w:t>
            </w:r>
          </w:p>
        </w:tc>
      </w:tr>
      <w:tr>
        <w:trPr>
          <w:trHeight w:val="229"/>
        </w:trPr>
        <w:tc>
          <w:tcPr>
            <w:tcW w:w="20" w:type="dxa"/>
            <w:vAlign w:val="bottom"/>
          </w:tcPr>
          <w:p>
            <w:pPr>
              <w:spacing w:after="0"/>
              <w:rPr>
                <w:sz w:val="19"/>
                <w:szCs w:val="19"/>
                <w:color w:val="auto"/>
              </w:rPr>
            </w:pPr>
          </w:p>
        </w:tc>
        <w:tc>
          <w:tcPr>
            <w:tcW w:w="4120" w:type="dxa"/>
            <w:vAlign w:val="bottom"/>
          </w:tcPr>
          <w:p>
            <w:pPr>
              <w:ind w:left="260"/>
              <w:spacing w:after="0"/>
              <w:rPr>
                <w:sz w:val="20"/>
                <w:szCs w:val="20"/>
                <w:color w:val="auto"/>
              </w:rPr>
            </w:pPr>
            <w:r>
              <w:rPr>
                <w:rFonts w:ascii="Arial" w:cs="Arial" w:eastAsia="Arial" w:hAnsi="Arial"/>
                <w:sz w:val="18"/>
                <w:szCs w:val="18"/>
                <w:color w:val="auto"/>
              </w:rPr>
              <w:t>(i) Fee income</w:t>
            </w:r>
          </w:p>
        </w:tc>
        <w:tc>
          <w:tcPr>
            <w:tcW w:w="7280" w:type="dxa"/>
            <w:vAlign w:val="bottom"/>
          </w:tcPr>
          <w:p>
            <w:pPr>
              <w:jc w:val="right"/>
              <w:spacing w:after="0"/>
              <w:rPr>
                <w:sz w:val="20"/>
                <w:szCs w:val="20"/>
                <w:color w:val="auto"/>
              </w:rPr>
            </w:pPr>
            <w:r>
              <w:rPr>
                <w:rFonts w:ascii="Arial" w:cs="Arial" w:eastAsia="Arial" w:hAnsi="Arial"/>
                <w:sz w:val="18"/>
                <w:szCs w:val="18"/>
                <w:color w:val="auto"/>
              </w:rPr>
              <w:t xml:space="preserve">(i) </w:t>
            </w:r>
            <w:r>
              <w:rPr>
                <w:rFonts w:ascii="Arial" w:cs="Arial" w:eastAsia="Arial" w:hAnsi="Arial"/>
                <w:sz w:val="18"/>
                <w:szCs w:val="18"/>
                <w:i w:val="1"/>
                <w:iCs w:val="1"/>
                <w:color w:val="auto"/>
              </w:rPr>
              <w:t>Universal life and investment-type policy fee</w:t>
            </w:r>
            <w:r>
              <w:rPr>
                <w:rFonts w:ascii="Arial" w:cs="Arial" w:eastAsia="Arial" w:hAnsi="Arial"/>
                <w:sz w:val="18"/>
                <w:szCs w:val="18"/>
                <w:color w:val="auto"/>
              </w:rPr>
              <w:t>s (excluding (a) unearned revenue</w:t>
            </w:r>
          </w:p>
        </w:tc>
      </w:tr>
      <w:tr>
        <w:trPr>
          <w:trHeight w:val="216"/>
        </w:trPr>
        <w:tc>
          <w:tcPr>
            <w:tcW w:w="20" w:type="dxa"/>
            <w:vAlign w:val="bottom"/>
          </w:tcPr>
          <w:p>
            <w:pPr>
              <w:spacing w:after="0"/>
              <w:rPr>
                <w:sz w:val="18"/>
                <w:szCs w:val="18"/>
                <w:color w:val="auto"/>
              </w:rPr>
            </w:pPr>
          </w:p>
        </w:tc>
        <w:tc>
          <w:tcPr>
            <w:tcW w:w="4120" w:type="dxa"/>
            <w:vAlign w:val="bottom"/>
          </w:tcPr>
          <w:p>
            <w:pPr>
              <w:spacing w:after="0"/>
              <w:rPr>
                <w:sz w:val="18"/>
                <w:szCs w:val="18"/>
                <w:color w:val="auto"/>
              </w:rPr>
            </w:pPr>
          </w:p>
        </w:tc>
        <w:tc>
          <w:tcPr>
            <w:tcW w:w="7280" w:type="dxa"/>
            <w:vAlign w:val="bottom"/>
          </w:tcPr>
          <w:p>
            <w:pPr>
              <w:jc w:val="right"/>
              <w:spacing w:after="0"/>
              <w:rPr>
                <w:sz w:val="20"/>
                <w:szCs w:val="20"/>
                <w:color w:val="auto"/>
              </w:rPr>
            </w:pPr>
            <w:r>
              <w:rPr>
                <w:rFonts w:ascii="Arial" w:cs="Arial" w:eastAsia="Arial" w:hAnsi="Arial"/>
                <w:sz w:val="18"/>
                <w:szCs w:val="18"/>
                <w:color w:val="auto"/>
              </w:rPr>
              <w:t>adjustments related to net investment gains (losses) and net derivative gains (losses)</w:t>
            </w:r>
          </w:p>
        </w:tc>
      </w:tr>
      <w:tr>
        <w:trPr>
          <w:trHeight w:val="216"/>
        </w:trPr>
        <w:tc>
          <w:tcPr>
            <w:tcW w:w="20" w:type="dxa"/>
            <w:vAlign w:val="bottom"/>
          </w:tcPr>
          <w:p>
            <w:pPr>
              <w:spacing w:after="0"/>
              <w:rPr>
                <w:sz w:val="18"/>
                <w:szCs w:val="18"/>
                <w:color w:val="auto"/>
              </w:rPr>
            </w:pPr>
          </w:p>
        </w:tc>
        <w:tc>
          <w:tcPr>
            <w:tcW w:w="4120" w:type="dxa"/>
            <w:vAlign w:val="bottom"/>
          </w:tcPr>
          <w:p>
            <w:pPr>
              <w:spacing w:after="0"/>
              <w:rPr>
                <w:sz w:val="18"/>
                <w:szCs w:val="18"/>
                <w:color w:val="auto"/>
              </w:rPr>
            </w:pPr>
          </w:p>
        </w:tc>
        <w:tc>
          <w:tcPr>
            <w:tcW w:w="7280" w:type="dxa"/>
            <w:vAlign w:val="bottom"/>
          </w:tcPr>
          <w:p>
            <w:pPr>
              <w:jc w:val="right"/>
              <w:spacing w:after="0"/>
              <w:rPr>
                <w:sz w:val="20"/>
                <w:szCs w:val="20"/>
                <w:color w:val="auto"/>
              </w:rPr>
            </w:pPr>
            <w:r>
              <w:rPr>
                <w:rFonts w:ascii="Arial" w:cs="Arial" w:eastAsia="Arial" w:hAnsi="Arial"/>
                <w:sz w:val="18"/>
                <w:szCs w:val="18"/>
                <w:color w:val="auto"/>
              </w:rPr>
              <w:t xml:space="preserve">and (b) GMIB Fees) plus </w:t>
            </w:r>
            <w:r>
              <w:rPr>
                <w:rFonts w:ascii="Arial" w:cs="Arial" w:eastAsia="Arial" w:hAnsi="Arial"/>
                <w:sz w:val="18"/>
                <w:szCs w:val="18"/>
                <w:i w:val="1"/>
                <w:iCs w:val="1"/>
                <w:color w:val="auto"/>
              </w:rPr>
              <w:t>Other revenues</w:t>
            </w:r>
            <w:r>
              <w:rPr>
                <w:rFonts w:ascii="Arial" w:cs="Arial" w:eastAsia="Arial" w:hAnsi="Arial"/>
                <w:sz w:val="18"/>
                <w:szCs w:val="18"/>
                <w:color w:val="auto"/>
              </w:rPr>
              <w:t xml:space="preserve"> (excluding other revenues associated with</w:t>
            </w:r>
          </w:p>
        </w:tc>
      </w:tr>
      <w:tr>
        <w:trPr>
          <w:trHeight w:val="230"/>
        </w:trPr>
        <w:tc>
          <w:tcPr>
            <w:tcW w:w="20" w:type="dxa"/>
            <w:vAlign w:val="bottom"/>
          </w:tcPr>
          <w:p>
            <w:pPr>
              <w:spacing w:after="0"/>
              <w:rPr>
                <w:sz w:val="20"/>
                <w:szCs w:val="20"/>
                <w:color w:val="auto"/>
              </w:rPr>
            </w:pPr>
          </w:p>
        </w:tc>
        <w:tc>
          <w:tcPr>
            <w:tcW w:w="4120" w:type="dxa"/>
            <w:vAlign w:val="bottom"/>
          </w:tcPr>
          <w:p>
            <w:pPr>
              <w:spacing w:after="0"/>
              <w:rPr>
                <w:sz w:val="20"/>
                <w:szCs w:val="20"/>
                <w:color w:val="auto"/>
              </w:rPr>
            </w:pPr>
          </w:p>
        </w:tc>
        <w:tc>
          <w:tcPr>
            <w:tcW w:w="7280" w:type="dxa"/>
            <w:vAlign w:val="bottom"/>
          </w:tcPr>
          <w:p>
            <w:pPr>
              <w:ind w:left="1040"/>
              <w:spacing w:after="0"/>
              <w:rPr>
                <w:sz w:val="20"/>
                <w:szCs w:val="20"/>
                <w:color w:val="auto"/>
              </w:rPr>
            </w:pPr>
            <w:r>
              <w:rPr>
                <w:rFonts w:ascii="Arial" w:cs="Arial" w:eastAsia="Arial" w:hAnsi="Arial"/>
                <w:sz w:val="18"/>
                <w:szCs w:val="18"/>
                <w:color w:val="auto"/>
              </w:rPr>
              <w:t>related party reinsurance) and amortization of deferred gain on reinsurance.</w:t>
            </w:r>
          </w:p>
        </w:tc>
      </w:tr>
      <w:tr>
        <w:trPr>
          <w:trHeight w:val="27"/>
        </w:trPr>
        <w:tc>
          <w:tcPr>
            <w:tcW w:w="20" w:type="dxa"/>
            <w:vAlign w:val="bottom"/>
          </w:tcPr>
          <w:p>
            <w:pPr>
              <w:spacing w:after="0"/>
              <w:rPr>
                <w:sz w:val="2"/>
                <w:szCs w:val="2"/>
                <w:color w:val="auto"/>
              </w:rPr>
            </w:pPr>
          </w:p>
        </w:tc>
        <w:tc>
          <w:tcPr>
            <w:tcW w:w="4120" w:type="dxa"/>
            <w:vAlign w:val="bottom"/>
          </w:tcPr>
          <w:p>
            <w:pPr>
              <w:spacing w:after="0"/>
              <w:rPr>
                <w:sz w:val="2"/>
                <w:szCs w:val="2"/>
                <w:color w:val="auto"/>
              </w:rPr>
            </w:pPr>
          </w:p>
        </w:tc>
        <w:tc>
          <w:tcPr>
            <w:tcW w:w="7280" w:type="dxa"/>
            <w:vAlign w:val="bottom"/>
          </w:tcPr>
          <w:p>
            <w:pPr>
              <w:spacing w:after="0"/>
              <w:rPr>
                <w:sz w:val="2"/>
                <w:szCs w:val="2"/>
                <w:color w:val="auto"/>
              </w:rPr>
            </w:pPr>
          </w:p>
        </w:tc>
      </w:tr>
      <w:tr>
        <w:trPr>
          <w:trHeight w:val="229"/>
        </w:trPr>
        <w:tc>
          <w:tcPr>
            <w:tcW w:w="20" w:type="dxa"/>
            <w:vAlign w:val="bottom"/>
          </w:tcPr>
          <w:p>
            <w:pPr>
              <w:spacing w:after="0"/>
              <w:rPr>
                <w:sz w:val="19"/>
                <w:szCs w:val="19"/>
                <w:color w:val="auto"/>
              </w:rPr>
            </w:pPr>
          </w:p>
        </w:tc>
        <w:tc>
          <w:tcPr>
            <w:tcW w:w="41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(ii) Net investment spread</w:t>
            </w:r>
          </w:p>
        </w:tc>
        <w:tc>
          <w:tcPr>
            <w:tcW w:w="7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xml:space="preserve">(ii) </w:t>
            </w:r>
            <w:r>
              <w:rPr>
                <w:rFonts w:ascii="Arial" w:cs="Arial" w:eastAsia="Arial" w:hAnsi="Arial"/>
                <w:sz w:val="18"/>
                <w:szCs w:val="18"/>
                <w:i w:val="1"/>
                <w:iCs w:val="1"/>
                <w:color w:val="auto"/>
              </w:rPr>
              <w:t>Net investment income</w:t>
            </w:r>
            <w:r>
              <w:rPr>
                <w:rFonts w:ascii="Arial" w:cs="Arial" w:eastAsia="Arial" w:hAnsi="Arial"/>
                <w:sz w:val="18"/>
                <w:szCs w:val="18"/>
                <w:color w:val="auto"/>
              </w:rPr>
              <w:t xml:space="preserve"> (excluding securitization entities income) plus Investment</w:t>
            </w:r>
          </w:p>
        </w:tc>
      </w:tr>
      <w:tr>
        <w:trPr>
          <w:trHeight w:val="216"/>
        </w:trPr>
        <w:tc>
          <w:tcPr>
            <w:tcW w:w="20" w:type="dxa"/>
            <w:vAlign w:val="bottom"/>
          </w:tcPr>
          <w:p>
            <w:pPr>
              <w:spacing w:after="0"/>
              <w:rPr>
                <w:sz w:val="18"/>
                <w:szCs w:val="18"/>
                <w:color w:val="auto"/>
              </w:rPr>
            </w:pPr>
          </w:p>
        </w:tc>
        <w:tc>
          <w:tcPr>
            <w:tcW w:w="4120" w:type="dxa"/>
            <w:vAlign w:val="bottom"/>
            <w:shd w:val="clear" w:color="auto" w:fill="CCEEFF"/>
          </w:tcPr>
          <w:p>
            <w:pPr>
              <w:spacing w:after="0"/>
              <w:rPr>
                <w:sz w:val="18"/>
                <w:szCs w:val="18"/>
                <w:color w:val="auto"/>
              </w:rPr>
            </w:pPr>
          </w:p>
        </w:tc>
        <w:tc>
          <w:tcPr>
            <w:tcW w:w="7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Hedge Adjustments, PAB Adjustments and interest received on ceded fixed annuity</w:t>
            </w:r>
          </w:p>
        </w:tc>
      </w:tr>
      <w:tr>
        <w:trPr>
          <w:trHeight w:val="216"/>
        </w:trPr>
        <w:tc>
          <w:tcPr>
            <w:tcW w:w="20" w:type="dxa"/>
            <w:vAlign w:val="bottom"/>
          </w:tcPr>
          <w:p>
            <w:pPr>
              <w:spacing w:after="0"/>
              <w:rPr>
                <w:sz w:val="18"/>
                <w:szCs w:val="18"/>
                <w:color w:val="auto"/>
              </w:rPr>
            </w:pPr>
          </w:p>
        </w:tc>
        <w:tc>
          <w:tcPr>
            <w:tcW w:w="4120" w:type="dxa"/>
            <w:vAlign w:val="bottom"/>
            <w:shd w:val="clear" w:color="auto" w:fill="CCEEFF"/>
          </w:tcPr>
          <w:p>
            <w:pPr>
              <w:spacing w:after="0"/>
              <w:rPr>
                <w:sz w:val="18"/>
                <w:szCs w:val="18"/>
                <w:color w:val="auto"/>
              </w:rPr>
            </w:pPr>
          </w:p>
        </w:tc>
        <w:tc>
          <w:tcPr>
            <w:tcW w:w="7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xml:space="preserve">reinsurance deposit funds reduced by </w:t>
            </w:r>
            <w:r>
              <w:rPr>
                <w:rFonts w:ascii="Arial" w:cs="Arial" w:eastAsia="Arial" w:hAnsi="Arial"/>
                <w:sz w:val="18"/>
                <w:szCs w:val="18"/>
                <w:i w:val="1"/>
                <w:iCs w:val="1"/>
                <w:color w:val="auto"/>
              </w:rPr>
              <w:t>Interest credited to policyholder account</w:t>
            </w:r>
          </w:p>
        </w:tc>
      </w:tr>
      <w:tr>
        <w:trPr>
          <w:trHeight w:val="230"/>
        </w:trPr>
        <w:tc>
          <w:tcPr>
            <w:tcW w:w="20" w:type="dxa"/>
            <w:vAlign w:val="bottom"/>
          </w:tcPr>
          <w:p>
            <w:pPr>
              <w:spacing w:after="0"/>
              <w:rPr>
                <w:sz w:val="20"/>
                <w:szCs w:val="20"/>
                <w:color w:val="auto"/>
              </w:rPr>
            </w:pPr>
          </w:p>
        </w:tc>
        <w:tc>
          <w:tcPr>
            <w:tcW w:w="4120" w:type="dxa"/>
            <w:vAlign w:val="bottom"/>
            <w:shd w:val="clear" w:color="auto" w:fill="CCEEFF"/>
          </w:tcPr>
          <w:p>
            <w:pPr>
              <w:spacing w:after="0"/>
              <w:rPr>
                <w:sz w:val="20"/>
                <w:szCs w:val="20"/>
                <w:color w:val="auto"/>
              </w:rPr>
            </w:pPr>
          </w:p>
        </w:tc>
        <w:tc>
          <w:tcPr>
            <w:tcW w:w="7280" w:type="dxa"/>
            <w:vAlign w:val="bottom"/>
            <w:shd w:val="clear" w:color="auto" w:fill="CCEEFF"/>
          </w:tcPr>
          <w:p>
            <w:pPr>
              <w:ind w:left="1040"/>
              <w:spacing w:after="0"/>
              <w:rPr>
                <w:sz w:val="20"/>
                <w:szCs w:val="20"/>
                <w:color w:val="auto"/>
              </w:rPr>
            </w:pPr>
            <w:r>
              <w:rPr>
                <w:rFonts w:ascii="Arial" w:cs="Arial" w:eastAsia="Arial" w:hAnsi="Arial"/>
                <w:sz w:val="18"/>
                <w:szCs w:val="18"/>
                <w:i w:val="1"/>
                <w:iCs w:val="1"/>
                <w:color w:val="auto"/>
              </w:rPr>
              <w:t xml:space="preserve">balances </w:t>
            </w:r>
            <w:r>
              <w:rPr>
                <w:rFonts w:ascii="Arial" w:cs="Arial" w:eastAsia="Arial" w:hAnsi="Arial"/>
                <w:sz w:val="18"/>
                <w:szCs w:val="18"/>
                <w:color w:val="auto"/>
              </w:rPr>
              <w:t>and interest on future policy benefits</w:t>
            </w:r>
          </w:p>
        </w:tc>
      </w:tr>
      <w:tr>
        <w:trPr>
          <w:trHeight w:val="459"/>
        </w:trPr>
        <w:tc>
          <w:tcPr>
            <w:tcW w:w="20" w:type="dxa"/>
            <w:vAlign w:val="bottom"/>
          </w:tcPr>
          <w:p>
            <w:pPr>
              <w:spacing w:after="0"/>
              <w:rPr>
                <w:sz w:val="24"/>
                <w:szCs w:val="24"/>
                <w:color w:val="auto"/>
              </w:rPr>
            </w:pPr>
          </w:p>
        </w:tc>
        <w:tc>
          <w:tcPr>
            <w:tcW w:w="4120" w:type="dxa"/>
            <w:vAlign w:val="bottom"/>
            <w:shd w:val="clear" w:color="auto" w:fill="CCEEFF"/>
          </w:tcPr>
          <w:p>
            <w:pPr>
              <w:spacing w:after="0"/>
              <w:rPr>
                <w:sz w:val="24"/>
                <w:szCs w:val="24"/>
                <w:color w:val="auto"/>
              </w:rPr>
            </w:pPr>
          </w:p>
        </w:tc>
        <w:tc>
          <w:tcPr>
            <w:tcW w:w="7280" w:type="dxa"/>
            <w:vAlign w:val="bottom"/>
            <w:shd w:val="clear" w:color="auto" w:fill="CCEEFF"/>
          </w:tcPr>
          <w:p>
            <w:pPr>
              <w:spacing w:after="0"/>
              <w:rPr>
                <w:sz w:val="24"/>
                <w:szCs w:val="24"/>
                <w:color w:val="auto"/>
              </w:rPr>
            </w:pPr>
          </w:p>
        </w:tc>
      </w:tr>
      <w:tr>
        <w:trPr>
          <w:trHeight w:val="229"/>
        </w:trPr>
        <w:tc>
          <w:tcPr>
            <w:tcW w:w="20" w:type="dxa"/>
            <w:vAlign w:val="bottom"/>
          </w:tcPr>
          <w:p>
            <w:pPr>
              <w:spacing w:after="0"/>
              <w:rPr>
                <w:sz w:val="19"/>
                <w:szCs w:val="19"/>
                <w:color w:val="auto"/>
              </w:rPr>
            </w:pPr>
          </w:p>
        </w:tc>
        <w:tc>
          <w:tcPr>
            <w:tcW w:w="4120" w:type="dxa"/>
            <w:vAlign w:val="bottom"/>
          </w:tcPr>
          <w:p>
            <w:pPr>
              <w:ind w:left="160"/>
              <w:spacing w:after="0"/>
              <w:rPr>
                <w:sz w:val="20"/>
                <w:szCs w:val="20"/>
                <w:color w:val="auto"/>
              </w:rPr>
            </w:pPr>
            <w:r>
              <w:rPr>
                <w:rFonts w:ascii="Arial" w:cs="Arial" w:eastAsia="Arial" w:hAnsi="Arial"/>
                <w:sz w:val="18"/>
                <w:szCs w:val="18"/>
                <w:color w:val="auto"/>
              </w:rPr>
              <w:t>(iii) Insurance-related activities</w:t>
            </w:r>
          </w:p>
        </w:tc>
        <w:tc>
          <w:tcPr>
            <w:tcW w:w="7280" w:type="dxa"/>
            <w:vAlign w:val="bottom"/>
          </w:tcPr>
          <w:p>
            <w:pPr>
              <w:jc w:val="right"/>
              <w:spacing w:after="0"/>
              <w:rPr>
                <w:sz w:val="20"/>
                <w:szCs w:val="20"/>
                <w:color w:val="auto"/>
              </w:rPr>
            </w:pPr>
            <w:r>
              <w:rPr>
                <w:rFonts w:ascii="Arial" w:cs="Arial" w:eastAsia="Arial" w:hAnsi="Arial"/>
                <w:sz w:val="18"/>
                <w:szCs w:val="18"/>
                <w:color w:val="auto"/>
              </w:rPr>
              <w:t xml:space="preserve">(iii) </w:t>
            </w:r>
            <w:r>
              <w:rPr>
                <w:rFonts w:ascii="Arial" w:cs="Arial" w:eastAsia="Arial" w:hAnsi="Arial"/>
                <w:sz w:val="18"/>
                <w:szCs w:val="18"/>
                <w:i w:val="1"/>
                <w:iCs w:val="1"/>
                <w:color w:val="auto"/>
              </w:rPr>
              <w:t>Premiums</w:t>
            </w:r>
            <w:r>
              <w:rPr>
                <w:rFonts w:ascii="Arial" w:cs="Arial" w:eastAsia="Arial" w:hAnsi="Arial"/>
                <w:sz w:val="18"/>
                <w:szCs w:val="18"/>
                <w:color w:val="auto"/>
              </w:rPr>
              <w:t xml:space="preserve"> less </w:t>
            </w:r>
            <w:r>
              <w:rPr>
                <w:rFonts w:ascii="Arial" w:cs="Arial" w:eastAsia="Arial" w:hAnsi="Arial"/>
                <w:sz w:val="18"/>
                <w:szCs w:val="18"/>
                <w:i w:val="1"/>
                <w:iCs w:val="1"/>
                <w:color w:val="auto"/>
              </w:rPr>
              <w:t>Policyholder benefits and claims</w:t>
            </w:r>
            <w:r>
              <w:rPr>
                <w:rFonts w:ascii="Arial" w:cs="Arial" w:eastAsia="Arial" w:hAnsi="Arial"/>
                <w:sz w:val="18"/>
                <w:szCs w:val="18"/>
                <w:color w:val="auto"/>
              </w:rPr>
              <w:t xml:space="preserve"> (excluding (a) GMIB Costs, (b)</w:t>
            </w:r>
          </w:p>
        </w:tc>
      </w:tr>
      <w:tr>
        <w:trPr>
          <w:trHeight w:val="216"/>
        </w:trPr>
        <w:tc>
          <w:tcPr>
            <w:tcW w:w="20" w:type="dxa"/>
            <w:vAlign w:val="bottom"/>
          </w:tcPr>
          <w:p>
            <w:pPr>
              <w:spacing w:after="0"/>
              <w:rPr>
                <w:sz w:val="18"/>
                <w:szCs w:val="18"/>
                <w:color w:val="auto"/>
              </w:rPr>
            </w:pPr>
          </w:p>
        </w:tc>
        <w:tc>
          <w:tcPr>
            <w:tcW w:w="4120" w:type="dxa"/>
            <w:vAlign w:val="bottom"/>
          </w:tcPr>
          <w:p>
            <w:pPr>
              <w:spacing w:after="0"/>
              <w:rPr>
                <w:sz w:val="18"/>
                <w:szCs w:val="18"/>
                <w:color w:val="auto"/>
              </w:rPr>
            </w:pPr>
          </w:p>
        </w:tc>
        <w:tc>
          <w:tcPr>
            <w:tcW w:w="7280" w:type="dxa"/>
            <w:vAlign w:val="bottom"/>
          </w:tcPr>
          <w:p>
            <w:pPr>
              <w:jc w:val="right"/>
              <w:spacing w:after="0"/>
              <w:rPr>
                <w:sz w:val="20"/>
                <w:szCs w:val="20"/>
                <w:color w:val="auto"/>
              </w:rPr>
            </w:pPr>
            <w:r>
              <w:rPr>
                <w:rFonts w:ascii="Arial" w:cs="Arial" w:eastAsia="Arial" w:hAnsi="Arial"/>
                <w:sz w:val="18"/>
                <w:szCs w:val="18"/>
                <w:color w:val="auto"/>
              </w:rPr>
              <w:t>Market Value Adjustments, (c) interest on future policy benefits and (d) amortization</w:t>
            </w:r>
          </w:p>
        </w:tc>
      </w:tr>
      <w:tr>
        <w:trPr>
          <w:trHeight w:val="216"/>
        </w:trPr>
        <w:tc>
          <w:tcPr>
            <w:tcW w:w="20" w:type="dxa"/>
            <w:vAlign w:val="bottom"/>
          </w:tcPr>
          <w:p>
            <w:pPr>
              <w:spacing w:after="0"/>
              <w:rPr>
                <w:sz w:val="18"/>
                <w:szCs w:val="18"/>
                <w:color w:val="auto"/>
              </w:rPr>
            </w:pPr>
          </w:p>
        </w:tc>
        <w:tc>
          <w:tcPr>
            <w:tcW w:w="4120" w:type="dxa"/>
            <w:vAlign w:val="bottom"/>
          </w:tcPr>
          <w:p>
            <w:pPr>
              <w:spacing w:after="0"/>
              <w:rPr>
                <w:sz w:val="18"/>
                <w:szCs w:val="18"/>
                <w:color w:val="auto"/>
              </w:rPr>
            </w:pPr>
          </w:p>
        </w:tc>
        <w:tc>
          <w:tcPr>
            <w:tcW w:w="7280" w:type="dxa"/>
            <w:vAlign w:val="bottom"/>
          </w:tcPr>
          <w:p>
            <w:pPr>
              <w:jc w:val="right"/>
              <w:spacing w:after="0"/>
              <w:rPr>
                <w:sz w:val="20"/>
                <w:szCs w:val="20"/>
                <w:color w:val="auto"/>
              </w:rPr>
            </w:pPr>
            <w:r>
              <w:rPr>
                <w:rFonts w:ascii="Arial" w:cs="Arial" w:eastAsia="Arial" w:hAnsi="Arial"/>
                <w:sz w:val="18"/>
                <w:szCs w:val="18"/>
                <w:color w:val="auto"/>
              </w:rPr>
              <w:t>of deferred gain on reinsurance) plus the pass through of performance of ceded</w:t>
            </w:r>
          </w:p>
        </w:tc>
      </w:tr>
      <w:tr>
        <w:trPr>
          <w:trHeight w:val="230"/>
        </w:trPr>
        <w:tc>
          <w:tcPr>
            <w:tcW w:w="20" w:type="dxa"/>
            <w:vAlign w:val="bottom"/>
          </w:tcPr>
          <w:p>
            <w:pPr>
              <w:spacing w:after="0"/>
              <w:rPr>
                <w:sz w:val="20"/>
                <w:szCs w:val="20"/>
                <w:color w:val="auto"/>
              </w:rPr>
            </w:pPr>
          </w:p>
        </w:tc>
        <w:tc>
          <w:tcPr>
            <w:tcW w:w="4120" w:type="dxa"/>
            <w:vAlign w:val="bottom"/>
          </w:tcPr>
          <w:p>
            <w:pPr>
              <w:spacing w:after="0"/>
              <w:rPr>
                <w:sz w:val="20"/>
                <w:szCs w:val="20"/>
                <w:color w:val="auto"/>
              </w:rPr>
            </w:pPr>
          </w:p>
        </w:tc>
        <w:tc>
          <w:tcPr>
            <w:tcW w:w="7280" w:type="dxa"/>
            <w:vAlign w:val="bottom"/>
          </w:tcPr>
          <w:p>
            <w:pPr>
              <w:ind w:left="1040"/>
              <w:spacing w:after="0"/>
              <w:rPr>
                <w:sz w:val="20"/>
                <w:szCs w:val="20"/>
                <w:color w:val="auto"/>
              </w:rPr>
            </w:pPr>
            <w:r>
              <w:rPr>
                <w:rFonts w:ascii="Arial" w:cs="Arial" w:eastAsia="Arial" w:hAnsi="Arial"/>
                <w:sz w:val="18"/>
                <w:szCs w:val="18"/>
                <w:color w:val="auto"/>
              </w:rPr>
              <w:t>separate account assets.</w:t>
            </w:r>
          </w:p>
        </w:tc>
      </w:tr>
      <w:tr>
        <w:trPr>
          <w:trHeight w:val="203"/>
        </w:trPr>
        <w:tc>
          <w:tcPr>
            <w:tcW w:w="20" w:type="dxa"/>
            <w:vAlign w:val="bottom"/>
          </w:tcPr>
          <w:p>
            <w:pPr>
              <w:spacing w:after="0"/>
              <w:rPr>
                <w:sz w:val="17"/>
                <w:szCs w:val="17"/>
                <w:color w:val="auto"/>
              </w:rPr>
            </w:pPr>
          </w:p>
        </w:tc>
        <w:tc>
          <w:tcPr>
            <w:tcW w:w="4120" w:type="dxa"/>
            <w:vAlign w:val="bottom"/>
          </w:tcPr>
          <w:p>
            <w:pPr>
              <w:spacing w:after="0"/>
              <w:rPr>
                <w:sz w:val="17"/>
                <w:szCs w:val="17"/>
                <w:color w:val="auto"/>
              </w:rPr>
            </w:pPr>
          </w:p>
        </w:tc>
        <w:tc>
          <w:tcPr>
            <w:tcW w:w="7280" w:type="dxa"/>
            <w:vAlign w:val="bottom"/>
          </w:tcPr>
          <w:p>
            <w:pPr>
              <w:spacing w:after="0"/>
              <w:rPr>
                <w:sz w:val="17"/>
                <w:szCs w:val="17"/>
                <w:color w:val="auto"/>
              </w:rPr>
            </w:pPr>
          </w:p>
        </w:tc>
      </w:tr>
      <w:tr>
        <w:trPr>
          <w:trHeight w:val="229"/>
        </w:trPr>
        <w:tc>
          <w:tcPr>
            <w:tcW w:w="20" w:type="dxa"/>
            <w:vAlign w:val="bottom"/>
          </w:tcPr>
          <w:p>
            <w:pPr>
              <w:spacing w:after="0"/>
              <w:rPr>
                <w:sz w:val="19"/>
                <w:szCs w:val="19"/>
                <w:color w:val="auto"/>
              </w:rPr>
            </w:pPr>
          </w:p>
        </w:tc>
        <w:tc>
          <w:tcPr>
            <w:tcW w:w="41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(iv) Amortization of DAC and VOBA</w:t>
            </w:r>
          </w:p>
        </w:tc>
        <w:tc>
          <w:tcPr>
            <w:tcW w:w="7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(iv) Amortization of DAC and VOBA (excluding amounts related to (a) net investment</w:t>
            </w:r>
          </w:p>
        </w:tc>
      </w:tr>
      <w:tr>
        <w:trPr>
          <w:trHeight w:val="216"/>
        </w:trPr>
        <w:tc>
          <w:tcPr>
            <w:tcW w:w="20" w:type="dxa"/>
            <w:vAlign w:val="bottom"/>
          </w:tcPr>
          <w:p>
            <w:pPr>
              <w:spacing w:after="0"/>
              <w:rPr>
                <w:sz w:val="18"/>
                <w:szCs w:val="18"/>
                <w:color w:val="auto"/>
              </w:rPr>
            </w:pPr>
          </w:p>
        </w:tc>
        <w:tc>
          <w:tcPr>
            <w:tcW w:w="4120" w:type="dxa"/>
            <w:vAlign w:val="bottom"/>
            <w:shd w:val="clear" w:color="auto" w:fill="CCEEFF"/>
          </w:tcPr>
          <w:p>
            <w:pPr>
              <w:spacing w:after="0"/>
              <w:rPr>
                <w:sz w:val="18"/>
                <w:szCs w:val="18"/>
                <w:color w:val="auto"/>
              </w:rPr>
            </w:pPr>
          </w:p>
        </w:tc>
        <w:tc>
          <w:tcPr>
            <w:tcW w:w="7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gains (losses), (b) net derivative gains (losses), (c) GMIB Fees and GMIB Costs and</w:t>
            </w:r>
          </w:p>
        </w:tc>
      </w:tr>
      <w:tr>
        <w:trPr>
          <w:trHeight w:val="237"/>
        </w:trPr>
        <w:tc>
          <w:tcPr>
            <w:tcW w:w="20" w:type="dxa"/>
            <w:vAlign w:val="bottom"/>
          </w:tcPr>
          <w:p>
            <w:pPr>
              <w:spacing w:after="0"/>
              <w:rPr>
                <w:sz w:val="20"/>
                <w:szCs w:val="20"/>
                <w:color w:val="auto"/>
              </w:rPr>
            </w:pPr>
          </w:p>
        </w:tc>
        <w:tc>
          <w:tcPr>
            <w:tcW w:w="4120" w:type="dxa"/>
            <w:vAlign w:val="bottom"/>
            <w:tcBorders>
              <w:bottom w:val="single" w:sz="8" w:color="CCEEFF"/>
            </w:tcBorders>
            <w:shd w:val="clear" w:color="auto" w:fill="CCEEFF"/>
          </w:tcPr>
          <w:p>
            <w:pPr>
              <w:spacing w:after="0"/>
              <w:rPr>
                <w:sz w:val="20"/>
                <w:szCs w:val="20"/>
                <w:color w:val="auto"/>
              </w:rPr>
            </w:pPr>
          </w:p>
        </w:tc>
        <w:tc>
          <w:tcPr>
            <w:tcW w:w="7280" w:type="dxa"/>
            <w:vAlign w:val="bottom"/>
            <w:tcBorders>
              <w:bottom w:val="single" w:sz="8" w:color="CCEEFF"/>
            </w:tcBorders>
            <w:shd w:val="clear" w:color="auto" w:fill="CCEEFF"/>
          </w:tcPr>
          <w:p>
            <w:pPr>
              <w:ind w:left="1040"/>
              <w:spacing w:after="0"/>
              <w:rPr>
                <w:sz w:val="20"/>
                <w:szCs w:val="20"/>
                <w:color w:val="auto"/>
              </w:rPr>
            </w:pPr>
            <w:r>
              <w:rPr>
                <w:rFonts w:ascii="Arial" w:cs="Arial" w:eastAsia="Arial" w:hAnsi="Arial"/>
                <w:sz w:val="18"/>
                <w:szCs w:val="18"/>
                <w:color w:val="auto"/>
              </w:rPr>
              <w:t>(d) Market Value Adjustments).</w:t>
            </w:r>
          </w:p>
        </w:tc>
      </w:tr>
      <w:tr>
        <w:trPr>
          <w:trHeight w:val="243"/>
        </w:trPr>
        <w:tc>
          <w:tcPr>
            <w:tcW w:w="20" w:type="dxa"/>
            <w:vAlign w:val="bottom"/>
          </w:tcPr>
          <w:p>
            <w:pPr>
              <w:spacing w:after="0"/>
              <w:rPr>
                <w:sz w:val="21"/>
                <w:szCs w:val="21"/>
                <w:color w:val="auto"/>
              </w:rPr>
            </w:pPr>
          </w:p>
        </w:tc>
        <w:tc>
          <w:tcPr>
            <w:tcW w:w="4120" w:type="dxa"/>
            <w:vAlign w:val="bottom"/>
          </w:tcPr>
          <w:p>
            <w:pPr>
              <w:ind w:left="220"/>
              <w:spacing w:after="0"/>
              <w:rPr>
                <w:sz w:val="20"/>
                <w:szCs w:val="20"/>
                <w:color w:val="auto"/>
              </w:rPr>
            </w:pPr>
            <w:r>
              <w:rPr>
                <w:rFonts w:ascii="Arial" w:cs="Arial" w:eastAsia="Arial" w:hAnsi="Arial"/>
                <w:sz w:val="18"/>
                <w:szCs w:val="18"/>
                <w:color w:val="auto"/>
              </w:rPr>
              <w:t>(v) Other expenses, net of DAC capitalization</w:t>
            </w:r>
          </w:p>
        </w:tc>
        <w:tc>
          <w:tcPr>
            <w:tcW w:w="7280" w:type="dxa"/>
            <w:vAlign w:val="bottom"/>
          </w:tcPr>
          <w:p>
            <w:pPr>
              <w:jc w:val="right"/>
              <w:ind w:right="11"/>
              <w:spacing w:after="0"/>
              <w:rPr>
                <w:sz w:val="20"/>
                <w:szCs w:val="20"/>
                <w:color w:val="auto"/>
              </w:rPr>
            </w:pPr>
            <w:r>
              <w:rPr>
                <w:rFonts w:ascii="Arial" w:cs="Arial" w:eastAsia="Arial" w:hAnsi="Arial"/>
                <w:sz w:val="18"/>
                <w:szCs w:val="18"/>
                <w:color w:val="auto"/>
              </w:rPr>
              <w:t xml:space="preserve">(v) </w:t>
            </w:r>
            <w:r>
              <w:rPr>
                <w:rFonts w:ascii="Arial" w:cs="Arial" w:eastAsia="Arial" w:hAnsi="Arial"/>
                <w:sz w:val="18"/>
                <w:szCs w:val="18"/>
                <w:i w:val="1"/>
                <w:iCs w:val="1"/>
                <w:color w:val="auto"/>
              </w:rPr>
              <w:t>Other expenses</w:t>
            </w:r>
            <w:r>
              <w:rPr>
                <w:rFonts w:ascii="Arial" w:cs="Arial" w:eastAsia="Arial" w:hAnsi="Arial"/>
                <w:sz w:val="18"/>
                <w:szCs w:val="18"/>
                <w:color w:val="auto"/>
              </w:rPr>
              <w:t xml:space="preserve"> reduced by capitalization of DAC and securitization entities expense.</w:t>
            </w:r>
          </w:p>
        </w:tc>
      </w:tr>
      <w:tr>
        <w:trPr>
          <w:trHeight w:val="27"/>
        </w:trPr>
        <w:tc>
          <w:tcPr>
            <w:tcW w:w="20" w:type="dxa"/>
            <w:vAlign w:val="bottom"/>
          </w:tcPr>
          <w:p>
            <w:pPr>
              <w:spacing w:after="0"/>
              <w:rPr>
                <w:sz w:val="2"/>
                <w:szCs w:val="2"/>
                <w:color w:val="auto"/>
              </w:rPr>
            </w:pPr>
          </w:p>
        </w:tc>
        <w:tc>
          <w:tcPr>
            <w:tcW w:w="4120" w:type="dxa"/>
            <w:vAlign w:val="bottom"/>
          </w:tcPr>
          <w:p>
            <w:pPr>
              <w:spacing w:after="0"/>
              <w:rPr>
                <w:sz w:val="2"/>
                <w:szCs w:val="2"/>
                <w:color w:val="auto"/>
              </w:rPr>
            </w:pPr>
          </w:p>
        </w:tc>
        <w:tc>
          <w:tcPr>
            <w:tcW w:w="728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41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(vi) Provision for income tax expense (benefit)</w:t>
            </w:r>
          </w:p>
        </w:tc>
        <w:tc>
          <w:tcPr>
            <w:tcW w:w="7280" w:type="dxa"/>
            <w:vAlign w:val="bottom"/>
            <w:tcBorders>
              <w:bottom w:val="single" w:sz="8" w:color="CCEEFF"/>
            </w:tcBorders>
            <w:shd w:val="clear" w:color="auto" w:fill="CCEEFF"/>
          </w:tcPr>
          <w:p>
            <w:pPr>
              <w:jc w:val="right"/>
              <w:ind w:right="3931"/>
              <w:spacing w:after="0"/>
              <w:rPr>
                <w:sz w:val="20"/>
                <w:szCs w:val="20"/>
                <w:color w:val="auto"/>
              </w:rPr>
            </w:pPr>
            <w:r>
              <w:rPr>
                <w:rFonts w:ascii="Arial" w:cs="Arial" w:eastAsia="Arial" w:hAnsi="Arial"/>
                <w:sz w:val="18"/>
                <w:szCs w:val="18"/>
                <w:color w:val="auto"/>
              </w:rPr>
              <w:t>(vi) Tax impact of the above items.</w:t>
            </w:r>
          </w:p>
        </w:tc>
      </w:tr>
      <w:tr>
        <w:trPr>
          <w:trHeight w:val="182"/>
        </w:trPr>
        <w:tc>
          <w:tcPr>
            <w:tcW w:w="20" w:type="dxa"/>
            <w:vAlign w:val="bottom"/>
          </w:tcPr>
          <w:p>
            <w:pPr>
              <w:spacing w:after="0"/>
              <w:rPr>
                <w:sz w:val="15"/>
                <w:szCs w:val="15"/>
                <w:color w:val="auto"/>
              </w:rPr>
            </w:pPr>
          </w:p>
        </w:tc>
        <w:tc>
          <w:tcPr>
            <w:tcW w:w="4120" w:type="dxa"/>
            <w:vAlign w:val="bottom"/>
          </w:tcPr>
          <w:p>
            <w:pPr>
              <w:spacing w:after="0"/>
              <w:rPr>
                <w:sz w:val="20"/>
                <w:szCs w:val="20"/>
                <w:color w:val="auto"/>
              </w:rPr>
            </w:pPr>
            <w:r>
              <w:rPr>
                <w:rFonts w:ascii="Arial" w:cs="Arial" w:eastAsia="Arial" w:hAnsi="Arial"/>
                <w:sz w:val="14"/>
                <w:szCs w:val="14"/>
                <w:color w:val="auto"/>
              </w:rPr>
              <w:t>______________</w:t>
            </w:r>
          </w:p>
        </w:tc>
        <w:tc>
          <w:tcPr>
            <w:tcW w:w="7280" w:type="dxa"/>
            <w:vAlign w:val="bottom"/>
          </w:tcPr>
          <w:p>
            <w:pPr>
              <w:spacing w:after="0"/>
              <w:rPr>
                <w:sz w:val="15"/>
                <w:szCs w:val="15"/>
                <w:color w:val="auto"/>
              </w:rPr>
            </w:pPr>
          </w:p>
        </w:tc>
      </w:tr>
    </w:tbl>
    <w:p>
      <w:pPr>
        <w:spacing w:after="0" w:line="73" w:lineRule="exact"/>
        <w:rPr>
          <w:sz w:val="20"/>
          <w:szCs w:val="20"/>
          <w:color w:val="auto"/>
        </w:rPr>
      </w:pPr>
    </w:p>
    <w:p>
      <w:pPr>
        <w:ind w:left="260" w:hanging="252"/>
        <w:spacing w:after="0"/>
        <w:tabs>
          <w:tab w:leader="none" w:pos="2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Amounts related to divested businesses are excluded from all components of operating earnings (loss).</w:t>
      </w:r>
    </w:p>
    <w:p>
      <w:pPr>
        <w:spacing w:after="0" w:line="117" w:lineRule="exact"/>
        <w:rPr>
          <w:rFonts w:ascii="Arial" w:cs="Arial" w:eastAsia="Arial" w:hAnsi="Arial"/>
          <w:sz w:val="18"/>
          <w:szCs w:val="18"/>
          <w:color w:val="auto"/>
        </w:rPr>
      </w:pPr>
    </w:p>
    <w:p>
      <w:pPr>
        <w:ind w:left="260" w:hanging="252"/>
        <w:spacing w:after="0"/>
        <w:tabs>
          <w:tab w:leader="none" w:pos="2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Italicized items indicate GAAP statement of operations line items.</w:t>
      </w:r>
    </w:p>
    <w:p>
      <w:pPr>
        <w:spacing w:after="0" w:line="117" w:lineRule="exact"/>
        <w:rPr>
          <w:sz w:val="20"/>
          <w:szCs w:val="20"/>
          <w:color w:val="auto"/>
        </w:rPr>
      </w:pPr>
    </w:p>
    <w:p>
      <w:pPr>
        <w:ind w:firstLine="324"/>
        <w:spacing w:after="0" w:line="308" w:lineRule="auto"/>
        <w:rPr>
          <w:sz w:val="20"/>
          <w:szCs w:val="20"/>
          <w:color w:val="auto"/>
        </w:rPr>
      </w:pPr>
      <w:r>
        <w:rPr>
          <w:rFonts w:ascii="Arial" w:cs="Arial" w:eastAsia="Arial" w:hAnsi="Arial"/>
          <w:sz w:val="17"/>
          <w:szCs w:val="17"/>
          <w:color w:val="auto"/>
        </w:rPr>
        <w:t>Consistent with GAAP guidance for segment reporting, operating earnings (loss) is also our GAAP measure of segment performance. Accordingly, we report operating earnings (loss) by segment in Note 2 of the Notes to the Interim Condensed Consolidated and Combined Financial Statements.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return on equity and operating earnings per share</w:t>
      </w:r>
    </w:p>
    <w:p>
      <w:pPr>
        <w:spacing w:after="0" w:line="117"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Operating return on equity and operating earnings per share are measures used by management to evaluate the execution of our business strategy and align such strategy with our shareholders’ interests. See “Executive Summary — Overview” for further discussion.</w:t>
      </w:r>
    </w:p>
    <w:p>
      <w:pPr>
        <w:spacing w:after="0" w:line="62"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Operating return on equity is defined as total annual operating earnings on a four quarter trailing basis divided by the simple average of the most recent five quarters of total stockholders’ equity, excluding AOCI.</w:t>
      </w:r>
    </w:p>
    <w:p>
      <w:pPr>
        <w:spacing w:after="0" w:line="62"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Operating earnings per share is defined as total annual operating earnings on a four quarter trailing basis divided by the weighted average number of fully diluted shares of common stock outstanding for the period.</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Financial Disclosures</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additional information is relevant to an understanding of our performance results:</w:t>
      </w:r>
    </w:p>
    <w:p>
      <w:pPr>
        <w:spacing w:after="0" w:line="117" w:lineRule="exact"/>
        <w:rPr>
          <w:sz w:val="20"/>
          <w:szCs w:val="20"/>
          <w:color w:val="auto"/>
        </w:rPr>
      </w:pPr>
    </w:p>
    <w:p>
      <w:pPr>
        <w:jc w:val="both"/>
        <w:ind w:left="980" w:right="20" w:hanging="256"/>
        <w:spacing w:after="0" w:line="264" w:lineRule="auto"/>
        <w:tabs>
          <w:tab w:leader="none" w:pos="9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We sometimes refer to sales activity for various products. Statistical sales information for life sales are calculated using the LIMRA (Life Insurance Marketing and Research Association) definition of sales for core direct sales, excluding company-sponsored internal exchanges, corporate-owned life insurance, bank-owned life insurance,</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420"/>
          </w:cols>
          <w:pgMar w:left="240" w:top="126" w:right="239" w:bottom="1440" w:gutter="0" w:footer="0" w:header="0"/>
        </w:sectPr>
      </w:pPr>
    </w:p>
    <w:bookmarkStart w:id="87" w:name="page88"/>
    <w:bookmarkEnd w:id="87"/>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both"/>
        <w:ind w:left="980"/>
        <w:spacing w:after="0" w:line="311" w:lineRule="auto"/>
        <w:rPr>
          <w:sz w:val="20"/>
          <w:szCs w:val="20"/>
          <w:color w:val="auto"/>
        </w:rPr>
      </w:pPr>
      <w:r>
        <w:rPr>
          <w:rFonts w:ascii="Arial" w:cs="Arial" w:eastAsia="Arial" w:hAnsi="Arial"/>
          <w:sz w:val="18"/>
          <w:szCs w:val="18"/>
          <w:color w:val="auto"/>
        </w:rPr>
        <w:t>and private placement variable universal life insurance. Annuity sales consist of 10% of direct statutory premiums, excluding company sponsored internal exchanges. These sales statistics do not correspond to revenues under GAAP, but are used as relevant measures of business activity.</w:t>
      </w:r>
    </w:p>
    <w:p>
      <w:pPr>
        <w:spacing w:after="0" w:line="46" w:lineRule="exact"/>
        <w:rPr>
          <w:sz w:val="20"/>
          <w:szCs w:val="20"/>
          <w:color w:val="auto"/>
        </w:rPr>
      </w:pPr>
    </w:p>
    <w:p>
      <w:pPr>
        <w:jc w:val="both"/>
        <w:ind w:left="980" w:hanging="256"/>
        <w:spacing w:after="0" w:line="259" w:lineRule="auto"/>
        <w:tabs>
          <w:tab w:leader="none" w:pos="9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Allocated equity is the portion of common stockholders’ equity that management allocates to each of its segments and sub-segments. See “Management’s Discussion and Analysis of Financial Condition and Results of Operations — Executive Summary — Overview” included in the Form 10 and Note 2 of the Notes to the Interim Condensed Consolidated and Combined Financial Statements for further details regarding allocated equity and the use of an internal capital models.</w:t>
      </w: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420"/>
          </w:cols>
          <w:pgMar w:left="240" w:top="126" w:right="239" w:bottom="1440" w:gutter="0" w:footer="0" w:header="0"/>
        </w:sectPr>
      </w:pPr>
    </w:p>
    <w:bookmarkStart w:id="88" w:name="page89"/>
    <w:bookmarkEnd w:id="88"/>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Consolidated Results for the Three Months and Nine Months Ended September 30, 2017 and 2016</w:t>
      </w:r>
    </w:p>
    <w:p>
      <w:pPr>
        <w:spacing w:after="0" w:line="117"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i w:val="1"/>
          <w:iCs w:val="1"/>
          <w:color w:val="auto"/>
        </w:rPr>
        <w:t xml:space="preserve">Business Overview. </w:t>
      </w:r>
      <w:r>
        <w:rPr>
          <w:rFonts w:ascii="Arial" w:cs="Arial" w:eastAsia="Arial" w:hAnsi="Arial"/>
          <w:sz w:val="16"/>
          <w:szCs w:val="16"/>
          <w:color w:val="auto"/>
        </w:rPr>
        <w:t>While sales of our index-linked annuities increased, overall sales decreased in our Annuities and Life segments for the nine months</w:t>
      </w:r>
      <w:r>
        <w:rPr>
          <w:rFonts w:ascii="Arial" w:cs="Arial" w:eastAsia="Arial" w:hAnsi="Arial"/>
          <w:sz w:val="16"/>
          <w:szCs w:val="16"/>
          <w:i w:val="1"/>
          <w:iCs w:val="1"/>
          <w:color w:val="auto"/>
        </w:rPr>
        <w:t xml:space="preserve"> </w:t>
      </w:r>
      <w:r>
        <w:rPr>
          <w:rFonts w:ascii="Arial" w:cs="Arial" w:eastAsia="Arial" w:hAnsi="Arial"/>
          <w:sz w:val="16"/>
          <w:szCs w:val="16"/>
          <w:color w:val="auto"/>
        </w:rPr>
        <w:t>ended September 30, 2017. The declines in both segments were driven, in part, by the sale of MPCG to MassMutual in the third quarter of 2016. The 14% decline in Annuities sales was also driven by the suspension of sales by Fidelity and the discontinuance of sales of GMIB riders on our variable annuity products, both of which occurred in 2016. Sales of our guaranteed minimum withdrawal product also declined. Life sales, which declined 74%, were also impacted by the migration away from products such as participating whole life and certain term life products in the current period.</w:t>
      </w:r>
    </w:p>
    <w:p>
      <w:pPr>
        <w:spacing w:after="0" w:line="50"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Average separate account balances increased in the current period, compared to the prior period, due to favorable equity market performance, which more than offset the impact of continued negative net flows. We experienced positive net flows in the general account in both periods.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120" w:type="dxa"/>
            <w:vAlign w:val="bottom"/>
            <w:gridSpan w:val="3"/>
          </w:tcPr>
          <w:p>
            <w:pPr>
              <w:jc w:val="center"/>
              <w:spacing w:after="0"/>
              <w:rPr>
                <w:sz w:val="20"/>
                <w:szCs w:val="20"/>
                <w:color w:val="auto"/>
              </w:rPr>
            </w:pPr>
            <w:r>
              <w:rPr>
                <w:rFonts w:ascii="Arial" w:cs="Arial" w:eastAsia="Arial" w:hAnsi="Arial"/>
                <w:sz w:val="16"/>
                <w:szCs w:val="16"/>
                <w:b w:val="1"/>
                <w:bCs w:val="1"/>
                <w:color w:val="auto"/>
                <w:w w:val="93"/>
              </w:rPr>
              <w:t>Three Months</w:t>
            </w: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00" w:type="dxa"/>
            <w:vAlign w:val="bottom"/>
            <w:gridSpan w:val="3"/>
          </w:tcPr>
          <w:p>
            <w:pPr>
              <w:jc w:val="center"/>
              <w:ind w:left="412"/>
              <w:spacing w:after="0"/>
              <w:rPr>
                <w:sz w:val="20"/>
                <w:szCs w:val="20"/>
                <w:color w:val="auto"/>
              </w:rPr>
            </w:pPr>
            <w:r>
              <w:rPr>
                <w:rFonts w:ascii="Arial" w:cs="Arial" w:eastAsia="Arial" w:hAnsi="Arial"/>
                <w:sz w:val="16"/>
                <w:szCs w:val="16"/>
                <w:b w:val="1"/>
                <w:bCs w:val="1"/>
                <w:color w:val="auto"/>
                <w:w w:val="93"/>
              </w:rPr>
              <w:t>Nine Months</w:t>
            </w:r>
          </w:p>
        </w:tc>
        <w:tc>
          <w:tcPr>
            <w:tcW w:w="880" w:type="dxa"/>
            <w:vAlign w:val="bottom"/>
          </w:tcPr>
          <w:p>
            <w:pPr>
              <w:spacing w:after="0"/>
              <w:rPr>
                <w:sz w:val="17"/>
                <w:szCs w:val="17"/>
                <w:color w:val="auto"/>
              </w:rPr>
            </w:pPr>
          </w:p>
        </w:tc>
      </w:tr>
      <w:tr>
        <w:trPr>
          <w:trHeight w:val="203"/>
        </w:trPr>
        <w:tc>
          <w:tcPr>
            <w:tcW w:w="5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120" w:type="dxa"/>
            <w:vAlign w:val="bottom"/>
            <w:gridSpan w:val="3"/>
          </w:tcPr>
          <w:p>
            <w:pPr>
              <w:jc w:val="center"/>
              <w:ind w:right="10"/>
              <w:spacing w:after="0"/>
              <w:rPr>
                <w:sz w:val="20"/>
                <w:szCs w:val="20"/>
                <w:color w:val="auto"/>
              </w:rPr>
            </w:pPr>
            <w:r>
              <w:rPr>
                <w:rFonts w:ascii="Arial" w:cs="Arial" w:eastAsia="Arial" w:hAnsi="Arial"/>
                <w:sz w:val="16"/>
                <w:szCs w:val="16"/>
                <w:b w:val="1"/>
                <w:bCs w:val="1"/>
                <w:color w:val="auto"/>
                <w:w w:val="93"/>
              </w:rPr>
              <w:t>Ended</w:t>
            </w: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00" w:type="dxa"/>
            <w:vAlign w:val="bottom"/>
            <w:gridSpan w:val="3"/>
          </w:tcPr>
          <w:p>
            <w:pPr>
              <w:jc w:val="center"/>
              <w:ind w:left="372"/>
              <w:spacing w:after="0"/>
              <w:rPr>
                <w:sz w:val="20"/>
                <w:szCs w:val="20"/>
                <w:color w:val="auto"/>
              </w:rPr>
            </w:pPr>
            <w:r>
              <w:rPr>
                <w:rFonts w:ascii="Arial" w:cs="Arial" w:eastAsia="Arial" w:hAnsi="Arial"/>
                <w:sz w:val="16"/>
                <w:szCs w:val="16"/>
                <w:b w:val="1"/>
                <w:bCs w:val="1"/>
                <w:color w:val="auto"/>
                <w:w w:val="93"/>
              </w:rPr>
              <w:t>Ended</w:t>
            </w:r>
          </w:p>
        </w:tc>
        <w:tc>
          <w:tcPr>
            <w:tcW w:w="880" w:type="dxa"/>
            <w:vAlign w:val="bottom"/>
          </w:tcPr>
          <w:p>
            <w:pPr>
              <w:spacing w:after="0"/>
              <w:rPr>
                <w:sz w:val="17"/>
                <w:szCs w:val="17"/>
                <w:color w:val="auto"/>
              </w:rPr>
            </w:pPr>
          </w:p>
        </w:tc>
      </w:tr>
      <w:tr>
        <w:trPr>
          <w:trHeight w:val="210"/>
        </w:trPr>
        <w:tc>
          <w:tcPr>
            <w:tcW w:w="5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120" w:type="dxa"/>
            <w:vAlign w:val="bottom"/>
            <w:gridSpan w:val="3"/>
          </w:tcPr>
          <w:p>
            <w:pPr>
              <w:jc w:val="center"/>
              <w:spacing w:after="0"/>
              <w:rPr>
                <w:sz w:val="20"/>
                <w:szCs w:val="20"/>
                <w:color w:val="auto"/>
              </w:rPr>
            </w:pPr>
            <w:r>
              <w:rPr>
                <w:rFonts w:ascii="Arial" w:cs="Arial" w:eastAsia="Arial" w:hAnsi="Arial"/>
                <w:sz w:val="16"/>
                <w:szCs w:val="16"/>
                <w:b w:val="1"/>
                <w:bCs w:val="1"/>
                <w:color w:val="auto"/>
                <w:w w:val="89"/>
              </w:rPr>
              <w:t>September 30,</w:t>
            </w: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0" w:type="dxa"/>
            <w:vAlign w:val="bottom"/>
            <w:gridSpan w:val="3"/>
          </w:tcPr>
          <w:p>
            <w:pPr>
              <w:jc w:val="center"/>
              <w:ind w:left="412"/>
              <w:spacing w:after="0"/>
              <w:rPr>
                <w:sz w:val="20"/>
                <w:szCs w:val="20"/>
                <w:color w:val="auto"/>
              </w:rPr>
            </w:pPr>
            <w:r>
              <w:rPr>
                <w:rFonts w:ascii="Arial" w:cs="Arial" w:eastAsia="Arial" w:hAnsi="Arial"/>
                <w:sz w:val="16"/>
                <w:szCs w:val="16"/>
                <w:b w:val="1"/>
                <w:bCs w:val="1"/>
                <w:color w:val="auto"/>
                <w:w w:val="89"/>
              </w:rPr>
              <w:t>September 30,</w:t>
            </w:r>
          </w:p>
        </w:tc>
        <w:tc>
          <w:tcPr>
            <w:tcW w:w="880" w:type="dxa"/>
            <w:vAlign w:val="bottom"/>
          </w:tcPr>
          <w:p>
            <w:pPr>
              <w:spacing w:after="0"/>
              <w:rPr>
                <w:sz w:val="18"/>
                <w:szCs w:val="18"/>
                <w:color w:val="auto"/>
              </w:rPr>
            </w:pPr>
          </w:p>
        </w:tc>
      </w:tr>
      <w:tr>
        <w:trPr>
          <w:trHeight w:val="33"/>
        </w:trPr>
        <w:tc>
          <w:tcPr>
            <w:tcW w:w="516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1"/>
        </w:trPr>
        <w:tc>
          <w:tcPr>
            <w:tcW w:w="51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2017</w:t>
            </w: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20" w:type="dxa"/>
            <w:vAlign w:val="bottom"/>
          </w:tcPr>
          <w:p>
            <w:pPr>
              <w:jc w:val="right"/>
              <w:ind w:right="431"/>
              <w:spacing w:after="0"/>
              <w:rPr>
                <w:sz w:val="20"/>
                <w:szCs w:val="20"/>
                <w:color w:val="auto"/>
              </w:rPr>
            </w:pPr>
            <w:r>
              <w:rPr>
                <w:rFonts w:ascii="Arial" w:cs="Arial" w:eastAsia="Arial" w:hAnsi="Arial"/>
                <w:sz w:val="16"/>
                <w:szCs w:val="16"/>
                <w:b w:val="1"/>
                <w:bCs w:val="1"/>
                <w:color w:val="auto"/>
              </w:rPr>
              <w:t>2016</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40" w:type="dxa"/>
            <w:vAlign w:val="bottom"/>
          </w:tcPr>
          <w:p>
            <w:pPr>
              <w:jc w:val="right"/>
              <w:ind w:right="472"/>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80" w:type="dxa"/>
            <w:vAlign w:val="bottom"/>
          </w:tcPr>
          <w:p>
            <w:pPr>
              <w:jc w:val="right"/>
              <w:ind w:right="410"/>
              <w:spacing w:after="0"/>
              <w:rPr>
                <w:sz w:val="20"/>
                <w:szCs w:val="20"/>
                <w:color w:val="auto"/>
              </w:rPr>
            </w:pPr>
            <w:r>
              <w:rPr>
                <w:rFonts w:ascii="Arial" w:cs="Arial" w:eastAsia="Arial" w:hAnsi="Arial"/>
                <w:sz w:val="16"/>
                <w:szCs w:val="16"/>
                <w:b w:val="1"/>
                <w:bCs w:val="1"/>
                <w:color w:val="auto"/>
              </w:rPr>
              <w:t>2016</w:t>
            </w:r>
          </w:p>
        </w:tc>
      </w:tr>
      <w:tr>
        <w:trPr>
          <w:trHeight w:val="33"/>
        </w:trPr>
        <w:tc>
          <w:tcPr>
            <w:tcW w:w="516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3"/>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190"/>
        </w:trPr>
        <w:tc>
          <w:tcPr>
            <w:tcW w:w="51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440" w:type="dxa"/>
            <w:vAlign w:val="bottom"/>
            <w:gridSpan w:val="3"/>
          </w:tcPr>
          <w:p>
            <w:pPr>
              <w:jc w:val="right"/>
              <w:ind w:right="50"/>
              <w:spacing w:after="0"/>
              <w:rPr>
                <w:sz w:val="20"/>
                <w:szCs w:val="20"/>
                <w:color w:val="auto"/>
              </w:rPr>
            </w:pPr>
            <w:r>
              <w:rPr>
                <w:rFonts w:ascii="Arial" w:cs="Arial" w:eastAsia="Arial" w:hAnsi="Arial"/>
                <w:sz w:val="14"/>
                <w:szCs w:val="14"/>
                <w:b w:val="1"/>
                <w:bCs w:val="1"/>
                <w:color w:val="auto"/>
              </w:rPr>
              <w:t>(In millions)</w:t>
            </w: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256"/>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Revenues</w:t>
            </w:r>
          </w:p>
        </w:tc>
        <w:tc>
          <w:tcPr>
            <w:tcW w:w="100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Premiums</w:t>
            </w:r>
          </w:p>
        </w:tc>
        <w:tc>
          <w:tcPr>
            <w:tcW w:w="1000" w:type="dxa"/>
            <w:vAlign w:val="bottom"/>
          </w:tcPr>
          <w:p>
            <w:pPr>
              <w:jc w:val="right"/>
              <w:ind w:right="793"/>
              <w:spacing w:after="0"/>
              <w:rPr>
                <w:sz w:val="20"/>
                <w:szCs w:val="20"/>
                <w:color w:val="auto"/>
              </w:rPr>
            </w:pPr>
            <w:r>
              <w:rPr>
                <w:rFonts w:ascii="Arial" w:cs="Arial" w:eastAsia="Arial" w:hAnsi="Arial"/>
                <w:sz w:val="18"/>
                <w:szCs w:val="18"/>
                <w:color w:val="auto"/>
                <w:w w:val="99"/>
              </w:rPr>
              <w:t>$</w:t>
            </w:r>
          </w:p>
        </w:tc>
        <w:tc>
          <w:tcPr>
            <w:tcW w:w="580" w:type="dxa"/>
            <w:vAlign w:val="bottom"/>
          </w:tcPr>
          <w:p>
            <w:pPr>
              <w:jc w:val="right"/>
              <w:ind w:right="11"/>
              <w:spacing w:after="0"/>
              <w:rPr>
                <w:sz w:val="20"/>
                <w:szCs w:val="20"/>
                <w:color w:val="auto"/>
              </w:rPr>
            </w:pPr>
            <w:r>
              <w:rPr>
                <w:rFonts w:ascii="Arial" w:cs="Arial" w:eastAsia="Arial" w:hAnsi="Arial"/>
                <w:sz w:val="18"/>
                <w:szCs w:val="18"/>
                <w:color w:val="auto"/>
              </w:rPr>
              <w:t>236</w:t>
            </w:r>
          </w:p>
        </w:tc>
        <w:tc>
          <w:tcPr>
            <w:tcW w:w="12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347</w:t>
            </w:r>
          </w:p>
        </w:tc>
        <w:tc>
          <w:tcPr>
            <w:tcW w:w="10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630</w:t>
            </w:r>
          </w:p>
        </w:tc>
        <w:tc>
          <w:tcPr>
            <w:tcW w:w="100" w:type="dxa"/>
            <w:vAlign w:val="bottom"/>
          </w:tcPr>
          <w:p>
            <w:pPr>
              <w:spacing w:after="0"/>
              <w:rPr>
                <w:sz w:val="21"/>
                <w:szCs w:val="21"/>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1,021</w:t>
            </w:r>
          </w:p>
        </w:tc>
      </w:tr>
      <w:tr>
        <w:trPr>
          <w:trHeight w:val="27"/>
        </w:trPr>
        <w:tc>
          <w:tcPr>
            <w:tcW w:w="5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Universal life and investment-type product policy fees</w:t>
            </w:r>
          </w:p>
        </w:tc>
        <w:tc>
          <w:tcPr>
            <w:tcW w:w="10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1,025</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976</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2,935</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2,843</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Net investment income</w:t>
            </w:r>
          </w:p>
        </w:tc>
        <w:tc>
          <w:tcPr>
            <w:tcW w:w="1000" w:type="dxa"/>
            <w:vAlign w:val="bottom"/>
          </w:tcPr>
          <w:p>
            <w:pPr>
              <w:spacing w:after="0"/>
              <w:rPr>
                <w:sz w:val="21"/>
                <w:szCs w:val="21"/>
                <w:color w:val="auto"/>
              </w:rPr>
            </w:pPr>
          </w:p>
        </w:tc>
        <w:tc>
          <w:tcPr>
            <w:tcW w:w="580" w:type="dxa"/>
            <w:vAlign w:val="bottom"/>
          </w:tcPr>
          <w:p>
            <w:pPr>
              <w:jc w:val="right"/>
              <w:ind w:right="11"/>
              <w:spacing w:after="0"/>
              <w:rPr>
                <w:sz w:val="20"/>
                <w:szCs w:val="20"/>
                <w:color w:val="auto"/>
              </w:rPr>
            </w:pPr>
            <w:r>
              <w:rPr>
                <w:rFonts w:ascii="Arial" w:cs="Arial" w:eastAsia="Arial" w:hAnsi="Arial"/>
                <w:sz w:val="18"/>
                <w:szCs w:val="18"/>
                <w:color w:val="auto"/>
              </w:rPr>
              <w:t>761</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869</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2,309</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2,422</w:t>
            </w:r>
          </w:p>
        </w:tc>
      </w:tr>
      <w:tr>
        <w:trPr>
          <w:trHeight w:val="27"/>
        </w:trPr>
        <w:tc>
          <w:tcPr>
            <w:tcW w:w="5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revenues</w:t>
            </w:r>
          </w:p>
        </w:tc>
        <w:tc>
          <w:tcPr>
            <w:tcW w:w="10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93</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49</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329</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481</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Net investment gains (losses)</w:t>
            </w:r>
          </w:p>
        </w:tc>
        <w:tc>
          <w:tcPr>
            <w:tcW w:w="1000" w:type="dxa"/>
            <w:vAlign w:val="bottom"/>
          </w:tcPr>
          <w:p>
            <w:pPr>
              <w:spacing w:after="0"/>
              <w:rPr>
                <w:sz w:val="21"/>
                <w:szCs w:val="21"/>
                <w:color w:val="auto"/>
              </w:rPr>
            </w:pPr>
          </w:p>
        </w:tc>
        <w:tc>
          <w:tcPr>
            <w:tcW w:w="580" w:type="dxa"/>
            <w:vAlign w:val="bottom"/>
          </w:tcPr>
          <w:p>
            <w:pPr>
              <w:jc w:val="right"/>
              <w:ind w:right="11"/>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7"/>
        </w:trPr>
        <w:tc>
          <w:tcPr>
            <w:tcW w:w="5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derivative gains (losses)</w:t>
            </w:r>
          </w:p>
        </w:tc>
        <w:tc>
          <w:tcPr>
            <w:tcW w:w="100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(164)</w:t>
            </w:r>
          </w:p>
        </w:tc>
        <w:tc>
          <w:tcPr>
            <w:tcW w:w="1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(501)</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(1,207)</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(3,181)</w:t>
            </w:r>
          </w:p>
        </w:tc>
      </w:tr>
      <w:tr>
        <w:trPr>
          <w:trHeight w:val="237"/>
        </w:trPr>
        <w:tc>
          <w:tcPr>
            <w:tcW w:w="5160" w:type="dxa"/>
            <w:vAlign w:val="bottom"/>
          </w:tcPr>
          <w:p>
            <w:pPr>
              <w:ind w:left="200"/>
              <w:spacing w:after="0"/>
              <w:rPr>
                <w:sz w:val="20"/>
                <w:szCs w:val="20"/>
                <w:color w:val="auto"/>
              </w:rPr>
            </w:pPr>
            <w:r>
              <w:rPr>
                <w:rFonts w:ascii="Arial" w:cs="Arial" w:eastAsia="Arial" w:hAnsi="Arial"/>
                <w:sz w:val="18"/>
                <w:szCs w:val="18"/>
                <w:color w:val="auto"/>
              </w:rPr>
              <w:t>Total revenues</w:t>
            </w:r>
          </w:p>
        </w:tc>
        <w:tc>
          <w:tcPr>
            <w:tcW w:w="1000" w:type="dxa"/>
            <w:vAlign w:val="bottom"/>
            <w:tcBorders>
              <w:top w:val="single" w:sz="8" w:color="auto"/>
            </w:tcBorders>
          </w:tcPr>
          <w:p>
            <w:pPr>
              <w:spacing w:after="0"/>
              <w:rPr>
                <w:sz w:val="20"/>
                <w:szCs w:val="20"/>
                <w:color w:val="auto"/>
              </w:rPr>
            </w:pPr>
          </w:p>
        </w:tc>
        <w:tc>
          <w:tcPr>
            <w:tcW w:w="5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1,972</w:t>
            </w:r>
          </w:p>
        </w:tc>
        <w:tc>
          <w:tcPr>
            <w:tcW w:w="12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1,766</w:t>
            </w:r>
          </w:p>
        </w:tc>
        <w:tc>
          <w:tcPr>
            <w:tcW w:w="1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4,962</w:t>
            </w:r>
          </w:p>
        </w:tc>
        <w:tc>
          <w:tcPr>
            <w:tcW w:w="10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3,571</w:t>
            </w:r>
          </w:p>
        </w:tc>
      </w:tr>
      <w:tr>
        <w:trPr>
          <w:trHeight w:val="27"/>
        </w:trPr>
        <w:tc>
          <w:tcPr>
            <w:tcW w:w="516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Expenses</w:t>
            </w:r>
          </w:p>
        </w:tc>
        <w:tc>
          <w:tcPr>
            <w:tcW w:w="10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Policyholder benefits and claims</w:t>
            </w:r>
          </w:p>
        </w:tc>
        <w:tc>
          <w:tcPr>
            <w:tcW w:w="1000" w:type="dxa"/>
            <w:vAlign w:val="bottom"/>
          </w:tcPr>
          <w:p>
            <w:pPr>
              <w:spacing w:after="0"/>
              <w:rPr>
                <w:sz w:val="21"/>
                <w:szCs w:val="21"/>
                <w:color w:val="auto"/>
              </w:rPr>
            </w:pPr>
          </w:p>
        </w:tc>
        <w:tc>
          <w:tcPr>
            <w:tcW w:w="580" w:type="dxa"/>
            <w:vAlign w:val="bottom"/>
          </w:tcPr>
          <w:p>
            <w:pPr>
              <w:jc w:val="right"/>
              <w:ind w:right="11"/>
              <w:spacing w:after="0"/>
              <w:rPr>
                <w:sz w:val="20"/>
                <w:szCs w:val="20"/>
                <w:color w:val="auto"/>
              </w:rPr>
            </w:pPr>
            <w:r>
              <w:rPr>
                <w:rFonts w:ascii="Arial" w:cs="Arial" w:eastAsia="Arial" w:hAnsi="Arial"/>
                <w:sz w:val="18"/>
                <w:szCs w:val="18"/>
                <w:color w:val="auto"/>
              </w:rPr>
              <w:t>1,083</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1,058</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2,732</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2,948</w:t>
            </w:r>
          </w:p>
        </w:tc>
      </w:tr>
      <w:tr>
        <w:trPr>
          <w:trHeight w:val="27"/>
        </w:trPr>
        <w:tc>
          <w:tcPr>
            <w:tcW w:w="5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credited to policyholder account balances</w:t>
            </w:r>
          </w:p>
        </w:tc>
        <w:tc>
          <w:tcPr>
            <w:tcW w:w="10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279</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290</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838</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871</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Goodwill impairment</w:t>
            </w:r>
          </w:p>
        </w:tc>
        <w:tc>
          <w:tcPr>
            <w:tcW w:w="1000" w:type="dxa"/>
            <w:vAlign w:val="bottom"/>
          </w:tcPr>
          <w:p>
            <w:pPr>
              <w:spacing w:after="0"/>
              <w:rPr>
                <w:sz w:val="21"/>
                <w:szCs w:val="21"/>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1"/>
                <w:szCs w:val="21"/>
                <w:color w:val="auto"/>
              </w:rPr>
            </w:pP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161</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161</w:t>
            </w:r>
          </w:p>
        </w:tc>
      </w:tr>
      <w:tr>
        <w:trPr>
          <w:trHeight w:val="27"/>
        </w:trPr>
        <w:tc>
          <w:tcPr>
            <w:tcW w:w="5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Capitalization of DAC</w:t>
            </w:r>
          </w:p>
        </w:tc>
        <w:tc>
          <w:tcPr>
            <w:tcW w:w="10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(187)</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(255)</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Amortization of DAC and VOBA</w:t>
            </w:r>
          </w:p>
        </w:tc>
        <w:tc>
          <w:tcPr>
            <w:tcW w:w="1000" w:type="dxa"/>
            <w:vAlign w:val="bottom"/>
          </w:tcPr>
          <w:p>
            <w:pPr>
              <w:spacing w:after="0"/>
              <w:rPr>
                <w:sz w:val="21"/>
                <w:szCs w:val="21"/>
                <w:color w:val="auto"/>
              </w:rPr>
            </w:pPr>
          </w:p>
        </w:tc>
        <w:tc>
          <w:tcPr>
            <w:tcW w:w="580" w:type="dxa"/>
            <w:vAlign w:val="bottom"/>
          </w:tcPr>
          <w:p>
            <w:pPr>
              <w:jc w:val="right"/>
              <w:ind w:right="11"/>
              <w:spacing w:after="0"/>
              <w:rPr>
                <w:sz w:val="20"/>
                <w:szCs w:val="20"/>
                <w:color w:val="auto"/>
              </w:rPr>
            </w:pPr>
            <w:r>
              <w:rPr>
                <w:rFonts w:ascii="Arial" w:cs="Arial" w:eastAsia="Arial" w:hAnsi="Arial"/>
                <w:sz w:val="18"/>
                <w:szCs w:val="18"/>
                <w:color w:val="auto"/>
              </w:rPr>
              <w:t>123</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7"/>
        </w:trPr>
        <w:tc>
          <w:tcPr>
            <w:tcW w:w="5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expense on debt</w:t>
            </w:r>
          </w:p>
        </w:tc>
        <w:tc>
          <w:tcPr>
            <w:tcW w:w="10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44</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116</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132</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Other expenses</w:t>
            </w:r>
          </w:p>
        </w:tc>
        <w:tc>
          <w:tcPr>
            <w:tcW w:w="1000" w:type="dxa"/>
            <w:vAlign w:val="bottom"/>
          </w:tcPr>
          <w:p>
            <w:pPr>
              <w:spacing w:after="0"/>
              <w:rPr>
                <w:sz w:val="21"/>
                <w:szCs w:val="21"/>
                <w:color w:val="auto"/>
              </w:rPr>
            </w:pPr>
          </w:p>
        </w:tc>
        <w:tc>
          <w:tcPr>
            <w:tcW w:w="580" w:type="dxa"/>
            <w:vAlign w:val="bottom"/>
          </w:tcPr>
          <w:p>
            <w:pPr>
              <w:jc w:val="right"/>
              <w:ind w:right="11"/>
              <w:spacing w:after="0"/>
              <w:rPr>
                <w:sz w:val="20"/>
                <w:szCs w:val="20"/>
                <w:color w:val="auto"/>
              </w:rPr>
            </w:pPr>
            <w:r>
              <w:rPr>
                <w:rFonts w:ascii="Arial" w:cs="Arial" w:eastAsia="Arial" w:hAnsi="Arial"/>
                <w:sz w:val="18"/>
                <w:szCs w:val="18"/>
                <w:color w:val="auto"/>
              </w:rPr>
              <w:t>649</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546</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1,860</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1,687</w:t>
            </w:r>
          </w:p>
        </w:tc>
      </w:tr>
      <w:tr>
        <w:trPr>
          <w:trHeight w:val="27"/>
        </w:trPr>
        <w:tc>
          <w:tcPr>
            <w:tcW w:w="516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64"/>
        </w:trPr>
        <w:tc>
          <w:tcPr>
            <w:tcW w:w="51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Total expenses</w:t>
            </w:r>
          </w:p>
        </w:tc>
        <w:tc>
          <w:tcPr>
            <w:tcW w:w="100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2,096</w:t>
            </w:r>
          </w:p>
        </w:tc>
        <w:tc>
          <w:tcPr>
            <w:tcW w:w="1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2,018</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5,355</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5,499</w:t>
            </w:r>
          </w:p>
        </w:tc>
      </w:tr>
      <w:tr>
        <w:trPr>
          <w:trHeight w:val="237"/>
        </w:trPr>
        <w:tc>
          <w:tcPr>
            <w:tcW w:w="5160" w:type="dxa"/>
            <w:vAlign w:val="bottom"/>
          </w:tcPr>
          <w:p>
            <w:pPr>
              <w:ind w:left="40"/>
              <w:spacing w:after="0"/>
              <w:rPr>
                <w:sz w:val="20"/>
                <w:szCs w:val="20"/>
                <w:color w:val="auto"/>
              </w:rPr>
            </w:pPr>
            <w:r>
              <w:rPr>
                <w:rFonts w:ascii="Arial" w:cs="Arial" w:eastAsia="Arial" w:hAnsi="Arial"/>
                <w:sz w:val="18"/>
                <w:szCs w:val="18"/>
                <w:color w:val="auto"/>
              </w:rPr>
              <w:t>Income (loss) before provision for income tax</w:t>
            </w:r>
          </w:p>
        </w:tc>
        <w:tc>
          <w:tcPr>
            <w:tcW w:w="1000" w:type="dxa"/>
            <w:vAlign w:val="bottom"/>
            <w:tcBorders>
              <w:top w:val="single" w:sz="8" w:color="auto"/>
            </w:tcBorders>
          </w:tcPr>
          <w:p>
            <w:pPr>
              <w:spacing w:after="0"/>
              <w:rPr>
                <w:sz w:val="20"/>
                <w:szCs w:val="20"/>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(124)</w:t>
            </w:r>
          </w:p>
        </w:tc>
        <w:tc>
          <w:tcPr>
            <w:tcW w:w="12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(252)</w:t>
            </w:r>
          </w:p>
        </w:tc>
        <w:tc>
          <w:tcPr>
            <w:tcW w:w="1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(393)</w:t>
            </w:r>
          </w:p>
        </w:tc>
        <w:tc>
          <w:tcPr>
            <w:tcW w:w="10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(1,928)</w:t>
            </w:r>
          </w:p>
        </w:tc>
      </w:tr>
      <w:tr>
        <w:trPr>
          <w:trHeight w:val="27"/>
        </w:trPr>
        <w:tc>
          <w:tcPr>
            <w:tcW w:w="5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Provision for income tax expense (benefit)</w:t>
            </w:r>
          </w:p>
        </w:tc>
        <w:tc>
          <w:tcPr>
            <w:tcW w:w="100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819</w:t>
            </w:r>
          </w:p>
        </w:tc>
        <w:tc>
          <w:tcPr>
            <w:tcW w:w="1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653</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(754)</w:t>
            </w:r>
          </w:p>
        </w:tc>
      </w:tr>
      <w:tr>
        <w:trPr>
          <w:trHeight w:val="237"/>
        </w:trPr>
        <w:tc>
          <w:tcPr>
            <w:tcW w:w="5160" w:type="dxa"/>
            <w:vAlign w:val="bottom"/>
          </w:tcPr>
          <w:p>
            <w:pPr>
              <w:ind w:left="200"/>
              <w:spacing w:after="0"/>
              <w:rPr>
                <w:sz w:val="20"/>
                <w:szCs w:val="20"/>
                <w:color w:val="auto"/>
              </w:rPr>
            </w:pPr>
            <w:r>
              <w:rPr>
                <w:rFonts w:ascii="Arial" w:cs="Arial" w:eastAsia="Arial" w:hAnsi="Arial"/>
                <w:sz w:val="18"/>
                <w:szCs w:val="18"/>
                <w:color w:val="auto"/>
              </w:rPr>
              <w:t>Net income (loss)</w:t>
            </w:r>
          </w:p>
        </w:tc>
        <w:tc>
          <w:tcPr>
            <w:tcW w:w="1000" w:type="dxa"/>
            <w:vAlign w:val="bottom"/>
            <w:tcBorders>
              <w:top w:val="single" w:sz="8" w:color="auto"/>
            </w:tcBorders>
          </w:tcPr>
          <w:p>
            <w:pPr>
              <w:jc w:val="right"/>
              <w:ind w:right="793"/>
              <w:spacing w:after="0"/>
              <w:rPr>
                <w:sz w:val="20"/>
                <w:szCs w:val="20"/>
                <w:color w:val="auto"/>
              </w:rPr>
            </w:pPr>
            <w:r>
              <w:rPr>
                <w:rFonts w:ascii="Arial" w:cs="Arial" w:eastAsia="Arial" w:hAnsi="Arial"/>
                <w:sz w:val="18"/>
                <w:szCs w:val="18"/>
                <w:color w:val="auto"/>
                <w:w w:val="99"/>
              </w:rPr>
              <w:t>$</w:t>
            </w: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(943)</w:t>
            </w:r>
          </w:p>
        </w:tc>
        <w:tc>
          <w:tcPr>
            <w:tcW w:w="120" w:type="dxa"/>
            <w:vAlign w:val="bottom"/>
          </w:tcPr>
          <w:p>
            <w:pPr>
              <w:spacing w:after="0"/>
              <w:rPr>
                <w:sz w:val="20"/>
                <w:szCs w:val="20"/>
                <w:color w:val="auto"/>
              </w:rPr>
            </w:pPr>
          </w:p>
        </w:tc>
        <w:tc>
          <w:tcPr>
            <w:tcW w:w="42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(158)</w:t>
            </w:r>
          </w:p>
        </w:tc>
        <w:tc>
          <w:tcPr>
            <w:tcW w:w="100" w:type="dxa"/>
            <w:vAlign w:val="bottom"/>
          </w:tcPr>
          <w:p>
            <w:pPr>
              <w:spacing w:after="0"/>
              <w:rPr>
                <w:sz w:val="20"/>
                <w:szCs w:val="20"/>
                <w:color w:val="auto"/>
              </w:rPr>
            </w:pPr>
          </w:p>
        </w:tc>
        <w:tc>
          <w:tcPr>
            <w:tcW w:w="42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(1,046)</w:t>
            </w:r>
          </w:p>
        </w:tc>
        <w:tc>
          <w:tcPr>
            <w:tcW w:w="100" w:type="dxa"/>
            <w:vAlign w:val="bottom"/>
          </w:tcPr>
          <w:p>
            <w:pPr>
              <w:spacing w:after="0"/>
              <w:rPr>
                <w:sz w:val="20"/>
                <w:szCs w:val="20"/>
                <w:color w:val="auto"/>
              </w:rPr>
            </w:pPr>
          </w:p>
        </w:tc>
        <w:tc>
          <w:tcPr>
            <w:tcW w:w="46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(1,174)</w:t>
            </w:r>
          </w:p>
        </w:tc>
      </w:tr>
      <w:tr>
        <w:trPr>
          <w:trHeight w:val="27"/>
        </w:trPr>
        <w:tc>
          <w:tcPr>
            <w:tcW w:w="516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0"/>
        </w:trPr>
        <w:tc>
          <w:tcPr>
            <w:tcW w:w="516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87</w:t>
      </w:r>
    </w:p>
    <w:p>
      <w:pPr>
        <w:sectPr>
          <w:pgSz w:w="11900" w:h="16838" w:orient="portrait"/>
          <w:cols w:equalWidth="0" w:num="1">
            <w:col w:w="11420"/>
          </w:cols>
          <w:pgMar w:left="240" w:top="125" w:right="239" w:bottom="1440" w:gutter="0" w:footer="0" w:header="0"/>
          <w:type w:val="continuous"/>
        </w:sectPr>
      </w:pPr>
    </w:p>
    <w:bookmarkStart w:id="89" w:name="page90"/>
    <w:bookmarkEnd w:id="89"/>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180" w:firstLine="324"/>
        <w:spacing w:after="0" w:line="277" w:lineRule="auto"/>
        <w:rPr>
          <w:sz w:val="20"/>
          <w:szCs w:val="20"/>
          <w:color w:val="auto"/>
        </w:rPr>
      </w:pPr>
      <w:r>
        <w:rPr>
          <w:rFonts w:ascii="Arial" w:cs="Arial" w:eastAsia="Arial" w:hAnsi="Arial"/>
          <w:sz w:val="18"/>
          <w:szCs w:val="18"/>
          <w:color w:val="auto"/>
        </w:rPr>
        <w:t>The table below shows the components of our net income (loss), in addition to operating earnings (loss) for the three months and nine months ended September 30, 2017 and 2016.</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40" w:type="dxa"/>
            <w:vAlign w:val="bottom"/>
            <w:gridSpan w:val="5"/>
          </w:tcPr>
          <w:p>
            <w:pPr>
              <w:jc w:val="center"/>
              <w:ind w:right="340"/>
              <w:spacing w:after="0"/>
              <w:rPr>
                <w:sz w:val="20"/>
                <w:szCs w:val="20"/>
                <w:color w:val="auto"/>
              </w:rPr>
            </w:pPr>
            <w:r>
              <w:rPr>
                <w:rFonts w:ascii="Arial" w:cs="Arial" w:eastAsia="Arial" w:hAnsi="Arial"/>
                <w:sz w:val="16"/>
                <w:szCs w:val="16"/>
                <w:b w:val="1"/>
                <w:bCs w:val="1"/>
                <w:color w:val="auto"/>
                <w:w w:val="93"/>
              </w:rPr>
              <w:t>Three Months</w:t>
            </w:r>
          </w:p>
        </w:tc>
        <w:tc>
          <w:tcPr>
            <w:tcW w:w="460" w:type="dxa"/>
            <w:vAlign w:val="bottom"/>
          </w:tcPr>
          <w:p>
            <w:pPr>
              <w:spacing w:after="0"/>
              <w:rPr>
                <w:sz w:val="17"/>
                <w:szCs w:val="17"/>
                <w:color w:val="auto"/>
              </w:rPr>
            </w:pPr>
          </w:p>
        </w:tc>
        <w:tc>
          <w:tcPr>
            <w:tcW w:w="1360" w:type="dxa"/>
            <w:vAlign w:val="bottom"/>
            <w:gridSpan w:val="3"/>
          </w:tcPr>
          <w:p>
            <w:pPr>
              <w:jc w:val="center"/>
              <w:ind w:left="293"/>
              <w:spacing w:after="0"/>
              <w:rPr>
                <w:sz w:val="20"/>
                <w:szCs w:val="20"/>
                <w:color w:val="auto"/>
              </w:rPr>
            </w:pPr>
            <w:r>
              <w:rPr>
                <w:rFonts w:ascii="Arial" w:cs="Arial" w:eastAsia="Arial" w:hAnsi="Arial"/>
                <w:sz w:val="16"/>
                <w:szCs w:val="16"/>
                <w:b w:val="1"/>
                <w:bCs w:val="1"/>
                <w:color w:val="auto"/>
                <w:w w:val="93"/>
              </w:rPr>
              <w:t>Nine Months</w:t>
            </w:r>
          </w:p>
        </w:tc>
        <w:tc>
          <w:tcPr>
            <w:tcW w:w="800" w:type="dxa"/>
            <w:vAlign w:val="bottom"/>
          </w:tcPr>
          <w:p>
            <w:pPr>
              <w:spacing w:after="0"/>
              <w:rPr>
                <w:sz w:val="17"/>
                <w:szCs w:val="17"/>
                <w:color w:val="auto"/>
              </w:rPr>
            </w:pPr>
          </w:p>
        </w:tc>
      </w:tr>
      <w:tr>
        <w:trPr>
          <w:trHeight w:val="203"/>
        </w:trPr>
        <w:tc>
          <w:tcPr>
            <w:tcW w:w="6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80" w:type="dxa"/>
            <w:vAlign w:val="bottom"/>
            <w:gridSpan w:val="3"/>
          </w:tcPr>
          <w:p>
            <w:pPr>
              <w:jc w:val="center"/>
              <w:ind w:left="473"/>
              <w:spacing w:after="0"/>
              <w:rPr>
                <w:sz w:val="20"/>
                <w:szCs w:val="20"/>
                <w:color w:val="auto"/>
              </w:rPr>
            </w:pPr>
            <w:r>
              <w:rPr>
                <w:rFonts w:ascii="Arial" w:cs="Arial" w:eastAsia="Arial" w:hAnsi="Arial"/>
                <w:sz w:val="16"/>
                <w:szCs w:val="16"/>
                <w:b w:val="1"/>
                <w:bCs w:val="1"/>
                <w:color w:val="auto"/>
                <w:w w:val="89"/>
              </w:rPr>
              <w:t>Ended</w:t>
            </w: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360" w:type="dxa"/>
            <w:vAlign w:val="bottom"/>
            <w:gridSpan w:val="3"/>
          </w:tcPr>
          <w:p>
            <w:pPr>
              <w:jc w:val="center"/>
              <w:ind w:left="233"/>
              <w:spacing w:after="0"/>
              <w:rPr>
                <w:sz w:val="20"/>
                <w:szCs w:val="20"/>
                <w:color w:val="auto"/>
              </w:rPr>
            </w:pPr>
            <w:r>
              <w:rPr>
                <w:rFonts w:ascii="Arial" w:cs="Arial" w:eastAsia="Arial" w:hAnsi="Arial"/>
                <w:sz w:val="16"/>
                <w:szCs w:val="16"/>
                <w:b w:val="1"/>
                <w:bCs w:val="1"/>
                <w:color w:val="auto"/>
                <w:w w:val="89"/>
              </w:rPr>
              <w:t>Ended</w:t>
            </w:r>
          </w:p>
        </w:tc>
        <w:tc>
          <w:tcPr>
            <w:tcW w:w="800" w:type="dxa"/>
            <w:vAlign w:val="bottom"/>
          </w:tcPr>
          <w:p>
            <w:pPr>
              <w:spacing w:after="0"/>
              <w:rPr>
                <w:sz w:val="17"/>
                <w:szCs w:val="17"/>
                <w:color w:val="auto"/>
              </w:rPr>
            </w:pPr>
          </w:p>
        </w:tc>
      </w:tr>
      <w:tr>
        <w:trPr>
          <w:trHeight w:val="210"/>
        </w:trPr>
        <w:tc>
          <w:tcPr>
            <w:tcW w:w="6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40" w:type="dxa"/>
            <w:vAlign w:val="bottom"/>
            <w:gridSpan w:val="5"/>
          </w:tcPr>
          <w:p>
            <w:pPr>
              <w:jc w:val="center"/>
              <w:ind w:right="360"/>
              <w:spacing w:after="0"/>
              <w:rPr>
                <w:sz w:val="20"/>
                <w:szCs w:val="20"/>
                <w:color w:val="auto"/>
              </w:rPr>
            </w:pPr>
            <w:r>
              <w:rPr>
                <w:rFonts w:ascii="Arial" w:cs="Arial" w:eastAsia="Arial" w:hAnsi="Arial"/>
                <w:sz w:val="16"/>
                <w:szCs w:val="16"/>
                <w:b w:val="1"/>
                <w:bCs w:val="1"/>
                <w:color w:val="auto"/>
                <w:w w:val="91"/>
              </w:rPr>
              <w:t>September 30,</w:t>
            </w:r>
          </w:p>
        </w:tc>
        <w:tc>
          <w:tcPr>
            <w:tcW w:w="460" w:type="dxa"/>
            <w:vAlign w:val="bottom"/>
          </w:tcPr>
          <w:p>
            <w:pPr>
              <w:spacing w:after="0"/>
              <w:rPr>
                <w:sz w:val="18"/>
                <w:szCs w:val="18"/>
                <w:color w:val="auto"/>
              </w:rPr>
            </w:pPr>
          </w:p>
        </w:tc>
        <w:tc>
          <w:tcPr>
            <w:tcW w:w="1360" w:type="dxa"/>
            <w:vAlign w:val="bottom"/>
            <w:gridSpan w:val="3"/>
          </w:tcPr>
          <w:p>
            <w:pPr>
              <w:jc w:val="center"/>
              <w:ind w:left="273"/>
              <w:spacing w:after="0"/>
              <w:rPr>
                <w:sz w:val="20"/>
                <w:szCs w:val="20"/>
                <w:color w:val="auto"/>
              </w:rPr>
            </w:pPr>
            <w:r>
              <w:rPr>
                <w:rFonts w:ascii="Arial" w:cs="Arial" w:eastAsia="Arial" w:hAnsi="Arial"/>
                <w:sz w:val="16"/>
                <w:szCs w:val="16"/>
                <w:b w:val="1"/>
                <w:bCs w:val="1"/>
                <w:color w:val="auto"/>
                <w:w w:val="91"/>
              </w:rPr>
              <w:t>September 30,</w:t>
            </w:r>
          </w:p>
        </w:tc>
        <w:tc>
          <w:tcPr>
            <w:tcW w:w="800" w:type="dxa"/>
            <w:vAlign w:val="bottom"/>
          </w:tcPr>
          <w:p>
            <w:pPr>
              <w:spacing w:after="0"/>
              <w:rPr>
                <w:sz w:val="18"/>
                <w:szCs w:val="18"/>
                <w:color w:val="auto"/>
              </w:rPr>
            </w:pPr>
          </w:p>
        </w:tc>
      </w:tr>
      <w:tr>
        <w:trPr>
          <w:trHeight w:val="33"/>
        </w:trPr>
        <w:tc>
          <w:tcPr>
            <w:tcW w:w="62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31"/>
        </w:trPr>
        <w:tc>
          <w:tcPr>
            <w:tcW w:w="6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80" w:type="dxa"/>
            <w:vAlign w:val="bottom"/>
          </w:tcPr>
          <w:p>
            <w:pPr>
              <w:jc w:val="right"/>
              <w:ind w:right="313"/>
              <w:spacing w:after="0"/>
              <w:rPr>
                <w:sz w:val="20"/>
                <w:szCs w:val="20"/>
                <w:color w:val="auto"/>
              </w:rPr>
            </w:pPr>
            <w:r>
              <w:rPr>
                <w:rFonts w:ascii="Arial" w:cs="Arial" w:eastAsia="Arial" w:hAnsi="Arial"/>
                <w:sz w:val="16"/>
                <w:szCs w:val="16"/>
                <w:b w:val="1"/>
                <w:bCs w:val="1"/>
                <w:color w:val="auto"/>
              </w:rPr>
              <w:t>2017</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tcPr>
          <w:p>
            <w:pPr>
              <w:jc w:val="right"/>
              <w:ind w:right="332"/>
              <w:spacing w:after="0"/>
              <w:rPr>
                <w:sz w:val="20"/>
                <w:szCs w:val="20"/>
                <w:color w:val="auto"/>
              </w:rPr>
            </w:pPr>
            <w:r>
              <w:rPr>
                <w:rFonts w:ascii="Arial" w:cs="Arial" w:eastAsia="Arial" w:hAnsi="Arial"/>
                <w:sz w:val="16"/>
                <w:szCs w:val="16"/>
                <w:b w:val="1"/>
                <w:bCs w:val="1"/>
                <w:color w:val="auto"/>
              </w:rPr>
              <w:t>2016</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00" w:type="dxa"/>
            <w:vAlign w:val="bottom"/>
          </w:tcPr>
          <w:p>
            <w:pPr>
              <w:jc w:val="right"/>
              <w:ind w:right="373"/>
              <w:spacing w:after="0"/>
              <w:rPr>
                <w:sz w:val="20"/>
                <w:szCs w:val="20"/>
                <w:color w:val="auto"/>
              </w:rPr>
            </w:pPr>
            <w:r>
              <w:rPr>
                <w:rFonts w:ascii="Arial" w:cs="Arial" w:eastAsia="Arial" w:hAnsi="Arial"/>
                <w:sz w:val="16"/>
                <w:szCs w:val="16"/>
                <w:b w:val="1"/>
                <w:bCs w:val="1"/>
                <w:color w:val="auto"/>
                <w:w w:val="89"/>
              </w:rPr>
              <w:t>2017</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00" w:type="dxa"/>
            <w:vAlign w:val="bottom"/>
          </w:tcPr>
          <w:p>
            <w:pPr>
              <w:jc w:val="right"/>
              <w:ind w:right="371"/>
              <w:spacing w:after="0"/>
              <w:rPr>
                <w:sz w:val="20"/>
                <w:szCs w:val="20"/>
                <w:color w:val="auto"/>
              </w:rPr>
            </w:pPr>
            <w:r>
              <w:rPr>
                <w:rFonts w:ascii="Arial" w:cs="Arial" w:eastAsia="Arial" w:hAnsi="Arial"/>
                <w:sz w:val="16"/>
                <w:szCs w:val="16"/>
                <w:b w:val="1"/>
                <w:bCs w:val="1"/>
                <w:color w:val="auto"/>
                <w:w w:val="89"/>
              </w:rPr>
              <w:t>2016</w:t>
            </w:r>
          </w:p>
        </w:tc>
      </w:tr>
      <w:tr>
        <w:trPr>
          <w:trHeight w:val="33"/>
        </w:trPr>
        <w:tc>
          <w:tcPr>
            <w:tcW w:w="62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3"/>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190"/>
        </w:trPr>
        <w:tc>
          <w:tcPr>
            <w:tcW w:w="62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20" w:type="dxa"/>
            <w:vAlign w:val="bottom"/>
            <w:gridSpan w:val="3"/>
          </w:tcPr>
          <w:p>
            <w:pPr>
              <w:jc w:val="center"/>
              <w:ind w:left="532"/>
              <w:spacing w:after="0"/>
              <w:rPr>
                <w:sz w:val="20"/>
                <w:szCs w:val="20"/>
                <w:color w:val="auto"/>
              </w:rPr>
            </w:pPr>
            <w:r>
              <w:rPr>
                <w:rFonts w:ascii="Arial" w:cs="Arial" w:eastAsia="Arial" w:hAnsi="Arial"/>
                <w:sz w:val="14"/>
                <w:szCs w:val="14"/>
                <w:b w:val="1"/>
                <w:bCs w:val="1"/>
                <w:color w:val="auto"/>
                <w:w w:val="96"/>
              </w:rPr>
              <w:t>(In millions)</w:t>
            </w: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0" w:type="dxa"/>
            <w:vAlign w:val="bottom"/>
          </w:tcPr>
          <w:p>
            <w:pPr>
              <w:spacing w:after="0"/>
              <w:rPr>
                <w:sz w:val="16"/>
                <w:szCs w:val="16"/>
                <w:color w:val="auto"/>
              </w:rPr>
            </w:pPr>
          </w:p>
        </w:tc>
      </w:tr>
      <w:tr>
        <w:trPr>
          <w:trHeight w:val="256"/>
        </w:trPr>
        <w:tc>
          <w:tcPr>
            <w:tcW w:w="6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GMLB Riders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(641)</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(429)</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center"/>
              <w:ind w:right="2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(1,507)</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(2,614)</w:t>
            </w:r>
          </w:p>
        </w:tc>
      </w:tr>
      <w:tr>
        <w:trPr>
          <w:trHeight w:val="243"/>
        </w:trPr>
        <w:tc>
          <w:tcPr>
            <w:tcW w:w="6280" w:type="dxa"/>
            <w:vAlign w:val="bottom"/>
          </w:tcPr>
          <w:p>
            <w:pPr>
              <w:ind w:left="40"/>
              <w:spacing w:after="0"/>
              <w:rPr>
                <w:sz w:val="20"/>
                <w:szCs w:val="20"/>
                <w:color w:val="auto"/>
              </w:rPr>
            </w:pPr>
            <w:r>
              <w:rPr>
                <w:rFonts w:ascii="Arial" w:cs="Arial" w:eastAsia="Arial" w:hAnsi="Arial"/>
                <w:sz w:val="18"/>
                <w:szCs w:val="18"/>
                <w:color w:val="auto"/>
              </w:rPr>
              <w:t>Amortization of DAC and VOBA</w:t>
            </w:r>
          </w:p>
        </w:tc>
        <w:tc>
          <w:tcPr>
            <w:tcW w:w="2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7"/>
        </w:trPr>
        <w:tc>
          <w:tcPr>
            <w:tcW w:w="6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6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derivative instruments</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(153)</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(137)</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w:t>
            </w:r>
          </w:p>
        </w:tc>
      </w:tr>
      <w:tr>
        <w:trPr>
          <w:trHeight w:val="243"/>
        </w:trPr>
        <w:tc>
          <w:tcPr>
            <w:tcW w:w="6280" w:type="dxa"/>
            <w:vAlign w:val="bottom"/>
          </w:tcPr>
          <w:p>
            <w:pPr>
              <w:ind w:left="40"/>
              <w:spacing w:after="0"/>
              <w:rPr>
                <w:sz w:val="20"/>
                <w:szCs w:val="20"/>
                <w:color w:val="auto"/>
              </w:rPr>
            </w:pPr>
            <w:r>
              <w:rPr>
                <w:rFonts w:ascii="Arial" w:cs="Arial" w:eastAsia="Arial" w:hAnsi="Arial"/>
                <w:sz w:val="18"/>
                <w:szCs w:val="18"/>
                <w:color w:val="auto"/>
              </w:rPr>
              <w:t>Net investment gains (losses)</w:t>
            </w:r>
          </w:p>
        </w:tc>
        <w:tc>
          <w:tcPr>
            <w:tcW w:w="280" w:type="dxa"/>
            <w:vAlign w:val="bottom"/>
          </w:tcPr>
          <w:p>
            <w:pPr>
              <w:spacing w:after="0"/>
              <w:rPr>
                <w:sz w:val="21"/>
                <w:szCs w:val="21"/>
                <w:color w:val="auto"/>
              </w:rPr>
            </w:pPr>
          </w:p>
        </w:tc>
        <w:tc>
          <w:tcPr>
            <w:tcW w:w="880" w:type="dxa"/>
            <w:vAlign w:val="bottom"/>
          </w:tcPr>
          <w:p>
            <w:pPr>
              <w:jc w:val="right"/>
              <w:ind w:right="13"/>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7"/>
        </w:trPr>
        <w:tc>
          <w:tcPr>
            <w:tcW w:w="6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6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adjustments</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26</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(191)</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(259)</w:t>
            </w:r>
          </w:p>
        </w:tc>
      </w:tr>
      <w:tr>
        <w:trPr>
          <w:trHeight w:val="243"/>
        </w:trPr>
        <w:tc>
          <w:tcPr>
            <w:tcW w:w="6280" w:type="dxa"/>
            <w:vAlign w:val="bottom"/>
          </w:tcPr>
          <w:p>
            <w:pPr>
              <w:ind w:left="40"/>
              <w:spacing w:after="0"/>
              <w:rPr>
                <w:sz w:val="20"/>
                <w:szCs w:val="20"/>
                <w:color w:val="auto"/>
              </w:rPr>
            </w:pPr>
            <w:r>
              <w:rPr>
                <w:rFonts w:ascii="Arial" w:cs="Arial" w:eastAsia="Arial" w:hAnsi="Arial"/>
                <w:sz w:val="18"/>
                <w:szCs w:val="18"/>
                <w:color w:val="auto"/>
              </w:rPr>
              <w:t>Operating earnings (loss) before provision for income tax</w:t>
            </w:r>
          </w:p>
        </w:tc>
        <w:tc>
          <w:tcPr>
            <w:tcW w:w="280" w:type="dxa"/>
            <w:vAlign w:val="bottom"/>
          </w:tcPr>
          <w:p>
            <w:pPr>
              <w:spacing w:after="0"/>
              <w:rPr>
                <w:sz w:val="21"/>
                <w:szCs w:val="21"/>
                <w:color w:val="auto"/>
              </w:rPr>
            </w:pPr>
          </w:p>
        </w:tc>
        <w:tc>
          <w:tcPr>
            <w:tcW w:w="880" w:type="dxa"/>
            <w:vAlign w:val="bottom"/>
          </w:tcPr>
          <w:p>
            <w:pPr>
              <w:jc w:val="right"/>
              <w:ind w:right="13"/>
              <w:spacing w:after="0"/>
              <w:rPr>
                <w:sz w:val="20"/>
                <w:szCs w:val="20"/>
                <w:color w:val="auto"/>
              </w:rPr>
            </w:pPr>
            <w:r>
              <w:rPr>
                <w:rFonts w:ascii="Arial" w:cs="Arial" w:eastAsia="Arial" w:hAnsi="Arial"/>
                <w:sz w:val="18"/>
                <w:szCs w:val="18"/>
                <w:color w:val="auto"/>
              </w:rPr>
              <w:t>504</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495</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00" w:type="dxa"/>
            <w:vAlign w:val="bottom"/>
          </w:tcPr>
          <w:p>
            <w:pPr>
              <w:jc w:val="right"/>
              <w:ind w:right="33"/>
              <w:spacing w:after="0"/>
              <w:rPr>
                <w:sz w:val="20"/>
                <w:szCs w:val="20"/>
                <w:color w:val="auto"/>
              </w:rPr>
            </w:pPr>
            <w:r>
              <w:rPr>
                <w:rFonts w:ascii="Arial" w:cs="Arial" w:eastAsia="Arial" w:hAnsi="Arial"/>
                <w:sz w:val="18"/>
                <w:szCs w:val="18"/>
                <w:color w:val="auto"/>
              </w:rPr>
              <w:t>1,322</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1,024</w:t>
            </w:r>
          </w:p>
        </w:tc>
      </w:tr>
      <w:tr>
        <w:trPr>
          <w:trHeight w:val="27"/>
        </w:trPr>
        <w:tc>
          <w:tcPr>
            <w:tcW w:w="62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44"/>
        </w:trPr>
        <w:tc>
          <w:tcPr>
            <w:tcW w:w="62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Income (loss) before provision for income tax</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(124)</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(252)</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(393)</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(1,928)</w:t>
            </w:r>
          </w:p>
        </w:tc>
      </w:tr>
      <w:tr>
        <w:trPr>
          <w:trHeight w:val="243"/>
        </w:trPr>
        <w:tc>
          <w:tcPr>
            <w:tcW w:w="6280" w:type="dxa"/>
            <w:vAlign w:val="bottom"/>
          </w:tcPr>
          <w:p>
            <w:pPr>
              <w:ind w:left="40"/>
              <w:spacing w:after="0"/>
              <w:rPr>
                <w:sz w:val="20"/>
                <w:szCs w:val="20"/>
                <w:color w:val="auto"/>
              </w:rPr>
            </w:pPr>
            <w:r>
              <w:rPr>
                <w:rFonts w:ascii="Arial" w:cs="Arial" w:eastAsia="Arial" w:hAnsi="Arial"/>
                <w:sz w:val="18"/>
                <w:szCs w:val="18"/>
                <w:color w:val="auto"/>
              </w:rPr>
              <w:t>Provision for income tax expense (benefit)</w:t>
            </w:r>
          </w:p>
        </w:tc>
        <w:tc>
          <w:tcPr>
            <w:tcW w:w="280" w:type="dxa"/>
            <w:vAlign w:val="bottom"/>
          </w:tcPr>
          <w:p>
            <w:pPr>
              <w:spacing w:after="0"/>
              <w:rPr>
                <w:sz w:val="21"/>
                <w:szCs w:val="21"/>
                <w:color w:val="auto"/>
              </w:rPr>
            </w:pPr>
          </w:p>
        </w:tc>
        <w:tc>
          <w:tcPr>
            <w:tcW w:w="880" w:type="dxa"/>
            <w:vAlign w:val="bottom"/>
          </w:tcPr>
          <w:p>
            <w:pPr>
              <w:jc w:val="right"/>
              <w:ind w:right="13"/>
              <w:spacing w:after="0"/>
              <w:rPr>
                <w:sz w:val="20"/>
                <w:szCs w:val="20"/>
                <w:color w:val="auto"/>
              </w:rPr>
            </w:pPr>
            <w:r>
              <w:rPr>
                <w:rFonts w:ascii="Arial" w:cs="Arial" w:eastAsia="Arial" w:hAnsi="Arial"/>
                <w:sz w:val="18"/>
                <w:szCs w:val="18"/>
                <w:color w:val="auto"/>
              </w:rPr>
              <w:t>819</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(94)</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00" w:type="dxa"/>
            <w:vAlign w:val="bottom"/>
          </w:tcPr>
          <w:p>
            <w:pPr>
              <w:jc w:val="right"/>
              <w:ind w:right="33"/>
              <w:spacing w:after="0"/>
              <w:rPr>
                <w:sz w:val="20"/>
                <w:szCs w:val="20"/>
                <w:color w:val="auto"/>
              </w:rPr>
            </w:pPr>
            <w:r>
              <w:rPr>
                <w:rFonts w:ascii="Arial" w:cs="Arial" w:eastAsia="Arial" w:hAnsi="Arial"/>
                <w:sz w:val="18"/>
                <w:szCs w:val="18"/>
                <w:color w:val="auto"/>
              </w:rPr>
              <w:t>653</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(754)</w:t>
            </w:r>
          </w:p>
        </w:tc>
      </w:tr>
      <w:tr>
        <w:trPr>
          <w:trHeight w:val="27"/>
        </w:trPr>
        <w:tc>
          <w:tcPr>
            <w:tcW w:w="62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69"/>
        </w:trPr>
        <w:tc>
          <w:tcPr>
            <w:tcW w:w="62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income (loss)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(943)</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(158)</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center"/>
              <w:ind w:right="2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(1,046)</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(1,174)</w:t>
            </w:r>
          </w:p>
        </w:tc>
      </w:tr>
      <w:tr>
        <w:trPr>
          <w:trHeight w:val="20"/>
        </w:trPr>
        <w:tc>
          <w:tcPr>
            <w:tcW w:w="62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Three Months Ended September 30, 2017 Compared with the Three Months Ended September 30, 2016</w:t>
      </w:r>
    </w:p>
    <w:p>
      <w:pPr>
        <w:spacing w:after="0" w:line="158"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i w:val="1"/>
          <w:iCs w:val="1"/>
          <w:color w:val="auto"/>
        </w:rPr>
        <w:t>Overview</w:t>
      </w:r>
      <w:r>
        <w:rPr>
          <w:rFonts w:ascii="Arial" w:cs="Arial" w:eastAsia="Arial" w:hAnsi="Arial"/>
          <w:sz w:val="18"/>
          <w:szCs w:val="18"/>
          <w:color w:val="auto"/>
        </w:rPr>
        <w:t>. Income (loss) before provision for income tax increased $128 million (decreased $785 million, net of income tax). The increase in income</w:t>
      </w:r>
      <w:r>
        <w:rPr>
          <w:rFonts w:ascii="Arial" w:cs="Arial" w:eastAsia="Arial" w:hAnsi="Arial"/>
          <w:sz w:val="18"/>
          <w:szCs w:val="18"/>
          <w:i w:val="1"/>
          <w:iCs w:val="1"/>
          <w:color w:val="auto"/>
        </w:rPr>
        <w:t xml:space="preserve"> </w:t>
      </w:r>
      <w:r>
        <w:rPr>
          <w:rFonts w:ascii="Arial" w:cs="Arial" w:eastAsia="Arial" w:hAnsi="Arial"/>
          <w:sz w:val="18"/>
          <w:szCs w:val="18"/>
          <w:color w:val="auto"/>
        </w:rPr>
        <w:t>(loss) before provision for income tax was driven primarily by the impact from a charge for goodwill impairment in the prior period and favorable changes in other derivative instruments, partially offset by unfavorable results from GMLB Riders. The decrease in net income (loss) resulted from a net charge for income tax adjustments in connection with the Separation. Excluding the impact from the annual actuarial assumption review, income (loss) before provision for income tax increased $247 million (decreased $707 million, net of income tax).</w:t>
      </w:r>
    </w:p>
    <w:p>
      <w:pPr>
        <w:spacing w:after="0" w:line="80"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i w:val="1"/>
          <w:iCs w:val="1"/>
          <w:color w:val="auto"/>
        </w:rPr>
        <w:t xml:space="preserve">GMLB Riders. </w:t>
      </w:r>
      <w:r>
        <w:rPr>
          <w:rFonts w:ascii="Arial" w:cs="Arial" w:eastAsia="Arial" w:hAnsi="Arial"/>
          <w:sz w:val="16"/>
          <w:szCs w:val="16"/>
          <w:color w:val="auto"/>
        </w:rPr>
        <w:t>GMLB Riders decreased income (loss) before provision for income tax by $212 million ($138 million net of income tax) as decreases</w:t>
      </w:r>
      <w:r>
        <w:rPr>
          <w:rFonts w:ascii="Arial" w:cs="Arial" w:eastAsia="Arial" w:hAnsi="Arial"/>
          <w:sz w:val="16"/>
          <w:szCs w:val="16"/>
          <w:i w:val="1"/>
          <w:iCs w:val="1"/>
          <w:color w:val="auto"/>
        </w:rPr>
        <w:t xml:space="preserve"> </w:t>
      </w:r>
      <w:r>
        <w:rPr>
          <w:rFonts w:ascii="Arial" w:cs="Arial" w:eastAsia="Arial" w:hAnsi="Arial"/>
          <w:sz w:val="16"/>
          <w:szCs w:val="16"/>
          <w:color w:val="auto"/>
        </w:rPr>
        <w:t>from DAC offsets and liabilities were partially offset by increases in the related hedges. For a detailed discussion of the GMLB Riders see “Segments and Corporate &amp; Other Results — GMLB Riders — Three Months Ended September 30, 2017 Compared with the Three Months Ended September 30, 2016.”</w:t>
      </w:r>
    </w:p>
    <w:p>
      <w:pPr>
        <w:spacing w:after="0" w:line="39"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i w:val="1"/>
          <w:iCs w:val="1"/>
          <w:color w:val="auto"/>
        </w:rPr>
        <w:t xml:space="preserve">Other Derivative Instruments. </w:t>
      </w:r>
      <w:r>
        <w:rPr>
          <w:rFonts w:ascii="Arial" w:cs="Arial" w:eastAsia="Arial" w:hAnsi="Arial"/>
          <w:sz w:val="18"/>
          <w:szCs w:val="18"/>
          <w:color w:val="auto"/>
        </w:rPr>
        <w:t>Changes in the fair value of our other derivative instruments increased income (loss) before provision for income tax by</w:t>
      </w:r>
      <w:r>
        <w:rPr>
          <w:rFonts w:ascii="Arial" w:cs="Arial" w:eastAsia="Arial" w:hAnsi="Arial"/>
          <w:sz w:val="18"/>
          <w:szCs w:val="18"/>
          <w:i w:val="1"/>
          <w:iCs w:val="1"/>
          <w:color w:val="auto"/>
        </w:rPr>
        <w:t xml:space="preserve"> </w:t>
      </w:r>
      <w:r>
        <w:rPr>
          <w:rFonts w:ascii="Arial" w:cs="Arial" w:eastAsia="Arial" w:hAnsi="Arial"/>
          <w:sz w:val="18"/>
          <w:szCs w:val="18"/>
          <w:color w:val="auto"/>
        </w:rPr>
        <w:t>$123 million ($80 million, net of income tax).</w:t>
      </w:r>
    </w:p>
    <w:p>
      <w:pPr>
        <w:spacing w:after="0" w:line="62" w:lineRule="exact"/>
        <w:rPr>
          <w:sz w:val="20"/>
          <w:szCs w:val="20"/>
          <w:color w:val="auto"/>
        </w:rPr>
      </w:pPr>
    </w:p>
    <w:p>
      <w:pPr>
        <w:jc w:val="both"/>
        <w:ind w:left="180" w:firstLine="324"/>
        <w:spacing w:after="0" w:line="259" w:lineRule="auto"/>
        <w:rPr>
          <w:sz w:val="20"/>
          <w:szCs w:val="20"/>
          <w:color w:val="auto"/>
        </w:rPr>
      </w:pPr>
      <w:r>
        <w:rPr>
          <w:rFonts w:ascii="Arial" w:cs="Arial" w:eastAsia="Arial" w:hAnsi="Arial"/>
          <w:sz w:val="18"/>
          <w:szCs w:val="18"/>
          <w:i w:val="1"/>
          <w:iCs w:val="1"/>
          <w:color w:val="auto"/>
        </w:rPr>
        <w:t xml:space="preserve">Freestanding Derivatives. </w:t>
      </w:r>
      <w:r>
        <w:rPr>
          <w:rFonts w:ascii="Arial" w:cs="Arial" w:eastAsia="Arial" w:hAnsi="Arial"/>
          <w:sz w:val="18"/>
          <w:szCs w:val="18"/>
          <w:color w:val="auto"/>
        </w:rPr>
        <w:t>Changes in the fair value of freestanding derivatives increased income (loss) before provision for income tax by $43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($28 million, net of income tax), primarily due to favorable changes from the impact of changes in interest rates on the fair value of our interest rate swaps. This favorable change was partially offset by unfavorable changes in our foreign currency swaps due to the U.S. dollar weakening against key foreign currencies in the current period when compared to the prior period.</w:t>
      </w:r>
    </w:p>
    <w:p>
      <w:pPr>
        <w:spacing w:after="0" w:line="79" w:lineRule="exact"/>
        <w:rPr>
          <w:sz w:val="20"/>
          <w:szCs w:val="20"/>
          <w:color w:val="auto"/>
        </w:rPr>
      </w:pPr>
    </w:p>
    <w:p>
      <w:pPr>
        <w:jc w:val="both"/>
        <w:ind w:left="180" w:firstLine="324"/>
        <w:spacing w:after="0" w:line="279" w:lineRule="auto"/>
        <w:rPr>
          <w:sz w:val="20"/>
          <w:szCs w:val="20"/>
          <w:color w:val="auto"/>
        </w:rPr>
      </w:pPr>
      <w:r>
        <w:rPr>
          <w:rFonts w:ascii="Arial" w:cs="Arial" w:eastAsia="Arial" w:hAnsi="Arial"/>
          <w:sz w:val="17"/>
          <w:szCs w:val="17"/>
          <w:i w:val="1"/>
          <w:iCs w:val="1"/>
          <w:color w:val="auto"/>
        </w:rPr>
        <w:t xml:space="preserve">Embedded Derivatives. </w:t>
      </w:r>
      <w:r>
        <w:rPr>
          <w:rFonts w:ascii="Arial" w:cs="Arial" w:eastAsia="Arial" w:hAnsi="Arial"/>
          <w:sz w:val="17"/>
          <w:szCs w:val="17"/>
          <w:color w:val="auto"/>
        </w:rPr>
        <w:t>Favorable changes in the fair value of embedded derivatives increased income (loss) before provision for income tax by $80</w:t>
      </w:r>
      <w:r>
        <w:rPr>
          <w:rFonts w:ascii="Arial" w:cs="Arial" w:eastAsia="Arial" w:hAnsi="Arial"/>
          <w:sz w:val="17"/>
          <w:szCs w:val="17"/>
          <w:i w:val="1"/>
          <w:iCs w:val="1"/>
          <w:color w:val="auto"/>
        </w:rPr>
        <w:t xml:space="preserve"> </w:t>
      </w:r>
      <w:r>
        <w:rPr>
          <w:rFonts w:ascii="Arial" w:cs="Arial" w:eastAsia="Arial" w:hAnsi="Arial"/>
          <w:sz w:val="17"/>
          <w:szCs w:val="17"/>
          <w:color w:val="auto"/>
        </w:rPr>
        <w:t>million ($52 million, net of income tax), primarily due to an unfavorable impact in the prior period on our Shield annuity liabilities from an increase in underlying equity index levels. In connection with the transition to our new variable annuity hedging program, changes in the fair value of the Shield annuity liabilities are included in the hedging program component of GMLB Riders beginning in the third quarter of 2017 on a prospective basis.</w:t>
      </w:r>
    </w:p>
    <w:p>
      <w:pPr>
        <w:spacing w:after="0" w:line="63"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i w:val="1"/>
          <w:iCs w:val="1"/>
          <w:color w:val="auto"/>
        </w:rPr>
        <w:t xml:space="preserve">Other Adjustments. </w:t>
      </w:r>
      <w:r>
        <w:rPr>
          <w:rFonts w:ascii="Arial" w:cs="Arial" w:eastAsia="Arial" w:hAnsi="Arial"/>
          <w:sz w:val="18"/>
          <w:szCs w:val="18"/>
          <w:color w:val="auto"/>
        </w:rPr>
        <w:t>Other adjustments to determine operating earnings (loss) increased income (loss) before provision for income tax by $217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($141 million, net of income tax), primarily due to charges in the prior period for an impairment of goodwill in our Run-off segment and the write-off of previously capitalized items in Corporate &amp; Other in connection with the sale of MPCG to MassMutual.</w:t>
      </w:r>
    </w:p>
    <w:p>
      <w:pPr>
        <w:spacing w:after="0" w:line="73"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i w:val="1"/>
          <w:iCs w:val="1"/>
          <w:color w:val="auto"/>
        </w:rPr>
        <w:t xml:space="preserve">Income Tax Expense (Benefit). </w:t>
      </w:r>
      <w:r>
        <w:rPr>
          <w:rFonts w:ascii="Arial" w:cs="Arial" w:eastAsia="Arial" w:hAnsi="Arial"/>
          <w:sz w:val="17"/>
          <w:szCs w:val="17"/>
          <w:color w:val="auto"/>
        </w:rPr>
        <w:t>Income tax expense for the three months ended September 30, 2017 was $819 million compared to an income tax benefit</w:t>
      </w:r>
      <w:r>
        <w:rPr>
          <w:rFonts w:ascii="Arial" w:cs="Arial" w:eastAsia="Arial" w:hAnsi="Arial"/>
          <w:sz w:val="17"/>
          <w:szCs w:val="17"/>
          <w:i w:val="1"/>
          <w:iCs w:val="1"/>
          <w:color w:val="auto"/>
        </w:rPr>
        <w:t xml:space="preserve"> </w:t>
      </w:r>
      <w:r>
        <w:rPr>
          <w:rFonts w:ascii="Arial" w:cs="Arial" w:eastAsia="Arial" w:hAnsi="Arial"/>
          <w:sz w:val="17"/>
          <w:szCs w:val="17"/>
          <w:color w:val="auto"/>
        </w:rPr>
        <w:t>of $94 million for the three months ended September 30, 2016. Our effective tax rate typically differs from the U.S. statutory rate of 35% primarily due to the impacts of the dividend received deductions and utilization of tax credits. In the current period, we recognized an additional $1.1 billion non-cash tax charge triggered prior to the Separation. We also recognized certain tax benefits in the current period, including (i) $138 million related to previously unrecognized deferred losses that became recognizable upon completion of the Separation, (ii) $39 million related to the dividend received deductions and tax credits as well as (iii) a downward adjustment of reserves by $19 million. These adjustments resulted in effective tax rate percentages that are not meaningful for comparison purposes and accordingly have not been included.</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420"/>
          </w:cols>
          <w:pgMar w:left="240" w:top="126" w:right="239" w:bottom="1440" w:gutter="0" w:footer="0" w:header="0"/>
        </w:sectPr>
      </w:pPr>
    </w:p>
    <w:bookmarkStart w:id="90" w:name="page91"/>
    <w:bookmarkEnd w:id="90"/>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both"/>
        <w:ind w:right="20" w:firstLine="324"/>
        <w:spacing w:after="0" w:line="308" w:lineRule="auto"/>
        <w:rPr>
          <w:sz w:val="20"/>
          <w:szCs w:val="20"/>
          <w:color w:val="auto"/>
        </w:rPr>
      </w:pPr>
      <w:r>
        <w:rPr>
          <w:rFonts w:ascii="Arial" w:cs="Arial" w:eastAsia="Arial" w:hAnsi="Arial"/>
          <w:sz w:val="17"/>
          <w:szCs w:val="17"/>
          <w:i w:val="1"/>
          <w:iCs w:val="1"/>
          <w:color w:val="auto"/>
        </w:rPr>
        <w:t xml:space="preserve">Operating Earnings (Loss). </w:t>
      </w:r>
      <w:r>
        <w:rPr>
          <w:rFonts w:ascii="Arial" w:cs="Arial" w:eastAsia="Arial" w:hAnsi="Arial"/>
          <w:sz w:val="17"/>
          <w:szCs w:val="17"/>
          <w:color w:val="auto"/>
        </w:rPr>
        <w:t>Operating earnings (loss) before provision for income tax increased $9 million (decreased $1.0 billion, net of income tax) for</w:t>
      </w:r>
      <w:r>
        <w:rPr>
          <w:rFonts w:ascii="Arial" w:cs="Arial" w:eastAsia="Arial" w:hAnsi="Arial"/>
          <w:sz w:val="17"/>
          <w:szCs w:val="17"/>
          <w:i w:val="1"/>
          <w:iCs w:val="1"/>
          <w:color w:val="auto"/>
        </w:rPr>
        <w:t xml:space="preserve"> </w:t>
      </w:r>
      <w:r>
        <w:rPr>
          <w:rFonts w:ascii="Arial" w:cs="Arial" w:eastAsia="Arial" w:hAnsi="Arial"/>
          <w:sz w:val="17"/>
          <w:szCs w:val="17"/>
          <w:color w:val="auto"/>
        </w:rPr>
        <w:t>the three months ended September 30, 2017, compared to the prior period. Operating earnings (loss) is discussed in greater detail below.</w:t>
      </w:r>
    </w:p>
    <w:p>
      <w:pPr>
        <w:spacing w:after="0" w:line="38"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Nine Months Ended September 30, 2017 Compared with the Nine Months Ended September 30, 2016</w:t>
      </w:r>
    </w:p>
    <w:p>
      <w:pPr>
        <w:spacing w:after="0" w:line="117"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i w:val="1"/>
          <w:iCs w:val="1"/>
          <w:color w:val="auto"/>
        </w:rPr>
        <w:t>Overview</w:t>
      </w:r>
      <w:r>
        <w:rPr>
          <w:rFonts w:ascii="Arial" w:cs="Arial" w:eastAsia="Arial" w:hAnsi="Arial"/>
          <w:sz w:val="18"/>
          <w:szCs w:val="18"/>
          <w:color w:val="auto"/>
        </w:rPr>
        <w:t>. Income (loss) before provision for income tax increased $1.5 billion ($128 million, net of income tax). The increase in income (loss) before</w:t>
      </w:r>
      <w:r>
        <w:rPr>
          <w:rFonts w:ascii="Arial" w:cs="Arial" w:eastAsia="Arial" w:hAnsi="Arial"/>
          <w:sz w:val="18"/>
          <w:szCs w:val="18"/>
          <w:i w:val="1"/>
          <w:iCs w:val="1"/>
          <w:color w:val="auto"/>
        </w:rPr>
        <w:t xml:space="preserve"> </w:t>
      </w:r>
      <w:r>
        <w:rPr>
          <w:rFonts w:ascii="Arial" w:cs="Arial" w:eastAsia="Arial" w:hAnsi="Arial"/>
          <w:sz w:val="18"/>
          <w:szCs w:val="18"/>
          <w:color w:val="auto"/>
        </w:rPr>
        <w:t>provision for income tax was driven primarily by favorable changes from GMLB Riders, higher operating earnings and the impact from a charge for goodwill impairment in the prior period. The significantly lower increase in net income (loss) resulted from a net charge for income tax adjustments in connection with the Separation. Excluding the impact from the annual actuarial assumption review, income (loss) before provision for income tax decreased $916 million ($1.5 billion, net of income tax).</w:t>
      </w:r>
    </w:p>
    <w:p>
      <w:pPr>
        <w:spacing w:after="0" w:line="80"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i w:val="1"/>
          <w:iCs w:val="1"/>
          <w:color w:val="auto"/>
        </w:rPr>
        <w:t xml:space="preserve">GMLB Riders. </w:t>
      </w:r>
      <w:r>
        <w:rPr>
          <w:rFonts w:ascii="Arial" w:cs="Arial" w:eastAsia="Arial" w:hAnsi="Arial"/>
          <w:sz w:val="16"/>
          <w:szCs w:val="16"/>
          <w:color w:val="auto"/>
        </w:rPr>
        <w:t>GMLB Riders increased income (loss) before provision for income tax by $1.1 billion ($718 million, net of income tax) as increases from</w:t>
      </w:r>
      <w:r>
        <w:rPr>
          <w:rFonts w:ascii="Arial" w:cs="Arial" w:eastAsia="Arial" w:hAnsi="Arial"/>
          <w:sz w:val="16"/>
          <w:szCs w:val="16"/>
          <w:i w:val="1"/>
          <w:iCs w:val="1"/>
          <w:color w:val="auto"/>
        </w:rPr>
        <w:t xml:space="preserve"> </w:t>
      </w:r>
      <w:r>
        <w:rPr>
          <w:rFonts w:ascii="Arial" w:cs="Arial" w:eastAsia="Arial" w:hAnsi="Arial"/>
          <w:sz w:val="16"/>
          <w:szCs w:val="16"/>
          <w:color w:val="auto"/>
        </w:rPr>
        <w:t>the liabilities were partially offset by decreases in the related hedges and DAC offsets. For a detailed discussion of the GMLB Riders see “Segments and Corporate &amp; Other Results — GMLB Riders — Nine Months Ended September 30, 2017 Compared with the Nine Months Ended September 30, 2016.”</w:t>
      </w:r>
    </w:p>
    <w:p>
      <w:pPr>
        <w:spacing w:after="0" w:line="39"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i w:val="1"/>
          <w:iCs w:val="1"/>
          <w:color w:val="auto"/>
        </w:rPr>
        <w:t xml:space="preserve">Amortization of DAC and VOBA. </w:t>
      </w:r>
      <w:r>
        <w:rPr>
          <w:rFonts w:ascii="Arial" w:cs="Arial" w:eastAsia="Arial" w:hAnsi="Arial"/>
          <w:sz w:val="18"/>
          <w:szCs w:val="18"/>
          <w:color w:val="auto"/>
        </w:rPr>
        <w:t>Lower amortization of DAC and VOBA, excluding the amounts in GMLB Riders and operating earnings (loss),</w:t>
      </w:r>
      <w:r>
        <w:rPr>
          <w:rFonts w:ascii="Arial" w:cs="Arial" w:eastAsia="Arial" w:hAnsi="Arial"/>
          <w:sz w:val="18"/>
          <w:szCs w:val="18"/>
          <w:i w:val="1"/>
          <w:iCs w:val="1"/>
          <w:color w:val="auto"/>
        </w:rPr>
        <w:t xml:space="preserve"> </w:t>
      </w:r>
      <w:r>
        <w:rPr>
          <w:rFonts w:ascii="Arial" w:cs="Arial" w:eastAsia="Arial" w:hAnsi="Arial"/>
          <w:sz w:val="18"/>
          <w:szCs w:val="18"/>
          <w:color w:val="auto"/>
        </w:rPr>
        <w:t>increased income (loss) before provision for income tax by $13 million ($9 million, net of income tax), primarily due to lower profits resulting from net investment gains (losses) and net derivative gains (losses).</w:t>
      </w:r>
    </w:p>
    <w:p>
      <w:pPr>
        <w:spacing w:after="0" w:line="73"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i w:val="1"/>
          <w:iCs w:val="1"/>
          <w:color w:val="auto"/>
        </w:rPr>
        <w:t xml:space="preserve">Other Derivative Instruments. </w:t>
      </w:r>
      <w:r>
        <w:rPr>
          <w:rFonts w:ascii="Arial" w:cs="Arial" w:eastAsia="Arial" w:hAnsi="Arial"/>
          <w:sz w:val="18"/>
          <w:szCs w:val="18"/>
          <w:color w:val="auto"/>
        </w:rPr>
        <w:t>Changes in the fair value of our other derivative instruments decreased income (loss) before provision for income tax by</w:t>
      </w:r>
      <w:r>
        <w:rPr>
          <w:rFonts w:ascii="Arial" w:cs="Arial" w:eastAsia="Arial" w:hAnsi="Arial"/>
          <w:sz w:val="18"/>
          <w:szCs w:val="18"/>
          <w:i w:val="1"/>
          <w:iCs w:val="1"/>
          <w:color w:val="auto"/>
        </w:rPr>
        <w:t xml:space="preserve"> </w:t>
      </w:r>
      <w:r>
        <w:rPr>
          <w:rFonts w:ascii="Arial" w:cs="Arial" w:eastAsia="Arial" w:hAnsi="Arial"/>
          <w:sz w:val="18"/>
          <w:szCs w:val="18"/>
          <w:color w:val="auto"/>
        </w:rPr>
        <w:t>$102 million ($66 million, net of income tax).</w:t>
      </w:r>
    </w:p>
    <w:p>
      <w:pPr>
        <w:spacing w:after="0" w:line="62" w:lineRule="exact"/>
        <w:rPr>
          <w:sz w:val="20"/>
          <w:szCs w:val="20"/>
          <w:color w:val="auto"/>
        </w:rPr>
      </w:pPr>
    </w:p>
    <w:p>
      <w:pPr>
        <w:jc w:val="both"/>
        <w:ind w:left="180" w:firstLine="324"/>
        <w:spacing w:after="0" w:line="279" w:lineRule="auto"/>
        <w:rPr>
          <w:sz w:val="20"/>
          <w:szCs w:val="20"/>
          <w:color w:val="auto"/>
        </w:rPr>
      </w:pPr>
      <w:r>
        <w:rPr>
          <w:rFonts w:ascii="Arial" w:cs="Arial" w:eastAsia="Arial" w:hAnsi="Arial"/>
          <w:sz w:val="17"/>
          <w:szCs w:val="17"/>
          <w:i w:val="1"/>
          <w:iCs w:val="1"/>
          <w:color w:val="auto"/>
        </w:rPr>
        <w:t xml:space="preserve">Freestanding Derivatives. </w:t>
      </w:r>
      <w:r>
        <w:rPr>
          <w:rFonts w:ascii="Arial" w:cs="Arial" w:eastAsia="Arial" w:hAnsi="Arial"/>
          <w:sz w:val="17"/>
          <w:szCs w:val="17"/>
          <w:color w:val="auto"/>
        </w:rPr>
        <w:t>Changes in the fair value of freestanding derivatives increased income (loss) before provision for income tax by $21 million</w:t>
      </w:r>
      <w:r>
        <w:rPr>
          <w:rFonts w:ascii="Arial" w:cs="Arial" w:eastAsia="Arial" w:hAnsi="Arial"/>
          <w:sz w:val="17"/>
          <w:szCs w:val="17"/>
          <w:i w:val="1"/>
          <w:iCs w:val="1"/>
          <w:color w:val="auto"/>
        </w:rPr>
        <w:t xml:space="preserve"> </w:t>
      </w:r>
      <w:r>
        <w:rPr>
          <w:rFonts w:ascii="Arial" w:cs="Arial" w:eastAsia="Arial" w:hAnsi="Arial"/>
          <w:sz w:val="17"/>
          <w:szCs w:val="17"/>
          <w:color w:val="auto"/>
        </w:rPr>
        <w:t>($14 million, net of income tax), primarily due to favorable changes in the fair value of interest rate swaps as a result of interest rates increasing less in the current period than in the prior period. This favorable change was partially offset by unfavorable changes in our foreign currency swaps due to the U.S. dollar weakening against key foreign currencies in the current period when compared to the prior period.</w:t>
      </w:r>
    </w:p>
    <w:p>
      <w:pPr>
        <w:spacing w:after="0" w:line="63" w:lineRule="exact"/>
        <w:rPr>
          <w:sz w:val="20"/>
          <w:szCs w:val="20"/>
          <w:color w:val="auto"/>
        </w:rPr>
      </w:pPr>
    </w:p>
    <w:p>
      <w:pPr>
        <w:jc w:val="both"/>
        <w:ind w:left="180" w:firstLine="324"/>
        <w:spacing w:after="0" w:line="297" w:lineRule="auto"/>
        <w:rPr>
          <w:sz w:val="20"/>
          <w:szCs w:val="20"/>
          <w:color w:val="auto"/>
        </w:rPr>
      </w:pPr>
      <w:r>
        <w:rPr>
          <w:rFonts w:ascii="Arial" w:cs="Arial" w:eastAsia="Arial" w:hAnsi="Arial"/>
          <w:sz w:val="16"/>
          <w:szCs w:val="16"/>
          <w:i w:val="1"/>
          <w:iCs w:val="1"/>
          <w:color w:val="auto"/>
        </w:rPr>
        <w:t xml:space="preserve">Embedded Derivatives. </w:t>
      </w:r>
      <w:r>
        <w:rPr>
          <w:rFonts w:ascii="Arial" w:cs="Arial" w:eastAsia="Arial" w:hAnsi="Arial"/>
          <w:sz w:val="16"/>
          <w:szCs w:val="16"/>
          <w:color w:val="auto"/>
        </w:rPr>
        <w:t>Unfavorable changes in the fair value of embedded derivatives decreased income (loss) before provision for income tax by</w:t>
      </w:r>
      <w:r>
        <w:rPr>
          <w:rFonts w:ascii="Arial" w:cs="Arial" w:eastAsia="Arial" w:hAnsi="Arial"/>
          <w:sz w:val="16"/>
          <w:szCs w:val="16"/>
          <w:i w:val="1"/>
          <w:iCs w:val="1"/>
          <w:color w:val="auto"/>
        </w:rPr>
        <w:t xml:space="preserve"> </w:t>
      </w:r>
      <w:r>
        <w:rPr>
          <w:rFonts w:ascii="Arial" w:cs="Arial" w:eastAsia="Arial" w:hAnsi="Arial"/>
          <w:sz w:val="16"/>
          <w:szCs w:val="16"/>
          <w:color w:val="auto"/>
        </w:rPr>
        <w:t>$123 million ($80 million, net of income tax), primarily due to the unfavorable impacts on our Shield annuity liabilities from an increase in underlying equity index levels through the six months ended June 30, 2017 and the reduction in funds withheld as a result of reinsurance recapture activity, for which gains were recognized in the prior period. In connection with the transition to our new variable annuity hedging program, changes in the fair value of the Shield annuity liabilities are included in the hedging program component of GMLB Riders beginning in the third quarter of 2017 on a prospective basis.</w:t>
      </w:r>
    </w:p>
    <w:p>
      <w:pPr>
        <w:spacing w:after="0" w:line="50"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i w:val="1"/>
          <w:iCs w:val="1"/>
          <w:color w:val="auto"/>
        </w:rPr>
        <w:t xml:space="preserve">Net Investment Gains (Losses). </w:t>
      </w:r>
      <w:r>
        <w:rPr>
          <w:rFonts w:ascii="Arial" w:cs="Arial" w:eastAsia="Arial" w:hAnsi="Arial"/>
          <w:sz w:val="17"/>
          <w:szCs w:val="17"/>
          <w:color w:val="auto"/>
        </w:rPr>
        <w:t>Net investment gains (losses) decreased income (loss) before provision for income tax by $19 million ($12 million, net of</w:t>
      </w:r>
      <w:r>
        <w:rPr>
          <w:rFonts w:ascii="Arial" w:cs="Arial" w:eastAsia="Arial" w:hAnsi="Arial"/>
          <w:sz w:val="17"/>
          <w:szCs w:val="17"/>
          <w:i w:val="1"/>
          <w:iCs w:val="1"/>
          <w:color w:val="auto"/>
        </w:rPr>
        <w:t xml:space="preserve"> </w:t>
      </w:r>
      <w:r>
        <w:rPr>
          <w:rFonts w:ascii="Arial" w:cs="Arial" w:eastAsia="Arial" w:hAnsi="Arial"/>
          <w:sz w:val="17"/>
          <w:szCs w:val="17"/>
          <w:color w:val="auto"/>
        </w:rPr>
        <w:t>income tax) driven by net losses in the current period, compared to gains in the prior period, from (i) sales of fixed maturity securities, (ii) foreign currency and (iii) commercial mortgage loans, partially offset by lower impairments of real estate joint ventures and fixed maturity securities.</w:t>
      </w:r>
    </w:p>
    <w:p>
      <w:pPr>
        <w:spacing w:after="0" w:line="57"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i w:val="1"/>
          <w:iCs w:val="1"/>
          <w:color w:val="auto"/>
        </w:rPr>
        <w:t xml:space="preserve">Other Adjustments. </w:t>
      </w:r>
      <w:r>
        <w:rPr>
          <w:rFonts w:ascii="Arial" w:cs="Arial" w:eastAsia="Arial" w:hAnsi="Arial"/>
          <w:sz w:val="18"/>
          <w:szCs w:val="18"/>
          <w:color w:val="auto"/>
        </w:rPr>
        <w:t>Other adjustments to determine operating earnings (loss) increased income (loss) before provision for income tax by $238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($155 million, net of income tax), primarily due to charges in the prior period related to an impairment of goodwill in our Run-off segment and the write-off of previously capitalized items in Corporate &amp; Other in connection with the sale of MPCG to MassMutual.</w:t>
      </w:r>
    </w:p>
    <w:p>
      <w:pPr>
        <w:spacing w:after="0" w:line="73"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i w:val="1"/>
          <w:iCs w:val="1"/>
          <w:color w:val="auto"/>
        </w:rPr>
        <w:t xml:space="preserve">Income Tax Expense (Benefit). </w:t>
      </w:r>
      <w:r>
        <w:rPr>
          <w:rFonts w:ascii="Arial" w:cs="Arial" w:eastAsia="Arial" w:hAnsi="Arial"/>
          <w:sz w:val="17"/>
          <w:szCs w:val="17"/>
          <w:color w:val="auto"/>
        </w:rPr>
        <w:t>Income tax expense for the nine months ended September 30, 2017 was $653 million compared to a tax benefit of $754</w:t>
      </w:r>
      <w:r>
        <w:rPr>
          <w:rFonts w:ascii="Arial" w:cs="Arial" w:eastAsia="Arial" w:hAnsi="Arial"/>
          <w:sz w:val="17"/>
          <w:szCs w:val="17"/>
          <w:i w:val="1"/>
          <w:iCs w:val="1"/>
          <w:color w:val="auto"/>
        </w:rPr>
        <w:t xml:space="preserve"> </w:t>
      </w:r>
      <w:r>
        <w:rPr>
          <w:rFonts w:ascii="Arial" w:cs="Arial" w:eastAsia="Arial" w:hAnsi="Arial"/>
          <w:sz w:val="17"/>
          <w:szCs w:val="17"/>
          <w:color w:val="auto"/>
        </w:rPr>
        <w:t>million for the nine months ended September 30, 2016. Our effective tax rate typically differs from the U.S. statutory rate of 35% primarily due to the impacts of the dividend received deductions and utilization of tax credits. In the current period, we recognized an additional $1.1 billion non-cash tax charge triggered prior to the Separation. We also recognized certain tax benefits in the current period, including (i) $138 million related to previously unrecognized deferred losses that became recognizable upon completion of the Separation, (ii) $119 million related to the dividend received deductions and tax credits as well as (iii) a downward adjustment of reserves by $17 million. These adjustments resulted in effective tax rate percentages that are not meaningful for comparison purposes and accordingly have not been included.</w:t>
      </w:r>
    </w:p>
    <w:p>
      <w:pPr>
        <w:spacing w:after="0" w:line="70"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i w:val="1"/>
          <w:iCs w:val="1"/>
          <w:color w:val="auto"/>
        </w:rPr>
        <w:t xml:space="preserve">Operating Earnings (Loss). </w:t>
      </w:r>
      <w:r>
        <w:rPr>
          <w:rFonts w:ascii="Arial" w:cs="Arial" w:eastAsia="Arial" w:hAnsi="Arial"/>
          <w:sz w:val="17"/>
          <w:szCs w:val="17"/>
          <w:color w:val="auto"/>
        </w:rPr>
        <w:t>Operating earnings (loss) before provision for income tax increased $298 million (decreased $820 million, net of income tax)</w:t>
      </w:r>
      <w:r>
        <w:rPr>
          <w:rFonts w:ascii="Arial" w:cs="Arial" w:eastAsia="Arial" w:hAnsi="Arial"/>
          <w:sz w:val="17"/>
          <w:szCs w:val="17"/>
          <w:i w:val="1"/>
          <w:iCs w:val="1"/>
          <w:color w:val="auto"/>
        </w:rPr>
        <w:t xml:space="preserve"> </w:t>
      </w:r>
      <w:r>
        <w:rPr>
          <w:rFonts w:ascii="Arial" w:cs="Arial" w:eastAsia="Arial" w:hAnsi="Arial"/>
          <w:sz w:val="17"/>
          <w:szCs w:val="17"/>
          <w:color w:val="auto"/>
        </w:rPr>
        <w:t>for the nine months ended September 30, 2017, compared to the prior period. Operating earnings (loss) is discussed in greater detail below.</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420"/>
          </w:cols>
          <w:pgMar w:left="240" w:top="126" w:right="239" w:bottom="1440" w:gutter="0" w:footer="0" w:header="0"/>
        </w:sectPr>
      </w:pPr>
    </w:p>
    <w:bookmarkStart w:id="91" w:name="page92"/>
    <w:bookmarkEnd w:id="91"/>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Reconciliation of net income (loss) to operating earnings (loss)</w:t>
      </w:r>
    </w:p>
    <w:p>
      <w:pPr>
        <w:spacing w:after="0" w:line="11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Three Months Ended September 30, 2017</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180" w:type="dxa"/>
            <w:vAlign w:val="bottom"/>
          </w:tcPr>
          <w:p>
            <w:pPr>
              <w:spacing w:after="0"/>
              <w:rPr>
                <w:sz w:val="17"/>
                <w:szCs w:val="17"/>
                <w:color w:val="auto"/>
              </w:rPr>
            </w:pPr>
          </w:p>
        </w:tc>
        <w:tc>
          <w:tcPr>
            <w:tcW w:w="308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7"/>
              </w:rPr>
              <w:t>Corporate &amp;</w:t>
            </w: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18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ind w:left="60"/>
              <w:spacing w:after="0"/>
              <w:rPr>
                <w:sz w:val="20"/>
                <w:szCs w:val="20"/>
                <w:color w:val="auto"/>
              </w:rPr>
            </w:pPr>
            <w:r>
              <w:rPr>
                <w:rFonts w:ascii="Arial" w:cs="Arial" w:eastAsia="Arial" w:hAnsi="Arial"/>
                <w:sz w:val="16"/>
                <w:szCs w:val="16"/>
                <w:b w:val="1"/>
                <w:bCs w:val="1"/>
                <w:color w:val="auto"/>
              </w:rPr>
              <w:t>Annuities</w:t>
            </w:r>
          </w:p>
        </w:tc>
        <w:tc>
          <w:tcPr>
            <w:tcW w:w="220" w:type="dxa"/>
            <w:vAlign w:val="bottom"/>
          </w:tcPr>
          <w:p>
            <w:pPr>
              <w:spacing w:after="0"/>
              <w:rPr>
                <w:sz w:val="18"/>
                <w:szCs w:val="18"/>
                <w:color w:val="auto"/>
              </w:rPr>
            </w:pPr>
          </w:p>
        </w:tc>
        <w:tc>
          <w:tcPr>
            <w:tcW w:w="800" w:type="dxa"/>
            <w:vAlign w:val="bottom"/>
            <w:gridSpan w:val="2"/>
          </w:tcPr>
          <w:p>
            <w:pPr>
              <w:ind w:left="100"/>
              <w:spacing w:after="0"/>
              <w:rPr>
                <w:sz w:val="20"/>
                <w:szCs w:val="20"/>
                <w:color w:val="auto"/>
              </w:rPr>
            </w:pPr>
            <w:r>
              <w:rPr>
                <w:rFonts w:ascii="Arial" w:cs="Arial" w:eastAsia="Arial" w:hAnsi="Arial"/>
                <w:sz w:val="16"/>
                <w:szCs w:val="16"/>
                <w:b w:val="1"/>
                <w:bCs w:val="1"/>
                <w:color w:val="auto"/>
              </w:rPr>
              <w:t>Life</w:t>
            </w:r>
          </w:p>
        </w:tc>
        <w:tc>
          <w:tcPr>
            <w:tcW w:w="200" w:type="dxa"/>
            <w:vAlign w:val="bottom"/>
          </w:tcPr>
          <w:p>
            <w:pPr>
              <w:spacing w:after="0"/>
              <w:rPr>
                <w:sz w:val="18"/>
                <w:szCs w:val="18"/>
                <w:color w:val="auto"/>
              </w:rPr>
            </w:pPr>
          </w:p>
        </w:tc>
        <w:tc>
          <w:tcPr>
            <w:tcW w:w="1040" w:type="dxa"/>
            <w:vAlign w:val="bottom"/>
            <w:gridSpan w:val="2"/>
          </w:tcPr>
          <w:p>
            <w:pPr>
              <w:ind w:left="100"/>
              <w:spacing w:after="0"/>
              <w:rPr>
                <w:sz w:val="20"/>
                <w:szCs w:val="20"/>
                <w:color w:val="auto"/>
              </w:rPr>
            </w:pPr>
            <w:r>
              <w:rPr>
                <w:rFonts w:ascii="Arial" w:cs="Arial" w:eastAsia="Arial" w:hAnsi="Arial"/>
                <w:sz w:val="16"/>
                <w:szCs w:val="16"/>
                <w:b w:val="1"/>
                <w:bCs w:val="1"/>
                <w:color w:val="auto"/>
              </w:rPr>
              <w:t>Run-off</w:t>
            </w:r>
          </w:p>
        </w:tc>
        <w:tc>
          <w:tcPr>
            <w:tcW w:w="120" w:type="dxa"/>
            <w:vAlign w:val="bottom"/>
          </w:tcPr>
          <w:p>
            <w:pPr>
              <w:spacing w:after="0"/>
              <w:rPr>
                <w:sz w:val="18"/>
                <w:szCs w:val="18"/>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8"/>
              </w:rPr>
              <w:t>Other</w:t>
            </w:r>
          </w:p>
        </w:tc>
        <w:tc>
          <w:tcPr>
            <w:tcW w:w="260" w:type="dxa"/>
            <w:vAlign w:val="bottom"/>
          </w:tcPr>
          <w:p>
            <w:pPr>
              <w:spacing w:after="0"/>
              <w:rPr>
                <w:sz w:val="18"/>
                <w:szCs w:val="18"/>
                <w:color w:val="auto"/>
              </w:rPr>
            </w:pPr>
          </w:p>
        </w:tc>
        <w:tc>
          <w:tcPr>
            <w:tcW w:w="880" w:type="dxa"/>
            <w:vAlign w:val="bottom"/>
          </w:tcPr>
          <w:p>
            <w:pPr>
              <w:jc w:val="right"/>
              <w:ind w:right="291"/>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33"/>
        </w:trPr>
        <w:tc>
          <w:tcPr>
            <w:tcW w:w="180" w:type="dxa"/>
            <w:vAlign w:val="bottom"/>
          </w:tcPr>
          <w:p>
            <w:pPr>
              <w:spacing w:after="0"/>
              <w:rPr>
                <w:sz w:val="2"/>
                <w:szCs w:val="2"/>
                <w:color w:val="auto"/>
              </w:rPr>
            </w:pPr>
          </w:p>
        </w:tc>
        <w:tc>
          <w:tcPr>
            <w:tcW w:w="3080" w:type="dxa"/>
            <w:vAlign w:val="bottom"/>
          </w:tcPr>
          <w:p>
            <w:pPr>
              <w:spacing w:after="0"/>
              <w:rPr>
                <w:sz w:val="2"/>
                <w:szCs w:val="2"/>
                <w:color w:val="auto"/>
              </w:rPr>
            </w:pPr>
          </w:p>
        </w:tc>
        <w:tc>
          <w:tcPr>
            <w:tcW w:w="22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180" w:type="dxa"/>
            <w:vAlign w:val="bottom"/>
          </w:tcPr>
          <w:p>
            <w:pPr>
              <w:spacing w:after="0"/>
              <w:rPr>
                <w:sz w:val="21"/>
                <w:szCs w:val="21"/>
                <w:color w:val="auto"/>
              </w:rPr>
            </w:pPr>
          </w:p>
        </w:tc>
        <w:tc>
          <w:tcPr>
            <w:tcW w:w="3080" w:type="dxa"/>
            <w:vAlign w:val="bottom"/>
          </w:tcPr>
          <w:p>
            <w:pPr>
              <w:spacing w:after="0"/>
              <w:rPr>
                <w:sz w:val="21"/>
                <w:szCs w:val="21"/>
                <w:color w:val="auto"/>
              </w:rPr>
            </w:pPr>
          </w:p>
        </w:tc>
        <w:tc>
          <w:tcPr>
            <w:tcW w:w="22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gridSpan w:val="2"/>
          </w:tcPr>
          <w:p>
            <w:pPr>
              <w:ind w:left="100"/>
              <w:spacing w:after="0"/>
              <w:rPr>
                <w:sz w:val="20"/>
                <w:szCs w:val="20"/>
                <w:color w:val="auto"/>
              </w:rPr>
            </w:pPr>
            <w:r>
              <w:rPr>
                <w:rFonts w:ascii="Arial" w:cs="Arial" w:eastAsia="Arial" w:hAnsi="Arial"/>
                <w:sz w:val="14"/>
                <w:szCs w:val="14"/>
                <w:b w:val="1"/>
                <w:bCs w:val="1"/>
                <w:color w:val="auto"/>
              </w:rPr>
              <w:t>(In millions)</w:t>
            </w:r>
          </w:p>
        </w:tc>
        <w:tc>
          <w:tcPr>
            <w:tcW w:w="1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55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Net income (loss)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88</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(968)</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(943)</w:t>
            </w:r>
          </w:p>
        </w:tc>
        <w:tc>
          <w:tcPr>
            <w:tcW w:w="0" w:type="dxa"/>
            <w:vAlign w:val="bottom"/>
          </w:tcPr>
          <w:p>
            <w:pPr>
              <w:spacing w:after="0"/>
              <w:rPr>
                <w:sz w:val="1"/>
                <w:szCs w:val="1"/>
                <w:color w:val="auto"/>
              </w:rPr>
            </w:pPr>
          </w:p>
        </w:tc>
      </w:tr>
      <w:tr>
        <w:trPr>
          <w:trHeight w:val="243"/>
        </w:trPr>
        <w:tc>
          <w:tcPr>
            <w:tcW w:w="5500" w:type="dxa"/>
            <w:vAlign w:val="bottom"/>
            <w:gridSpan w:val="3"/>
          </w:tcPr>
          <w:p>
            <w:pPr>
              <w:ind w:left="40"/>
              <w:spacing w:after="0"/>
              <w:rPr>
                <w:sz w:val="20"/>
                <w:szCs w:val="20"/>
                <w:color w:val="auto"/>
              </w:rPr>
            </w:pPr>
            <w:r>
              <w:rPr>
                <w:rFonts w:ascii="Arial" w:cs="Arial" w:eastAsia="Arial" w:hAnsi="Arial"/>
                <w:sz w:val="18"/>
                <w:szCs w:val="18"/>
                <w:color w:val="auto"/>
              </w:rPr>
              <w:t>Add: Provision for income tax expense (benefit)</w:t>
            </w:r>
          </w:p>
        </w:tc>
        <w:tc>
          <w:tcPr>
            <w:tcW w:w="2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32"/>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887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819</w:t>
            </w:r>
          </w:p>
        </w:tc>
        <w:tc>
          <w:tcPr>
            <w:tcW w:w="0" w:type="dxa"/>
            <w:vAlign w:val="bottom"/>
          </w:tcPr>
          <w:p>
            <w:pPr>
              <w:spacing w:after="0"/>
              <w:rPr>
                <w:sz w:val="1"/>
                <w:szCs w:val="1"/>
                <w:color w:val="auto"/>
              </w:rPr>
            </w:pPr>
          </w:p>
        </w:tc>
      </w:tr>
      <w:tr>
        <w:trPr>
          <w:trHeight w:val="27"/>
        </w:trPr>
        <w:tc>
          <w:tcPr>
            <w:tcW w:w="180" w:type="dxa"/>
            <w:vAlign w:val="bottom"/>
            <w:tcBorders>
              <w:bottom w:val="single" w:sz="8" w:color="CCEEFF"/>
            </w:tcBorders>
          </w:tcPr>
          <w:p>
            <w:pPr>
              <w:spacing w:after="0"/>
              <w:rPr>
                <w:sz w:val="2"/>
                <w:szCs w:val="2"/>
                <w:color w:val="auto"/>
              </w:rPr>
            </w:pPr>
          </w:p>
        </w:tc>
        <w:tc>
          <w:tcPr>
            <w:tcW w:w="3080" w:type="dxa"/>
            <w:vAlign w:val="bottom"/>
            <w:tcBorders>
              <w:bottom w:val="single" w:sz="8" w:color="CCEEFF"/>
            </w:tcBorders>
          </w:tcPr>
          <w:p>
            <w:pPr>
              <w:spacing w:after="0"/>
              <w:rPr>
                <w:sz w:val="2"/>
                <w:szCs w:val="2"/>
                <w:color w:val="auto"/>
              </w:rPr>
            </w:pPr>
          </w:p>
        </w:tc>
        <w:tc>
          <w:tcPr>
            <w:tcW w:w="22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5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Net income (loss) before provision for income tax</w:t>
            </w: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243"/>
        </w:trPr>
        <w:tc>
          <w:tcPr>
            <w:tcW w:w="5500" w:type="dxa"/>
            <w:vAlign w:val="bottom"/>
            <w:gridSpan w:val="3"/>
          </w:tcPr>
          <w:p>
            <w:pPr>
              <w:ind w:left="40"/>
              <w:spacing w:after="0"/>
              <w:rPr>
                <w:sz w:val="20"/>
                <w:szCs w:val="20"/>
                <w:color w:val="auto"/>
              </w:rPr>
            </w:pPr>
            <w:r>
              <w:rPr>
                <w:rFonts w:ascii="Arial" w:cs="Arial" w:eastAsia="Arial" w:hAnsi="Arial"/>
                <w:sz w:val="18"/>
                <w:szCs w:val="18"/>
                <w:color w:val="auto"/>
              </w:rPr>
              <w:t>Less: GMLB Riders</w:t>
            </w:r>
          </w:p>
        </w:tc>
        <w:tc>
          <w:tcPr>
            <w:tcW w:w="2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(641)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(641)</w:t>
            </w:r>
          </w:p>
        </w:tc>
        <w:tc>
          <w:tcPr>
            <w:tcW w:w="0" w:type="dxa"/>
            <w:vAlign w:val="bottom"/>
          </w:tcPr>
          <w:p>
            <w:pPr>
              <w:spacing w:after="0"/>
              <w:rPr>
                <w:sz w:val="1"/>
                <w:szCs w:val="1"/>
                <w:color w:val="auto"/>
              </w:rPr>
            </w:pPr>
          </w:p>
        </w:tc>
      </w:tr>
      <w:tr>
        <w:trPr>
          <w:trHeight w:val="27"/>
        </w:trPr>
        <w:tc>
          <w:tcPr>
            <w:tcW w:w="180" w:type="dxa"/>
            <w:vAlign w:val="bottom"/>
          </w:tcPr>
          <w:p>
            <w:pPr>
              <w:spacing w:after="0"/>
              <w:rPr>
                <w:sz w:val="2"/>
                <w:szCs w:val="2"/>
                <w:color w:val="auto"/>
              </w:rPr>
            </w:pPr>
          </w:p>
        </w:tc>
        <w:tc>
          <w:tcPr>
            <w:tcW w:w="3080" w:type="dxa"/>
            <w:vAlign w:val="bottom"/>
          </w:tcPr>
          <w:p>
            <w:pPr>
              <w:spacing w:after="0"/>
              <w:rPr>
                <w:sz w:val="2"/>
                <w:szCs w:val="2"/>
                <w:color w:val="auto"/>
              </w:rPr>
            </w:pPr>
          </w:p>
        </w:tc>
        <w:tc>
          <w:tcPr>
            <w:tcW w:w="2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Less: Amortization of DAC and VOBA</w:t>
            </w: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43"/>
        </w:trPr>
        <w:tc>
          <w:tcPr>
            <w:tcW w:w="5500" w:type="dxa"/>
            <w:vAlign w:val="bottom"/>
            <w:gridSpan w:val="3"/>
          </w:tcPr>
          <w:p>
            <w:pPr>
              <w:ind w:left="40"/>
              <w:spacing w:after="0"/>
              <w:rPr>
                <w:sz w:val="20"/>
                <w:szCs w:val="20"/>
                <w:color w:val="auto"/>
              </w:rPr>
            </w:pPr>
            <w:r>
              <w:rPr>
                <w:rFonts w:ascii="Arial" w:cs="Arial" w:eastAsia="Arial" w:hAnsi="Arial"/>
                <w:sz w:val="18"/>
                <w:szCs w:val="18"/>
                <w:color w:val="auto"/>
              </w:rPr>
              <w:t>Less: Other derivative instruments</w:t>
            </w:r>
          </w:p>
        </w:tc>
        <w:tc>
          <w:tcPr>
            <w:tcW w:w="2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7"/>
        </w:trPr>
        <w:tc>
          <w:tcPr>
            <w:tcW w:w="180" w:type="dxa"/>
            <w:vAlign w:val="bottom"/>
          </w:tcPr>
          <w:p>
            <w:pPr>
              <w:spacing w:after="0"/>
              <w:rPr>
                <w:sz w:val="2"/>
                <w:szCs w:val="2"/>
                <w:color w:val="auto"/>
              </w:rPr>
            </w:pPr>
          </w:p>
        </w:tc>
        <w:tc>
          <w:tcPr>
            <w:tcW w:w="3080" w:type="dxa"/>
            <w:vAlign w:val="bottom"/>
          </w:tcPr>
          <w:p>
            <w:pPr>
              <w:spacing w:after="0"/>
              <w:rPr>
                <w:sz w:val="2"/>
                <w:szCs w:val="2"/>
                <w:color w:val="auto"/>
              </w:rPr>
            </w:pPr>
          </w:p>
        </w:tc>
        <w:tc>
          <w:tcPr>
            <w:tcW w:w="2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Less: Net investment gains (losses)</w:t>
            </w: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43"/>
        </w:trPr>
        <w:tc>
          <w:tcPr>
            <w:tcW w:w="5500" w:type="dxa"/>
            <w:vAlign w:val="bottom"/>
            <w:gridSpan w:val="3"/>
          </w:tcPr>
          <w:p>
            <w:pPr>
              <w:ind w:left="40"/>
              <w:spacing w:after="0"/>
              <w:rPr>
                <w:sz w:val="20"/>
                <w:szCs w:val="20"/>
                <w:color w:val="auto"/>
              </w:rPr>
            </w:pPr>
            <w:r>
              <w:rPr>
                <w:rFonts w:ascii="Arial" w:cs="Arial" w:eastAsia="Arial" w:hAnsi="Arial"/>
                <w:sz w:val="18"/>
                <w:szCs w:val="18"/>
                <w:color w:val="auto"/>
              </w:rPr>
              <w:t>Less: Other adjustments (1)</w:t>
            </w:r>
          </w:p>
        </w:tc>
        <w:tc>
          <w:tcPr>
            <w:tcW w:w="20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7"/>
        </w:trPr>
        <w:tc>
          <w:tcPr>
            <w:tcW w:w="180" w:type="dxa"/>
            <w:vAlign w:val="bottom"/>
            <w:tcBorders>
              <w:bottom w:val="single" w:sz="8" w:color="CCEEFF"/>
            </w:tcBorders>
          </w:tcPr>
          <w:p>
            <w:pPr>
              <w:spacing w:after="0"/>
              <w:rPr>
                <w:sz w:val="2"/>
                <w:szCs w:val="2"/>
                <w:color w:val="auto"/>
              </w:rPr>
            </w:pPr>
          </w:p>
        </w:tc>
        <w:tc>
          <w:tcPr>
            <w:tcW w:w="3080" w:type="dxa"/>
            <w:vAlign w:val="bottom"/>
            <w:tcBorders>
              <w:bottom w:val="single" w:sz="8" w:color="CCEEFF"/>
            </w:tcBorders>
          </w:tcPr>
          <w:p>
            <w:pPr>
              <w:spacing w:after="0"/>
              <w:rPr>
                <w:sz w:val="2"/>
                <w:szCs w:val="2"/>
                <w:color w:val="auto"/>
              </w:rPr>
            </w:pPr>
          </w:p>
        </w:tc>
        <w:tc>
          <w:tcPr>
            <w:tcW w:w="22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5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Operating earnings (loss) before provision for income tax</w:t>
            </w: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488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504</w:t>
            </w:r>
          </w:p>
        </w:tc>
        <w:tc>
          <w:tcPr>
            <w:tcW w:w="0" w:type="dxa"/>
            <w:vAlign w:val="bottom"/>
          </w:tcPr>
          <w:p>
            <w:pPr>
              <w:spacing w:after="0"/>
              <w:rPr>
                <w:sz w:val="1"/>
                <w:szCs w:val="1"/>
                <w:color w:val="auto"/>
              </w:rPr>
            </w:pPr>
          </w:p>
        </w:tc>
      </w:tr>
      <w:tr>
        <w:trPr>
          <w:trHeight w:val="243"/>
        </w:trPr>
        <w:tc>
          <w:tcPr>
            <w:tcW w:w="5500" w:type="dxa"/>
            <w:vAlign w:val="bottom"/>
            <w:gridSpan w:val="3"/>
          </w:tcPr>
          <w:p>
            <w:pPr>
              <w:ind w:left="40"/>
              <w:spacing w:after="0"/>
              <w:rPr>
                <w:sz w:val="20"/>
                <w:szCs w:val="20"/>
                <w:color w:val="auto"/>
              </w:rPr>
            </w:pPr>
            <w:r>
              <w:rPr>
                <w:rFonts w:ascii="Arial" w:cs="Arial" w:eastAsia="Arial" w:hAnsi="Arial"/>
                <w:sz w:val="18"/>
                <w:szCs w:val="18"/>
                <w:color w:val="auto"/>
              </w:rPr>
              <w:t>Less: Provision for income tax (expense) benefit</w:t>
            </w:r>
          </w:p>
        </w:tc>
        <w:tc>
          <w:tcPr>
            <w:tcW w:w="20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133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32"/>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1,025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1,180</w:t>
            </w:r>
          </w:p>
        </w:tc>
        <w:tc>
          <w:tcPr>
            <w:tcW w:w="0" w:type="dxa"/>
            <w:vAlign w:val="bottom"/>
          </w:tcPr>
          <w:p>
            <w:pPr>
              <w:spacing w:after="0"/>
              <w:rPr>
                <w:sz w:val="1"/>
                <w:szCs w:val="1"/>
                <w:color w:val="auto"/>
              </w:rPr>
            </w:pPr>
          </w:p>
        </w:tc>
      </w:tr>
      <w:tr>
        <w:trPr>
          <w:trHeight w:val="27"/>
        </w:trPr>
        <w:tc>
          <w:tcPr>
            <w:tcW w:w="180" w:type="dxa"/>
            <w:vAlign w:val="bottom"/>
            <w:tcBorders>
              <w:bottom w:val="single" w:sz="8" w:color="CCEEFF"/>
            </w:tcBorders>
          </w:tcPr>
          <w:p>
            <w:pPr>
              <w:spacing w:after="0"/>
              <w:rPr>
                <w:sz w:val="2"/>
                <w:szCs w:val="2"/>
                <w:color w:val="auto"/>
              </w:rPr>
            </w:pPr>
          </w:p>
        </w:tc>
        <w:tc>
          <w:tcPr>
            <w:tcW w:w="3080" w:type="dxa"/>
            <w:vAlign w:val="bottom"/>
            <w:tcBorders>
              <w:bottom w:val="single" w:sz="8" w:color="CCEEFF"/>
            </w:tcBorders>
          </w:tcPr>
          <w:p>
            <w:pPr>
              <w:spacing w:after="0"/>
              <w:rPr>
                <w:sz w:val="2"/>
                <w:szCs w:val="2"/>
                <w:color w:val="auto"/>
              </w:rPr>
            </w:pPr>
          </w:p>
        </w:tc>
        <w:tc>
          <w:tcPr>
            <w:tcW w:w="22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5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Operating earnings (loss)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355</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83</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(1,120)</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(676)</w:t>
            </w:r>
          </w:p>
        </w:tc>
        <w:tc>
          <w:tcPr>
            <w:tcW w:w="0" w:type="dxa"/>
            <w:vAlign w:val="bottom"/>
          </w:tcPr>
          <w:p>
            <w:pPr>
              <w:spacing w:after="0"/>
              <w:rPr>
                <w:sz w:val="1"/>
                <w:szCs w:val="1"/>
                <w:color w:val="auto"/>
              </w:rPr>
            </w:pPr>
          </w:p>
        </w:tc>
      </w:tr>
      <w:tr>
        <w:trPr>
          <w:trHeight w:val="20"/>
        </w:trPr>
        <w:tc>
          <w:tcPr>
            <w:tcW w:w="180" w:type="dxa"/>
            <w:vAlign w:val="bottom"/>
            <w:tcBorders>
              <w:top w:val="single" w:sz="8" w:color="CCEEFF"/>
            </w:tcBorders>
          </w:tcPr>
          <w:p>
            <w:pPr>
              <w:spacing w:after="0" w:line="20" w:lineRule="exact"/>
              <w:rPr>
                <w:sz w:val="1"/>
                <w:szCs w:val="1"/>
                <w:color w:val="auto"/>
              </w:rPr>
            </w:pPr>
          </w:p>
        </w:tc>
        <w:tc>
          <w:tcPr>
            <w:tcW w:w="532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8"/>
                <w:szCs w:val="18"/>
                <w:b w:val="1"/>
                <w:bCs w:val="1"/>
                <w:i w:val="1"/>
                <w:iCs w:val="1"/>
                <w:color w:val="auto"/>
              </w:rPr>
              <w:t>Three Months Ended September 30, 2016</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180" w:type="dxa"/>
            <w:vAlign w:val="bottom"/>
          </w:tcPr>
          <w:p>
            <w:pPr>
              <w:spacing w:after="0"/>
              <w:rPr>
                <w:sz w:val="22"/>
                <w:szCs w:val="22"/>
                <w:color w:val="auto"/>
              </w:rPr>
            </w:pPr>
          </w:p>
        </w:tc>
        <w:tc>
          <w:tcPr>
            <w:tcW w:w="5320" w:type="dxa"/>
            <w:vAlign w:val="bottom"/>
            <w:gridSpan w:val="2"/>
            <w:vMerge w:val="continue"/>
          </w:tcPr>
          <w:p>
            <w:pPr>
              <w:spacing w:after="0"/>
              <w:rPr>
                <w:sz w:val="22"/>
                <w:szCs w:val="22"/>
                <w:color w:val="auto"/>
              </w:rPr>
            </w:pPr>
          </w:p>
        </w:tc>
        <w:tc>
          <w:tcPr>
            <w:tcW w:w="2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79"/>
        </w:trPr>
        <w:tc>
          <w:tcPr>
            <w:tcW w:w="180" w:type="dxa"/>
            <w:vAlign w:val="bottom"/>
          </w:tcPr>
          <w:p>
            <w:pPr>
              <w:spacing w:after="0"/>
              <w:rPr>
                <w:sz w:val="24"/>
                <w:szCs w:val="24"/>
                <w:color w:val="auto"/>
              </w:rPr>
            </w:pPr>
          </w:p>
        </w:tc>
        <w:tc>
          <w:tcPr>
            <w:tcW w:w="3080" w:type="dxa"/>
            <w:vAlign w:val="bottom"/>
            <w:tcBorders>
              <w:top w:val="single" w:sz="8" w:color="auto"/>
            </w:tcBorders>
          </w:tcPr>
          <w:p>
            <w:pPr>
              <w:spacing w:after="0"/>
              <w:rPr>
                <w:sz w:val="24"/>
                <w:szCs w:val="24"/>
                <w:color w:val="auto"/>
              </w:rPr>
            </w:pPr>
          </w:p>
        </w:tc>
        <w:tc>
          <w:tcPr>
            <w:tcW w:w="2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7"/>
              </w:rPr>
              <w:t>Corporate &amp;</w:t>
            </w: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18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ind w:left="60"/>
              <w:spacing w:after="0"/>
              <w:rPr>
                <w:sz w:val="20"/>
                <w:szCs w:val="20"/>
                <w:color w:val="auto"/>
              </w:rPr>
            </w:pPr>
            <w:r>
              <w:rPr>
                <w:rFonts w:ascii="Arial" w:cs="Arial" w:eastAsia="Arial" w:hAnsi="Arial"/>
                <w:sz w:val="16"/>
                <w:szCs w:val="16"/>
                <w:b w:val="1"/>
                <w:bCs w:val="1"/>
                <w:color w:val="auto"/>
              </w:rPr>
              <w:t>Annuities</w:t>
            </w:r>
          </w:p>
        </w:tc>
        <w:tc>
          <w:tcPr>
            <w:tcW w:w="220" w:type="dxa"/>
            <w:vAlign w:val="bottom"/>
          </w:tcPr>
          <w:p>
            <w:pPr>
              <w:spacing w:after="0"/>
              <w:rPr>
                <w:sz w:val="18"/>
                <w:szCs w:val="18"/>
                <w:color w:val="auto"/>
              </w:rPr>
            </w:pPr>
          </w:p>
        </w:tc>
        <w:tc>
          <w:tcPr>
            <w:tcW w:w="800" w:type="dxa"/>
            <w:vAlign w:val="bottom"/>
            <w:gridSpan w:val="2"/>
          </w:tcPr>
          <w:p>
            <w:pPr>
              <w:ind w:left="100"/>
              <w:spacing w:after="0"/>
              <w:rPr>
                <w:sz w:val="20"/>
                <w:szCs w:val="20"/>
                <w:color w:val="auto"/>
              </w:rPr>
            </w:pPr>
            <w:r>
              <w:rPr>
                <w:rFonts w:ascii="Arial" w:cs="Arial" w:eastAsia="Arial" w:hAnsi="Arial"/>
                <w:sz w:val="16"/>
                <w:szCs w:val="16"/>
                <w:b w:val="1"/>
                <w:bCs w:val="1"/>
                <w:color w:val="auto"/>
              </w:rPr>
              <w:t>Life</w:t>
            </w:r>
          </w:p>
        </w:tc>
        <w:tc>
          <w:tcPr>
            <w:tcW w:w="200" w:type="dxa"/>
            <w:vAlign w:val="bottom"/>
          </w:tcPr>
          <w:p>
            <w:pPr>
              <w:spacing w:after="0"/>
              <w:rPr>
                <w:sz w:val="18"/>
                <w:szCs w:val="18"/>
                <w:color w:val="auto"/>
              </w:rPr>
            </w:pPr>
          </w:p>
        </w:tc>
        <w:tc>
          <w:tcPr>
            <w:tcW w:w="1040" w:type="dxa"/>
            <w:vAlign w:val="bottom"/>
            <w:gridSpan w:val="2"/>
          </w:tcPr>
          <w:p>
            <w:pPr>
              <w:ind w:left="100"/>
              <w:spacing w:after="0"/>
              <w:rPr>
                <w:sz w:val="20"/>
                <w:szCs w:val="20"/>
                <w:color w:val="auto"/>
              </w:rPr>
            </w:pPr>
            <w:r>
              <w:rPr>
                <w:rFonts w:ascii="Arial" w:cs="Arial" w:eastAsia="Arial" w:hAnsi="Arial"/>
                <w:sz w:val="16"/>
                <w:szCs w:val="16"/>
                <w:b w:val="1"/>
                <w:bCs w:val="1"/>
                <w:color w:val="auto"/>
              </w:rPr>
              <w:t>Run-off</w:t>
            </w:r>
          </w:p>
        </w:tc>
        <w:tc>
          <w:tcPr>
            <w:tcW w:w="120" w:type="dxa"/>
            <w:vAlign w:val="bottom"/>
          </w:tcPr>
          <w:p>
            <w:pPr>
              <w:spacing w:after="0"/>
              <w:rPr>
                <w:sz w:val="18"/>
                <w:szCs w:val="18"/>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8"/>
              </w:rPr>
              <w:t>Other</w:t>
            </w:r>
          </w:p>
        </w:tc>
        <w:tc>
          <w:tcPr>
            <w:tcW w:w="260" w:type="dxa"/>
            <w:vAlign w:val="bottom"/>
          </w:tcPr>
          <w:p>
            <w:pPr>
              <w:spacing w:after="0"/>
              <w:rPr>
                <w:sz w:val="18"/>
                <w:szCs w:val="18"/>
                <w:color w:val="auto"/>
              </w:rPr>
            </w:pPr>
          </w:p>
        </w:tc>
        <w:tc>
          <w:tcPr>
            <w:tcW w:w="880" w:type="dxa"/>
            <w:vAlign w:val="bottom"/>
          </w:tcPr>
          <w:p>
            <w:pPr>
              <w:jc w:val="right"/>
              <w:ind w:right="291"/>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33"/>
        </w:trPr>
        <w:tc>
          <w:tcPr>
            <w:tcW w:w="180" w:type="dxa"/>
            <w:vAlign w:val="bottom"/>
          </w:tcPr>
          <w:p>
            <w:pPr>
              <w:spacing w:after="0"/>
              <w:rPr>
                <w:sz w:val="2"/>
                <w:szCs w:val="2"/>
                <w:color w:val="auto"/>
              </w:rPr>
            </w:pPr>
          </w:p>
        </w:tc>
        <w:tc>
          <w:tcPr>
            <w:tcW w:w="3080" w:type="dxa"/>
            <w:vAlign w:val="bottom"/>
          </w:tcPr>
          <w:p>
            <w:pPr>
              <w:spacing w:after="0"/>
              <w:rPr>
                <w:sz w:val="2"/>
                <w:szCs w:val="2"/>
                <w:color w:val="auto"/>
              </w:rPr>
            </w:pPr>
          </w:p>
        </w:tc>
        <w:tc>
          <w:tcPr>
            <w:tcW w:w="22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180" w:type="dxa"/>
            <w:vAlign w:val="bottom"/>
          </w:tcPr>
          <w:p>
            <w:pPr>
              <w:spacing w:after="0"/>
              <w:rPr>
                <w:sz w:val="21"/>
                <w:szCs w:val="21"/>
                <w:color w:val="auto"/>
              </w:rPr>
            </w:pPr>
          </w:p>
        </w:tc>
        <w:tc>
          <w:tcPr>
            <w:tcW w:w="3080" w:type="dxa"/>
            <w:vAlign w:val="bottom"/>
          </w:tcPr>
          <w:p>
            <w:pPr>
              <w:spacing w:after="0"/>
              <w:rPr>
                <w:sz w:val="21"/>
                <w:szCs w:val="21"/>
                <w:color w:val="auto"/>
              </w:rPr>
            </w:pPr>
          </w:p>
        </w:tc>
        <w:tc>
          <w:tcPr>
            <w:tcW w:w="22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gridSpan w:val="2"/>
          </w:tcPr>
          <w:p>
            <w:pPr>
              <w:ind w:left="100"/>
              <w:spacing w:after="0"/>
              <w:rPr>
                <w:sz w:val="20"/>
                <w:szCs w:val="20"/>
                <w:color w:val="auto"/>
              </w:rPr>
            </w:pPr>
            <w:r>
              <w:rPr>
                <w:rFonts w:ascii="Arial" w:cs="Arial" w:eastAsia="Arial" w:hAnsi="Arial"/>
                <w:sz w:val="14"/>
                <w:szCs w:val="14"/>
                <w:b w:val="1"/>
                <w:bCs w:val="1"/>
                <w:color w:val="auto"/>
              </w:rPr>
              <w:t>(In millions)</w:t>
            </w:r>
          </w:p>
        </w:tc>
        <w:tc>
          <w:tcPr>
            <w:tcW w:w="1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55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Net income (loss)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24</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(158)</w:t>
            </w:r>
          </w:p>
        </w:tc>
        <w:tc>
          <w:tcPr>
            <w:tcW w:w="0" w:type="dxa"/>
            <w:vAlign w:val="bottom"/>
          </w:tcPr>
          <w:p>
            <w:pPr>
              <w:spacing w:after="0"/>
              <w:rPr>
                <w:sz w:val="1"/>
                <w:szCs w:val="1"/>
                <w:color w:val="auto"/>
              </w:rPr>
            </w:pPr>
          </w:p>
        </w:tc>
      </w:tr>
      <w:tr>
        <w:trPr>
          <w:trHeight w:val="243"/>
        </w:trPr>
        <w:tc>
          <w:tcPr>
            <w:tcW w:w="5500" w:type="dxa"/>
            <w:vAlign w:val="bottom"/>
            <w:gridSpan w:val="3"/>
          </w:tcPr>
          <w:p>
            <w:pPr>
              <w:ind w:left="40"/>
              <w:spacing w:after="0"/>
              <w:rPr>
                <w:sz w:val="20"/>
                <w:szCs w:val="20"/>
                <w:color w:val="auto"/>
              </w:rPr>
            </w:pPr>
            <w:r>
              <w:rPr>
                <w:rFonts w:ascii="Arial" w:cs="Arial" w:eastAsia="Arial" w:hAnsi="Arial"/>
                <w:sz w:val="18"/>
                <w:szCs w:val="18"/>
                <w:color w:val="auto"/>
              </w:rPr>
              <w:t>Add: Provision for income tax expense (benefit)</w:t>
            </w:r>
          </w:p>
        </w:tc>
        <w:tc>
          <w:tcPr>
            <w:tcW w:w="2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tcPr>
          <w:p>
            <w:pPr>
              <w:jc w:val="right"/>
              <w:ind w:right="31"/>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27"/>
        </w:trPr>
        <w:tc>
          <w:tcPr>
            <w:tcW w:w="180" w:type="dxa"/>
            <w:vAlign w:val="bottom"/>
            <w:tcBorders>
              <w:bottom w:val="single" w:sz="8" w:color="CCEEFF"/>
            </w:tcBorders>
          </w:tcPr>
          <w:p>
            <w:pPr>
              <w:spacing w:after="0"/>
              <w:rPr>
                <w:sz w:val="2"/>
                <w:szCs w:val="2"/>
                <w:color w:val="auto"/>
              </w:rPr>
            </w:pPr>
          </w:p>
        </w:tc>
        <w:tc>
          <w:tcPr>
            <w:tcW w:w="3080" w:type="dxa"/>
            <w:vAlign w:val="bottom"/>
            <w:tcBorders>
              <w:bottom w:val="single" w:sz="8" w:color="CCEEFF"/>
            </w:tcBorders>
          </w:tcPr>
          <w:p>
            <w:pPr>
              <w:spacing w:after="0"/>
              <w:rPr>
                <w:sz w:val="2"/>
                <w:szCs w:val="2"/>
                <w:color w:val="auto"/>
              </w:rPr>
            </w:pPr>
          </w:p>
        </w:tc>
        <w:tc>
          <w:tcPr>
            <w:tcW w:w="22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5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Net income (loss) before provision for income tax</w:t>
            </w: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(252)</w:t>
            </w:r>
          </w:p>
        </w:tc>
        <w:tc>
          <w:tcPr>
            <w:tcW w:w="0" w:type="dxa"/>
            <w:vAlign w:val="bottom"/>
          </w:tcPr>
          <w:p>
            <w:pPr>
              <w:spacing w:after="0"/>
              <w:rPr>
                <w:sz w:val="1"/>
                <w:szCs w:val="1"/>
                <w:color w:val="auto"/>
              </w:rPr>
            </w:pPr>
          </w:p>
        </w:tc>
      </w:tr>
      <w:tr>
        <w:trPr>
          <w:trHeight w:val="243"/>
        </w:trPr>
        <w:tc>
          <w:tcPr>
            <w:tcW w:w="5500" w:type="dxa"/>
            <w:vAlign w:val="bottom"/>
            <w:gridSpan w:val="3"/>
          </w:tcPr>
          <w:p>
            <w:pPr>
              <w:ind w:left="40"/>
              <w:spacing w:after="0"/>
              <w:rPr>
                <w:sz w:val="20"/>
                <w:szCs w:val="20"/>
                <w:color w:val="auto"/>
              </w:rPr>
            </w:pPr>
            <w:r>
              <w:rPr>
                <w:rFonts w:ascii="Arial" w:cs="Arial" w:eastAsia="Arial" w:hAnsi="Arial"/>
                <w:sz w:val="18"/>
                <w:szCs w:val="18"/>
                <w:color w:val="auto"/>
              </w:rPr>
              <w:t>Less: GMLB Riders</w:t>
            </w:r>
          </w:p>
        </w:tc>
        <w:tc>
          <w:tcPr>
            <w:tcW w:w="2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(429)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(429)</w:t>
            </w:r>
          </w:p>
        </w:tc>
        <w:tc>
          <w:tcPr>
            <w:tcW w:w="0" w:type="dxa"/>
            <w:vAlign w:val="bottom"/>
          </w:tcPr>
          <w:p>
            <w:pPr>
              <w:spacing w:after="0"/>
              <w:rPr>
                <w:sz w:val="1"/>
                <w:szCs w:val="1"/>
                <w:color w:val="auto"/>
              </w:rPr>
            </w:pPr>
          </w:p>
        </w:tc>
      </w:tr>
      <w:tr>
        <w:trPr>
          <w:trHeight w:val="27"/>
        </w:trPr>
        <w:tc>
          <w:tcPr>
            <w:tcW w:w="180" w:type="dxa"/>
            <w:vAlign w:val="bottom"/>
          </w:tcPr>
          <w:p>
            <w:pPr>
              <w:spacing w:after="0"/>
              <w:rPr>
                <w:sz w:val="2"/>
                <w:szCs w:val="2"/>
                <w:color w:val="auto"/>
              </w:rPr>
            </w:pPr>
          </w:p>
        </w:tc>
        <w:tc>
          <w:tcPr>
            <w:tcW w:w="3080" w:type="dxa"/>
            <w:vAlign w:val="bottom"/>
          </w:tcPr>
          <w:p>
            <w:pPr>
              <w:spacing w:after="0"/>
              <w:rPr>
                <w:sz w:val="2"/>
                <w:szCs w:val="2"/>
                <w:color w:val="auto"/>
              </w:rPr>
            </w:pPr>
          </w:p>
        </w:tc>
        <w:tc>
          <w:tcPr>
            <w:tcW w:w="2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Less: Amortization of DAC and VOBA</w:t>
            </w: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500" w:type="dxa"/>
            <w:vAlign w:val="bottom"/>
            <w:gridSpan w:val="3"/>
          </w:tcPr>
          <w:p>
            <w:pPr>
              <w:ind w:left="40"/>
              <w:spacing w:after="0"/>
              <w:rPr>
                <w:sz w:val="20"/>
                <w:szCs w:val="20"/>
                <w:color w:val="auto"/>
              </w:rPr>
            </w:pPr>
            <w:r>
              <w:rPr>
                <w:rFonts w:ascii="Arial" w:cs="Arial" w:eastAsia="Arial" w:hAnsi="Arial"/>
                <w:sz w:val="18"/>
                <w:szCs w:val="18"/>
                <w:color w:val="auto"/>
              </w:rPr>
              <w:t>Less: Other derivative instruments</w:t>
            </w:r>
          </w:p>
        </w:tc>
        <w:tc>
          <w:tcPr>
            <w:tcW w:w="2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(129)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(153)</w:t>
            </w:r>
          </w:p>
        </w:tc>
        <w:tc>
          <w:tcPr>
            <w:tcW w:w="0" w:type="dxa"/>
            <w:vAlign w:val="bottom"/>
          </w:tcPr>
          <w:p>
            <w:pPr>
              <w:spacing w:after="0"/>
              <w:rPr>
                <w:sz w:val="1"/>
                <w:szCs w:val="1"/>
                <w:color w:val="auto"/>
              </w:rPr>
            </w:pPr>
          </w:p>
        </w:tc>
      </w:tr>
      <w:tr>
        <w:trPr>
          <w:trHeight w:val="27"/>
        </w:trPr>
        <w:tc>
          <w:tcPr>
            <w:tcW w:w="180" w:type="dxa"/>
            <w:vAlign w:val="bottom"/>
          </w:tcPr>
          <w:p>
            <w:pPr>
              <w:spacing w:after="0"/>
              <w:rPr>
                <w:sz w:val="2"/>
                <w:szCs w:val="2"/>
                <w:color w:val="auto"/>
              </w:rPr>
            </w:pPr>
          </w:p>
        </w:tc>
        <w:tc>
          <w:tcPr>
            <w:tcW w:w="3080" w:type="dxa"/>
            <w:vAlign w:val="bottom"/>
          </w:tcPr>
          <w:p>
            <w:pPr>
              <w:spacing w:after="0"/>
              <w:rPr>
                <w:sz w:val="2"/>
                <w:szCs w:val="2"/>
                <w:color w:val="auto"/>
              </w:rPr>
            </w:pPr>
          </w:p>
        </w:tc>
        <w:tc>
          <w:tcPr>
            <w:tcW w:w="2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Less: Net investment gains (losses)</w:t>
            </w: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43"/>
        </w:trPr>
        <w:tc>
          <w:tcPr>
            <w:tcW w:w="5500" w:type="dxa"/>
            <w:vAlign w:val="bottom"/>
            <w:gridSpan w:val="3"/>
          </w:tcPr>
          <w:p>
            <w:pPr>
              <w:ind w:left="40"/>
              <w:spacing w:after="0"/>
              <w:rPr>
                <w:sz w:val="20"/>
                <w:szCs w:val="20"/>
                <w:color w:val="auto"/>
              </w:rPr>
            </w:pPr>
            <w:r>
              <w:rPr>
                <w:rFonts w:ascii="Arial" w:cs="Arial" w:eastAsia="Arial" w:hAnsi="Arial"/>
                <w:sz w:val="18"/>
                <w:szCs w:val="18"/>
                <w:color w:val="auto"/>
              </w:rPr>
              <w:t>Less: Other adjustments (1)</w:t>
            </w:r>
          </w:p>
        </w:tc>
        <w:tc>
          <w:tcPr>
            <w:tcW w:w="2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(164)</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(191)</w:t>
            </w:r>
          </w:p>
        </w:tc>
        <w:tc>
          <w:tcPr>
            <w:tcW w:w="0" w:type="dxa"/>
            <w:vAlign w:val="bottom"/>
          </w:tcPr>
          <w:p>
            <w:pPr>
              <w:spacing w:after="0"/>
              <w:rPr>
                <w:sz w:val="1"/>
                <w:szCs w:val="1"/>
                <w:color w:val="auto"/>
              </w:rPr>
            </w:pPr>
          </w:p>
        </w:tc>
      </w:tr>
      <w:tr>
        <w:trPr>
          <w:trHeight w:val="27"/>
        </w:trPr>
        <w:tc>
          <w:tcPr>
            <w:tcW w:w="180" w:type="dxa"/>
            <w:vAlign w:val="bottom"/>
            <w:tcBorders>
              <w:bottom w:val="single" w:sz="8" w:color="CCEEFF"/>
            </w:tcBorders>
          </w:tcPr>
          <w:p>
            <w:pPr>
              <w:spacing w:after="0"/>
              <w:rPr>
                <w:sz w:val="2"/>
                <w:szCs w:val="2"/>
                <w:color w:val="auto"/>
              </w:rPr>
            </w:pPr>
          </w:p>
        </w:tc>
        <w:tc>
          <w:tcPr>
            <w:tcW w:w="3080" w:type="dxa"/>
            <w:vAlign w:val="bottom"/>
            <w:tcBorders>
              <w:bottom w:val="single" w:sz="8" w:color="CCEEFF"/>
            </w:tcBorders>
          </w:tcPr>
          <w:p>
            <w:pPr>
              <w:spacing w:after="0"/>
              <w:rPr>
                <w:sz w:val="2"/>
                <w:szCs w:val="2"/>
                <w:color w:val="auto"/>
              </w:rPr>
            </w:pPr>
          </w:p>
        </w:tc>
        <w:tc>
          <w:tcPr>
            <w:tcW w:w="22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5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Operating earnings (loss) before provision for income tax</w:t>
            </w: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387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495</w:t>
            </w:r>
          </w:p>
        </w:tc>
        <w:tc>
          <w:tcPr>
            <w:tcW w:w="0" w:type="dxa"/>
            <w:vAlign w:val="bottom"/>
          </w:tcPr>
          <w:p>
            <w:pPr>
              <w:spacing w:after="0"/>
              <w:rPr>
                <w:sz w:val="1"/>
                <w:szCs w:val="1"/>
                <w:color w:val="auto"/>
              </w:rPr>
            </w:pPr>
          </w:p>
        </w:tc>
      </w:tr>
      <w:tr>
        <w:trPr>
          <w:trHeight w:val="243"/>
        </w:trPr>
        <w:tc>
          <w:tcPr>
            <w:tcW w:w="5500" w:type="dxa"/>
            <w:vAlign w:val="bottom"/>
            <w:gridSpan w:val="3"/>
          </w:tcPr>
          <w:p>
            <w:pPr>
              <w:ind w:left="40"/>
              <w:spacing w:after="0"/>
              <w:rPr>
                <w:sz w:val="20"/>
                <w:szCs w:val="20"/>
                <w:color w:val="auto"/>
              </w:rPr>
            </w:pPr>
            <w:r>
              <w:rPr>
                <w:rFonts w:ascii="Arial" w:cs="Arial" w:eastAsia="Arial" w:hAnsi="Arial"/>
                <w:sz w:val="18"/>
                <w:szCs w:val="18"/>
                <w:color w:val="auto"/>
              </w:rPr>
              <w:t>Less: Provision for income tax (expense) benefit</w:t>
            </w:r>
          </w:p>
        </w:tc>
        <w:tc>
          <w:tcPr>
            <w:tcW w:w="20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140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tcPr>
          <w:p>
            <w:pPr>
              <w:jc w:val="right"/>
              <w:ind w:right="31"/>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32"/>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166</w:t>
            </w:r>
          </w:p>
        </w:tc>
        <w:tc>
          <w:tcPr>
            <w:tcW w:w="0" w:type="dxa"/>
            <w:vAlign w:val="bottom"/>
          </w:tcPr>
          <w:p>
            <w:pPr>
              <w:spacing w:after="0"/>
              <w:rPr>
                <w:sz w:val="1"/>
                <w:szCs w:val="1"/>
                <w:color w:val="auto"/>
              </w:rPr>
            </w:pPr>
          </w:p>
        </w:tc>
      </w:tr>
      <w:tr>
        <w:trPr>
          <w:trHeight w:val="27"/>
        </w:trPr>
        <w:tc>
          <w:tcPr>
            <w:tcW w:w="180" w:type="dxa"/>
            <w:vAlign w:val="bottom"/>
            <w:tcBorders>
              <w:bottom w:val="single" w:sz="8" w:color="CCEEFF"/>
            </w:tcBorders>
          </w:tcPr>
          <w:p>
            <w:pPr>
              <w:spacing w:after="0"/>
              <w:rPr>
                <w:sz w:val="2"/>
                <w:szCs w:val="2"/>
                <w:color w:val="auto"/>
              </w:rPr>
            </w:pPr>
          </w:p>
        </w:tc>
        <w:tc>
          <w:tcPr>
            <w:tcW w:w="3080" w:type="dxa"/>
            <w:vAlign w:val="bottom"/>
            <w:tcBorders>
              <w:bottom w:val="single" w:sz="8" w:color="CCEEFF"/>
            </w:tcBorders>
          </w:tcPr>
          <w:p>
            <w:pPr>
              <w:spacing w:after="0"/>
              <w:rPr>
                <w:sz w:val="2"/>
                <w:szCs w:val="2"/>
                <w:color w:val="auto"/>
              </w:rPr>
            </w:pPr>
          </w:p>
        </w:tc>
        <w:tc>
          <w:tcPr>
            <w:tcW w:w="22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5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Operating earnings (loss)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247</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26</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26</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30</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329</w:t>
            </w:r>
          </w:p>
        </w:tc>
        <w:tc>
          <w:tcPr>
            <w:tcW w:w="0" w:type="dxa"/>
            <w:vAlign w:val="bottom"/>
          </w:tcPr>
          <w:p>
            <w:pPr>
              <w:spacing w:after="0"/>
              <w:rPr>
                <w:sz w:val="1"/>
                <w:szCs w:val="1"/>
                <w:color w:val="auto"/>
              </w:rPr>
            </w:pPr>
          </w:p>
        </w:tc>
      </w:tr>
      <w:tr>
        <w:trPr>
          <w:trHeight w:val="20"/>
        </w:trPr>
        <w:tc>
          <w:tcPr>
            <w:tcW w:w="180" w:type="dxa"/>
            <w:vAlign w:val="bottom"/>
            <w:tcBorders>
              <w:top w:val="single" w:sz="8" w:color="CCEEFF"/>
            </w:tcBorders>
          </w:tcPr>
          <w:p>
            <w:pPr>
              <w:spacing w:after="0" w:line="20" w:lineRule="exact"/>
              <w:rPr>
                <w:sz w:val="1"/>
                <w:szCs w:val="1"/>
                <w:color w:val="auto"/>
              </w:rPr>
            </w:pPr>
          </w:p>
        </w:tc>
        <w:tc>
          <w:tcPr>
            <w:tcW w:w="3080" w:type="dxa"/>
            <w:vAlign w:val="bottom"/>
            <w:tcBorders>
              <w:top w:val="single" w:sz="8" w:color="CCEEFF"/>
            </w:tcBorders>
          </w:tcPr>
          <w:p>
            <w:pPr>
              <w:spacing w:after="0" w:line="20" w:lineRule="exact"/>
              <w:rPr>
                <w:sz w:val="1"/>
                <w:szCs w:val="1"/>
                <w:color w:val="auto"/>
              </w:rPr>
            </w:pPr>
          </w:p>
        </w:tc>
        <w:tc>
          <w:tcPr>
            <w:tcW w:w="22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__________________</w:t>
      </w:r>
    </w:p>
    <w:p>
      <w:pPr>
        <w:spacing w:after="0" w:line="158" w:lineRule="exact"/>
        <w:rPr>
          <w:sz w:val="20"/>
          <w:szCs w:val="20"/>
          <w:color w:val="auto"/>
        </w:rPr>
      </w:pPr>
    </w:p>
    <w:p>
      <w:pPr>
        <w:ind w:left="500" w:hanging="424"/>
        <w:spacing w:after="0" w:line="277" w:lineRule="auto"/>
        <w:tabs>
          <w:tab w:leader="none" w:pos="5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See definitions of operating revenues and operating expenses under “— Non-GAAP and Other Financial Disclosures” for the components of such adjustments.</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420"/>
          </w:cols>
          <w:pgMar w:left="240" w:top="126" w:right="239" w:bottom="1440" w:gutter="0" w:footer="0" w:header="0"/>
        </w:sectPr>
      </w:pPr>
    </w:p>
    <w:bookmarkStart w:id="92" w:name="page93"/>
    <w:bookmarkEnd w:id="92"/>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Nine Months Ended September 30, 2017</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40" w:type="dxa"/>
            <w:vAlign w:val="bottom"/>
          </w:tcPr>
          <w:p>
            <w:pPr>
              <w:spacing w:after="0"/>
              <w:rPr>
                <w:sz w:val="17"/>
                <w:szCs w:val="17"/>
                <w:color w:val="auto"/>
              </w:rPr>
            </w:pPr>
          </w:p>
        </w:tc>
        <w:tc>
          <w:tcPr>
            <w:tcW w:w="300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7"/>
              </w:rPr>
              <w:t>Corporate &amp;</w:t>
            </w: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ind w:left="60"/>
              <w:spacing w:after="0"/>
              <w:rPr>
                <w:sz w:val="20"/>
                <w:szCs w:val="20"/>
                <w:color w:val="auto"/>
              </w:rPr>
            </w:pPr>
            <w:r>
              <w:rPr>
                <w:rFonts w:ascii="Arial" w:cs="Arial" w:eastAsia="Arial" w:hAnsi="Arial"/>
                <w:sz w:val="16"/>
                <w:szCs w:val="16"/>
                <w:b w:val="1"/>
                <w:bCs w:val="1"/>
                <w:color w:val="auto"/>
              </w:rPr>
              <w:t>Annuities</w:t>
            </w:r>
          </w:p>
        </w:tc>
        <w:tc>
          <w:tcPr>
            <w:tcW w:w="220" w:type="dxa"/>
            <w:vAlign w:val="bottom"/>
          </w:tcPr>
          <w:p>
            <w:pPr>
              <w:spacing w:after="0"/>
              <w:rPr>
                <w:sz w:val="18"/>
                <w:szCs w:val="18"/>
                <w:color w:val="auto"/>
              </w:rPr>
            </w:pPr>
          </w:p>
        </w:tc>
        <w:tc>
          <w:tcPr>
            <w:tcW w:w="800" w:type="dxa"/>
            <w:vAlign w:val="bottom"/>
            <w:gridSpan w:val="2"/>
          </w:tcPr>
          <w:p>
            <w:pPr>
              <w:ind w:left="100"/>
              <w:spacing w:after="0"/>
              <w:rPr>
                <w:sz w:val="20"/>
                <w:szCs w:val="20"/>
                <w:color w:val="auto"/>
              </w:rPr>
            </w:pPr>
            <w:r>
              <w:rPr>
                <w:rFonts w:ascii="Arial" w:cs="Arial" w:eastAsia="Arial" w:hAnsi="Arial"/>
                <w:sz w:val="16"/>
                <w:szCs w:val="16"/>
                <w:b w:val="1"/>
                <w:bCs w:val="1"/>
                <w:color w:val="auto"/>
              </w:rPr>
              <w:t>Life</w:t>
            </w:r>
          </w:p>
        </w:tc>
        <w:tc>
          <w:tcPr>
            <w:tcW w:w="200" w:type="dxa"/>
            <w:vAlign w:val="bottom"/>
          </w:tcPr>
          <w:p>
            <w:pPr>
              <w:spacing w:after="0"/>
              <w:rPr>
                <w:sz w:val="18"/>
                <w:szCs w:val="18"/>
                <w:color w:val="auto"/>
              </w:rPr>
            </w:pPr>
          </w:p>
        </w:tc>
        <w:tc>
          <w:tcPr>
            <w:tcW w:w="1040" w:type="dxa"/>
            <w:vAlign w:val="bottom"/>
            <w:gridSpan w:val="2"/>
          </w:tcPr>
          <w:p>
            <w:pPr>
              <w:ind w:left="100"/>
              <w:spacing w:after="0"/>
              <w:rPr>
                <w:sz w:val="20"/>
                <w:szCs w:val="20"/>
                <w:color w:val="auto"/>
              </w:rPr>
            </w:pPr>
            <w:r>
              <w:rPr>
                <w:rFonts w:ascii="Arial" w:cs="Arial" w:eastAsia="Arial" w:hAnsi="Arial"/>
                <w:sz w:val="16"/>
                <w:szCs w:val="16"/>
                <w:b w:val="1"/>
                <w:bCs w:val="1"/>
                <w:color w:val="auto"/>
              </w:rPr>
              <w:t>Run-off</w:t>
            </w:r>
          </w:p>
        </w:tc>
        <w:tc>
          <w:tcPr>
            <w:tcW w:w="120" w:type="dxa"/>
            <w:vAlign w:val="bottom"/>
          </w:tcPr>
          <w:p>
            <w:pPr>
              <w:spacing w:after="0"/>
              <w:rPr>
                <w:sz w:val="18"/>
                <w:szCs w:val="18"/>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8"/>
              </w:rPr>
              <w:t>Other</w:t>
            </w:r>
          </w:p>
        </w:tc>
        <w:tc>
          <w:tcPr>
            <w:tcW w:w="260" w:type="dxa"/>
            <w:vAlign w:val="bottom"/>
          </w:tcPr>
          <w:p>
            <w:pPr>
              <w:spacing w:after="0"/>
              <w:rPr>
                <w:sz w:val="18"/>
                <w:szCs w:val="18"/>
                <w:color w:val="auto"/>
              </w:rPr>
            </w:pPr>
          </w:p>
        </w:tc>
        <w:tc>
          <w:tcPr>
            <w:tcW w:w="880" w:type="dxa"/>
            <w:vAlign w:val="bottom"/>
          </w:tcPr>
          <w:p>
            <w:pPr>
              <w:jc w:val="right"/>
              <w:ind w:right="291"/>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33"/>
        </w:trPr>
        <w:tc>
          <w:tcPr>
            <w:tcW w:w="340" w:type="dxa"/>
            <w:vAlign w:val="bottom"/>
          </w:tcPr>
          <w:p>
            <w:pPr>
              <w:spacing w:after="0"/>
              <w:rPr>
                <w:sz w:val="2"/>
                <w:szCs w:val="2"/>
                <w:color w:val="auto"/>
              </w:rPr>
            </w:pPr>
          </w:p>
        </w:tc>
        <w:tc>
          <w:tcPr>
            <w:tcW w:w="3000" w:type="dxa"/>
            <w:vAlign w:val="bottom"/>
          </w:tcPr>
          <w:p>
            <w:pPr>
              <w:spacing w:after="0"/>
              <w:rPr>
                <w:sz w:val="2"/>
                <w:szCs w:val="2"/>
                <w:color w:val="auto"/>
              </w:rPr>
            </w:pPr>
          </w:p>
        </w:tc>
        <w:tc>
          <w:tcPr>
            <w:tcW w:w="21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40" w:type="dxa"/>
            <w:vAlign w:val="bottom"/>
          </w:tcPr>
          <w:p>
            <w:pPr>
              <w:spacing w:after="0"/>
              <w:rPr>
                <w:sz w:val="21"/>
                <w:szCs w:val="21"/>
                <w:color w:val="auto"/>
              </w:rPr>
            </w:pPr>
          </w:p>
        </w:tc>
        <w:tc>
          <w:tcPr>
            <w:tcW w:w="3000" w:type="dxa"/>
            <w:vAlign w:val="bottom"/>
          </w:tcPr>
          <w:p>
            <w:pPr>
              <w:spacing w:after="0"/>
              <w:rPr>
                <w:sz w:val="21"/>
                <w:szCs w:val="21"/>
                <w:color w:val="auto"/>
              </w:rPr>
            </w:pPr>
          </w:p>
        </w:tc>
        <w:tc>
          <w:tcPr>
            <w:tcW w:w="21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gridSpan w:val="2"/>
          </w:tcPr>
          <w:p>
            <w:pPr>
              <w:ind w:left="100"/>
              <w:spacing w:after="0"/>
              <w:rPr>
                <w:sz w:val="20"/>
                <w:szCs w:val="20"/>
                <w:color w:val="auto"/>
              </w:rPr>
            </w:pPr>
            <w:r>
              <w:rPr>
                <w:rFonts w:ascii="Arial" w:cs="Arial" w:eastAsia="Arial" w:hAnsi="Arial"/>
                <w:sz w:val="14"/>
                <w:szCs w:val="14"/>
                <w:b w:val="1"/>
                <w:bCs w:val="1"/>
                <w:color w:val="auto"/>
              </w:rPr>
              <w:t>(In millions)</w:t>
            </w:r>
          </w:p>
        </w:tc>
        <w:tc>
          <w:tcPr>
            <w:tcW w:w="1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55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Net income (loss)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(329)</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162</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(883)</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(1,046)</w:t>
            </w:r>
          </w:p>
        </w:tc>
        <w:tc>
          <w:tcPr>
            <w:tcW w:w="0" w:type="dxa"/>
            <w:vAlign w:val="bottom"/>
          </w:tcPr>
          <w:p>
            <w:pPr>
              <w:spacing w:after="0"/>
              <w:rPr>
                <w:sz w:val="1"/>
                <w:szCs w:val="1"/>
                <w:color w:val="auto"/>
              </w:rPr>
            </w:pPr>
          </w:p>
        </w:tc>
      </w:tr>
      <w:tr>
        <w:trPr>
          <w:trHeight w:val="243"/>
        </w:trPr>
        <w:tc>
          <w:tcPr>
            <w:tcW w:w="5500" w:type="dxa"/>
            <w:vAlign w:val="bottom"/>
            <w:gridSpan w:val="3"/>
          </w:tcPr>
          <w:p>
            <w:pPr>
              <w:ind w:left="40"/>
              <w:spacing w:after="0"/>
              <w:rPr>
                <w:sz w:val="20"/>
                <w:szCs w:val="20"/>
                <w:color w:val="auto"/>
              </w:rPr>
            </w:pPr>
            <w:r>
              <w:rPr>
                <w:rFonts w:ascii="Arial" w:cs="Arial" w:eastAsia="Arial" w:hAnsi="Arial"/>
                <w:sz w:val="18"/>
                <w:szCs w:val="18"/>
                <w:color w:val="auto"/>
              </w:rPr>
              <w:t>Add: Provision for income tax expense (benefit)</w:t>
            </w:r>
          </w:p>
        </w:tc>
        <w:tc>
          <w:tcPr>
            <w:tcW w:w="2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(310)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32"/>
              <w:spacing w:after="0"/>
              <w:rPr>
                <w:sz w:val="20"/>
                <w:szCs w:val="20"/>
                <w:color w:val="auto"/>
              </w:rPr>
            </w:pPr>
            <w:r>
              <w:rPr>
                <w:rFonts w:ascii="Arial" w:cs="Arial" w:eastAsia="Arial" w:hAnsi="Arial"/>
                <w:sz w:val="18"/>
                <w:szCs w:val="18"/>
                <w:color w:val="auto"/>
              </w:rPr>
              <w:t>76</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899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653</w:t>
            </w:r>
          </w:p>
        </w:tc>
        <w:tc>
          <w:tcPr>
            <w:tcW w:w="0" w:type="dxa"/>
            <w:vAlign w:val="bottom"/>
          </w:tcPr>
          <w:p>
            <w:pPr>
              <w:spacing w:after="0"/>
              <w:rPr>
                <w:sz w:val="1"/>
                <w:szCs w:val="1"/>
                <w:color w:val="auto"/>
              </w:rPr>
            </w:pPr>
          </w:p>
        </w:tc>
      </w:tr>
      <w:tr>
        <w:trPr>
          <w:trHeight w:val="27"/>
        </w:trPr>
        <w:tc>
          <w:tcPr>
            <w:tcW w:w="340" w:type="dxa"/>
            <w:vAlign w:val="bottom"/>
            <w:tcBorders>
              <w:bottom w:val="single" w:sz="8" w:color="CCEEFF"/>
            </w:tcBorders>
          </w:tcPr>
          <w:p>
            <w:pPr>
              <w:spacing w:after="0"/>
              <w:rPr>
                <w:sz w:val="2"/>
                <w:szCs w:val="2"/>
                <w:color w:val="auto"/>
              </w:rPr>
            </w:pPr>
          </w:p>
        </w:tc>
        <w:tc>
          <w:tcPr>
            <w:tcW w:w="3000" w:type="dxa"/>
            <w:vAlign w:val="bottom"/>
            <w:tcBorders>
              <w:bottom w:val="single" w:sz="8" w:color="CCEEFF"/>
            </w:tcBorders>
          </w:tcPr>
          <w:p>
            <w:pPr>
              <w:spacing w:after="0"/>
              <w:rPr>
                <w:sz w:val="2"/>
                <w:szCs w:val="2"/>
                <w:color w:val="auto"/>
              </w:rPr>
            </w:pPr>
          </w:p>
        </w:tc>
        <w:tc>
          <w:tcPr>
            <w:tcW w:w="21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5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Net income (loss) before provision for income tax</w:t>
            </w: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238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(393)</w:t>
            </w:r>
          </w:p>
        </w:tc>
        <w:tc>
          <w:tcPr>
            <w:tcW w:w="0" w:type="dxa"/>
            <w:vAlign w:val="bottom"/>
          </w:tcPr>
          <w:p>
            <w:pPr>
              <w:spacing w:after="0"/>
              <w:rPr>
                <w:sz w:val="1"/>
                <w:szCs w:val="1"/>
                <w:color w:val="auto"/>
              </w:rPr>
            </w:pPr>
          </w:p>
        </w:tc>
      </w:tr>
      <w:tr>
        <w:trPr>
          <w:trHeight w:val="243"/>
        </w:trPr>
        <w:tc>
          <w:tcPr>
            <w:tcW w:w="5500" w:type="dxa"/>
            <w:vAlign w:val="bottom"/>
            <w:gridSpan w:val="3"/>
          </w:tcPr>
          <w:p>
            <w:pPr>
              <w:ind w:left="40"/>
              <w:spacing w:after="0"/>
              <w:rPr>
                <w:sz w:val="20"/>
                <w:szCs w:val="20"/>
                <w:color w:val="auto"/>
              </w:rPr>
            </w:pPr>
            <w:r>
              <w:rPr>
                <w:rFonts w:ascii="Arial" w:cs="Arial" w:eastAsia="Arial" w:hAnsi="Arial"/>
                <w:sz w:val="18"/>
                <w:szCs w:val="18"/>
                <w:color w:val="auto"/>
              </w:rPr>
              <w:t>Less: GMLB Riders</w:t>
            </w:r>
          </w:p>
        </w:tc>
        <w:tc>
          <w:tcPr>
            <w:tcW w:w="2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(1,507)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(1,507)</w:t>
            </w:r>
          </w:p>
        </w:tc>
        <w:tc>
          <w:tcPr>
            <w:tcW w:w="0" w:type="dxa"/>
            <w:vAlign w:val="bottom"/>
          </w:tcPr>
          <w:p>
            <w:pPr>
              <w:spacing w:after="0"/>
              <w:rPr>
                <w:sz w:val="1"/>
                <w:szCs w:val="1"/>
                <w:color w:val="auto"/>
              </w:rPr>
            </w:pPr>
          </w:p>
        </w:tc>
      </w:tr>
      <w:tr>
        <w:trPr>
          <w:trHeight w:val="27"/>
        </w:trPr>
        <w:tc>
          <w:tcPr>
            <w:tcW w:w="340" w:type="dxa"/>
            <w:vAlign w:val="bottom"/>
          </w:tcPr>
          <w:p>
            <w:pPr>
              <w:spacing w:after="0"/>
              <w:rPr>
                <w:sz w:val="2"/>
                <w:szCs w:val="2"/>
                <w:color w:val="auto"/>
              </w:rPr>
            </w:pPr>
          </w:p>
        </w:tc>
        <w:tc>
          <w:tcPr>
            <w:tcW w:w="3000" w:type="dxa"/>
            <w:vAlign w:val="bottom"/>
          </w:tcPr>
          <w:p>
            <w:pPr>
              <w:spacing w:after="0"/>
              <w:rPr>
                <w:sz w:val="2"/>
                <w:szCs w:val="2"/>
                <w:color w:val="auto"/>
              </w:rPr>
            </w:pPr>
          </w:p>
        </w:tc>
        <w:tc>
          <w:tcPr>
            <w:tcW w:w="2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Less: Amortization of DAC and VOBA</w:t>
            </w: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43"/>
        </w:trPr>
        <w:tc>
          <w:tcPr>
            <w:tcW w:w="5500" w:type="dxa"/>
            <w:vAlign w:val="bottom"/>
            <w:gridSpan w:val="3"/>
          </w:tcPr>
          <w:p>
            <w:pPr>
              <w:ind w:left="40"/>
              <w:spacing w:after="0"/>
              <w:rPr>
                <w:sz w:val="20"/>
                <w:szCs w:val="20"/>
                <w:color w:val="auto"/>
              </w:rPr>
            </w:pPr>
            <w:r>
              <w:rPr>
                <w:rFonts w:ascii="Arial" w:cs="Arial" w:eastAsia="Arial" w:hAnsi="Arial"/>
                <w:sz w:val="18"/>
                <w:szCs w:val="18"/>
                <w:color w:val="auto"/>
              </w:rPr>
              <w:t>Less: Other derivative instruments</w:t>
            </w:r>
          </w:p>
        </w:tc>
        <w:tc>
          <w:tcPr>
            <w:tcW w:w="2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(227)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114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(137)</w:t>
            </w:r>
          </w:p>
        </w:tc>
        <w:tc>
          <w:tcPr>
            <w:tcW w:w="0" w:type="dxa"/>
            <w:vAlign w:val="bottom"/>
          </w:tcPr>
          <w:p>
            <w:pPr>
              <w:spacing w:after="0"/>
              <w:rPr>
                <w:sz w:val="1"/>
                <w:szCs w:val="1"/>
                <w:color w:val="auto"/>
              </w:rPr>
            </w:pPr>
          </w:p>
        </w:tc>
      </w:tr>
      <w:tr>
        <w:trPr>
          <w:trHeight w:val="27"/>
        </w:trPr>
        <w:tc>
          <w:tcPr>
            <w:tcW w:w="340" w:type="dxa"/>
            <w:vAlign w:val="bottom"/>
          </w:tcPr>
          <w:p>
            <w:pPr>
              <w:spacing w:after="0"/>
              <w:rPr>
                <w:sz w:val="2"/>
                <w:szCs w:val="2"/>
                <w:color w:val="auto"/>
              </w:rPr>
            </w:pPr>
          </w:p>
        </w:tc>
        <w:tc>
          <w:tcPr>
            <w:tcW w:w="3000" w:type="dxa"/>
            <w:vAlign w:val="bottom"/>
          </w:tcPr>
          <w:p>
            <w:pPr>
              <w:spacing w:after="0"/>
              <w:rPr>
                <w:sz w:val="2"/>
                <w:szCs w:val="2"/>
                <w:color w:val="auto"/>
              </w:rPr>
            </w:pPr>
          </w:p>
        </w:tc>
        <w:tc>
          <w:tcPr>
            <w:tcW w:w="2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Less: Net investment gains (losses)</w:t>
            </w: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43"/>
        </w:trPr>
        <w:tc>
          <w:tcPr>
            <w:tcW w:w="5500" w:type="dxa"/>
            <w:vAlign w:val="bottom"/>
            <w:gridSpan w:val="3"/>
          </w:tcPr>
          <w:p>
            <w:pPr>
              <w:ind w:left="40"/>
              <w:spacing w:after="0"/>
              <w:rPr>
                <w:sz w:val="20"/>
                <w:szCs w:val="20"/>
                <w:color w:val="auto"/>
              </w:rPr>
            </w:pPr>
            <w:r>
              <w:rPr>
                <w:rFonts w:ascii="Arial" w:cs="Arial" w:eastAsia="Arial" w:hAnsi="Arial"/>
                <w:sz w:val="18"/>
                <w:szCs w:val="18"/>
                <w:color w:val="auto"/>
              </w:rPr>
              <w:t>Less: Other adjustments (1)</w:t>
            </w:r>
          </w:p>
        </w:tc>
        <w:tc>
          <w:tcPr>
            <w:tcW w:w="2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7"/>
        </w:trPr>
        <w:tc>
          <w:tcPr>
            <w:tcW w:w="340" w:type="dxa"/>
            <w:vAlign w:val="bottom"/>
            <w:tcBorders>
              <w:bottom w:val="single" w:sz="8" w:color="CCEEFF"/>
            </w:tcBorders>
          </w:tcPr>
          <w:p>
            <w:pPr>
              <w:spacing w:after="0"/>
              <w:rPr>
                <w:sz w:val="2"/>
                <w:szCs w:val="2"/>
                <w:color w:val="auto"/>
              </w:rPr>
            </w:pPr>
          </w:p>
        </w:tc>
        <w:tc>
          <w:tcPr>
            <w:tcW w:w="3000" w:type="dxa"/>
            <w:vAlign w:val="bottom"/>
            <w:tcBorders>
              <w:bottom w:val="single" w:sz="8" w:color="CCEEFF"/>
            </w:tcBorders>
          </w:tcPr>
          <w:p>
            <w:pPr>
              <w:spacing w:after="0"/>
              <w:rPr>
                <w:sz w:val="2"/>
                <w:szCs w:val="2"/>
                <w:color w:val="auto"/>
              </w:rPr>
            </w:pPr>
          </w:p>
        </w:tc>
        <w:tc>
          <w:tcPr>
            <w:tcW w:w="21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5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Operating earnings (loss) before provision for income tax</w:t>
            </w: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1,111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272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1,322</w:t>
            </w:r>
          </w:p>
        </w:tc>
        <w:tc>
          <w:tcPr>
            <w:tcW w:w="0" w:type="dxa"/>
            <w:vAlign w:val="bottom"/>
          </w:tcPr>
          <w:p>
            <w:pPr>
              <w:spacing w:after="0"/>
              <w:rPr>
                <w:sz w:val="1"/>
                <w:szCs w:val="1"/>
                <w:color w:val="auto"/>
              </w:rPr>
            </w:pPr>
          </w:p>
        </w:tc>
      </w:tr>
      <w:tr>
        <w:trPr>
          <w:trHeight w:val="243"/>
        </w:trPr>
        <w:tc>
          <w:tcPr>
            <w:tcW w:w="5500" w:type="dxa"/>
            <w:vAlign w:val="bottom"/>
            <w:gridSpan w:val="3"/>
          </w:tcPr>
          <w:p>
            <w:pPr>
              <w:ind w:left="40"/>
              <w:spacing w:after="0"/>
              <w:rPr>
                <w:sz w:val="20"/>
                <w:szCs w:val="20"/>
                <w:color w:val="auto"/>
              </w:rPr>
            </w:pPr>
            <w:r>
              <w:rPr>
                <w:rFonts w:ascii="Arial" w:cs="Arial" w:eastAsia="Arial" w:hAnsi="Arial"/>
                <w:sz w:val="18"/>
                <w:szCs w:val="18"/>
                <w:color w:val="auto"/>
              </w:rPr>
              <w:t>Less: Provision for income tax (expense) benefit</w:t>
            </w:r>
          </w:p>
        </w:tc>
        <w:tc>
          <w:tcPr>
            <w:tcW w:w="20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302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32"/>
              <w:spacing w:after="0"/>
              <w:rPr>
                <w:sz w:val="20"/>
                <w:szCs w:val="20"/>
                <w:color w:val="auto"/>
              </w:rPr>
            </w:pPr>
            <w:r>
              <w:rPr>
                <w:rFonts w:ascii="Arial" w:cs="Arial" w:eastAsia="Arial" w:hAnsi="Arial"/>
                <w:sz w:val="18"/>
                <w:szCs w:val="18"/>
                <w:color w:val="auto"/>
              </w:rPr>
              <w:t>88</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1,015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1,394</w:t>
            </w:r>
          </w:p>
        </w:tc>
        <w:tc>
          <w:tcPr>
            <w:tcW w:w="0" w:type="dxa"/>
            <w:vAlign w:val="bottom"/>
          </w:tcPr>
          <w:p>
            <w:pPr>
              <w:spacing w:after="0"/>
              <w:rPr>
                <w:sz w:val="1"/>
                <w:szCs w:val="1"/>
                <w:color w:val="auto"/>
              </w:rPr>
            </w:pPr>
          </w:p>
        </w:tc>
      </w:tr>
      <w:tr>
        <w:trPr>
          <w:trHeight w:val="27"/>
        </w:trPr>
        <w:tc>
          <w:tcPr>
            <w:tcW w:w="340" w:type="dxa"/>
            <w:vAlign w:val="bottom"/>
            <w:tcBorders>
              <w:bottom w:val="single" w:sz="8" w:color="CCEEFF"/>
            </w:tcBorders>
          </w:tcPr>
          <w:p>
            <w:pPr>
              <w:spacing w:after="0"/>
              <w:rPr>
                <w:sz w:val="2"/>
                <w:szCs w:val="2"/>
                <w:color w:val="auto"/>
              </w:rPr>
            </w:pPr>
          </w:p>
        </w:tc>
        <w:tc>
          <w:tcPr>
            <w:tcW w:w="3000" w:type="dxa"/>
            <w:vAlign w:val="bottom"/>
            <w:tcBorders>
              <w:bottom w:val="single" w:sz="8" w:color="CCEEFF"/>
            </w:tcBorders>
          </w:tcPr>
          <w:p>
            <w:pPr>
              <w:spacing w:after="0"/>
              <w:rPr>
                <w:sz w:val="2"/>
                <w:szCs w:val="2"/>
                <w:color w:val="auto"/>
              </w:rPr>
            </w:pPr>
          </w:p>
        </w:tc>
        <w:tc>
          <w:tcPr>
            <w:tcW w:w="21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5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Operating earnings (loss)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809</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184</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(1,076)</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0"/>
        </w:trPr>
        <w:tc>
          <w:tcPr>
            <w:tcW w:w="340" w:type="dxa"/>
            <w:vAlign w:val="bottom"/>
            <w:tcBorders>
              <w:top w:val="single" w:sz="8" w:color="CCEEFF"/>
            </w:tcBorders>
          </w:tcPr>
          <w:p>
            <w:pPr>
              <w:spacing w:after="0" w:line="20" w:lineRule="exact"/>
              <w:rPr>
                <w:sz w:val="1"/>
                <w:szCs w:val="1"/>
                <w:color w:val="auto"/>
              </w:rPr>
            </w:pPr>
          </w:p>
        </w:tc>
        <w:tc>
          <w:tcPr>
            <w:tcW w:w="516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8"/>
                <w:szCs w:val="18"/>
                <w:b w:val="1"/>
                <w:bCs w:val="1"/>
                <w:i w:val="1"/>
                <w:iCs w:val="1"/>
                <w:color w:val="auto"/>
              </w:rPr>
              <w:t>Nine Months Ended September 30, 2016</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340" w:type="dxa"/>
            <w:vAlign w:val="bottom"/>
          </w:tcPr>
          <w:p>
            <w:pPr>
              <w:spacing w:after="0"/>
              <w:rPr>
                <w:sz w:val="22"/>
                <w:szCs w:val="22"/>
                <w:color w:val="auto"/>
              </w:rPr>
            </w:pPr>
          </w:p>
        </w:tc>
        <w:tc>
          <w:tcPr>
            <w:tcW w:w="5160" w:type="dxa"/>
            <w:vAlign w:val="bottom"/>
            <w:gridSpan w:val="2"/>
            <w:vMerge w:val="continue"/>
          </w:tcPr>
          <w:p>
            <w:pPr>
              <w:spacing w:after="0"/>
              <w:rPr>
                <w:sz w:val="22"/>
                <w:szCs w:val="22"/>
                <w:color w:val="auto"/>
              </w:rPr>
            </w:pPr>
          </w:p>
        </w:tc>
        <w:tc>
          <w:tcPr>
            <w:tcW w:w="2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79"/>
        </w:trPr>
        <w:tc>
          <w:tcPr>
            <w:tcW w:w="340" w:type="dxa"/>
            <w:vAlign w:val="bottom"/>
          </w:tcPr>
          <w:p>
            <w:pPr>
              <w:spacing w:after="0"/>
              <w:rPr>
                <w:sz w:val="24"/>
                <w:szCs w:val="24"/>
                <w:color w:val="auto"/>
              </w:rPr>
            </w:pPr>
          </w:p>
        </w:tc>
        <w:tc>
          <w:tcPr>
            <w:tcW w:w="3000" w:type="dxa"/>
            <w:vAlign w:val="bottom"/>
            <w:tcBorders>
              <w:top w:val="single" w:sz="8" w:color="auto"/>
            </w:tcBorders>
          </w:tcPr>
          <w:p>
            <w:pPr>
              <w:spacing w:after="0"/>
              <w:rPr>
                <w:sz w:val="24"/>
                <w:szCs w:val="24"/>
                <w:color w:val="auto"/>
              </w:rPr>
            </w:pPr>
          </w:p>
        </w:tc>
        <w:tc>
          <w:tcPr>
            <w:tcW w:w="2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7"/>
              </w:rPr>
              <w:t>Corporate &amp;</w:t>
            </w: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ind w:left="60"/>
              <w:spacing w:after="0"/>
              <w:rPr>
                <w:sz w:val="20"/>
                <w:szCs w:val="20"/>
                <w:color w:val="auto"/>
              </w:rPr>
            </w:pPr>
            <w:r>
              <w:rPr>
                <w:rFonts w:ascii="Arial" w:cs="Arial" w:eastAsia="Arial" w:hAnsi="Arial"/>
                <w:sz w:val="16"/>
                <w:szCs w:val="16"/>
                <w:b w:val="1"/>
                <w:bCs w:val="1"/>
                <w:color w:val="auto"/>
              </w:rPr>
              <w:t>Annuities</w:t>
            </w:r>
          </w:p>
        </w:tc>
        <w:tc>
          <w:tcPr>
            <w:tcW w:w="220" w:type="dxa"/>
            <w:vAlign w:val="bottom"/>
          </w:tcPr>
          <w:p>
            <w:pPr>
              <w:spacing w:after="0"/>
              <w:rPr>
                <w:sz w:val="18"/>
                <w:szCs w:val="18"/>
                <w:color w:val="auto"/>
              </w:rPr>
            </w:pPr>
          </w:p>
        </w:tc>
        <w:tc>
          <w:tcPr>
            <w:tcW w:w="800" w:type="dxa"/>
            <w:vAlign w:val="bottom"/>
            <w:gridSpan w:val="2"/>
          </w:tcPr>
          <w:p>
            <w:pPr>
              <w:ind w:left="100"/>
              <w:spacing w:after="0"/>
              <w:rPr>
                <w:sz w:val="20"/>
                <w:szCs w:val="20"/>
                <w:color w:val="auto"/>
              </w:rPr>
            </w:pPr>
            <w:r>
              <w:rPr>
                <w:rFonts w:ascii="Arial" w:cs="Arial" w:eastAsia="Arial" w:hAnsi="Arial"/>
                <w:sz w:val="16"/>
                <w:szCs w:val="16"/>
                <w:b w:val="1"/>
                <w:bCs w:val="1"/>
                <w:color w:val="auto"/>
              </w:rPr>
              <w:t>Life</w:t>
            </w:r>
          </w:p>
        </w:tc>
        <w:tc>
          <w:tcPr>
            <w:tcW w:w="200" w:type="dxa"/>
            <w:vAlign w:val="bottom"/>
          </w:tcPr>
          <w:p>
            <w:pPr>
              <w:spacing w:after="0"/>
              <w:rPr>
                <w:sz w:val="18"/>
                <w:szCs w:val="18"/>
                <w:color w:val="auto"/>
              </w:rPr>
            </w:pPr>
          </w:p>
        </w:tc>
        <w:tc>
          <w:tcPr>
            <w:tcW w:w="1040" w:type="dxa"/>
            <w:vAlign w:val="bottom"/>
            <w:gridSpan w:val="2"/>
          </w:tcPr>
          <w:p>
            <w:pPr>
              <w:ind w:left="100"/>
              <w:spacing w:after="0"/>
              <w:rPr>
                <w:sz w:val="20"/>
                <w:szCs w:val="20"/>
                <w:color w:val="auto"/>
              </w:rPr>
            </w:pPr>
            <w:r>
              <w:rPr>
                <w:rFonts w:ascii="Arial" w:cs="Arial" w:eastAsia="Arial" w:hAnsi="Arial"/>
                <w:sz w:val="16"/>
                <w:szCs w:val="16"/>
                <w:b w:val="1"/>
                <w:bCs w:val="1"/>
                <w:color w:val="auto"/>
              </w:rPr>
              <w:t>Run-off</w:t>
            </w:r>
          </w:p>
        </w:tc>
        <w:tc>
          <w:tcPr>
            <w:tcW w:w="120" w:type="dxa"/>
            <w:vAlign w:val="bottom"/>
          </w:tcPr>
          <w:p>
            <w:pPr>
              <w:spacing w:after="0"/>
              <w:rPr>
                <w:sz w:val="18"/>
                <w:szCs w:val="18"/>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8"/>
              </w:rPr>
              <w:t>Other</w:t>
            </w:r>
          </w:p>
        </w:tc>
        <w:tc>
          <w:tcPr>
            <w:tcW w:w="260" w:type="dxa"/>
            <w:vAlign w:val="bottom"/>
          </w:tcPr>
          <w:p>
            <w:pPr>
              <w:spacing w:after="0"/>
              <w:rPr>
                <w:sz w:val="18"/>
                <w:szCs w:val="18"/>
                <w:color w:val="auto"/>
              </w:rPr>
            </w:pPr>
          </w:p>
        </w:tc>
        <w:tc>
          <w:tcPr>
            <w:tcW w:w="880" w:type="dxa"/>
            <w:vAlign w:val="bottom"/>
          </w:tcPr>
          <w:p>
            <w:pPr>
              <w:jc w:val="right"/>
              <w:ind w:right="291"/>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33"/>
        </w:trPr>
        <w:tc>
          <w:tcPr>
            <w:tcW w:w="340" w:type="dxa"/>
            <w:vAlign w:val="bottom"/>
          </w:tcPr>
          <w:p>
            <w:pPr>
              <w:spacing w:after="0"/>
              <w:rPr>
                <w:sz w:val="2"/>
                <w:szCs w:val="2"/>
                <w:color w:val="auto"/>
              </w:rPr>
            </w:pPr>
          </w:p>
        </w:tc>
        <w:tc>
          <w:tcPr>
            <w:tcW w:w="3000" w:type="dxa"/>
            <w:vAlign w:val="bottom"/>
          </w:tcPr>
          <w:p>
            <w:pPr>
              <w:spacing w:after="0"/>
              <w:rPr>
                <w:sz w:val="2"/>
                <w:szCs w:val="2"/>
                <w:color w:val="auto"/>
              </w:rPr>
            </w:pPr>
          </w:p>
        </w:tc>
        <w:tc>
          <w:tcPr>
            <w:tcW w:w="21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40" w:type="dxa"/>
            <w:vAlign w:val="bottom"/>
          </w:tcPr>
          <w:p>
            <w:pPr>
              <w:spacing w:after="0"/>
              <w:rPr>
                <w:sz w:val="21"/>
                <w:szCs w:val="21"/>
                <w:color w:val="auto"/>
              </w:rPr>
            </w:pPr>
          </w:p>
        </w:tc>
        <w:tc>
          <w:tcPr>
            <w:tcW w:w="3000" w:type="dxa"/>
            <w:vAlign w:val="bottom"/>
          </w:tcPr>
          <w:p>
            <w:pPr>
              <w:spacing w:after="0"/>
              <w:rPr>
                <w:sz w:val="21"/>
                <w:szCs w:val="21"/>
                <w:color w:val="auto"/>
              </w:rPr>
            </w:pPr>
          </w:p>
        </w:tc>
        <w:tc>
          <w:tcPr>
            <w:tcW w:w="21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gridSpan w:val="2"/>
          </w:tcPr>
          <w:p>
            <w:pPr>
              <w:ind w:left="100"/>
              <w:spacing w:after="0"/>
              <w:rPr>
                <w:sz w:val="20"/>
                <w:szCs w:val="20"/>
                <w:color w:val="auto"/>
              </w:rPr>
            </w:pPr>
            <w:r>
              <w:rPr>
                <w:rFonts w:ascii="Arial" w:cs="Arial" w:eastAsia="Arial" w:hAnsi="Arial"/>
                <w:sz w:val="14"/>
                <w:szCs w:val="14"/>
                <w:b w:val="1"/>
                <w:bCs w:val="1"/>
                <w:color w:val="auto"/>
              </w:rPr>
              <w:t>(In millions)</w:t>
            </w:r>
          </w:p>
        </w:tc>
        <w:tc>
          <w:tcPr>
            <w:tcW w:w="1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55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Net income (loss)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(905)</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49</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(305)</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(1,174)</w:t>
            </w:r>
          </w:p>
        </w:tc>
        <w:tc>
          <w:tcPr>
            <w:tcW w:w="0" w:type="dxa"/>
            <w:vAlign w:val="bottom"/>
          </w:tcPr>
          <w:p>
            <w:pPr>
              <w:spacing w:after="0"/>
              <w:rPr>
                <w:sz w:val="1"/>
                <w:szCs w:val="1"/>
                <w:color w:val="auto"/>
              </w:rPr>
            </w:pPr>
          </w:p>
        </w:tc>
      </w:tr>
      <w:tr>
        <w:trPr>
          <w:trHeight w:val="243"/>
        </w:trPr>
        <w:tc>
          <w:tcPr>
            <w:tcW w:w="5500" w:type="dxa"/>
            <w:vAlign w:val="bottom"/>
            <w:gridSpan w:val="3"/>
          </w:tcPr>
          <w:p>
            <w:pPr>
              <w:ind w:left="40"/>
              <w:spacing w:after="0"/>
              <w:rPr>
                <w:sz w:val="20"/>
                <w:szCs w:val="20"/>
                <w:color w:val="auto"/>
              </w:rPr>
            </w:pPr>
            <w:r>
              <w:rPr>
                <w:rFonts w:ascii="Arial" w:cs="Arial" w:eastAsia="Arial" w:hAnsi="Arial"/>
                <w:sz w:val="18"/>
                <w:szCs w:val="18"/>
                <w:color w:val="auto"/>
              </w:rPr>
              <w:t>Add: Provision for income tax expense (benefit)</w:t>
            </w:r>
          </w:p>
        </w:tc>
        <w:tc>
          <w:tcPr>
            <w:tcW w:w="2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(582)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tcPr>
          <w:p>
            <w:pPr>
              <w:jc w:val="right"/>
              <w:ind w:right="31"/>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(165)</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(754)</w:t>
            </w:r>
          </w:p>
        </w:tc>
        <w:tc>
          <w:tcPr>
            <w:tcW w:w="0" w:type="dxa"/>
            <w:vAlign w:val="bottom"/>
          </w:tcPr>
          <w:p>
            <w:pPr>
              <w:spacing w:after="0"/>
              <w:rPr>
                <w:sz w:val="1"/>
                <w:szCs w:val="1"/>
                <w:color w:val="auto"/>
              </w:rPr>
            </w:pPr>
          </w:p>
        </w:tc>
      </w:tr>
      <w:tr>
        <w:trPr>
          <w:trHeight w:val="27"/>
        </w:trPr>
        <w:tc>
          <w:tcPr>
            <w:tcW w:w="340" w:type="dxa"/>
            <w:vAlign w:val="bottom"/>
            <w:tcBorders>
              <w:bottom w:val="single" w:sz="8" w:color="CCEEFF"/>
            </w:tcBorders>
          </w:tcPr>
          <w:p>
            <w:pPr>
              <w:spacing w:after="0"/>
              <w:rPr>
                <w:sz w:val="2"/>
                <w:szCs w:val="2"/>
                <w:color w:val="auto"/>
              </w:rPr>
            </w:pPr>
          </w:p>
        </w:tc>
        <w:tc>
          <w:tcPr>
            <w:tcW w:w="3000" w:type="dxa"/>
            <w:vAlign w:val="bottom"/>
            <w:tcBorders>
              <w:bottom w:val="single" w:sz="8" w:color="CCEEFF"/>
            </w:tcBorders>
          </w:tcPr>
          <w:p>
            <w:pPr>
              <w:spacing w:after="0"/>
              <w:rPr>
                <w:sz w:val="2"/>
                <w:szCs w:val="2"/>
                <w:color w:val="auto"/>
              </w:rPr>
            </w:pPr>
          </w:p>
        </w:tc>
        <w:tc>
          <w:tcPr>
            <w:tcW w:w="21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5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Net income (loss) before provision for income tax</w:t>
            </w: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(1,487)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(1,928)</w:t>
            </w:r>
          </w:p>
        </w:tc>
        <w:tc>
          <w:tcPr>
            <w:tcW w:w="0" w:type="dxa"/>
            <w:vAlign w:val="bottom"/>
          </w:tcPr>
          <w:p>
            <w:pPr>
              <w:spacing w:after="0"/>
              <w:rPr>
                <w:sz w:val="1"/>
                <w:szCs w:val="1"/>
                <w:color w:val="auto"/>
              </w:rPr>
            </w:pPr>
          </w:p>
        </w:tc>
      </w:tr>
      <w:tr>
        <w:trPr>
          <w:trHeight w:val="243"/>
        </w:trPr>
        <w:tc>
          <w:tcPr>
            <w:tcW w:w="5500" w:type="dxa"/>
            <w:vAlign w:val="bottom"/>
            <w:gridSpan w:val="3"/>
          </w:tcPr>
          <w:p>
            <w:pPr>
              <w:ind w:left="40"/>
              <w:spacing w:after="0"/>
              <w:rPr>
                <w:sz w:val="20"/>
                <w:szCs w:val="20"/>
                <w:color w:val="auto"/>
              </w:rPr>
            </w:pPr>
            <w:r>
              <w:rPr>
                <w:rFonts w:ascii="Arial" w:cs="Arial" w:eastAsia="Arial" w:hAnsi="Arial"/>
                <w:sz w:val="18"/>
                <w:szCs w:val="18"/>
                <w:color w:val="auto"/>
              </w:rPr>
              <w:t>Less: GMLB Riders</w:t>
            </w:r>
          </w:p>
        </w:tc>
        <w:tc>
          <w:tcPr>
            <w:tcW w:w="2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(2,614)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(2,614)</w:t>
            </w:r>
          </w:p>
        </w:tc>
        <w:tc>
          <w:tcPr>
            <w:tcW w:w="0" w:type="dxa"/>
            <w:vAlign w:val="bottom"/>
          </w:tcPr>
          <w:p>
            <w:pPr>
              <w:spacing w:after="0"/>
              <w:rPr>
                <w:sz w:val="1"/>
                <w:szCs w:val="1"/>
                <w:color w:val="auto"/>
              </w:rPr>
            </w:pPr>
          </w:p>
        </w:tc>
      </w:tr>
      <w:tr>
        <w:trPr>
          <w:trHeight w:val="27"/>
        </w:trPr>
        <w:tc>
          <w:tcPr>
            <w:tcW w:w="340" w:type="dxa"/>
            <w:vAlign w:val="bottom"/>
          </w:tcPr>
          <w:p>
            <w:pPr>
              <w:spacing w:after="0"/>
              <w:rPr>
                <w:sz w:val="2"/>
                <w:szCs w:val="2"/>
                <w:color w:val="auto"/>
              </w:rPr>
            </w:pPr>
          </w:p>
        </w:tc>
        <w:tc>
          <w:tcPr>
            <w:tcW w:w="3000" w:type="dxa"/>
            <w:vAlign w:val="bottom"/>
          </w:tcPr>
          <w:p>
            <w:pPr>
              <w:spacing w:after="0"/>
              <w:rPr>
                <w:sz w:val="2"/>
                <w:szCs w:val="2"/>
                <w:color w:val="auto"/>
              </w:rPr>
            </w:pPr>
          </w:p>
        </w:tc>
        <w:tc>
          <w:tcPr>
            <w:tcW w:w="2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Less: Amortization of DAC and VOBA</w:t>
            </w:r>
          </w:p>
        </w:tc>
        <w:tc>
          <w:tcPr>
            <w:tcW w:w="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43"/>
        </w:trPr>
        <w:tc>
          <w:tcPr>
            <w:tcW w:w="5500" w:type="dxa"/>
            <w:vAlign w:val="bottom"/>
            <w:gridSpan w:val="3"/>
          </w:tcPr>
          <w:p>
            <w:pPr>
              <w:ind w:left="40"/>
              <w:spacing w:after="0"/>
              <w:rPr>
                <w:sz w:val="20"/>
                <w:szCs w:val="20"/>
                <w:color w:val="auto"/>
              </w:rPr>
            </w:pPr>
            <w:r>
              <w:rPr>
                <w:rFonts w:ascii="Arial" w:cs="Arial" w:eastAsia="Arial" w:hAnsi="Arial"/>
                <w:sz w:val="18"/>
                <w:szCs w:val="18"/>
                <w:color w:val="auto"/>
              </w:rPr>
              <w:t>Less: Other derivative instruments</w:t>
            </w:r>
          </w:p>
        </w:tc>
        <w:tc>
          <w:tcPr>
            <w:tcW w:w="2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(122)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tcPr>
          <w:p>
            <w:pPr>
              <w:jc w:val="right"/>
              <w:ind w:right="31"/>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32"/>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7"/>
        </w:trPr>
        <w:tc>
          <w:tcPr>
            <w:tcW w:w="340" w:type="dxa"/>
            <w:vAlign w:val="bottom"/>
          </w:tcPr>
          <w:p>
            <w:pPr>
              <w:spacing w:after="0"/>
              <w:rPr>
                <w:sz w:val="2"/>
                <w:szCs w:val="2"/>
                <w:color w:val="auto"/>
              </w:rPr>
            </w:pPr>
          </w:p>
        </w:tc>
        <w:tc>
          <w:tcPr>
            <w:tcW w:w="3000" w:type="dxa"/>
            <w:vAlign w:val="bottom"/>
          </w:tcPr>
          <w:p>
            <w:pPr>
              <w:spacing w:after="0"/>
              <w:rPr>
                <w:sz w:val="2"/>
                <w:szCs w:val="2"/>
                <w:color w:val="auto"/>
              </w:rPr>
            </w:pPr>
          </w:p>
        </w:tc>
        <w:tc>
          <w:tcPr>
            <w:tcW w:w="2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Less: Net investment gains (losses)</w:t>
            </w: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43"/>
        </w:trPr>
        <w:tc>
          <w:tcPr>
            <w:tcW w:w="5500" w:type="dxa"/>
            <w:vAlign w:val="bottom"/>
            <w:gridSpan w:val="3"/>
          </w:tcPr>
          <w:p>
            <w:pPr>
              <w:ind w:left="40"/>
              <w:spacing w:after="0"/>
              <w:rPr>
                <w:sz w:val="20"/>
                <w:szCs w:val="20"/>
                <w:color w:val="auto"/>
              </w:rPr>
            </w:pPr>
            <w:r>
              <w:rPr>
                <w:rFonts w:ascii="Arial" w:cs="Arial" w:eastAsia="Arial" w:hAnsi="Arial"/>
                <w:sz w:val="18"/>
                <w:szCs w:val="18"/>
                <w:color w:val="auto"/>
              </w:rPr>
              <w:t>Less: Other adjustments (1)</w:t>
            </w:r>
          </w:p>
        </w:tc>
        <w:tc>
          <w:tcPr>
            <w:tcW w:w="2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(205)</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(259)</w:t>
            </w:r>
          </w:p>
        </w:tc>
        <w:tc>
          <w:tcPr>
            <w:tcW w:w="0" w:type="dxa"/>
            <w:vAlign w:val="bottom"/>
          </w:tcPr>
          <w:p>
            <w:pPr>
              <w:spacing w:after="0"/>
              <w:rPr>
                <w:sz w:val="1"/>
                <w:szCs w:val="1"/>
                <w:color w:val="auto"/>
              </w:rPr>
            </w:pPr>
          </w:p>
        </w:tc>
      </w:tr>
      <w:tr>
        <w:trPr>
          <w:trHeight w:val="27"/>
        </w:trPr>
        <w:tc>
          <w:tcPr>
            <w:tcW w:w="340" w:type="dxa"/>
            <w:vAlign w:val="bottom"/>
            <w:tcBorders>
              <w:bottom w:val="single" w:sz="8" w:color="CCEEFF"/>
            </w:tcBorders>
          </w:tcPr>
          <w:p>
            <w:pPr>
              <w:spacing w:after="0"/>
              <w:rPr>
                <w:sz w:val="2"/>
                <w:szCs w:val="2"/>
                <w:color w:val="auto"/>
              </w:rPr>
            </w:pPr>
          </w:p>
        </w:tc>
        <w:tc>
          <w:tcPr>
            <w:tcW w:w="3000" w:type="dxa"/>
            <w:vAlign w:val="bottom"/>
            <w:tcBorders>
              <w:bottom w:val="single" w:sz="8" w:color="CCEEFF"/>
            </w:tcBorders>
          </w:tcPr>
          <w:p>
            <w:pPr>
              <w:spacing w:after="0"/>
              <w:rPr>
                <w:sz w:val="2"/>
                <w:szCs w:val="2"/>
                <w:color w:val="auto"/>
              </w:rPr>
            </w:pPr>
          </w:p>
        </w:tc>
        <w:tc>
          <w:tcPr>
            <w:tcW w:w="21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5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Operating earnings (loss) before provision for income tax</w:t>
            </w: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1,228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1,024</w:t>
            </w:r>
          </w:p>
        </w:tc>
        <w:tc>
          <w:tcPr>
            <w:tcW w:w="0" w:type="dxa"/>
            <w:vAlign w:val="bottom"/>
          </w:tcPr>
          <w:p>
            <w:pPr>
              <w:spacing w:after="0"/>
              <w:rPr>
                <w:sz w:val="1"/>
                <w:szCs w:val="1"/>
                <w:color w:val="auto"/>
              </w:rPr>
            </w:pPr>
          </w:p>
        </w:tc>
      </w:tr>
      <w:tr>
        <w:trPr>
          <w:trHeight w:val="243"/>
        </w:trPr>
        <w:tc>
          <w:tcPr>
            <w:tcW w:w="5500" w:type="dxa"/>
            <w:vAlign w:val="bottom"/>
            <w:gridSpan w:val="3"/>
          </w:tcPr>
          <w:p>
            <w:pPr>
              <w:ind w:left="40"/>
              <w:spacing w:after="0"/>
              <w:rPr>
                <w:sz w:val="20"/>
                <w:szCs w:val="20"/>
                <w:color w:val="auto"/>
              </w:rPr>
            </w:pPr>
            <w:r>
              <w:rPr>
                <w:rFonts w:ascii="Arial" w:cs="Arial" w:eastAsia="Arial" w:hAnsi="Arial"/>
                <w:sz w:val="18"/>
                <w:szCs w:val="18"/>
                <w:color w:val="auto"/>
              </w:rPr>
              <w:t>Less: Provision for income tax (expense) benefit</w:t>
            </w:r>
          </w:p>
        </w:tc>
        <w:tc>
          <w:tcPr>
            <w:tcW w:w="20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368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tcPr>
          <w:p>
            <w:pPr>
              <w:jc w:val="right"/>
              <w:ind w:right="31"/>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(109)</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276</w:t>
            </w:r>
          </w:p>
        </w:tc>
        <w:tc>
          <w:tcPr>
            <w:tcW w:w="0" w:type="dxa"/>
            <w:vAlign w:val="bottom"/>
          </w:tcPr>
          <w:p>
            <w:pPr>
              <w:spacing w:after="0"/>
              <w:rPr>
                <w:sz w:val="1"/>
                <w:szCs w:val="1"/>
                <w:color w:val="auto"/>
              </w:rPr>
            </w:pPr>
          </w:p>
        </w:tc>
      </w:tr>
      <w:tr>
        <w:trPr>
          <w:trHeight w:val="27"/>
        </w:trPr>
        <w:tc>
          <w:tcPr>
            <w:tcW w:w="340" w:type="dxa"/>
            <w:vAlign w:val="bottom"/>
            <w:tcBorders>
              <w:bottom w:val="single" w:sz="8" w:color="CCEEFF"/>
            </w:tcBorders>
          </w:tcPr>
          <w:p>
            <w:pPr>
              <w:spacing w:after="0"/>
              <w:rPr>
                <w:sz w:val="2"/>
                <w:szCs w:val="2"/>
                <w:color w:val="auto"/>
              </w:rPr>
            </w:pPr>
          </w:p>
        </w:tc>
        <w:tc>
          <w:tcPr>
            <w:tcW w:w="3000" w:type="dxa"/>
            <w:vAlign w:val="bottom"/>
            <w:tcBorders>
              <w:bottom w:val="single" w:sz="8" w:color="CCEEFF"/>
            </w:tcBorders>
          </w:tcPr>
          <w:p>
            <w:pPr>
              <w:spacing w:after="0"/>
              <w:rPr>
                <w:sz w:val="2"/>
                <w:szCs w:val="2"/>
                <w:color w:val="auto"/>
              </w:rPr>
            </w:pPr>
          </w:p>
        </w:tc>
        <w:tc>
          <w:tcPr>
            <w:tcW w:w="21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5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Operating earnings (loss)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860</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50</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(189)</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27</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748</w:t>
            </w:r>
          </w:p>
        </w:tc>
        <w:tc>
          <w:tcPr>
            <w:tcW w:w="0" w:type="dxa"/>
            <w:vAlign w:val="bottom"/>
          </w:tcPr>
          <w:p>
            <w:pPr>
              <w:spacing w:after="0"/>
              <w:rPr>
                <w:sz w:val="1"/>
                <w:szCs w:val="1"/>
                <w:color w:val="auto"/>
              </w:rPr>
            </w:pPr>
          </w:p>
        </w:tc>
      </w:tr>
      <w:tr>
        <w:trPr>
          <w:trHeight w:val="20"/>
        </w:trPr>
        <w:tc>
          <w:tcPr>
            <w:tcW w:w="340" w:type="dxa"/>
            <w:vAlign w:val="bottom"/>
            <w:tcBorders>
              <w:top w:val="single" w:sz="8" w:color="CCEEFF"/>
            </w:tcBorders>
          </w:tcPr>
          <w:p>
            <w:pPr>
              <w:spacing w:after="0" w:line="20" w:lineRule="exact"/>
              <w:rPr>
                <w:sz w:val="1"/>
                <w:szCs w:val="1"/>
                <w:color w:val="auto"/>
              </w:rPr>
            </w:pPr>
          </w:p>
        </w:tc>
        <w:tc>
          <w:tcPr>
            <w:tcW w:w="3000" w:type="dxa"/>
            <w:vAlign w:val="bottom"/>
            <w:tcBorders>
              <w:top w:val="single" w:sz="8" w:color="CCEEFF"/>
            </w:tcBorders>
          </w:tcPr>
          <w:p>
            <w:pPr>
              <w:spacing w:after="0" w:line="20" w:lineRule="exact"/>
              <w:rPr>
                <w:sz w:val="1"/>
                <w:szCs w:val="1"/>
                <w:color w:val="auto"/>
              </w:rPr>
            </w:pPr>
          </w:p>
        </w:tc>
        <w:tc>
          <w:tcPr>
            <w:tcW w:w="21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__________________</w:t>
      </w:r>
    </w:p>
    <w:p>
      <w:pPr>
        <w:spacing w:after="0" w:line="212" w:lineRule="exact"/>
        <w:rPr>
          <w:sz w:val="20"/>
          <w:szCs w:val="20"/>
          <w:color w:val="auto"/>
        </w:rPr>
      </w:pPr>
    </w:p>
    <w:p>
      <w:pPr>
        <w:ind w:left="500" w:hanging="424"/>
        <w:spacing w:after="0" w:line="277" w:lineRule="auto"/>
        <w:tabs>
          <w:tab w:leader="none" w:pos="5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See definitions of operating revenues and operating expenses under “— Non-GAAP and Other Financial Disclosures” for the components of such adjustments.</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420"/>
          </w:cols>
          <w:pgMar w:left="240" w:top="126" w:right="239" w:bottom="1440" w:gutter="0" w:footer="0" w:header="0"/>
        </w:sectPr>
      </w:pPr>
    </w:p>
    <w:bookmarkStart w:id="93" w:name="page94"/>
    <w:bookmarkEnd w:id="93"/>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Consolidated Results for the Three Months and Nine Months Ended September 30, 2017 and 2016 — Operating</w:t>
      </w:r>
    </w:p>
    <w:p>
      <w:pPr>
        <w:spacing w:after="0" w:line="33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7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900" w:type="dxa"/>
            <w:vAlign w:val="bottom"/>
            <w:gridSpan w:val="3"/>
          </w:tcPr>
          <w:p>
            <w:pPr>
              <w:jc w:val="center"/>
              <w:ind w:left="633"/>
              <w:spacing w:after="0"/>
              <w:rPr>
                <w:sz w:val="20"/>
                <w:szCs w:val="20"/>
                <w:color w:val="auto"/>
              </w:rPr>
            </w:pPr>
            <w:r>
              <w:rPr>
                <w:rFonts w:ascii="Arial" w:cs="Arial" w:eastAsia="Arial" w:hAnsi="Arial"/>
                <w:sz w:val="16"/>
                <w:szCs w:val="16"/>
                <w:b w:val="1"/>
                <w:bCs w:val="1"/>
                <w:color w:val="auto"/>
                <w:w w:val="93"/>
              </w:rPr>
              <w:t>Three Months</w:t>
            </w: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740" w:type="dxa"/>
            <w:vAlign w:val="bottom"/>
            <w:gridSpan w:val="3"/>
          </w:tcPr>
          <w:p>
            <w:pPr>
              <w:jc w:val="center"/>
              <w:ind w:left="553"/>
              <w:spacing w:after="0"/>
              <w:rPr>
                <w:sz w:val="20"/>
                <w:szCs w:val="20"/>
                <w:color w:val="auto"/>
              </w:rPr>
            </w:pPr>
            <w:r>
              <w:rPr>
                <w:rFonts w:ascii="Arial" w:cs="Arial" w:eastAsia="Arial" w:hAnsi="Arial"/>
                <w:sz w:val="16"/>
                <w:szCs w:val="16"/>
                <w:b w:val="1"/>
                <w:bCs w:val="1"/>
                <w:color w:val="auto"/>
                <w:w w:val="93"/>
              </w:rPr>
              <w:t>Nine Months</w:t>
            </w: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7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900" w:type="dxa"/>
            <w:vAlign w:val="bottom"/>
            <w:gridSpan w:val="3"/>
          </w:tcPr>
          <w:p>
            <w:pPr>
              <w:jc w:val="center"/>
              <w:ind w:left="573"/>
              <w:spacing w:after="0"/>
              <w:rPr>
                <w:sz w:val="20"/>
                <w:szCs w:val="20"/>
                <w:color w:val="auto"/>
              </w:rPr>
            </w:pPr>
            <w:r>
              <w:rPr>
                <w:rFonts w:ascii="Arial" w:cs="Arial" w:eastAsia="Arial" w:hAnsi="Arial"/>
                <w:sz w:val="16"/>
                <w:szCs w:val="16"/>
                <w:b w:val="1"/>
                <w:bCs w:val="1"/>
                <w:color w:val="auto"/>
                <w:w w:val="89"/>
              </w:rPr>
              <w:t>Ended</w:t>
            </w: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740" w:type="dxa"/>
            <w:vAlign w:val="bottom"/>
            <w:gridSpan w:val="3"/>
          </w:tcPr>
          <w:p>
            <w:pPr>
              <w:jc w:val="center"/>
              <w:ind w:left="513"/>
              <w:spacing w:after="0"/>
              <w:rPr>
                <w:sz w:val="20"/>
                <w:szCs w:val="20"/>
                <w:color w:val="auto"/>
              </w:rPr>
            </w:pPr>
            <w:r>
              <w:rPr>
                <w:rFonts w:ascii="Arial" w:cs="Arial" w:eastAsia="Arial" w:hAnsi="Arial"/>
                <w:sz w:val="16"/>
                <w:szCs w:val="16"/>
                <w:b w:val="1"/>
                <w:bCs w:val="1"/>
                <w:color w:val="auto"/>
                <w:w w:val="93"/>
              </w:rPr>
              <w:t>Ended</w:t>
            </w: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900" w:type="dxa"/>
            <w:vAlign w:val="bottom"/>
            <w:gridSpan w:val="3"/>
          </w:tcPr>
          <w:p>
            <w:pPr>
              <w:jc w:val="center"/>
              <w:ind w:left="613"/>
              <w:spacing w:after="0"/>
              <w:rPr>
                <w:sz w:val="20"/>
                <w:szCs w:val="20"/>
                <w:color w:val="auto"/>
              </w:rPr>
            </w:pPr>
            <w:r>
              <w:rPr>
                <w:rFonts w:ascii="Arial" w:cs="Arial" w:eastAsia="Arial" w:hAnsi="Arial"/>
                <w:sz w:val="16"/>
                <w:szCs w:val="16"/>
                <w:b w:val="1"/>
                <w:bCs w:val="1"/>
                <w:color w:val="auto"/>
                <w:w w:val="91"/>
              </w:rPr>
              <w:t>September 30,</w:t>
            </w: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740" w:type="dxa"/>
            <w:vAlign w:val="bottom"/>
            <w:gridSpan w:val="3"/>
          </w:tcPr>
          <w:p>
            <w:pPr>
              <w:jc w:val="center"/>
              <w:ind w:left="553"/>
              <w:spacing w:after="0"/>
              <w:rPr>
                <w:sz w:val="20"/>
                <w:szCs w:val="20"/>
                <w:color w:val="auto"/>
              </w:rPr>
            </w:pPr>
            <w:r>
              <w:rPr>
                <w:rFonts w:ascii="Arial" w:cs="Arial" w:eastAsia="Arial" w:hAnsi="Arial"/>
                <w:sz w:val="16"/>
                <w:szCs w:val="16"/>
                <w:b w:val="1"/>
                <w:bCs w:val="1"/>
                <w:color w:val="auto"/>
                <w:w w:val="89"/>
              </w:rPr>
              <w:t>September 30,</w:t>
            </w: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76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7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60" w:type="dxa"/>
            <w:vAlign w:val="bottom"/>
          </w:tcPr>
          <w:p>
            <w:pPr>
              <w:jc w:val="right"/>
              <w:ind w:right="573"/>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60" w:type="dxa"/>
            <w:vAlign w:val="bottom"/>
          </w:tcPr>
          <w:p>
            <w:pPr>
              <w:jc w:val="right"/>
              <w:ind w:right="553"/>
              <w:spacing w:after="0"/>
              <w:rPr>
                <w:sz w:val="20"/>
                <w:szCs w:val="20"/>
                <w:color w:val="auto"/>
              </w:rPr>
            </w:pPr>
            <w:r>
              <w:rPr>
                <w:rFonts w:ascii="Arial" w:cs="Arial" w:eastAsia="Arial" w:hAnsi="Arial"/>
                <w:sz w:val="16"/>
                <w:szCs w:val="16"/>
                <w:b w:val="1"/>
                <w:bCs w:val="1"/>
                <w:color w:val="auto"/>
              </w:rPr>
              <w:t>2016</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60" w:type="dxa"/>
            <w:vAlign w:val="bottom"/>
          </w:tcPr>
          <w:p>
            <w:pPr>
              <w:jc w:val="right"/>
              <w:ind w:right="493"/>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20" w:type="dxa"/>
            <w:vAlign w:val="bottom"/>
          </w:tcPr>
          <w:p>
            <w:pPr>
              <w:jc w:val="right"/>
              <w:ind w:right="551"/>
              <w:spacing w:after="0"/>
              <w:rPr>
                <w:sz w:val="20"/>
                <w:szCs w:val="20"/>
                <w:color w:val="auto"/>
              </w:rPr>
            </w:pPr>
            <w:r>
              <w:rPr>
                <w:rFonts w:ascii="Arial" w:cs="Arial" w:eastAsia="Arial" w:hAnsi="Arial"/>
                <w:sz w:val="16"/>
                <w:szCs w:val="16"/>
                <w:b w:val="1"/>
                <w:bCs w:val="1"/>
                <w:color w:val="auto"/>
              </w:rPr>
              <w:t>2016</w:t>
            </w: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1000" w:type="dxa"/>
            <w:vAlign w:val="bottom"/>
            <w:vMerge w:val="restart"/>
          </w:tcPr>
          <w:p>
            <w:pPr>
              <w:spacing w:after="0"/>
              <w:rPr>
                <w:sz w:val="20"/>
                <w:szCs w:val="20"/>
                <w:color w:val="auto"/>
              </w:rPr>
            </w:pPr>
            <w:r>
              <w:rPr>
                <w:rFonts w:ascii="Arial" w:cs="Arial" w:eastAsia="Arial" w:hAnsi="Arial"/>
                <w:sz w:val="18"/>
                <w:szCs w:val="18"/>
                <w:b w:val="1"/>
                <w:bCs w:val="1"/>
                <w:color w:val="auto"/>
                <w:w w:val="85"/>
              </w:rPr>
              <w:t>Consolidated</w:t>
            </w:r>
          </w:p>
        </w:tc>
        <w:tc>
          <w:tcPr>
            <w:tcW w:w="376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gridSpan w:val="3"/>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8"/>
        </w:trPr>
        <w:tc>
          <w:tcPr>
            <w:tcW w:w="40" w:type="dxa"/>
            <w:vAlign w:val="bottom"/>
          </w:tcPr>
          <w:p>
            <w:pPr>
              <w:spacing w:after="0"/>
              <w:rPr>
                <w:sz w:val="15"/>
                <w:szCs w:val="15"/>
                <w:color w:val="auto"/>
              </w:rPr>
            </w:pPr>
          </w:p>
        </w:tc>
        <w:tc>
          <w:tcPr>
            <w:tcW w:w="1000" w:type="dxa"/>
            <w:vAlign w:val="bottom"/>
            <w:tcBorders>
              <w:bottom w:val="single" w:sz="8" w:color="auto"/>
            </w:tcBorders>
            <w:vMerge w:val="continue"/>
          </w:tcPr>
          <w:p>
            <w:pPr>
              <w:spacing w:after="0"/>
              <w:rPr>
                <w:sz w:val="15"/>
                <w:szCs w:val="15"/>
                <w:color w:val="auto"/>
              </w:rPr>
            </w:pPr>
          </w:p>
        </w:tc>
        <w:tc>
          <w:tcPr>
            <w:tcW w:w="37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580" w:type="dxa"/>
            <w:vAlign w:val="bottom"/>
            <w:gridSpan w:val="3"/>
          </w:tcPr>
          <w:p>
            <w:pPr>
              <w:jc w:val="right"/>
              <w:ind w:right="70"/>
              <w:spacing w:after="0"/>
              <w:rPr>
                <w:sz w:val="20"/>
                <w:szCs w:val="20"/>
                <w:color w:val="auto"/>
              </w:rPr>
            </w:pPr>
            <w:r>
              <w:rPr>
                <w:rFonts w:ascii="Arial" w:cs="Arial" w:eastAsia="Arial" w:hAnsi="Arial"/>
                <w:sz w:val="14"/>
                <w:szCs w:val="14"/>
                <w:b w:val="1"/>
                <w:bCs w:val="1"/>
                <w:color w:val="auto"/>
              </w:rPr>
              <w:t>(In millions)</w:t>
            </w: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1000" w:type="dxa"/>
            <w:vAlign w:val="bottom"/>
          </w:tcPr>
          <w:p>
            <w:pPr>
              <w:spacing w:after="0"/>
              <w:rPr>
                <w:sz w:val="4"/>
                <w:szCs w:val="4"/>
                <w:color w:val="auto"/>
              </w:rPr>
            </w:pPr>
          </w:p>
        </w:tc>
        <w:tc>
          <w:tcPr>
            <w:tcW w:w="3760" w:type="dxa"/>
            <w:vAlign w:val="bottom"/>
          </w:tcPr>
          <w:p>
            <w:pPr>
              <w:spacing w:after="0"/>
              <w:rPr>
                <w:sz w:val="4"/>
                <w:szCs w:val="4"/>
                <w:color w:val="auto"/>
              </w:rPr>
            </w:pPr>
          </w:p>
        </w:tc>
        <w:tc>
          <w:tcPr>
            <w:tcW w:w="38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00" w:type="dxa"/>
            <w:vAlign w:val="bottom"/>
          </w:tcPr>
          <w:p>
            <w:pPr>
              <w:spacing w:after="0"/>
              <w:rPr>
                <w:sz w:val="4"/>
                <w:szCs w:val="4"/>
                <w:color w:val="auto"/>
              </w:rPr>
            </w:pPr>
          </w:p>
        </w:tc>
        <w:tc>
          <w:tcPr>
            <w:tcW w:w="54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00" w:type="dxa"/>
            <w:vAlign w:val="bottom"/>
          </w:tcPr>
          <w:p>
            <w:pPr>
              <w:spacing w:after="0"/>
              <w:rPr>
                <w:sz w:val="4"/>
                <w:szCs w:val="4"/>
                <w:color w:val="auto"/>
              </w:rPr>
            </w:pPr>
          </w:p>
        </w:tc>
        <w:tc>
          <w:tcPr>
            <w:tcW w:w="42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00" w:type="dxa"/>
            <w:vAlign w:val="bottom"/>
          </w:tcPr>
          <w:p>
            <w:pPr>
              <w:spacing w:after="0"/>
              <w:rPr>
                <w:sz w:val="4"/>
                <w:szCs w:val="4"/>
                <w:color w:val="auto"/>
              </w:rPr>
            </w:pPr>
          </w:p>
        </w:tc>
        <w:tc>
          <w:tcPr>
            <w:tcW w:w="580" w:type="dxa"/>
            <w:vAlign w:val="bottom"/>
          </w:tcPr>
          <w:p>
            <w:pPr>
              <w:spacing w:after="0"/>
              <w:rPr>
                <w:sz w:val="4"/>
                <w:szCs w:val="4"/>
                <w:color w:val="auto"/>
              </w:rPr>
            </w:pPr>
          </w:p>
        </w:tc>
        <w:tc>
          <w:tcPr>
            <w:tcW w:w="10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48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Fee income</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1,050</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985</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3,052</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3,162</w:t>
            </w:r>
          </w:p>
        </w:tc>
        <w:tc>
          <w:tcPr>
            <w:tcW w:w="0" w:type="dxa"/>
            <w:vAlign w:val="bottom"/>
          </w:tcPr>
          <w:p>
            <w:pPr>
              <w:spacing w:after="0"/>
              <w:rPr>
                <w:sz w:val="1"/>
                <w:szCs w:val="1"/>
                <w:color w:val="auto"/>
              </w:rPr>
            </w:pPr>
          </w:p>
        </w:tc>
      </w:tr>
      <w:tr>
        <w:trPr>
          <w:trHeight w:val="243"/>
        </w:trPr>
        <w:tc>
          <w:tcPr>
            <w:tcW w:w="4800" w:type="dxa"/>
            <w:vAlign w:val="bottom"/>
            <w:gridSpan w:val="3"/>
          </w:tcPr>
          <w:p>
            <w:pPr>
              <w:ind w:left="40"/>
              <w:spacing w:after="0"/>
              <w:rPr>
                <w:sz w:val="20"/>
                <w:szCs w:val="20"/>
                <w:color w:val="auto"/>
              </w:rPr>
            </w:pPr>
            <w:r>
              <w:rPr>
                <w:rFonts w:ascii="Arial" w:cs="Arial" w:eastAsia="Arial" w:hAnsi="Arial"/>
                <w:sz w:val="18"/>
                <w:szCs w:val="18"/>
                <w:color w:val="auto"/>
              </w:rPr>
              <w:t>Net investment spread</w:t>
            </w:r>
          </w:p>
        </w:tc>
        <w:tc>
          <w:tcPr>
            <w:tcW w:w="380" w:type="dxa"/>
            <w:vAlign w:val="bottom"/>
          </w:tcPr>
          <w:p>
            <w:pPr>
              <w:spacing w:after="0"/>
              <w:rPr>
                <w:sz w:val="21"/>
                <w:szCs w:val="21"/>
                <w:color w:val="auto"/>
              </w:rPr>
            </w:pPr>
          </w:p>
        </w:tc>
        <w:tc>
          <w:tcPr>
            <w:tcW w:w="1260" w:type="dxa"/>
            <w:vAlign w:val="bottom"/>
          </w:tcPr>
          <w:p>
            <w:pPr>
              <w:jc w:val="right"/>
              <w:ind w:right="33"/>
              <w:spacing w:after="0"/>
              <w:rPr>
                <w:sz w:val="20"/>
                <w:szCs w:val="20"/>
                <w:color w:val="auto"/>
              </w:rPr>
            </w:pPr>
            <w:r>
              <w:rPr>
                <w:rFonts w:ascii="Arial" w:cs="Arial" w:eastAsia="Arial" w:hAnsi="Arial"/>
                <w:sz w:val="18"/>
                <w:szCs w:val="18"/>
                <w:color w:val="auto"/>
              </w:rPr>
              <w:t>299</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446</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984</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1,179</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7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Insurance-related activities</w:t>
            </w:r>
          </w:p>
        </w:tc>
        <w:tc>
          <w:tcPr>
            <w:tcW w:w="3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(292)</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(292)</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(739)</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(986)</w:t>
            </w:r>
          </w:p>
        </w:tc>
        <w:tc>
          <w:tcPr>
            <w:tcW w:w="0" w:type="dxa"/>
            <w:vAlign w:val="bottom"/>
          </w:tcPr>
          <w:p>
            <w:pPr>
              <w:spacing w:after="0"/>
              <w:rPr>
                <w:sz w:val="1"/>
                <w:szCs w:val="1"/>
                <w:color w:val="auto"/>
              </w:rPr>
            </w:pPr>
          </w:p>
        </w:tc>
      </w:tr>
      <w:tr>
        <w:trPr>
          <w:trHeight w:val="243"/>
        </w:trPr>
        <w:tc>
          <w:tcPr>
            <w:tcW w:w="4800" w:type="dxa"/>
            <w:vAlign w:val="bottom"/>
            <w:gridSpan w:val="3"/>
          </w:tcPr>
          <w:p>
            <w:pPr>
              <w:ind w:left="40"/>
              <w:spacing w:after="0"/>
              <w:rPr>
                <w:sz w:val="20"/>
                <w:szCs w:val="20"/>
                <w:color w:val="auto"/>
              </w:rPr>
            </w:pPr>
            <w:r>
              <w:rPr>
                <w:rFonts w:ascii="Arial" w:cs="Arial" w:eastAsia="Arial" w:hAnsi="Arial"/>
                <w:sz w:val="18"/>
                <w:szCs w:val="18"/>
                <w:color w:val="auto"/>
              </w:rPr>
              <w:t>Amortization of DAC and VOBA</w:t>
            </w:r>
          </w:p>
        </w:tc>
        <w:tc>
          <w:tcPr>
            <w:tcW w:w="380" w:type="dxa"/>
            <w:vAlign w:val="bottom"/>
          </w:tcPr>
          <w:p>
            <w:pPr>
              <w:spacing w:after="0"/>
              <w:rPr>
                <w:sz w:val="21"/>
                <w:szCs w:val="21"/>
                <w:color w:val="auto"/>
              </w:rPr>
            </w:pPr>
          </w:p>
        </w:tc>
        <w:tc>
          <w:tcPr>
            <w:tcW w:w="1260" w:type="dxa"/>
            <w:vAlign w:val="bottom"/>
          </w:tcPr>
          <w:p>
            <w:pPr>
              <w:jc w:val="right"/>
              <w:ind w:right="33"/>
              <w:spacing w:after="0"/>
              <w:rPr>
                <w:sz w:val="20"/>
                <w:szCs w:val="20"/>
                <w:color w:val="auto"/>
              </w:rPr>
            </w:pPr>
            <w:r>
              <w:rPr>
                <w:rFonts w:ascii="Arial" w:cs="Arial" w:eastAsia="Arial" w:hAnsi="Arial"/>
                <w:sz w:val="18"/>
                <w:szCs w:val="18"/>
                <w:color w:val="auto"/>
              </w:rPr>
              <w:t>86</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(152)</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(189)</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(823)</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7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8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Other expenses, net of DAC capitalization</w:t>
            </w:r>
          </w:p>
        </w:tc>
        <w:tc>
          <w:tcPr>
            <w:tcW w:w="38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(639)</w:t>
            </w:r>
          </w:p>
        </w:tc>
        <w:tc>
          <w:tcPr>
            <w:tcW w:w="10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(492)</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(1,786)</w:t>
            </w:r>
          </w:p>
        </w:tc>
        <w:tc>
          <w:tcPr>
            <w:tcW w:w="10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(1,508)</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4760" w:type="dxa"/>
            <w:vAlign w:val="bottom"/>
            <w:gridSpan w:val="2"/>
          </w:tcPr>
          <w:p>
            <w:pPr>
              <w:ind w:left="160"/>
              <w:spacing w:after="0"/>
              <w:rPr>
                <w:sz w:val="20"/>
                <w:szCs w:val="20"/>
                <w:color w:val="auto"/>
              </w:rPr>
            </w:pPr>
            <w:r>
              <w:rPr>
                <w:rFonts w:ascii="Arial" w:cs="Arial" w:eastAsia="Arial" w:hAnsi="Arial"/>
                <w:sz w:val="18"/>
                <w:szCs w:val="18"/>
                <w:color w:val="auto"/>
              </w:rPr>
              <w:t>Operating earnings (loss) before provision for income tax</w:t>
            </w:r>
          </w:p>
        </w:tc>
        <w:tc>
          <w:tcPr>
            <w:tcW w:w="38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504</w:t>
            </w:r>
          </w:p>
        </w:tc>
        <w:tc>
          <w:tcPr>
            <w:tcW w:w="100" w:type="dxa"/>
            <w:vAlign w:val="bottom"/>
          </w:tcPr>
          <w:p>
            <w:pPr>
              <w:spacing w:after="0"/>
              <w:rPr>
                <w:sz w:val="20"/>
                <w:szCs w:val="20"/>
                <w:color w:val="auto"/>
              </w:rPr>
            </w:pPr>
          </w:p>
        </w:tc>
        <w:tc>
          <w:tcPr>
            <w:tcW w:w="54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495</w:t>
            </w:r>
          </w:p>
        </w:tc>
        <w:tc>
          <w:tcPr>
            <w:tcW w:w="1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1,322</w:t>
            </w:r>
          </w:p>
        </w:tc>
        <w:tc>
          <w:tcPr>
            <w:tcW w:w="100" w:type="dxa"/>
            <w:vAlign w:val="bottom"/>
          </w:tcPr>
          <w:p>
            <w:pPr>
              <w:spacing w:after="0"/>
              <w:rPr>
                <w:sz w:val="20"/>
                <w:szCs w:val="20"/>
                <w:color w:val="auto"/>
              </w:rPr>
            </w:pPr>
          </w:p>
        </w:tc>
        <w:tc>
          <w:tcPr>
            <w:tcW w:w="58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1,024</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7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8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Provisions for income tax expense (benefit)</w:t>
            </w:r>
          </w:p>
        </w:tc>
        <w:tc>
          <w:tcPr>
            <w:tcW w:w="38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1,180</w:t>
            </w:r>
          </w:p>
        </w:tc>
        <w:tc>
          <w:tcPr>
            <w:tcW w:w="10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166</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1,394</w:t>
            </w:r>
          </w:p>
        </w:tc>
        <w:tc>
          <w:tcPr>
            <w:tcW w:w="10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276</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4760" w:type="dxa"/>
            <w:vAlign w:val="bottom"/>
            <w:gridSpan w:val="2"/>
          </w:tcPr>
          <w:p>
            <w:pPr>
              <w:ind w:left="160"/>
              <w:spacing w:after="0"/>
              <w:rPr>
                <w:sz w:val="20"/>
                <w:szCs w:val="20"/>
                <w:color w:val="auto"/>
              </w:rPr>
            </w:pPr>
            <w:r>
              <w:rPr>
                <w:rFonts w:ascii="Arial" w:cs="Arial" w:eastAsia="Arial" w:hAnsi="Arial"/>
                <w:sz w:val="18"/>
                <w:szCs w:val="18"/>
                <w:color w:val="auto"/>
              </w:rPr>
              <w:t>Operating earnings (loss)</w:t>
            </w: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(676)</w:t>
            </w:r>
          </w:p>
        </w:tc>
        <w:tc>
          <w:tcPr>
            <w:tcW w:w="100" w:type="dxa"/>
            <w:vAlign w:val="bottom"/>
          </w:tcPr>
          <w:p>
            <w:pPr>
              <w:spacing w:after="0"/>
              <w:rPr>
                <w:sz w:val="20"/>
                <w:szCs w:val="20"/>
                <w:color w:val="auto"/>
              </w:rPr>
            </w:pPr>
          </w:p>
        </w:tc>
        <w:tc>
          <w:tcPr>
            <w:tcW w:w="540" w:type="dxa"/>
            <w:vAlign w:val="bottom"/>
            <w:tcBorders>
              <w:top w:val="single" w:sz="8" w:color="auto"/>
            </w:tcBorders>
          </w:tcPr>
          <w:p>
            <w:pPr>
              <w:jc w:val="right"/>
              <w:ind w:right="33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329</w:t>
            </w:r>
          </w:p>
        </w:tc>
        <w:tc>
          <w:tcPr>
            <w:tcW w:w="100" w:type="dxa"/>
            <w:vAlign w:val="bottom"/>
          </w:tcPr>
          <w:p>
            <w:pPr>
              <w:spacing w:after="0"/>
              <w:rPr>
                <w:sz w:val="20"/>
                <w:szCs w:val="20"/>
                <w:color w:val="auto"/>
              </w:rPr>
            </w:pPr>
          </w:p>
        </w:tc>
        <w:tc>
          <w:tcPr>
            <w:tcW w:w="42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(72)</w:t>
            </w:r>
          </w:p>
        </w:tc>
        <w:tc>
          <w:tcPr>
            <w:tcW w:w="100" w:type="dxa"/>
            <w:vAlign w:val="bottom"/>
          </w:tcPr>
          <w:p>
            <w:pPr>
              <w:spacing w:after="0"/>
              <w:rPr>
                <w:sz w:val="20"/>
                <w:szCs w:val="20"/>
                <w:color w:val="auto"/>
              </w:rPr>
            </w:pPr>
          </w:p>
        </w:tc>
        <w:tc>
          <w:tcPr>
            <w:tcW w:w="580" w:type="dxa"/>
            <w:vAlign w:val="bottom"/>
            <w:tcBorders>
              <w:top w:val="single" w:sz="8" w:color="auto"/>
            </w:tcBorders>
          </w:tcPr>
          <w:p>
            <w:pPr>
              <w:jc w:val="right"/>
              <w:ind w:right="37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748</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76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Three Months Ended September 30, 2017 Compared with the Three Months Ended September 30, 2016</w:t>
      </w:r>
    </w:p>
    <w:p>
      <w:pPr>
        <w:spacing w:after="0" w:line="15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Unless otherwise noted, all amounts in the following discussion are net of income tax.</w:t>
      </w:r>
    </w:p>
    <w:p>
      <w:pPr>
        <w:spacing w:after="0" w:line="11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i w:val="1"/>
          <w:iCs w:val="1"/>
          <w:color w:val="auto"/>
        </w:rPr>
        <w:t xml:space="preserve">Overview. </w:t>
      </w:r>
      <w:r>
        <w:rPr>
          <w:rFonts w:ascii="Arial" w:cs="Arial" w:eastAsia="Arial" w:hAnsi="Arial"/>
          <w:sz w:val="18"/>
          <w:szCs w:val="18"/>
          <w:color w:val="auto"/>
        </w:rPr>
        <w:t>Operating earnings (loss) decreased $1.0 billion, primarily due to a non-cash tax charge triggered prior to the Separation. Excluding this tax</w:t>
      </w:r>
      <w:r>
        <w:rPr>
          <w:rFonts w:ascii="Arial" w:cs="Arial" w:eastAsia="Arial" w:hAnsi="Arial"/>
          <w:sz w:val="18"/>
          <w:szCs w:val="18"/>
          <w:i w:val="1"/>
          <w:iCs w:val="1"/>
          <w:color w:val="auto"/>
        </w:rPr>
        <w:t xml:space="preserve"> </w:t>
      </w:r>
      <w:r>
        <w:rPr>
          <w:rFonts w:ascii="Arial" w:cs="Arial" w:eastAsia="Arial" w:hAnsi="Arial"/>
          <w:sz w:val="18"/>
          <w:szCs w:val="18"/>
          <w:color w:val="auto"/>
        </w:rPr>
        <w:t>charge, operating earnings (loss) increased $69 million, primarily driven by the impact from the annual actuarial assumption review, which more than offset higher expenses and lower net investment income. Excluding both the impact from the tax charge and the annual actuarial assumption review, operating earnings (loss) decreased $71 million.</w:t>
      </w:r>
    </w:p>
    <w:p>
      <w:pPr>
        <w:spacing w:after="0" w:line="79"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i w:val="1"/>
          <w:iCs w:val="1"/>
          <w:color w:val="auto"/>
        </w:rPr>
        <w:t>Fee Income</w:t>
      </w:r>
      <w:r>
        <w:rPr>
          <w:rFonts w:ascii="Arial" w:cs="Arial" w:eastAsia="Arial" w:hAnsi="Arial"/>
          <w:sz w:val="18"/>
          <w:szCs w:val="18"/>
          <w:color w:val="auto"/>
        </w:rPr>
        <w:t>. Operating earnings (loss) increased by $42 million from higher fee income, primarily due to higher amortization of unearned revenue in our</w:t>
      </w:r>
      <w:r>
        <w:rPr>
          <w:rFonts w:ascii="Arial" w:cs="Arial" w:eastAsia="Arial" w:hAnsi="Arial"/>
          <w:sz w:val="18"/>
          <w:szCs w:val="18"/>
          <w:i w:val="1"/>
          <w:iCs w:val="1"/>
          <w:color w:val="auto"/>
        </w:rPr>
        <w:t xml:space="preserve"> </w:t>
      </w:r>
      <w:r>
        <w:rPr>
          <w:rFonts w:ascii="Arial" w:cs="Arial" w:eastAsia="Arial" w:hAnsi="Arial"/>
          <w:sz w:val="18"/>
          <w:szCs w:val="18"/>
          <w:color w:val="auto"/>
        </w:rPr>
        <w:t>Life and Run-off segments resulting from the annual actuarial assumption review. Excluding the impact of the annual actuarial assumption review, fee income was largely unchanged.</w:t>
      </w:r>
    </w:p>
    <w:p>
      <w:pPr>
        <w:spacing w:after="0" w:line="73"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i w:val="1"/>
          <w:iCs w:val="1"/>
          <w:color w:val="auto"/>
        </w:rPr>
        <w:t xml:space="preserve">Net Investment Spread. </w:t>
      </w:r>
      <w:r>
        <w:rPr>
          <w:rFonts w:ascii="Arial" w:cs="Arial" w:eastAsia="Arial" w:hAnsi="Arial"/>
          <w:sz w:val="18"/>
          <w:szCs w:val="18"/>
          <w:color w:val="auto"/>
        </w:rPr>
        <w:t>Net investment spread decreased operating earnings (loss) by $96 million, primarily due to lower net investment income resulting</w:t>
      </w:r>
      <w:r>
        <w:rPr>
          <w:rFonts w:ascii="Arial" w:cs="Arial" w:eastAsia="Arial" w:hAnsi="Arial"/>
          <w:sz w:val="18"/>
          <w:szCs w:val="18"/>
          <w:i w:val="1"/>
          <w:iCs w:val="1"/>
          <w:color w:val="auto"/>
        </w:rPr>
        <w:t xml:space="preserve"> </w:t>
      </w:r>
      <w:r>
        <w:rPr>
          <w:rFonts w:ascii="Arial" w:cs="Arial" w:eastAsia="Arial" w:hAnsi="Arial"/>
          <w:sz w:val="18"/>
          <w:szCs w:val="18"/>
          <w:color w:val="auto"/>
        </w:rPr>
        <w:t>from a lower invested asset base, lower income on derivatives due to the termination of interest rate swaps, and lower returns on other limited partnership interests.</w:t>
      </w:r>
    </w:p>
    <w:p>
      <w:pPr>
        <w:spacing w:after="0" w:line="73"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i w:val="1"/>
          <w:iCs w:val="1"/>
          <w:color w:val="auto"/>
        </w:rPr>
        <w:t>Insurance-Related Activities</w:t>
      </w:r>
      <w:r>
        <w:rPr>
          <w:rFonts w:ascii="Arial" w:cs="Arial" w:eastAsia="Arial" w:hAnsi="Arial"/>
          <w:sz w:val="17"/>
          <w:szCs w:val="17"/>
          <w:color w:val="auto"/>
        </w:rPr>
        <w:t>. Operating earnings (loss) was unchanged as a result of offsetting insurance-related activities between our Run-off and</w:t>
      </w:r>
      <w:r>
        <w:rPr>
          <w:rFonts w:ascii="Arial" w:cs="Arial" w:eastAsia="Arial" w:hAnsi="Arial"/>
          <w:sz w:val="17"/>
          <w:szCs w:val="17"/>
          <w:i w:val="1"/>
          <w:iCs w:val="1"/>
          <w:color w:val="auto"/>
        </w:rPr>
        <w:t xml:space="preserve"> </w:t>
      </w:r>
      <w:r>
        <w:rPr>
          <w:rFonts w:ascii="Arial" w:cs="Arial" w:eastAsia="Arial" w:hAnsi="Arial"/>
          <w:sz w:val="17"/>
          <w:szCs w:val="17"/>
          <w:color w:val="auto"/>
        </w:rPr>
        <w:t>Annuities segments. The favorable results in our Run-off segment were driven mostly by the charges recognized in the prior period, net of additional charges in the current period, due to the ULSG Model Change and related loss recognition, as well as favorable impacts in the current period from the annual actuarial assumption review. The unfavorable results in our Annuities segment were primarily from the annual actuarial assumption review. Excluding the impact of the annual actuarial assumption review, insurance-related activities increased operating earnings (loss) by $48 million.</w:t>
      </w:r>
    </w:p>
    <w:p>
      <w:pPr>
        <w:spacing w:after="0" w:line="64"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i w:val="1"/>
          <w:iCs w:val="1"/>
          <w:color w:val="auto"/>
        </w:rPr>
        <w:t xml:space="preserve">Amortization of DAC and VOBA. </w:t>
      </w:r>
      <w:r>
        <w:rPr>
          <w:rFonts w:ascii="Arial" w:cs="Arial" w:eastAsia="Arial" w:hAnsi="Arial"/>
          <w:sz w:val="17"/>
          <w:szCs w:val="17"/>
          <w:color w:val="auto"/>
        </w:rPr>
        <w:t>Lower amortization of DAC and VOBA increased operating earnings (loss) by $155 million, primarily from the results</w:t>
      </w:r>
      <w:r>
        <w:rPr>
          <w:rFonts w:ascii="Arial" w:cs="Arial" w:eastAsia="Arial" w:hAnsi="Arial"/>
          <w:sz w:val="17"/>
          <w:szCs w:val="17"/>
          <w:i w:val="1"/>
          <w:iCs w:val="1"/>
          <w:color w:val="auto"/>
        </w:rPr>
        <w:t xml:space="preserve"> </w:t>
      </w:r>
      <w:r>
        <w:rPr>
          <w:rFonts w:ascii="Arial" w:cs="Arial" w:eastAsia="Arial" w:hAnsi="Arial"/>
          <w:sz w:val="17"/>
          <w:szCs w:val="17"/>
          <w:color w:val="auto"/>
        </w:rPr>
        <w:t>of the annual actuarial assumption review as favorable changes from refinements to the amortization period in our Annuities segment were partially offset by unfavorable changes in assumptions regarding mortality and maintenance expenses in our Life segment. Excluding the impact of the annual actuarial assumption review, amortization of DAC and VOBA increased operating earnings (loss) by $10 million.</w:t>
      </w:r>
    </w:p>
    <w:p>
      <w:pPr>
        <w:spacing w:after="0" w:line="63"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i w:val="1"/>
          <w:iCs w:val="1"/>
          <w:color w:val="auto"/>
        </w:rPr>
        <w:t>Other Expenses, Net of DAC Capitalization</w:t>
      </w:r>
      <w:r>
        <w:rPr>
          <w:rFonts w:ascii="Arial" w:cs="Arial" w:eastAsia="Arial" w:hAnsi="Arial"/>
          <w:sz w:val="18"/>
          <w:szCs w:val="18"/>
          <w:color w:val="auto"/>
        </w:rPr>
        <w:t>. Higher expenses decreased operating earnings (loss) by $96 million, primarily due to separation-related</w:t>
      </w:r>
      <w:r>
        <w:rPr>
          <w:rFonts w:ascii="Arial" w:cs="Arial" w:eastAsia="Arial" w:hAnsi="Arial"/>
          <w:sz w:val="18"/>
          <w:szCs w:val="18"/>
          <w:i w:val="1"/>
          <w:iCs w:val="1"/>
          <w:color w:val="auto"/>
        </w:rPr>
        <w:t xml:space="preserve"> </w:t>
      </w:r>
      <w:r>
        <w:rPr>
          <w:rFonts w:ascii="Arial" w:cs="Arial" w:eastAsia="Arial" w:hAnsi="Arial"/>
          <w:sz w:val="18"/>
          <w:szCs w:val="18"/>
          <w:color w:val="auto"/>
        </w:rPr>
        <w:t>system implementation and branding costs, and higher asset-based expenses in our Annuities segment. A portion of the expense increase resulted from the asset-based fees remitted to MLIC, which is offset in fee income.</w:t>
      </w:r>
    </w:p>
    <w:p>
      <w:pPr>
        <w:spacing w:after="0" w:line="73"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i w:val="1"/>
          <w:iCs w:val="1"/>
          <w:color w:val="auto"/>
        </w:rPr>
        <w:t xml:space="preserve">Actuarial Assumption Review. </w:t>
      </w:r>
      <w:r>
        <w:rPr>
          <w:rFonts w:ascii="Arial" w:cs="Arial" w:eastAsia="Arial" w:hAnsi="Arial"/>
          <w:sz w:val="18"/>
          <w:szCs w:val="18"/>
          <w:color w:val="auto"/>
        </w:rPr>
        <w:t>The results from the annual actuarial assumption review, which are included in the amounts discussed above, had a</w:t>
      </w:r>
      <w:r>
        <w:rPr>
          <w:rFonts w:ascii="Arial" w:cs="Arial" w:eastAsia="Arial" w:hAnsi="Arial"/>
          <w:sz w:val="18"/>
          <w:szCs w:val="18"/>
          <w:i w:val="1"/>
          <w:iCs w:val="1"/>
          <w:color w:val="auto"/>
        </w:rPr>
        <w:t xml:space="preserve"> </w:t>
      </w:r>
      <w:r>
        <w:rPr>
          <w:rFonts w:ascii="Arial" w:cs="Arial" w:eastAsia="Arial" w:hAnsi="Arial"/>
          <w:sz w:val="18"/>
          <w:szCs w:val="18"/>
          <w:color w:val="auto"/>
        </w:rPr>
        <w:t>favorable impact to current period operating earnings (loss) of $141 million, when compared to the prior period, primarily due to:</w:t>
      </w:r>
    </w:p>
    <w:p>
      <w:pPr>
        <w:spacing w:after="0" w:line="62" w:lineRule="exact"/>
        <w:rPr>
          <w:sz w:val="20"/>
          <w:szCs w:val="20"/>
          <w:color w:val="auto"/>
        </w:rPr>
      </w:pPr>
    </w:p>
    <w:p>
      <w:pPr>
        <w:ind w:left="660" w:hanging="328"/>
        <w:spacing w:after="0"/>
        <w:tabs>
          <w:tab w:leader="none" w:pos="6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lower amortization of DAC of $240 million in our Annuities segment from refinements in the amortization period;</w:t>
      </w:r>
    </w:p>
    <w:p>
      <w:pPr>
        <w:spacing w:after="0" w:line="117"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lower policyholder benefits and claims of $53 million in our Annuities segment resulting from refinements to the amortization period for deferred sales inducements; and</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58"/>
        </w:numPr>
        <w:rPr>
          <w:rFonts w:ascii="Arial" w:cs="Arial" w:eastAsia="Arial" w:hAnsi="Arial"/>
          <w:sz w:val="16"/>
          <w:szCs w:val="16"/>
          <w:color w:val="auto"/>
        </w:rPr>
      </w:pPr>
      <w:r>
        <w:rPr>
          <w:rFonts w:ascii="Arial" w:cs="Arial" w:eastAsia="Arial" w:hAnsi="Arial"/>
          <w:sz w:val="16"/>
          <w:szCs w:val="16"/>
          <w:color w:val="auto"/>
        </w:rPr>
        <w:t>higher fee income of $40 million in our Life segment primarily due to changes in mortality and maintenance expense assumptions; partially offset by</w:t>
      </w: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420"/>
          </w:cols>
          <w:pgMar w:left="240" w:top="126" w:right="239" w:bottom="1440" w:gutter="0" w:footer="0" w:header="0"/>
        </w:sectPr>
      </w:pPr>
    </w:p>
    <w:bookmarkStart w:id="94" w:name="page95"/>
    <w:bookmarkEnd w:id="94"/>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660" w:hanging="328"/>
        <w:spacing w:after="0" w:line="277" w:lineRule="auto"/>
        <w:tabs>
          <w:tab w:leader="none" w:pos="6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higher policyholder benefits and claims of $111 million in our Annuities segment due to changes in lapse and withdrawal rates as well as separate account growth rates; and</w:t>
      </w:r>
    </w:p>
    <w:p>
      <w:pPr>
        <w:spacing w:after="0" w:line="62"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higher amortization of DAC of $58 million in our Life segment mostly driven by changes in mortality and maintenance expense assumptions and, to a lesser extent, projected premiums and separate account growth rates.</w:t>
      </w:r>
    </w:p>
    <w:p>
      <w:pPr>
        <w:spacing w:after="0" w:line="62"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i w:val="1"/>
          <w:iCs w:val="1"/>
          <w:color w:val="auto"/>
        </w:rPr>
        <w:t xml:space="preserve">Income Tax Expense (Benefit). </w:t>
      </w:r>
      <w:r>
        <w:rPr>
          <w:rFonts w:ascii="Arial" w:cs="Arial" w:eastAsia="Arial" w:hAnsi="Arial"/>
          <w:sz w:val="18"/>
          <w:szCs w:val="18"/>
          <w:color w:val="auto"/>
        </w:rPr>
        <w:t>Income tax expense for the three months ended September 30, 2017 was $1.2 billion compared to $166 million for the</w:t>
      </w:r>
      <w:r>
        <w:rPr>
          <w:rFonts w:ascii="Arial" w:cs="Arial" w:eastAsia="Arial" w:hAnsi="Arial"/>
          <w:sz w:val="18"/>
          <w:szCs w:val="18"/>
          <w:i w:val="1"/>
          <w:iCs w:val="1"/>
          <w:color w:val="auto"/>
        </w:rPr>
        <w:t xml:space="preserve"> </w:t>
      </w:r>
      <w:r>
        <w:rPr>
          <w:rFonts w:ascii="Arial" w:cs="Arial" w:eastAsia="Arial" w:hAnsi="Arial"/>
          <w:sz w:val="18"/>
          <w:szCs w:val="18"/>
          <w:color w:val="auto"/>
        </w:rPr>
        <w:t>three months ended September 30, 2016. Our effective tax rates in both periods differ from the U.S. statutory rate of 35% primarily due to the dividend received deductions and utilization of tax credits. In the current period, we recognized a $1.1 billion non-cash tax charge triggered prior to the Separation. We also recognized a tax benefit in the current period of $39 million related to the dividend received deductions and tax credits as well as a downward adjustment of reserves by $19 million. These adjustments resulted in effective tax rate percentages that are not meaningful for comparison purposes and accordingly have not been included.</w:t>
      </w:r>
    </w:p>
    <w:p>
      <w:pPr>
        <w:spacing w:after="0" w:line="85"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Nine Months Ended September 30, 2017 Compared with the Nine Months Ended September 30, 2016</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Unless otherwise noted, all amounts in the following discussion are net of income tax.</w:t>
      </w:r>
    </w:p>
    <w:p>
      <w:pPr>
        <w:spacing w:after="0" w:line="117"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i w:val="1"/>
          <w:iCs w:val="1"/>
          <w:color w:val="auto"/>
        </w:rPr>
        <w:t xml:space="preserve">Overview. </w:t>
      </w:r>
      <w:r>
        <w:rPr>
          <w:rFonts w:ascii="Arial" w:cs="Arial" w:eastAsia="Arial" w:hAnsi="Arial"/>
          <w:sz w:val="17"/>
          <w:szCs w:val="17"/>
          <w:color w:val="auto"/>
        </w:rPr>
        <w:t>Operating earnings (loss) decreased $820 million, primarily due to a non-cash tax charge triggered prior to the Separation. Excluding this tax</w:t>
      </w:r>
      <w:r>
        <w:rPr>
          <w:rFonts w:ascii="Arial" w:cs="Arial" w:eastAsia="Arial" w:hAnsi="Arial"/>
          <w:sz w:val="17"/>
          <w:szCs w:val="17"/>
          <w:i w:val="1"/>
          <w:iCs w:val="1"/>
          <w:color w:val="auto"/>
        </w:rPr>
        <w:t xml:space="preserve"> </w:t>
      </w:r>
      <w:r>
        <w:rPr>
          <w:rFonts w:ascii="Arial" w:cs="Arial" w:eastAsia="Arial" w:hAnsi="Arial"/>
          <w:sz w:val="17"/>
          <w:szCs w:val="17"/>
          <w:color w:val="auto"/>
        </w:rPr>
        <w:t>charge, operating earnings (loss) increased $253 million, driven mostly by lower amortization of DAC as a result of the annual actuarial assumption review and charges recognized in the prior period, net of additional charges in the current period, due to the ULSG Model Change and related loss recognition. These increases were partially offset by higher expenses and lower net investment income. Excluding both the impact from the one-time tax adjustment and the annual actuarial assumption review, operating earnings (loss) decreased $28 million.</w:t>
      </w:r>
    </w:p>
    <w:p>
      <w:pPr>
        <w:spacing w:after="0" w:line="64"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i w:val="1"/>
          <w:iCs w:val="1"/>
          <w:color w:val="auto"/>
        </w:rPr>
        <w:t>Fee Income</w:t>
      </w:r>
      <w:r>
        <w:rPr>
          <w:rFonts w:ascii="Arial" w:cs="Arial" w:eastAsia="Arial" w:hAnsi="Arial"/>
          <w:sz w:val="18"/>
          <w:szCs w:val="18"/>
          <w:color w:val="auto"/>
        </w:rPr>
        <w:t>. Operating earnings (loss) decreased by $72 million, primarily due to the impacts in the prior period from the SPDA Recaptures, partially</w:t>
      </w:r>
      <w:r>
        <w:rPr>
          <w:rFonts w:ascii="Arial" w:cs="Arial" w:eastAsia="Arial" w:hAnsi="Arial"/>
          <w:sz w:val="18"/>
          <w:szCs w:val="18"/>
          <w:i w:val="1"/>
          <w:iCs w:val="1"/>
          <w:color w:val="auto"/>
        </w:rPr>
        <w:t xml:space="preserve"> </w:t>
      </w:r>
      <w:r>
        <w:rPr>
          <w:rFonts w:ascii="Arial" w:cs="Arial" w:eastAsia="Arial" w:hAnsi="Arial"/>
          <w:sz w:val="18"/>
          <w:szCs w:val="18"/>
          <w:color w:val="auto"/>
        </w:rPr>
        <w:t>offset by higher asset-based fees in our Annuities segment. This net increase was further offset by favorable current period impacts from the recapture, from MLIC, of a yearly renewable term reinsurance agreement for certain life contracts (“YRT Recapture”) in our Life segment and higher amortization on unearned revenue in our Run-off segment. Excluding the impact of the annual actuarial assumption review, fee income decreased operating earnings (loss) by $117 million.</w:t>
      </w:r>
    </w:p>
    <w:p>
      <w:pPr>
        <w:spacing w:after="0" w:line="80"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i w:val="1"/>
          <w:iCs w:val="1"/>
          <w:color w:val="auto"/>
        </w:rPr>
        <w:t xml:space="preserve">Net Investment Spread. </w:t>
      </w:r>
      <w:r>
        <w:rPr>
          <w:rFonts w:ascii="Arial" w:cs="Arial" w:eastAsia="Arial" w:hAnsi="Arial"/>
          <w:sz w:val="17"/>
          <w:szCs w:val="17"/>
          <w:color w:val="auto"/>
        </w:rPr>
        <w:t>Net investment spread decreased operating earnings (loss) by $127 million, primarily due to lower net investment income</w:t>
      </w:r>
      <w:r>
        <w:rPr>
          <w:rFonts w:ascii="Arial" w:cs="Arial" w:eastAsia="Arial" w:hAnsi="Arial"/>
          <w:sz w:val="17"/>
          <w:szCs w:val="17"/>
          <w:i w:val="1"/>
          <w:iCs w:val="1"/>
          <w:color w:val="auto"/>
        </w:rPr>
        <w:t xml:space="preserve"> </w:t>
      </w:r>
      <w:r>
        <w:rPr>
          <w:rFonts w:ascii="Arial" w:cs="Arial" w:eastAsia="Arial" w:hAnsi="Arial"/>
          <w:sz w:val="17"/>
          <w:szCs w:val="17"/>
          <w:color w:val="auto"/>
        </w:rPr>
        <w:t>resulting from (i) a lower invested asset base, (ii) lower income on derivatives due to the termination of interest rate swaps, and (iii) lower income from our securities lending program. These decreases were partially offset by higher returns on other limited partnership interests.</w:t>
      </w:r>
    </w:p>
    <w:p>
      <w:pPr>
        <w:spacing w:after="0" w:line="57"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i w:val="1"/>
          <w:iCs w:val="1"/>
          <w:color w:val="auto"/>
        </w:rPr>
        <w:t>Insurance-Related Activities</w:t>
      </w:r>
      <w:r>
        <w:rPr>
          <w:rFonts w:ascii="Arial" w:cs="Arial" w:eastAsia="Arial" w:hAnsi="Arial"/>
          <w:sz w:val="18"/>
          <w:szCs w:val="18"/>
          <w:color w:val="auto"/>
        </w:rPr>
        <w:t>. Operating earnings (loss) increased by $161 million from insurance-related activities, primarily due to charges recognized</w:t>
      </w:r>
      <w:r>
        <w:rPr>
          <w:rFonts w:ascii="Arial" w:cs="Arial" w:eastAsia="Arial" w:hAnsi="Arial"/>
          <w:sz w:val="18"/>
          <w:szCs w:val="18"/>
          <w:i w:val="1"/>
          <w:iCs w:val="1"/>
          <w:color w:val="auto"/>
        </w:rPr>
        <w:t xml:space="preserve"> </w:t>
      </w:r>
      <w:r>
        <w:rPr>
          <w:rFonts w:ascii="Arial" w:cs="Arial" w:eastAsia="Arial" w:hAnsi="Arial"/>
          <w:sz w:val="18"/>
          <w:szCs w:val="18"/>
          <w:color w:val="auto"/>
        </w:rPr>
        <w:t>in the prior period, net of additional charges in the current period, related to the ULSG Model Change and related loss recognition in our Run-off segment, partially offset by a favorable change in the fair value of the underlying ceded separate account assets related to a related-party reinsurance agreement for certain variable annuity contracts. Excluding the impact of the annual actuarial assumption review, insurance-related activities increased operating earnings (loss) by $112 million.</w:t>
      </w:r>
    </w:p>
    <w:p>
      <w:pPr>
        <w:spacing w:after="0" w:line="8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i w:val="1"/>
          <w:iCs w:val="1"/>
          <w:color w:val="auto"/>
        </w:rPr>
        <w:t xml:space="preserve">Amortization of DAC and VOBA. </w:t>
      </w:r>
      <w:r>
        <w:rPr>
          <w:rFonts w:ascii="Arial" w:cs="Arial" w:eastAsia="Arial" w:hAnsi="Arial"/>
          <w:sz w:val="18"/>
          <w:szCs w:val="18"/>
          <w:color w:val="auto"/>
        </w:rPr>
        <w:t>Lower amortization of DAC and VOBA increased operating earnings (loss) by $412 million, primarily due to charges</w:t>
      </w:r>
      <w:r>
        <w:rPr>
          <w:rFonts w:ascii="Arial" w:cs="Arial" w:eastAsia="Arial" w:hAnsi="Arial"/>
          <w:sz w:val="18"/>
          <w:szCs w:val="18"/>
          <w:i w:val="1"/>
          <w:iCs w:val="1"/>
          <w:color w:val="auto"/>
        </w:rPr>
        <w:t xml:space="preserve"> </w:t>
      </w:r>
      <w:r>
        <w:rPr>
          <w:rFonts w:ascii="Arial" w:cs="Arial" w:eastAsia="Arial" w:hAnsi="Arial"/>
          <w:sz w:val="18"/>
          <w:szCs w:val="18"/>
          <w:color w:val="auto"/>
        </w:rPr>
        <w:t>recognized in the prior period from loss recognition triggered by the ULSG Model Change in our Run-off segment and refinements to the amortization period as a result of the current period annual actuarial assumption review in our Annuities segment. Excluding the impact of the annual actuarial assumption review, DAC and VOBA amortization increased operating earnings (loss) by $227 million.</w:t>
      </w:r>
    </w:p>
    <w:p>
      <w:pPr>
        <w:spacing w:after="0" w:line="79"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i w:val="1"/>
          <w:iCs w:val="1"/>
          <w:color w:val="auto"/>
        </w:rPr>
        <w:t>Other Expenses, Net of DAC Capitalization</w:t>
      </w:r>
      <w:r>
        <w:rPr>
          <w:rFonts w:ascii="Arial" w:cs="Arial" w:eastAsia="Arial" w:hAnsi="Arial"/>
          <w:sz w:val="16"/>
          <w:szCs w:val="16"/>
          <w:color w:val="auto"/>
        </w:rPr>
        <w:t>. Higher expenses decreased operating earnings (loss) by $181 million, primarily due to Separation-related</w:t>
      </w:r>
      <w:r>
        <w:rPr>
          <w:rFonts w:ascii="Arial" w:cs="Arial" w:eastAsia="Arial" w:hAnsi="Arial"/>
          <w:sz w:val="16"/>
          <w:szCs w:val="16"/>
          <w:i w:val="1"/>
          <w:iCs w:val="1"/>
          <w:color w:val="auto"/>
        </w:rPr>
        <w:t xml:space="preserve"> </w:t>
      </w:r>
      <w:r>
        <w:rPr>
          <w:rFonts w:ascii="Arial" w:cs="Arial" w:eastAsia="Arial" w:hAnsi="Arial"/>
          <w:sz w:val="16"/>
          <w:szCs w:val="16"/>
          <w:color w:val="auto"/>
        </w:rPr>
        <w:t>system implementation and branding costs as well as higher asset-based fees and charges related to the 2017 VA Recaptures in our Annuities segment.</w:t>
      </w:r>
    </w:p>
    <w:p>
      <w:pPr>
        <w:spacing w:after="0" w:line="1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i w:val="1"/>
          <w:iCs w:val="1"/>
          <w:color w:val="auto"/>
        </w:rPr>
        <w:t xml:space="preserve">Actuarial Assumption Review. </w:t>
      </w:r>
      <w:r>
        <w:rPr>
          <w:rFonts w:ascii="Arial" w:cs="Arial" w:eastAsia="Arial" w:hAnsi="Arial"/>
          <w:sz w:val="18"/>
          <w:szCs w:val="18"/>
          <w:color w:val="auto"/>
        </w:rPr>
        <w:t>The results of the annual actuarial assumption review, which are included in the amounts discussed above, had a favorable</w:t>
      </w:r>
      <w:r>
        <w:rPr>
          <w:rFonts w:ascii="Arial" w:cs="Arial" w:eastAsia="Arial" w:hAnsi="Arial"/>
          <w:sz w:val="18"/>
          <w:szCs w:val="18"/>
          <w:i w:val="1"/>
          <w:iCs w:val="1"/>
          <w:color w:val="auto"/>
        </w:rPr>
        <w:t xml:space="preserve"> </w:t>
      </w:r>
      <w:r>
        <w:rPr>
          <w:rFonts w:ascii="Arial" w:cs="Arial" w:eastAsia="Arial" w:hAnsi="Arial"/>
          <w:sz w:val="18"/>
          <w:szCs w:val="18"/>
          <w:color w:val="auto"/>
        </w:rPr>
        <w:t>impact to current period operating earnings (loss) of $279 million, when compared to the prior period, primarily due to:</w:t>
      </w:r>
    </w:p>
    <w:p>
      <w:pPr>
        <w:spacing w:after="0" w:line="62" w:lineRule="exact"/>
        <w:rPr>
          <w:sz w:val="20"/>
          <w:szCs w:val="20"/>
          <w:color w:val="auto"/>
        </w:rPr>
      </w:pPr>
    </w:p>
    <w:p>
      <w:pPr>
        <w:ind w:left="980" w:hanging="324"/>
        <w:spacing w:after="0"/>
        <w:tabs>
          <w:tab w:leader="none" w:pos="9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lower amortization of DAC of $240 million in our Annuities segment from refinements in the amortization period;</w:t>
      </w:r>
    </w:p>
    <w:p>
      <w:pPr>
        <w:spacing w:after="0" w:line="117"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lower policyholder benefits and claims of $53 million in our Annuities segment resulting from refinements to the amortization period for deferred sales inducements; and</w:t>
      </w:r>
    </w:p>
    <w:p>
      <w:pPr>
        <w:spacing w:after="0" w:line="62" w:lineRule="exact"/>
        <w:rPr>
          <w:rFonts w:ascii="Arial" w:cs="Arial" w:eastAsia="Arial" w:hAnsi="Arial"/>
          <w:sz w:val="18"/>
          <w:szCs w:val="18"/>
          <w:color w:val="auto"/>
        </w:rPr>
      </w:pPr>
    </w:p>
    <w:p>
      <w:pPr>
        <w:ind w:left="980" w:right="20" w:hanging="324"/>
        <w:spacing w:after="0" w:line="277" w:lineRule="auto"/>
        <w:tabs>
          <w:tab w:leader="none" w:pos="9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higher fee income of $42 million in our Life segment primarily due to changes in mortality and maintenance expense adjustments; partially offset by</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420"/>
          </w:cols>
          <w:pgMar w:left="240" w:top="126" w:right="239" w:bottom="1440" w:gutter="0" w:footer="0" w:header="0"/>
        </w:sectPr>
      </w:pPr>
    </w:p>
    <w:bookmarkStart w:id="95" w:name="page96"/>
    <w:bookmarkEnd w:id="95"/>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980" w:hanging="324"/>
        <w:spacing w:after="0" w:line="277" w:lineRule="auto"/>
        <w:tabs>
          <w:tab w:leader="none" w:pos="9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higher amortization of DAC of $58 million in our Life segment mostly driven by changes in mortality and maintenance expense assumptions and, to a lesser extent, projected premiums and separate account growth rates.</w:t>
      </w:r>
    </w:p>
    <w:p>
      <w:pPr>
        <w:spacing w:after="0" w:line="62"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i w:val="1"/>
          <w:iCs w:val="1"/>
          <w:color w:val="auto"/>
        </w:rPr>
        <w:t xml:space="preserve">Income Tax Expense (Benefit). </w:t>
      </w:r>
      <w:r>
        <w:rPr>
          <w:rFonts w:ascii="Arial" w:cs="Arial" w:eastAsia="Arial" w:hAnsi="Arial"/>
          <w:sz w:val="18"/>
          <w:szCs w:val="18"/>
          <w:color w:val="auto"/>
        </w:rPr>
        <w:t>Income tax expense for the nine months ended September 30, 2017 was $1.4 billion compared to $276 million for the nine</w:t>
      </w:r>
      <w:r>
        <w:rPr>
          <w:rFonts w:ascii="Arial" w:cs="Arial" w:eastAsia="Arial" w:hAnsi="Arial"/>
          <w:sz w:val="18"/>
          <w:szCs w:val="18"/>
          <w:i w:val="1"/>
          <w:iCs w:val="1"/>
          <w:color w:val="auto"/>
        </w:rPr>
        <w:t xml:space="preserve"> </w:t>
      </w:r>
      <w:r>
        <w:rPr>
          <w:rFonts w:ascii="Arial" w:cs="Arial" w:eastAsia="Arial" w:hAnsi="Arial"/>
          <w:sz w:val="18"/>
          <w:szCs w:val="18"/>
          <w:color w:val="auto"/>
        </w:rPr>
        <w:t>months ended September 30, 2016. Our effective tax rates in both periods differ from the U.S. statutory rate of 35% primarily due to the dividend received deductions and utilization of tax credits. In the current period, we recognized a $1.1 billion non-cash tax charge triggered prior to the Separation. We also recognized a tax benefit in the current period of $117 million related to the dividend received deductions and tax credits as well as a downward adjustment of reserves by $17 million. These adjustments resulted in effective tax rate percentages that are not meaningful for comparison purposes and accordingly have not been included.</w:t>
      </w:r>
    </w:p>
    <w:p>
      <w:pPr>
        <w:spacing w:after="0" w:line="85" w:lineRule="exact"/>
        <w:rPr>
          <w:sz w:val="20"/>
          <w:szCs w:val="20"/>
          <w:color w:val="auto"/>
        </w:rPr>
      </w:pPr>
    </w:p>
    <w:p>
      <w:pPr>
        <w:ind w:right="2600"/>
        <w:spacing w:after="0" w:line="375" w:lineRule="auto"/>
        <w:rPr>
          <w:sz w:val="20"/>
          <w:szCs w:val="20"/>
          <w:color w:val="auto"/>
        </w:rPr>
      </w:pPr>
      <w:r>
        <w:rPr>
          <w:rFonts w:ascii="Arial" w:cs="Arial" w:eastAsia="Arial" w:hAnsi="Arial"/>
          <w:sz w:val="18"/>
          <w:szCs w:val="18"/>
          <w:b w:val="1"/>
          <w:bCs w:val="1"/>
          <w:i w:val="1"/>
          <w:iCs w:val="1"/>
          <w:color w:val="auto"/>
        </w:rPr>
        <w:t>Segments and Corporate &amp; Other Results for the Three Months and Nine Months Ended September 30, 2017 and 2016 Annuities</w:t>
      </w:r>
    </w:p>
    <w:p>
      <w:pPr>
        <w:spacing w:after="0" w:line="1"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i w:val="1"/>
          <w:iCs w:val="1"/>
          <w:color w:val="auto"/>
        </w:rPr>
        <w:t xml:space="preserve">Business Overview. </w:t>
      </w:r>
      <w:r>
        <w:rPr>
          <w:rFonts w:ascii="Arial" w:cs="Arial" w:eastAsia="Arial" w:hAnsi="Arial"/>
          <w:sz w:val="18"/>
          <w:szCs w:val="18"/>
          <w:color w:val="auto"/>
        </w:rPr>
        <w:t>While sales of our index-linked annuities increased, overall annuity sales decreased 14% for the nine months ended September 30,</w:t>
      </w:r>
      <w:r>
        <w:rPr>
          <w:rFonts w:ascii="Arial" w:cs="Arial" w:eastAsia="Arial" w:hAnsi="Arial"/>
          <w:sz w:val="18"/>
          <w:szCs w:val="18"/>
          <w:i w:val="1"/>
          <w:iCs w:val="1"/>
          <w:color w:val="auto"/>
        </w:rPr>
        <w:t xml:space="preserve"> </w:t>
      </w:r>
      <w:r>
        <w:rPr>
          <w:rFonts w:ascii="Arial" w:cs="Arial" w:eastAsia="Arial" w:hAnsi="Arial"/>
          <w:sz w:val="18"/>
          <w:szCs w:val="18"/>
          <w:color w:val="auto"/>
        </w:rPr>
        <w:t>2017. This decline was primarily due to the suspension of sales by Fidelity, the sale of MPCG to MassMutual and the discontinuance of sales of GMIB riders on our variable annuity products, all of which occurred in 2016. Sales of variable annuity contracts with guaranteed minimum withdrawal benefits (“GMWB”) also declined.</w:t>
      </w:r>
    </w:p>
    <w:p>
      <w:pPr>
        <w:spacing w:after="0" w:line="7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Average separate account balances increased due to favorable equity market performance, which more than offset the impact of continued negative net flows. We experienced positive net flows in the general account in both periods.</w:t>
      </w:r>
    </w:p>
    <w:p>
      <w:pPr>
        <w:spacing w:after="0" w:line="279" w:lineRule="exact"/>
        <w:rPr>
          <w:sz w:val="20"/>
          <w:szCs w:val="20"/>
          <w:color w:val="auto"/>
        </w:rPr>
      </w:pPr>
    </w:p>
    <w:tbl>
      <w:tblPr>
        <w:tblLayout w:type="fixed"/>
        <w:tblInd w:w="1180" w:type="dxa"/>
        <w:tblCellMar>
          <w:top w:w="0" w:type="dxa"/>
          <w:left w:w="0" w:type="dxa"/>
          <w:bottom w:w="0" w:type="dxa"/>
          <w:right w:w="0" w:type="dxa"/>
        </w:tblCellMar>
      </w:tblPr>
      <w:tr>
        <w:trPr>
          <w:trHeight w:val="203"/>
        </w:trPr>
        <w:tc>
          <w:tcPr>
            <w:tcW w:w="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6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40" w:type="dxa"/>
            <w:vAlign w:val="bottom"/>
            <w:gridSpan w:val="3"/>
          </w:tcPr>
          <w:p>
            <w:pPr>
              <w:jc w:val="center"/>
              <w:ind w:right="293"/>
              <w:spacing w:after="0"/>
              <w:rPr>
                <w:sz w:val="20"/>
                <w:szCs w:val="20"/>
                <w:color w:val="auto"/>
              </w:rPr>
            </w:pPr>
            <w:r>
              <w:rPr>
                <w:rFonts w:ascii="Arial" w:cs="Arial" w:eastAsia="Arial" w:hAnsi="Arial"/>
                <w:sz w:val="16"/>
                <w:szCs w:val="16"/>
                <w:b w:val="1"/>
                <w:bCs w:val="1"/>
                <w:color w:val="auto"/>
                <w:w w:val="93"/>
              </w:rPr>
              <w:t>Three Months</w:t>
            </w: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500" w:type="dxa"/>
            <w:vAlign w:val="bottom"/>
            <w:gridSpan w:val="3"/>
          </w:tcPr>
          <w:p>
            <w:pPr>
              <w:jc w:val="center"/>
              <w:ind w:left="393"/>
              <w:spacing w:after="0"/>
              <w:rPr>
                <w:sz w:val="20"/>
                <w:szCs w:val="20"/>
                <w:color w:val="auto"/>
              </w:rPr>
            </w:pPr>
            <w:r>
              <w:rPr>
                <w:rFonts w:ascii="Arial" w:cs="Arial" w:eastAsia="Arial" w:hAnsi="Arial"/>
                <w:sz w:val="16"/>
                <w:szCs w:val="16"/>
                <w:b w:val="1"/>
                <w:bCs w:val="1"/>
                <w:color w:val="auto"/>
                <w:w w:val="93"/>
              </w:rPr>
              <w:t>Nine Months</w:t>
            </w: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6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40" w:type="dxa"/>
            <w:vAlign w:val="bottom"/>
            <w:gridSpan w:val="3"/>
          </w:tcPr>
          <w:p>
            <w:pPr>
              <w:jc w:val="center"/>
              <w:ind w:right="313"/>
              <w:spacing w:after="0"/>
              <w:rPr>
                <w:sz w:val="20"/>
                <w:szCs w:val="20"/>
                <w:color w:val="auto"/>
              </w:rPr>
            </w:pPr>
            <w:r>
              <w:rPr>
                <w:rFonts w:ascii="Arial" w:cs="Arial" w:eastAsia="Arial" w:hAnsi="Arial"/>
                <w:sz w:val="16"/>
                <w:szCs w:val="16"/>
                <w:b w:val="1"/>
                <w:bCs w:val="1"/>
                <w:color w:val="auto"/>
                <w:w w:val="89"/>
              </w:rPr>
              <w:t>Ended</w:t>
            </w: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500" w:type="dxa"/>
            <w:vAlign w:val="bottom"/>
            <w:gridSpan w:val="3"/>
          </w:tcPr>
          <w:p>
            <w:pPr>
              <w:jc w:val="center"/>
              <w:ind w:left="353"/>
              <w:spacing w:after="0"/>
              <w:rPr>
                <w:sz w:val="20"/>
                <w:szCs w:val="20"/>
                <w:color w:val="auto"/>
              </w:rPr>
            </w:pPr>
            <w:r>
              <w:rPr>
                <w:rFonts w:ascii="Arial" w:cs="Arial" w:eastAsia="Arial" w:hAnsi="Arial"/>
                <w:sz w:val="16"/>
                <w:szCs w:val="16"/>
                <w:b w:val="1"/>
                <w:bCs w:val="1"/>
                <w:color w:val="auto"/>
                <w:w w:val="93"/>
              </w:rPr>
              <w:t>Ended</w:t>
            </w: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40" w:type="dxa"/>
            <w:vAlign w:val="bottom"/>
            <w:gridSpan w:val="3"/>
          </w:tcPr>
          <w:p>
            <w:pPr>
              <w:jc w:val="center"/>
              <w:ind w:right="273"/>
              <w:spacing w:after="0"/>
              <w:rPr>
                <w:sz w:val="20"/>
                <w:szCs w:val="20"/>
                <w:color w:val="auto"/>
              </w:rPr>
            </w:pPr>
            <w:r>
              <w:rPr>
                <w:rFonts w:ascii="Arial" w:cs="Arial" w:eastAsia="Arial" w:hAnsi="Arial"/>
                <w:sz w:val="16"/>
                <w:szCs w:val="16"/>
                <w:b w:val="1"/>
                <w:bCs w:val="1"/>
                <w:color w:val="auto"/>
                <w:w w:val="91"/>
              </w:rPr>
              <w:t>September 30,</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500" w:type="dxa"/>
            <w:vAlign w:val="bottom"/>
            <w:gridSpan w:val="3"/>
          </w:tcPr>
          <w:p>
            <w:pPr>
              <w:jc w:val="center"/>
              <w:ind w:left="393"/>
              <w:spacing w:after="0"/>
              <w:rPr>
                <w:sz w:val="20"/>
                <w:szCs w:val="20"/>
                <w:color w:val="auto"/>
              </w:rPr>
            </w:pPr>
            <w:r>
              <w:rPr>
                <w:rFonts w:ascii="Arial" w:cs="Arial" w:eastAsia="Arial" w:hAnsi="Arial"/>
                <w:sz w:val="16"/>
                <w:szCs w:val="16"/>
                <w:b w:val="1"/>
                <w:bCs w:val="1"/>
                <w:color w:val="auto"/>
                <w:w w:val="89"/>
              </w:rPr>
              <w:t>September 30,</w:t>
            </w: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740" w:type="dxa"/>
            <w:vAlign w:val="bottom"/>
          </w:tcPr>
          <w:p>
            <w:pPr>
              <w:spacing w:after="0"/>
              <w:rPr>
                <w:sz w:val="2"/>
                <w:szCs w:val="2"/>
                <w:color w:val="auto"/>
              </w:rPr>
            </w:pPr>
          </w:p>
        </w:tc>
        <w:tc>
          <w:tcPr>
            <w:tcW w:w="262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b w:val="1"/>
                <w:bCs w:val="1"/>
                <w:color w:val="auto"/>
              </w:rPr>
              <w:t>2017</w:t>
            </w:r>
          </w:p>
        </w:tc>
        <w:tc>
          <w:tcPr>
            <w:tcW w:w="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b w:val="1"/>
                <w:bCs w:val="1"/>
                <w:color w:val="auto"/>
              </w:rPr>
              <w:t>2016</w:t>
            </w: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20" w:type="dxa"/>
            <w:vAlign w:val="bottom"/>
          </w:tcPr>
          <w:p>
            <w:pPr>
              <w:jc w:val="right"/>
              <w:ind w:right="413"/>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60" w:type="dxa"/>
            <w:vAlign w:val="bottom"/>
          </w:tcPr>
          <w:p>
            <w:pPr>
              <w:jc w:val="right"/>
              <w:ind w:right="411"/>
              <w:spacing w:after="0"/>
              <w:rPr>
                <w:sz w:val="20"/>
                <w:szCs w:val="20"/>
                <w:color w:val="auto"/>
              </w:rPr>
            </w:pPr>
            <w:r>
              <w:rPr>
                <w:rFonts w:ascii="Arial" w:cs="Arial" w:eastAsia="Arial" w:hAnsi="Arial"/>
                <w:sz w:val="16"/>
                <w:szCs w:val="16"/>
                <w:b w:val="1"/>
                <w:bCs w:val="1"/>
                <w:color w:val="auto"/>
                <w:w w:val="95"/>
              </w:rPr>
              <w:t>2016</w:t>
            </w: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740" w:type="dxa"/>
            <w:vAlign w:val="bottom"/>
            <w:vMerge w:val="restart"/>
          </w:tcPr>
          <w:p>
            <w:pPr>
              <w:spacing w:after="0"/>
              <w:rPr>
                <w:sz w:val="20"/>
                <w:szCs w:val="20"/>
                <w:color w:val="auto"/>
              </w:rPr>
            </w:pPr>
            <w:r>
              <w:rPr>
                <w:rFonts w:ascii="Arial" w:cs="Arial" w:eastAsia="Arial" w:hAnsi="Arial"/>
                <w:sz w:val="18"/>
                <w:szCs w:val="18"/>
                <w:b w:val="1"/>
                <w:bCs w:val="1"/>
                <w:color w:val="auto"/>
                <w:w w:val="87"/>
              </w:rPr>
              <w:t>Annuities</w:t>
            </w:r>
          </w:p>
        </w:tc>
        <w:tc>
          <w:tcPr>
            <w:tcW w:w="262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gridSpan w:val="3"/>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8"/>
        </w:trPr>
        <w:tc>
          <w:tcPr>
            <w:tcW w:w="40" w:type="dxa"/>
            <w:vAlign w:val="bottom"/>
          </w:tcPr>
          <w:p>
            <w:pPr>
              <w:spacing w:after="0"/>
              <w:rPr>
                <w:sz w:val="15"/>
                <w:szCs w:val="15"/>
                <w:color w:val="auto"/>
              </w:rPr>
            </w:pPr>
          </w:p>
        </w:tc>
        <w:tc>
          <w:tcPr>
            <w:tcW w:w="740" w:type="dxa"/>
            <w:vAlign w:val="bottom"/>
            <w:tcBorders>
              <w:bottom w:val="single" w:sz="8" w:color="auto"/>
            </w:tcBorders>
            <w:vMerge w:val="continue"/>
          </w:tcPr>
          <w:p>
            <w:pPr>
              <w:spacing w:after="0"/>
              <w:rPr>
                <w:sz w:val="15"/>
                <w:szCs w:val="15"/>
                <w:color w:val="auto"/>
              </w:rPr>
            </w:pPr>
          </w:p>
        </w:tc>
        <w:tc>
          <w:tcPr>
            <w:tcW w:w="26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millions)</w:t>
            </w: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740" w:type="dxa"/>
            <w:vAlign w:val="bottom"/>
          </w:tcPr>
          <w:p>
            <w:pPr>
              <w:spacing w:after="0"/>
              <w:rPr>
                <w:sz w:val="4"/>
                <w:szCs w:val="4"/>
                <w:color w:val="auto"/>
              </w:rPr>
            </w:pPr>
          </w:p>
        </w:tc>
        <w:tc>
          <w:tcPr>
            <w:tcW w:w="2620" w:type="dxa"/>
            <w:vAlign w:val="bottom"/>
          </w:tcPr>
          <w:p>
            <w:pPr>
              <w:spacing w:after="0"/>
              <w:rPr>
                <w:sz w:val="4"/>
                <w:szCs w:val="4"/>
                <w:color w:val="auto"/>
              </w:rPr>
            </w:pPr>
          </w:p>
        </w:tc>
        <w:tc>
          <w:tcPr>
            <w:tcW w:w="860" w:type="dxa"/>
            <w:vAlign w:val="bottom"/>
          </w:tcPr>
          <w:p>
            <w:pPr>
              <w:spacing w:after="0"/>
              <w:rPr>
                <w:sz w:val="4"/>
                <w:szCs w:val="4"/>
                <w:color w:val="auto"/>
              </w:rPr>
            </w:pPr>
          </w:p>
        </w:tc>
        <w:tc>
          <w:tcPr>
            <w:tcW w:w="460" w:type="dxa"/>
            <w:vAlign w:val="bottom"/>
          </w:tcPr>
          <w:p>
            <w:pPr>
              <w:spacing w:after="0"/>
              <w:rPr>
                <w:sz w:val="4"/>
                <w:szCs w:val="4"/>
                <w:color w:val="auto"/>
              </w:rPr>
            </w:pPr>
          </w:p>
        </w:tc>
        <w:tc>
          <w:tcPr>
            <w:tcW w:w="120" w:type="dxa"/>
            <w:vAlign w:val="bottom"/>
          </w:tcPr>
          <w:p>
            <w:pPr>
              <w:spacing w:after="0"/>
              <w:rPr>
                <w:sz w:val="4"/>
                <w:szCs w:val="4"/>
                <w:color w:val="auto"/>
              </w:rPr>
            </w:pPr>
          </w:p>
        </w:tc>
        <w:tc>
          <w:tcPr>
            <w:tcW w:w="860" w:type="dxa"/>
            <w:vAlign w:val="bottom"/>
          </w:tcPr>
          <w:p>
            <w:pPr>
              <w:spacing w:after="0"/>
              <w:rPr>
                <w:sz w:val="4"/>
                <w:szCs w:val="4"/>
                <w:color w:val="auto"/>
              </w:rPr>
            </w:pPr>
          </w:p>
        </w:tc>
        <w:tc>
          <w:tcPr>
            <w:tcW w:w="480" w:type="dxa"/>
            <w:vAlign w:val="bottom"/>
          </w:tcPr>
          <w:p>
            <w:pPr>
              <w:spacing w:after="0"/>
              <w:rPr>
                <w:sz w:val="4"/>
                <w:szCs w:val="4"/>
                <w:color w:val="auto"/>
              </w:rPr>
            </w:pPr>
          </w:p>
        </w:tc>
        <w:tc>
          <w:tcPr>
            <w:tcW w:w="100" w:type="dxa"/>
            <w:vAlign w:val="bottom"/>
          </w:tcPr>
          <w:p>
            <w:pPr>
              <w:spacing w:after="0"/>
              <w:rPr>
                <w:sz w:val="4"/>
                <w:szCs w:val="4"/>
                <w:color w:val="auto"/>
              </w:rPr>
            </w:pPr>
          </w:p>
        </w:tc>
        <w:tc>
          <w:tcPr>
            <w:tcW w:w="420" w:type="dxa"/>
            <w:vAlign w:val="bottom"/>
          </w:tcPr>
          <w:p>
            <w:pPr>
              <w:spacing w:after="0"/>
              <w:rPr>
                <w:sz w:val="4"/>
                <w:szCs w:val="4"/>
                <w:color w:val="auto"/>
              </w:rPr>
            </w:pPr>
          </w:p>
        </w:tc>
        <w:tc>
          <w:tcPr>
            <w:tcW w:w="920" w:type="dxa"/>
            <w:vAlign w:val="bottom"/>
          </w:tcPr>
          <w:p>
            <w:pPr>
              <w:spacing w:after="0"/>
              <w:rPr>
                <w:sz w:val="4"/>
                <w:szCs w:val="4"/>
                <w:color w:val="auto"/>
              </w:rPr>
            </w:pPr>
          </w:p>
        </w:tc>
        <w:tc>
          <w:tcPr>
            <w:tcW w:w="100" w:type="dxa"/>
            <w:vAlign w:val="bottom"/>
          </w:tcPr>
          <w:p>
            <w:pPr>
              <w:spacing w:after="0"/>
              <w:rPr>
                <w:sz w:val="4"/>
                <w:szCs w:val="4"/>
                <w:color w:val="auto"/>
              </w:rPr>
            </w:pPr>
          </w:p>
        </w:tc>
        <w:tc>
          <w:tcPr>
            <w:tcW w:w="480" w:type="dxa"/>
            <w:vAlign w:val="bottom"/>
          </w:tcPr>
          <w:p>
            <w:pPr>
              <w:spacing w:after="0"/>
              <w:rPr>
                <w:sz w:val="4"/>
                <w:szCs w:val="4"/>
                <w:color w:val="auto"/>
              </w:rPr>
            </w:pPr>
          </w:p>
        </w:tc>
        <w:tc>
          <w:tcPr>
            <w:tcW w:w="8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34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Fee income</w:t>
            </w:r>
          </w:p>
        </w:tc>
        <w:tc>
          <w:tcPr>
            <w:tcW w:w="860" w:type="dxa"/>
            <w:vAlign w:val="bottom"/>
            <w:tcBorders>
              <w:bottom w:val="single" w:sz="8" w:color="CCEEFF"/>
            </w:tcBorders>
            <w:shd w:val="clear" w:color="auto" w:fill="CCEEFF"/>
          </w:tcPr>
          <w:p>
            <w:pPr>
              <w:jc w:val="right"/>
              <w:ind w:right="673"/>
              <w:spacing w:after="0"/>
              <w:rPr>
                <w:sz w:val="20"/>
                <w:szCs w:val="20"/>
                <w:color w:val="auto"/>
              </w:rPr>
            </w:pPr>
            <w:r>
              <w:rPr>
                <w:rFonts w:ascii="Arial" w:cs="Arial" w:eastAsia="Arial" w:hAnsi="Arial"/>
                <w:sz w:val="18"/>
                <w:szCs w:val="18"/>
                <w:color w:val="auto"/>
                <w:w w:val="79"/>
              </w:rPr>
              <w:t>$</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719</w:t>
            </w:r>
          </w:p>
        </w:tc>
        <w:tc>
          <w:tcPr>
            <w:tcW w:w="1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653"/>
              <w:spacing w:after="0"/>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718</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2,178</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2,405</w:t>
            </w:r>
          </w:p>
        </w:tc>
        <w:tc>
          <w:tcPr>
            <w:tcW w:w="0" w:type="dxa"/>
            <w:vAlign w:val="bottom"/>
          </w:tcPr>
          <w:p>
            <w:pPr>
              <w:spacing w:after="0"/>
              <w:rPr>
                <w:sz w:val="1"/>
                <w:szCs w:val="1"/>
                <w:color w:val="auto"/>
              </w:rPr>
            </w:pPr>
          </w:p>
        </w:tc>
      </w:tr>
      <w:tr>
        <w:trPr>
          <w:trHeight w:val="243"/>
        </w:trPr>
        <w:tc>
          <w:tcPr>
            <w:tcW w:w="3400" w:type="dxa"/>
            <w:vAlign w:val="bottom"/>
            <w:gridSpan w:val="3"/>
          </w:tcPr>
          <w:p>
            <w:pPr>
              <w:ind w:left="40"/>
              <w:spacing w:after="0"/>
              <w:rPr>
                <w:sz w:val="20"/>
                <w:szCs w:val="20"/>
                <w:color w:val="auto"/>
              </w:rPr>
            </w:pPr>
            <w:r>
              <w:rPr>
                <w:rFonts w:ascii="Arial" w:cs="Arial" w:eastAsia="Arial" w:hAnsi="Arial"/>
                <w:sz w:val="18"/>
                <w:szCs w:val="18"/>
                <w:color w:val="auto"/>
              </w:rPr>
              <w:t>Net investment spread</w:t>
            </w:r>
          </w:p>
        </w:tc>
        <w:tc>
          <w:tcPr>
            <w:tcW w:w="86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114</w:t>
            </w:r>
          </w:p>
        </w:tc>
        <w:tc>
          <w:tcPr>
            <w:tcW w:w="1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480" w:type="dxa"/>
            <w:vAlign w:val="bottom"/>
          </w:tcPr>
          <w:p>
            <w:pPr>
              <w:jc w:val="right"/>
              <w:ind w:right="12"/>
              <w:spacing w:after="0"/>
              <w:rPr>
                <w:sz w:val="20"/>
                <w:szCs w:val="20"/>
                <w:color w:val="auto"/>
              </w:rPr>
            </w:pPr>
            <w:r>
              <w:rPr>
                <w:rFonts w:ascii="Arial" w:cs="Arial" w:eastAsia="Arial" w:hAnsi="Arial"/>
                <w:sz w:val="18"/>
                <w:szCs w:val="18"/>
                <w:color w:val="auto"/>
              </w:rPr>
              <w:t>175</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20" w:type="dxa"/>
            <w:vAlign w:val="bottom"/>
          </w:tcPr>
          <w:p>
            <w:pPr>
              <w:jc w:val="right"/>
              <w:ind w:right="13"/>
              <w:spacing w:after="0"/>
              <w:rPr>
                <w:sz w:val="20"/>
                <w:szCs w:val="20"/>
                <w:color w:val="auto"/>
              </w:rPr>
            </w:pPr>
            <w:r>
              <w:rPr>
                <w:rFonts w:ascii="Arial" w:cs="Arial" w:eastAsia="Arial" w:hAnsi="Arial"/>
                <w:sz w:val="18"/>
                <w:szCs w:val="18"/>
                <w:color w:val="auto"/>
              </w:rPr>
              <w:t>363</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532</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40" w:type="dxa"/>
            <w:vAlign w:val="bottom"/>
          </w:tcPr>
          <w:p>
            <w:pPr>
              <w:spacing w:after="0"/>
              <w:rPr>
                <w:sz w:val="2"/>
                <w:szCs w:val="2"/>
                <w:color w:val="auto"/>
              </w:rPr>
            </w:pPr>
          </w:p>
        </w:tc>
        <w:tc>
          <w:tcPr>
            <w:tcW w:w="2620" w:type="dxa"/>
            <w:vAlign w:val="bottom"/>
          </w:tcPr>
          <w:p>
            <w:pPr>
              <w:spacing w:after="0"/>
              <w:rPr>
                <w:sz w:val="2"/>
                <w:szCs w:val="2"/>
                <w:color w:val="auto"/>
              </w:rPr>
            </w:pPr>
          </w:p>
        </w:tc>
        <w:tc>
          <w:tcPr>
            <w:tcW w:w="8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Insurance-related activities</w:t>
            </w:r>
          </w:p>
        </w:tc>
        <w:tc>
          <w:tcPr>
            <w:tcW w:w="86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(174)</w:t>
            </w:r>
          </w:p>
        </w:tc>
        <w:tc>
          <w:tcPr>
            <w:tcW w:w="1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(110)</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(309)</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(501)</w:t>
            </w:r>
          </w:p>
        </w:tc>
        <w:tc>
          <w:tcPr>
            <w:tcW w:w="0" w:type="dxa"/>
            <w:vAlign w:val="bottom"/>
          </w:tcPr>
          <w:p>
            <w:pPr>
              <w:spacing w:after="0"/>
              <w:rPr>
                <w:sz w:val="1"/>
                <w:szCs w:val="1"/>
                <w:color w:val="auto"/>
              </w:rPr>
            </w:pPr>
          </w:p>
        </w:tc>
      </w:tr>
      <w:tr>
        <w:trPr>
          <w:trHeight w:val="243"/>
        </w:trPr>
        <w:tc>
          <w:tcPr>
            <w:tcW w:w="3400" w:type="dxa"/>
            <w:vAlign w:val="bottom"/>
            <w:gridSpan w:val="3"/>
          </w:tcPr>
          <w:p>
            <w:pPr>
              <w:ind w:left="40"/>
              <w:spacing w:after="0"/>
              <w:rPr>
                <w:sz w:val="20"/>
                <w:szCs w:val="20"/>
                <w:color w:val="auto"/>
              </w:rPr>
            </w:pPr>
            <w:r>
              <w:rPr>
                <w:rFonts w:ascii="Arial" w:cs="Arial" w:eastAsia="Arial" w:hAnsi="Arial"/>
                <w:sz w:val="18"/>
                <w:szCs w:val="18"/>
                <w:color w:val="auto"/>
              </w:rPr>
              <w:t>Amortization of DAC and VOBA</w:t>
            </w:r>
          </w:p>
        </w:tc>
        <w:tc>
          <w:tcPr>
            <w:tcW w:w="86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228</w:t>
            </w:r>
          </w:p>
        </w:tc>
        <w:tc>
          <w:tcPr>
            <w:tcW w:w="1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(89)</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20" w:type="dxa"/>
            <w:vAlign w:val="bottom"/>
          </w:tcPr>
          <w:p>
            <w:pPr>
              <w:jc w:val="right"/>
              <w:ind w:right="13"/>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(276)</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40" w:type="dxa"/>
            <w:vAlign w:val="bottom"/>
          </w:tcPr>
          <w:p>
            <w:pPr>
              <w:spacing w:after="0"/>
              <w:rPr>
                <w:sz w:val="2"/>
                <w:szCs w:val="2"/>
                <w:color w:val="auto"/>
              </w:rPr>
            </w:pPr>
          </w:p>
        </w:tc>
        <w:tc>
          <w:tcPr>
            <w:tcW w:w="2620" w:type="dxa"/>
            <w:vAlign w:val="bottom"/>
          </w:tcPr>
          <w:p>
            <w:pPr>
              <w:spacing w:after="0"/>
              <w:rPr>
                <w:sz w:val="2"/>
                <w:szCs w:val="2"/>
                <w:color w:val="auto"/>
              </w:rPr>
            </w:pPr>
          </w:p>
        </w:tc>
        <w:tc>
          <w:tcPr>
            <w:tcW w:w="8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4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w w:val="99"/>
              </w:rPr>
              <w:t>Other expenses, net of DAC capitalization</w:t>
            </w:r>
          </w:p>
        </w:tc>
        <w:tc>
          <w:tcPr>
            <w:tcW w:w="86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(399)</w:t>
            </w:r>
          </w:p>
        </w:tc>
        <w:tc>
          <w:tcPr>
            <w:tcW w:w="12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(307)</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(1,143)</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(932)</w:t>
            </w:r>
          </w:p>
        </w:tc>
        <w:tc>
          <w:tcPr>
            <w:tcW w:w="0" w:type="dxa"/>
            <w:vAlign w:val="bottom"/>
          </w:tcPr>
          <w:p>
            <w:pPr>
              <w:spacing w:after="0"/>
              <w:rPr>
                <w:sz w:val="1"/>
                <w:szCs w:val="1"/>
                <w:color w:val="auto"/>
              </w:rPr>
            </w:pPr>
          </w:p>
        </w:tc>
      </w:tr>
      <w:tr>
        <w:trPr>
          <w:trHeight w:val="209"/>
        </w:trPr>
        <w:tc>
          <w:tcPr>
            <w:tcW w:w="40" w:type="dxa"/>
            <w:vAlign w:val="bottom"/>
          </w:tcPr>
          <w:p>
            <w:pPr>
              <w:spacing w:after="0"/>
              <w:rPr>
                <w:sz w:val="18"/>
                <w:szCs w:val="18"/>
                <w:color w:val="auto"/>
              </w:rPr>
            </w:pPr>
          </w:p>
        </w:tc>
        <w:tc>
          <w:tcPr>
            <w:tcW w:w="3360" w:type="dxa"/>
            <w:vAlign w:val="bottom"/>
            <w:gridSpan w:val="2"/>
          </w:tcPr>
          <w:p>
            <w:pPr>
              <w:ind w:left="160"/>
              <w:spacing w:after="0"/>
              <w:rPr>
                <w:sz w:val="20"/>
                <w:szCs w:val="20"/>
                <w:color w:val="auto"/>
              </w:rPr>
            </w:pPr>
            <w:r>
              <w:rPr>
                <w:rFonts w:ascii="Arial" w:cs="Arial" w:eastAsia="Arial" w:hAnsi="Arial"/>
                <w:sz w:val="18"/>
                <w:szCs w:val="18"/>
                <w:color w:val="auto"/>
                <w:w w:val="94"/>
              </w:rPr>
              <w:t>Operating earnings (loss) before provision</w:t>
            </w:r>
          </w:p>
        </w:tc>
        <w:tc>
          <w:tcPr>
            <w:tcW w:w="86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20"/>
                <w:szCs w:val="20"/>
                <w:color w:val="auto"/>
              </w:rPr>
            </w:pPr>
          </w:p>
        </w:tc>
        <w:tc>
          <w:tcPr>
            <w:tcW w:w="3360" w:type="dxa"/>
            <w:vAlign w:val="bottom"/>
            <w:gridSpan w:val="2"/>
          </w:tcPr>
          <w:p>
            <w:pPr>
              <w:ind w:left="320"/>
              <w:spacing w:after="0"/>
              <w:rPr>
                <w:sz w:val="20"/>
                <w:szCs w:val="20"/>
                <w:color w:val="auto"/>
              </w:rPr>
            </w:pPr>
            <w:r>
              <w:rPr>
                <w:rFonts w:ascii="Arial" w:cs="Arial" w:eastAsia="Arial" w:hAnsi="Arial"/>
                <w:sz w:val="18"/>
                <w:szCs w:val="18"/>
                <w:color w:val="auto"/>
              </w:rPr>
              <w:t>for income tax</w:t>
            </w:r>
          </w:p>
        </w:tc>
        <w:tc>
          <w:tcPr>
            <w:tcW w:w="86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488</w:t>
            </w:r>
          </w:p>
        </w:tc>
        <w:tc>
          <w:tcPr>
            <w:tcW w:w="1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480" w:type="dxa"/>
            <w:vAlign w:val="bottom"/>
          </w:tcPr>
          <w:p>
            <w:pPr>
              <w:jc w:val="right"/>
              <w:ind w:right="12"/>
              <w:spacing w:after="0"/>
              <w:rPr>
                <w:sz w:val="20"/>
                <w:szCs w:val="20"/>
                <w:color w:val="auto"/>
              </w:rPr>
            </w:pPr>
            <w:r>
              <w:rPr>
                <w:rFonts w:ascii="Arial" w:cs="Arial" w:eastAsia="Arial" w:hAnsi="Arial"/>
                <w:sz w:val="18"/>
                <w:szCs w:val="18"/>
                <w:color w:val="auto"/>
              </w:rPr>
              <w:t>387</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20" w:type="dxa"/>
            <w:vAlign w:val="bottom"/>
          </w:tcPr>
          <w:p>
            <w:pPr>
              <w:jc w:val="right"/>
              <w:ind w:right="13"/>
              <w:spacing w:after="0"/>
              <w:rPr>
                <w:sz w:val="20"/>
                <w:szCs w:val="20"/>
                <w:color w:val="auto"/>
              </w:rPr>
            </w:pPr>
            <w:r>
              <w:rPr>
                <w:rFonts w:ascii="Arial" w:cs="Arial" w:eastAsia="Arial" w:hAnsi="Arial"/>
                <w:sz w:val="18"/>
                <w:szCs w:val="18"/>
                <w:color w:val="auto"/>
              </w:rPr>
              <w:t>1,111</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1,228</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40" w:type="dxa"/>
            <w:vAlign w:val="bottom"/>
          </w:tcPr>
          <w:p>
            <w:pPr>
              <w:spacing w:after="0"/>
              <w:rPr>
                <w:sz w:val="2"/>
                <w:szCs w:val="2"/>
                <w:color w:val="auto"/>
              </w:rPr>
            </w:pPr>
          </w:p>
        </w:tc>
        <w:tc>
          <w:tcPr>
            <w:tcW w:w="2620" w:type="dxa"/>
            <w:vAlign w:val="bottom"/>
          </w:tcPr>
          <w:p>
            <w:pPr>
              <w:spacing w:after="0"/>
              <w:rPr>
                <w:sz w:val="2"/>
                <w:szCs w:val="2"/>
                <w:color w:val="auto"/>
              </w:rPr>
            </w:pPr>
          </w:p>
        </w:tc>
        <w:tc>
          <w:tcPr>
            <w:tcW w:w="8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4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w w:val="96"/>
              </w:rPr>
              <w:t>Provisions for income tax expense (benefit)</w:t>
            </w:r>
          </w:p>
        </w:tc>
        <w:tc>
          <w:tcPr>
            <w:tcW w:w="86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133</w:t>
            </w:r>
          </w:p>
        </w:tc>
        <w:tc>
          <w:tcPr>
            <w:tcW w:w="12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140</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302</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368</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3360" w:type="dxa"/>
            <w:vAlign w:val="bottom"/>
            <w:gridSpan w:val="2"/>
          </w:tcPr>
          <w:p>
            <w:pPr>
              <w:ind w:left="160"/>
              <w:spacing w:after="0"/>
              <w:rPr>
                <w:sz w:val="20"/>
                <w:szCs w:val="20"/>
                <w:color w:val="auto"/>
              </w:rPr>
            </w:pPr>
            <w:r>
              <w:rPr>
                <w:rFonts w:ascii="Arial" w:cs="Arial" w:eastAsia="Arial" w:hAnsi="Arial"/>
                <w:sz w:val="18"/>
                <w:szCs w:val="18"/>
                <w:color w:val="auto"/>
              </w:rPr>
              <w:t>Operating earnings (loss)</w:t>
            </w:r>
          </w:p>
        </w:tc>
        <w:tc>
          <w:tcPr>
            <w:tcW w:w="860" w:type="dxa"/>
            <w:vAlign w:val="bottom"/>
            <w:tcBorders>
              <w:top w:val="single" w:sz="8" w:color="auto"/>
            </w:tcBorders>
          </w:tcPr>
          <w:p>
            <w:pPr>
              <w:jc w:val="right"/>
              <w:ind w:right="673"/>
              <w:spacing w:after="0"/>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355</w:t>
            </w:r>
          </w:p>
        </w:tc>
        <w:tc>
          <w:tcPr>
            <w:tcW w:w="120" w:type="dxa"/>
            <w:vAlign w:val="bottom"/>
          </w:tcPr>
          <w:p>
            <w:pPr>
              <w:spacing w:after="0"/>
              <w:rPr>
                <w:sz w:val="20"/>
                <w:szCs w:val="20"/>
                <w:color w:val="auto"/>
              </w:rPr>
            </w:pPr>
          </w:p>
        </w:tc>
        <w:tc>
          <w:tcPr>
            <w:tcW w:w="860" w:type="dxa"/>
            <w:vAlign w:val="bottom"/>
            <w:tcBorders>
              <w:top w:val="single" w:sz="8" w:color="auto"/>
            </w:tcBorders>
          </w:tcPr>
          <w:p>
            <w:pPr>
              <w:jc w:val="right"/>
              <w:ind w:right="653"/>
              <w:spacing w:after="0"/>
              <w:rPr>
                <w:sz w:val="20"/>
                <w:szCs w:val="20"/>
                <w:color w:val="auto"/>
              </w:rPr>
            </w:pPr>
            <w:r>
              <w:rPr>
                <w:rFonts w:ascii="Arial" w:cs="Arial" w:eastAsia="Arial" w:hAnsi="Arial"/>
                <w:sz w:val="18"/>
                <w:szCs w:val="18"/>
                <w:color w:val="auto"/>
                <w:w w:val="99"/>
              </w:rPr>
              <w:t>$</w:t>
            </w:r>
          </w:p>
        </w:tc>
        <w:tc>
          <w:tcPr>
            <w:tcW w:w="4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247</w:t>
            </w:r>
          </w:p>
        </w:tc>
        <w:tc>
          <w:tcPr>
            <w:tcW w:w="100" w:type="dxa"/>
            <w:vAlign w:val="bottom"/>
          </w:tcPr>
          <w:p>
            <w:pPr>
              <w:spacing w:after="0"/>
              <w:rPr>
                <w:sz w:val="20"/>
                <w:szCs w:val="20"/>
                <w:color w:val="auto"/>
              </w:rPr>
            </w:pPr>
          </w:p>
        </w:tc>
        <w:tc>
          <w:tcPr>
            <w:tcW w:w="42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809</w:t>
            </w:r>
          </w:p>
        </w:tc>
        <w:tc>
          <w:tcPr>
            <w:tcW w:w="100" w:type="dxa"/>
            <w:vAlign w:val="bottom"/>
          </w:tcPr>
          <w:p>
            <w:pPr>
              <w:spacing w:after="0"/>
              <w:rPr>
                <w:sz w:val="20"/>
                <w:szCs w:val="20"/>
                <w:color w:val="auto"/>
              </w:rPr>
            </w:pPr>
          </w:p>
        </w:tc>
        <w:tc>
          <w:tcPr>
            <w:tcW w:w="48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860</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40" w:type="dxa"/>
            <w:vAlign w:val="bottom"/>
          </w:tcPr>
          <w:p>
            <w:pPr>
              <w:spacing w:after="0"/>
              <w:rPr>
                <w:sz w:val="2"/>
                <w:szCs w:val="2"/>
                <w:color w:val="auto"/>
              </w:rPr>
            </w:pPr>
          </w:p>
        </w:tc>
        <w:tc>
          <w:tcPr>
            <w:tcW w:w="262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Three Months Ended September 30, 2017 Compared with the Three Months Ended September 30, 2016</w:t>
      </w:r>
    </w:p>
    <w:p>
      <w:pPr>
        <w:spacing w:after="0" w:line="15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Unless otherwise noted, all amounts in the following discussion are net of income tax.</w:t>
      </w:r>
    </w:p>
    <w:p>
      <w:pPr>
        <w:spacing w:after="0" w:line="117"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i w:val="1"/>
          <w:iCs w:val="1"/>
          <w:color w:val="auto"/>
        </w:rPr>
        <w:t xml:space="preserve">Overview. </w:t>
      </w:r>
      <w:r>
        <w:rPr>
          <w:rFonts w:ascii="Arial" w:cs="Arial" w:eastAsia="Arial" w:hAnsi="Arial"/>
          <w:sz w:val="18"/>
          <w:szCs w:val="18"/>
          <w:color w:val="auto"/>
        </w:rPr>
        <w:t>Operating earnings (loss) increased $108 million, primarily due to lower amortization of DAC and deferred sales inducements, partially offset</w:t>
      </w:r>
      <w:r>
        <w:rPr>
          <w:rFonts w:ascii="Arial" w:cs="Arial" w:eastAsia="Arial" w:hAnsi="Arial"/>
          <w:sz w:val="18"/>
          <w:szCs w:val="18"/>
          <w:i w:val="1"/>
          <w:iCs w:val="1"/>
          <w:color w:val="auto"/>
        </w:rPr>
        <w:t xml:space="preserve"> </w:t>
      </w:r>
      <w:r>
        <w:rPr>
          <w:rFonts w:ascii="Arial" w:cs="Arial" w:eastAsia="Arial" w:hAnsi="Arial"/>
          <w:sz w:val="18"/>
          <w:szCs w:val="18"/>
          <w:color w:val="auto"/>
        </w:rPr>
        <w:t>by higher guaranteed minimum death benefits (“GMDB”) costs and higher expenses. Excluding the favorable impact from the annual actuarial assumption review, operating earnings (loss) decreased $25 million.</w:t>
      </w:r>
    </w:p>
    <w:p>
      <w:pPr>
        <w:spacing w:after="0" w:line="73"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i w:val="1"/>
          <w:iCs w:val="1"/>
          <w:color w:val="auto"/>
        </w:rPr>
        <w:t xml:space="preserve">Fee Income. </w:t>
      </w:r>
      <w:r>
        <w:rPr>
          <w:rFonts w:ascii="Arial" w:cs="Arial" w:eastAsia="Arial" w:hAnsi="Arial"/>
          <w:sz w:val="18"/>
          <w:szCs w:val="18"/>
          <w:color w:val="auto"/>
        </w:rPr>
        <w:t>Fee income was largely unchanged in the current period compared to the prior period. Excluding the impact of the annual actuarial</w:t>
      </w:r>
      <w:r>
        <w:rPr>
          <w:rFonts w:ascii="Arial" w:cs="Arial" w:eastAsia="Arial" w:hAnsi="Arial"/>
          <w:sz w:val="18"/>
          <w:szCs w:val="18"/>
          <w:i w:val="1"/>
          <w:iCs w:val="1"/>
          <w:color w:val="auto"/>
        </w:rPr>
        <w:t xml:space="preserve"> </w:t>
      </w:r>
      <w:r>
        <w:rPr>
          <w:rFonts w:ascii="Arial" w:cs="Arial" w:eastAsia="Arial" w:hAnsi="Arial"/>
          <w:sz w:val="18"/>
          <w:szCs w:val="18"/>
          <w:color w:val="auto"/>
        </w:rPr>
        <w:t>assumption review, fee income increased operating income by $10 million.</w:t>
      </w:r>
    </w:p>
    <w:p>
      <w:pPr>
        <w:spacing w:after="0" w:line="6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i w:val="1"/>
          <w:iCs w:val="1"/>
          <w:color w:val="auto"/>
        </w:rPr>
        <w:t>Net Investment Spread</w:t>
      </w:r>
      <w:r>
        <w:rPr>
          <w:rFonts w:ascii="Arial" w:cs="Arial" w:eastAsia="Arial" w:hAnsi="Arial"/>
          <w:sz w:val="18"/>
          <w:szCs w:val="18"/>
          <w:color w:val="auto"/>
        </w:rPr>
        <w:t>. Lower net investment spread decreased operating earnings (loss) by $40 million, primarily due to lower net investment income</w:t>
      </w:r>
      <w:r>
        <w:rPr>
          <w:rFonts w:ascii="Arial" w:cs="Arial" w:eastAsia="Arial" w:hAnsi="Arial"/>
          <w:sz w:val="18"/>
          <w:szCs w:val="18"/>
          <w:i w:val="1"/>
          <w:iCs w:val="1"/>
          <w:color w:val="auto"/>
        </w:rPr>
        <w:t xml:space="preserve"> </w:t>
      </w:r>
      <w:r>
        <w:rPr>
          <w:rFonts w:ascii="Arial" w:cs="Arial" w:eastAsia="Arial" w:hAnsi="Arial"/>
          <w:sz w:val="18"/>
          <w:szCs w:val="18"/>
          <w:color w:val="auto"/>
        </w:rPr>
        <w:t>driven by lower income on derivatives as a result of the termination of interest rate swaps, partially offset by the impact from positive net flows. In addition, segment net investment income decreased due to lower interest on allocated equity resulting from a decrease in both the allocated equity base and the interest credited rate.</w:t>
      </w:r>
    </w:p>
    <w:p>
      <w:pPr>
        <w:spacing w:after="0" w:line="79"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Insurance-Related Activities</w:t>
      </w:r>
      <w:r>
        <w:rPr>
          <w:rFonts w:ascii="Arial" w:cs="Arial" w:eastAsia="Arial" w:hAnsi="Arial"/>
          <w:sz w:val="18"/>
          <w:szCs w:val="18"/>
          <w:color w:val="auto"/>
        </w:rPr>
        <w:t>. Insurance-related activities decreased operating earnings (loss) by $42 million, primarily due to:</w:t>
      </w:r>
    </w:p>
    <w:p>
      <w:pPr>
        <w:spacing w:after="0" w:line="117" w:lineRule="exact"/>
        <w:rPr>
          <w:sz w:val="20"/>
          <w:szCs w:val="20"/>
          <w:color w:val="auto"/>
        </w:rPr>
      </w:pPr>
    </w:p>
    <w:p>
      <w:pPr>
        <w:ind w:left="660" w:hanging="328"/>
        <w:spacing w:after="0" w:line="277" w:lineRule="auto"/>
        <w:tabs>
          <w:tab w:leader="none" w:pos="6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a decrease of $111 million from higher GMDB costs resulting primarily from changes in assumptions regarding contract lapse and withdrawal rates as well as separate account growth rates; partially offset by</w:t>
      </w:r>
    </w:p>
    <w:p>
      <w:pPr>
        <w:spacing w:after="0" w:line="62"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an increase of $50 million from lower amortization of deferred sales inducements due to refinements to the amortization period as part of the annual actuarial assumption review; and</w:t>
      </w:r>
    </w:p>
    <w:p>
      <w:pPr>
        <w:sectPr>
          <w:pgSz w:w="11900" w:h="16838" w:orient="portrait"/>
          <w:cols w:equalWidth="0" w:num="1">
            <w:col w:w="11420"/>
          </w:cols>
          <w:pgMar w:left="240" w:top="126" w:right="239" w:bottom="1440" w:gutter="0" w:footer="0" w:header="0"/>
        </w:sectPr>
      </w:pP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94</w:t>
      </w:r>
    </w:p>
    <w:p>
      <w:pPr>
        <w:sectPr>
          <w:pgSz w:w="11900" w:h="16838" w:orient="portrait"/>
          <w:cols w:equalWidth="0" w:num="1">
            <w:col w:w="11420"/>
          </w:cols>
          <w:pgMar w:left="240" w:top="126" w:right="239" w:bottom="1440" w:gutter="0" w:footer="0" w:header="0"/>
          <w:type w:val="continuous"/>
        </w:sectPr>
      </w:pPr>
    </w:p>
    <w:bookmarkStart w:id="96" w:name="page97"/>
    <w:bookmarkEnd w:id="96"/>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660" w:hanging="328"/>
        <w:spacing w:after="0" w:line="277" w:lineRule="auto"/>
        <w:tabs>
          <w:tab w:leader="none" w:pos="6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an increase of $15 million from a favorable change in the fair value of the underlying ceded separate account assets related to a related party reinsurance agreement for certain variable annuity contracts.</w:t>
      </w:r>
    </w:p>
    <w:p>
      <w:pPr>
        <w:spacing w:after="0" w:line="6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Excluding the impact of the annual actuarial assumption review, insurance-related activities increased operating income by $19 million.</w:t>
      </w:r>
    </w:p>
    <w:p>
      <w:pPr>
        <w:spacing w:after="0" w:line="11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i w:val="1"/>
          <w:iCs w:val="1"/>
          <w:color w:val="auto"/>
        </w:rPr>
        <w:t>Amortization of DAC and VOBA</w:t>
      </w:r>
      <w:r>
        <w:rPr>
          <w:rFonts w:ascii="Arial" w:cs="Arial" w:eastAsia="Arial" w:hAnsi="Arial"/>
          <w:sz w:val="18"/>
          <w:szCs w:val="18"/>
          <w:color w:val="auto"/>
        </w:rPr>
        <w:t>. Lower DAC and VOBA amortization increased operating earnings (loss) by $206 million, primarily due to refinements</w:t>
      </w:r>
      <w:r>
        <w:rPr>
          <w:rFonts w:ascii="Arial" w:cs="Arial" w:eastAsia="Arial" w:hAnsi="Arial"/>
          <w:sz w:val="18"/>
          <w:szCs w:val="18"/>
          <w:i w:val="1"/>
          <w:iCs w:val="1"/>
          <w:color w:val="auto"/>
        </w:rPr>
        <w:t xml:space="preserve"> </w:t>
      </w:r>
      <w:r>
        <w:rPr>
          <w:rFonts w:ascii="Arial" w:cs="Arial" w:eastAsia="Arial" w:hAnsi="Arial"/>
          <w:sz w:val="18"/>
          <w:szCs w:val="18"/>
          <w:color w:val="auto"/>
        </w:rPr>
        <w:t>to the amortization period in connection with the annual actuarial assumption review in the current period.</w:t>
      </w:r>
    </w:p>
    <w:p>
      <w:pPr>
        <w:spacing w:after="0" w:line="62"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Excluding the impact of the annual actuarial assumption review, DAC and VOBA amortization operating earnings (loss) was largely unchanged.</w:t>
      </w:r>
    </w:p>
    <w:p>
      <w:pPr>
        <w:spacing w:after="0" w:line="12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i w:val="1"/>
          <w:iCs w:val="1"/>
          <w:color w:val="auto"/>
        </w:rPr>
        <w:t xml:space="preserve">Other Expenses, Net of DAC Capitalization. </w:t>
      </w:r>
      <w:r>
        <w:rPr>
          <w:rFonts w:ascii="Arial" w:cs="Arial" w:eastAsia="Arial" w:hAnsi="Arial"/>
          <w:sz w:val="18"/>
          <w:szCs w:val="18"/>
          <w:color w:val="auto"/>
        </w:rPr>
        <w:t>Higher expenses decreased operating earnings (loss) by $60 million, primarily due to higher asset-based</w:t>
      </w:r>
      <w:r>
        <w:rPr>
          <w:rFonts w:ascii="Arial" w:cs="Arial" w:eastAsia="Arial" w:hAnsi="Arial"/>
          <w:sz w:val="18"/>
          <w:szCs w:val="18"/>
          <w:i w:val="1"/>
          <w:iCs w:val="1"/>
          <w:color w:val="auto"/>
        </w:rPr>
        <w:t xml:space="preserve"> </w:t>
      </w:r>
      <w:r>
        <w:rPr>
          <w:rFonts w:ascii="Arial" w:cs="Arial" w:eastAsia="Arial" w:hAnsi="Arial"/>
          <w:sz w:val="18"/>
          <w:szCs w:val="18"/>
          <w:color w:val="auto"/>
        </w:rPr>
        <w:t>expenses combined with separation-related system implementation and branding costs. A portion of the increase in asset-based expenses resulted from fees remitted to MLIC, which are offset in fee income. These increases in expenses were partially offset by the inter-segment reallocation of full-year corporate branding costs.</w:t>
      </w:r>
    </w:p>
    <w:p>
      <w:pPr>
        <w:spacing w:after="0" w:line="7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i w:val="1"/>
          <w:iCs w:val="1"/>
          <w:color w:val="auto"/>
        </w:rPr>
        <w:t xml:space="preserve">Actuarial Assumption Review. </w:t>
      </w:r>
      <w:r>
        <w:rPr>
          <w:rFonts w:ascii="Arial" w:cs="Arial" w:eastAsia="Arial" w:hAnsi="Arial"/>
          <w:sz w:val="18"/>
          <w:szCs w:val="18"/>
          <w:color w:val="auto"/>
        </w:rPr>
        <w:t>The results from the annual actuarial assumption review, which are included in the amounts discussed above, increased</w:t>
      </w:r>
      <w:r>
        <w:rPr>
          <w:rFonts w:ascii="Arial" w:cs="Arial" w:eastAsia="Arial" w:hAnsi="Arial"/>
          <w:sz w:val="18"/>
          <w:szCs w:val="18"/>
          <w:i w:val="1"/>
          <w:iCs w:val="1"/>
          <w:color w:val="auto"/>
        </w:rPr>
        <w:t xml:space="preserve"> </w:t>
      </w:r>
      <w:r>
        <w:rPr>
          <w:rFonts w:ascii="Arial" w:cs="Arial" w:eastAsia="Arial" w:hAnsi="Arial"/>
          <w:sz w:val="18"/>
          <w:szCs w:val="18"/>
          <w:color w:val="auto"/>
        </w:rPr>
        <w:t>operating earnings (loss) by $133 million, when compared to the prior period, primarily due to:</w:t>
      </w:r>
    </w:p>
    <w:p>
      <w:pPr>
        <w:spacing w:after="0" w:line="62" w:lineRule="exact"/>
        <w:rPr>
          <w:sz w:val="20"/>
          <w:szCs w:val="20"/>
          <w:color w:val="auto"/>
        </w:rPr>
      </w:pPr>
    </w:p>
    <w:p>
      <w:pPr>
        <w:ind w:left="980" w:hanging="324"/>
        <w:spacing w:after="0"/>
        <w:tabs>
          <w:tab w:leader="none" w:pos="9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lower DAC amortization of $203 million mostly driven by refinements to the amortization period; and</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lower amortization of deferred sales inducements of $50 million from refinements to the amortization period; partially offset by</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higher GMDB liabilities of $111 million due to changes in lapse and withdrawal rates as well as separate account earned rates; and</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lower amortization of unearned revenue of $9 million due to refinements to the amortization period.</w:t>
      </w:r>
    </w:p>
    <w:p>
      <w:pPr>
        <w:spacing w:after="0" w:line="117"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i w:val="1"/>
          <w:iCs w:val="1"/>
          <w:color w:val="auto"/>
        </w:rPr>
        <w:t xml:space="preserve">Income Tax Expense (Benefit). </w:t>
      </w:r>
      <w:r>
        <w:rPr>
          <w:rFonts w:ascii="Arial" w:cs="Arial" w:eastAsia="Arial" w:hAnsi="Arial"/>
          <w:sz w:val="16"/>
          <w:szCs w:val="16"/>
          <w:color w:val="auto"/>
        </w:rPr>
        <w:t>Income tax expense for the three months ended September 30, 2017 was $133 million, or 27% of operating earnings (loss)</w:t>
      </w:r>
      <w:r>
        <w:rPr>
          <w:rFonts w:ascii="Arial" w:cs="Arial" w:eastAsia="Arial" w:hAnsi="Arial"/>
          <w:sz w:val="16"/>
          <w:szCs w:val="16"/>
          <w:i w:val="1"/>
          <w:iCs w:val="1"/>
          <w:color w:val="auto"/>
        </w:rPr>
        <w:t xml:space="preserve"> </w:t>
      </w:r>
      <w:r>
        <w:rPr>
          <w:rFonts w:ascii="Arial" w:cs="Arial" w:eastAsia="Arial" w:hAnsi="Arial"/>
          <w:sz w:val="16"/>
          <w:szCs w:val="16"/>
          <w:color w:val="auto"/>
        </w:rPr>
        <w:t>before provision for income tax, compared to $140 million, or 36% of operating earnings (loss) before provision for income tax, for the three months ended September 30, 2016. Our effective tax rates in both periods differ from the U.S. statutory rate of 35% primarily due to the impacts of the dividend received deductions. In the current period, we recognized an additional tax benefit of $37 million related to the dividend received deductions.</w:t>
      </w:r>
    </w:p>
    <w:p>
      <w:pPr>
        <w:spacing w:after="0" w:line="46"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Nine Months Ended September 30, 2017 Compared with the Nine Months Ended September 30, 2016</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Unless otherwise noted, all amounts in the following discussion are net of income tax.</w:t>
      </w:r>
    </w:p>
    <w:p>
      <w:pPr>
        <w:spacing w:after="0" w:line="117"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i w:val="1"/>
          <w:iCs w:val="1"/>
          <w:color w:val="auto"/>
        </w:rPr>
        <w:t xml:space="preserve">Overview. </w:t>
      </w:r>
      <w:r>
        <w:rPr>
          <w:rFonts w:ascii="Arial" w:cs="Arial" w:eastAsia="Arial" w:hAnsi="Arial"/>
          <w:sz w:val="18"/>
          <w:szCs w:val="18"/>
          <w:color w:val="auto"/>
        </w:rPr>
        <w:t>Operating earnings (loss) decreased $51 million, primarily due to lower fee income, higher expenses and lower net investment spread. These</w:t>
      </w:r>
      <w:r>
        <w:rPr>
          <w:rFonts w:ascii="Arial" w:cs="Arial" w:eastAsia="Arial" w:hAnsi="Arial"/>
          <w:sz w:val="18"/>
          <w:szCs w:val="18"/>
          <w:i w:val="1"/>
          <w:iCs w:val="1"/>
          <w:color w:val="auto"/>
        </w:rPr>
        <w:t xml:space="preserve"> </w:t>
      </w:r>
      <w:r>
        <w:rPr>
          <w:rFonts w:ascii="Arial" w:cs="Arial" w:eastAsia="Arial" w:hAnsi="Arial"/>
          <w:sz w:val="18"/>
          <w:szCs w:val="18"/>
          <w:color w:val="auto"/>
        </w:rPr>
        <w:t>decreases were partially offset by lower amortization of DAC and favorable changes in insurance-related activities. Excluding the impact from the annual actuarial assumption review, operating earnings (loss) decreased $321 million.</w:t>
      </w:r>
    </w:p>
    <w:p>
      <w:pPr>
        <w:spacing w:after="0" w:line="73"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 xml:space="preserve">Fee Income. </w:t>
      </w:r>
      <w:r>
        <w:rPr>
          <w:rFonts w:ascii="Arial" w:cs="Arial" w:eastAsia="Arial" w:hAnsi="Arial"/>
          <w:sz w:val="18"/>
          <w:szCs w:val="18"/>
          <w:color w:val="auto"/>
        </w:rPr>
        <w:t>Lower fee income decreased operating earnings (loss) by $148 million, primarily due to:</w:t>
      </w:r>
    </w:p>
    <w:p>
      <w:pPr>
        <w:spacing w:after="0" w:line="171" w:lineRule="exact"/>
        <w:rPr>
          <w:sz w:val="20"/>
          <w:szCs w:val="20"/>
          <w:color w:val="auto"/>
        </w:rPr>
      </w:pPr>
    </w:p>
    <w:p>
      <w:pPr>
        <w:ind w:left="660" w:hanging="328"/>
        <w:spacing w:after="0"/>
        <w:tabs>
          <w:tab w:leader="none" w:pos="6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a decrease of $190 million due to a benefit recorded in the prior period in connection with the SPDA Recaptures; partially offset by</w:t>
      </w:r>
    </w:p>
    <w:p>
      <w:pPr>
        <w:spacing w:after="0" w:line="171" w:lineRule="exact"/>
        <w:rPr>
          <w:rFonts w:ascii="Arial" w:cs="Arial" w:eastAsia="Arial" w:hAnsi="Arial"/>
          <w:sz w:val="18"/>
          <w:szCs w:val="18"/>
          <w:color w:val="auto"/>
        </w:rPr>
      </w:pPr>
    </w:p>
    <w:p>
      <w:pPr>
        <w:ind w:left="660" w:right="20" w:hanging="328"/>
        <w:spacing w:after="0" w:line="308" w:lineRule="auto"/>
        <w:tabs>
          <w:tab w:leader="none" w:pos="660" w:val="left"/>
        </w:tabs>
        <w:numPr>
          <w:ilvl w:val="0"/>
          <w:numId w:val="65"/>
        </w:numPr>
        <w:rPr>
          <w:rFonts w:ascii="Arial" w:cs="Arial" w:eastAsia="Arial" w:hAnsi="Arial"/>
          <w:sz w:val="17"/>
          <w:szCs w:val="17"/>
          <w:color w:val="auto"/>
        </w:rPr>
      </w:pPr>
      <w:r>
        <w:rPr>
          <w:rFonts w:ascii="Arial" w:cs="Arial" w:eastAsia="Arial" w:hAnsi="Arial"/>
          <w:sz w:val="17"/>
          <w:szCs w:val="17"/>
          <w:color w:val="auto"/>
        </w:rPr>
        <w:t>an increase of $53 million from higher asset-based fees in our variable annuity business resulting from higher average separate account balances. A portion of this increase resulted from fees collected on behalf of MLIC which is offset in other expenses, net of DAC capitalization.</w:t>
      </w:r>
    </w:p>
    <w:p>
      <w:pPr>
        <w:spacing w:after="0" w:line="38" w:lineRule="exact"/>
        <w:rPr>
          <w:sz w:val="20"/>
          <w:szCs w:val="20"/>
          <w:color w:val="auto"/>
        </w:rPr>
      </w:pPr>
    </w:p>
    <w:p>
      <w:pPr>
        <w:ind w:left="500"/>
        <w:spacing w:after="0"/>
        <w:rPr>
          <w:sz w:val="20"/>
          <w:szCs w:val="20"/>
          <w:color w:val="auto"/>
        </w:rPr>
      </w:pPr>
      <w:r>
        <w:rPr>
          <w:rFonts w:ascii="Arial" w:cs="Arial" w:eastAsia="Arial" w:hAnsi="Arial"/>
          <w:sz w:val="18"/>
          <w:szCs w:val="18"/>
          <w:color w:val="auto"/>
        </w:rPr>
        <w:t>Excluding the impact of the annual actuarial assumption review, fee income increased operating income by $138 million.</w:t>
      </w:r>
    </w:p>
    <w:p>
      <w:pPr>
        <w:spacing w:after="0" w:line="117"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i w:val="1"/>
          <w:iCs w:val="1"/>
          <w:color w:val="auto"/>
        </w:rPr>
        <w:t>Net Investment Spread</w:t>
      </w:r>
      <w:r>
        <w:rPr>
          <w:rFonts w:ascii="Arial" w:cs="Arial" w:eastAsia="Arial" w:hAnsi="Arial"/>
          <w:sz w:val="18"/>
          <w:szCs w:val="18"/>
          <w:color w:val="auto"/>
        </w:rPr>
        <w:t>. Lower net investment spread decreased operating earnings (loss) by $110 million, primarily due to lower net investment income</w:t>
      </w:r>
      <w:r>
        <w:rPr>
          <w:rFonts w:ascii="Arial" w:cs="Arial" w:eastAsia="Arial" w:hAnsi="Arial"/>
          <w:sz w:val="18"/>
          <w:szCs w:val="18"/>
          <w:i w:val="1"/>
          <w:iCs w:val="1"/>
          <w:color w:val="auto"/>
        </w:rPr>
        <w:t xml:space="preserve"> </w:t>
      </w:r>
      <w:r>
        <w:rPr>
          <w:rFonts w:ascii="Arial" w:cs="Arial" w:eastAsia="Arial" w:hAnsi="Arial"/>
          <w:sz w:val="18"/>
          <w:szCs w:val="18"/>
          <w:color w:val="auto"/>
        </w:rPr>
        <w:t>and the elimination of interest credited payments on the reinsurance receivables related to the SPDA Recaptures. The decrease in net investment income was primarily driven by (i) lower income on derivatives as a result of the termination of interest rate swaps, (ii) lower yields on fixed maturity securities and mortgage loans as proceeds from maturing investments were reinvested at rates lower than the portfolio average and (iii) lower prepayment fees. These decreases were partially offset by the impact from an increase in the average invested asset base, primarily due to the SPDA Recaptures and positive net flows in the general account. In addition, segment net investment income decreased due to lower interest on allocated equity resulting from a decrease in both the interest credited rate and he allocated equity base.</w:t>
      </w:r>
    </w:p>
    <w:p>
      <w:pPr>
        <w:spacing w:after="0" w:line="8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Insurance-Related Activities</w:t>
      </w:r>
      <w:r>
        <w:rPr>
          <w:rFonts w:ascii="Arial" w:cs="Arial" w:eastAsia="Arial" w:hAnsi="Arial"/>
          <w:sz w:val="18"/>
          <w:szCs w:val="18"/>
          <w:color w:val="auto"/>
        </w:rPr>
        <w:t>. Insurance-related activities increased operating earnings (loss) by $125 million, primarily due to:</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420"/>
          </w:cols>
          <w:pgMar w:left="240" w:top="126" w:right="239" w:bottom="1440" w:gutter="0" w:footer="0" w:header="0"/>
        </w:sectPr>
      </w:pPr>
    </w:p>
    <w:bookmarkStart w:id="97" w:name="page98"/>
    <w:bookmarkEnd w:id="97"/>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660" w:hanging="328"/>
        <w:spacing w:after="0" w:line="277" w:lineRule="auto"/>
        <w:tabs>
          <w:tab w:leader="none" w:pos="6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an increase of $66 million from lower amortization of deferred sales inducements mostly from refinements to the amortization period as part of the annual actuarial assumption review; and</w:t>
      </w:r>
    </w:p>
    <w:p>
      <w:pPr>
        <w:spacing w:after="0" w:line="62"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an increase of $53 million from a favorable change in the fair value of the underlying ceded separate account assets related to a related party reinsurance agreement for certain variable annuity contracts.</w:t>
      </w:r>
    </w:p>
    <w:p>
      <w:pPr>
        <w:spacing w:after="0" w:line="6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Excluding the impact of the annual actuarial assumption review, insurance-related activities increased operating income by $89 million.</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Amortization of DAC and VOBA</w:t>
      </w:r>
      <w:r>
        <w:rPr>
          <w:rFonts w:ascii="Arial" w:cs="Arial" w:eastAsia="Arial" w:hAnsi="Arial"/>
          <w:sz w:val="18"/>
          <w:szCs w:val="18"/>
          <w:color w:val="auto"/>
        </w:rPr>
        <w:t>. Lower DAC and VOBA amortization increased operating earnings (loss) by $194 million, primarily due to:</w:t>
      </w:r>
    </w:p>
    <w:p>
      <w:pPr>
        <w:spacing w:after="0" w:line="117" w:lineRule="exact"/>
        <w:rPr>
          <w:sz w:val="20"/>
          <w:szCs w:val="20"/>
          <w:color w:val="auto"/>
        </w:rPr>
      </w:pPr>
    </w:p>
    <w:p>
      <w:pPr>
        <w:ind w:left="660" w:hanging="328"/>
        <w:spacing w:after="0"/>
        <w:tabs>
          <w:tab w:leader="none" w:pos="660" w:val="left"/>
        </w:tabs>
        <w:numPr>
          <w:ilvl w:val="0"/>
          <w:numId w:val="67"/>
        </w:numPr>
        <w:rPr>
          <w:rFonts w:ascii="Arial" w:cs="Arial" w:eastAsia="Arial" w:hAnsi="Arial"/>
          <w:sz w:val="16"/>
          <w:szCs w:val="16"/>
          <w:color w:val="auto"/>
        </w:rPr>
      </w:pPr>
      <w:r>
        <w:rPr>
          <w:rFonts w:ascii="Arial" w:cs="Arial" w:eastAsia="Arial" w:hAnsi="Arial"/>
          <w:sz w:val="16"/>
          <w:szCs w:val="16"/>
          <w:color w:val="auto"/>
        </w:rPr>
        <w:t>lower amortization of $240 million from refinements to the amortization period as part of the annual actuarial assumption review; partially offset by</w:t>
      </w:r>
    </w:p>
    <w:p>
      <w:pPr>
        <w:spacing w:after="0" w:line="140" w:lineRule="exact"/>
        <w:rPr>
          <w:rFonts w:ascii="Arial" w:cs="Arial" w:eastAsia="Arial" w:hAnsi="Arial"/>
          <w:sz w:val="16"/>
          <w:szCs w:val="16"/>
          <w:color w:val="auto"/>
        </w:rPr>
      </w:pPr>
    </w:p>
    <w:p>
      <w:pPr>
        <w:ind w:left="660" w:hanging="328"/>
        <w:spacing w:after="0"/>
        <w:tabs>
          <w:tab w:leader="none" w:pos="6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higher amortization of $56 million as a result of the recovery recorded in the prior period in connection with the SPDA Recaptures.</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7"/>
          <w:szCs w:val="17"/>
          <w:color w:val="auto"/>
        </w:rPr>
        <w:t>Excluding the impact of the annual actuarial assumption review, DAC and VOBA amortization decreased operating earnings (loss) by $50 million.</w:t>
      </w:r>
    </w:p>
    <w:p>
      <w:pPr>
        <w:spacing w:after="0" w:line="129"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i w:val="1"/>
          <w:iCs w:val="1"/>
          <w:color w:val="auto"/>
        </w:rPr>
        <w:t xml:space="preserve">Other Expenses, Net of DAC Capitalization. </w:t>
      </w:r>
      <w:r>
        <w:rPr>
          <w:rFonts w:ascii="Arial" w:cs="Arial" w:eastAsia="Arial" w:hAnsi="Arial"/>
          <w:sz w:val="16"/>
          <w:szCs w:val="16"/>
          <w:color w:val="auto"/>
        </w:rPr>
        <w:t>Higher expenses decreased operating earnings (loss) by $137 million, primarily due to (i) separation-related</w:t>
      </w:r>
      <w:r>
        <w:rPr>
          <w:rFonts w:ascii="Arial" w:cs="Arial" w:eastAsia="Arial" w:hAnsi="Arial"/>
          <w:sz w:val="16"/>
          <w:szCs w:val="16"/>
          <w:i w:val="1"/>
          <w:iCs w:val="1"/>
          <w:color w:val="auto"/>
        </w:rPr>
        <w:t xml:space="preserve"> </w:t>
      </w:r>
      <w:r>
        <w:rPr>
          <w:rFonts w:ascii="Arial" w:cs="Arial" w:eastAsia="Arial" w:hAnsi="Arial"/>
          <w:sz w:val="16"/>
          <w:szCs w:val="16"/>
          <w:color w:val="auto"/>
        </w:rPr>
        <w:t>system implementation and branding costs, (ii) higher asset-based expenses and (iii) charges recognized in connection with reinsurance recapture activity including the 2017 VA Recaptures. A portion of the increase in asset-based expenses resulted from fees remitted to MLIC, which are offset in fee income.</w:t>
      </w:r>
    </w:p>
    <w:p>
      <w:pPr>
        <w:spacing w:after="0" w:line="3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i w:val="1"/>
          <w:iCs w:val="1"/>
          <w:color w:val="auto"/>
        </w:rPr>
        <w:t xml:space="preserve">Actuarial Assumption Review. </w:t>
      </w:r>
      <w:r>
        <w:rPr>
          <w:rFonts w:ascii="Arial" w:cs="Arial" w:eastAsia="Arial" w:hAnsi="Arial"/>
          <w:sz w:val="18"/>
          <w:szCs w:val="18"/>
          <w:color w:val="auto"/>
        </w:rPr>
        <w:t>The results of the annual actuarial assumption review, which are included in the amounts discussed above, increased</w:t>
      </w:r>
      <w:r>
        <w:rPr>
          <w:rFonts w:ascii="Arial" w:cs="Arial" w:eastAsia="Arial" w:hAnsi="Arial"/>
          <w:sz w:val="18"/>
          <w:szCs w:val="18"/>
          <w:i w:val="1"/>
          <w:iCs w:val="1"/>
          <w:color w:val="auto"/>
        </w:rPr>
        <w:t xml:space="preserve"> </w:t>
      </w:r>
      <w:r>
        <w:rPr>
          <w:rFonts w:ascii="Arial" w:cs="Arial" w:eastAsia="Arial" w:hAnsi="Arial"/>
          <w:sz w:val="18"/>
          <w:szCs w:val="18"/>
          <w:color w:val="auto"/>
        </w:rPr>
        <w:t>operating earnings (loss) by $270 million, when compared to the prior period, due to:</w:t>
      </w:r>
    </w:p>
    <w:p>
      <w:pPr>
        <w:spacing w:after="0" w:line="62" w:lineRule="exact"/>
        <w:rPr>
          <w:sz w:val="20"/>
          <w:szCs w:val="20"/>
          <w:color w:val="auto"/>
        </w:rPr>
      </w:pPr>
    </w:p>
    <w:p>
      <w:pPr>
        <w:ind w:left="980" w:hanging="324"/>
        <w:spacing w:after="0"/>
        <w:tabs>
          <w:tab w:leader="none" w:pos="9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lower DAC amortization of $244 million, primarily from refinements to the amortization period; and</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68"/>
        </w:numPr>
        <w:rPr>
          <w:rFonts w:ascii="Arial" w:cs="Arial" w:eastAsia="Arial" w:hAnsi="Arial"/>
          <w:sz w:val="17"/>
          <w:szCs w:val="17"/>
          <w:color w:val="auto"/>
        </w:rPr>
      </w:pPr>
      <w:r>
        <w:rPr>
          <w:rFonts w:ascii="Arial" w:cs="Arial" w:eastAsia="Arial" w:hAnsi="Arial"/>
          <w:sz w:val="17"/>
          <w:szCs w:val="17"/>
          <w:color w:val="auto"/>
        </w:rPr>
        <w:t>lower deferred sales inducement amortization of $57 million, primarily from refinements to the amortization period; partially offset by</w:t>
      </w:r>
    </w:p>
    <w:p>
      <w:pPr>
        <w:spacing w:after="0" w:line="128" w:lineRule="exact"/>
        <w:rPr>
          <w:rFonts w:ascii="Arial" w:cs="Arial" w:eastAsia="Arial" w:hAnsi="Arial"/>
          <w:sz w:val="17"/>
          <w:szCs w:val="17"/>
          <w:color w:val="auto"/>
        </w:rPr>
      </w:pPr>
    </w:p>
    <w:p>
      <w:pPr>
        <w:ind w:left="980" w:hanging="324"/>
        <w:spacing w:after="0"/>
        <w:tabs>
          <w:tab w:leader="none" w:pos="980" w:val="left"/>
        </w:tabs>
        <w:numPr>
          <w:ilvl w:val="0"/>
          <w:numId w:val="68"/>
        </w:numPr>
        <w:rPr>
          <w:rFonts w:ascii="Arial" w:cs="Arial" w:eastAsia="Arial" w:hAnsi="Arial"/>
          <w:sz w:val="16"/>
          <w:szCs w:val="16"/>
          <w:color w:val="auto"/>
        </w:rPr>
      </w:pPr>
      <w:r>
        <w:rPr>
          <w:rFonts w:ascii="Arial" w:cs="Arial" w:eastAsia="Arial" w:hAnsi="Arial"/>
          <w:sz w:val="16"/>
          <w:szCs w:val="16"/>
          <w:color w:val="auto"/>
        </w:rPr>
        <w:t>higher policyholder benefits and claims of $21 million from changes in lapse and withdrawal rates as well as separate account growth rates; and</w:t>
      </w:r>
    </w:p>
    <w:p>
      <w:pPr>
        <w:spacing w:after="0" w:line="140" w:lineRule="exact"/>
        <w:rPr>
          <w:rFonts w:ascii="Arial" w:cs="Arial" w:eastAsia="Arial" w:hAnsi="Arial"/>
          <w:sz w:val="16"/>
          <w:szCs w:val="16"/>
          <w:color w:val="auto"/>
        </w:rPr>
      </w:pPr>
    </w:p>
    <w:p>
      <w:pPr>
        <w:ind w:left="980" w:hanging="324"/>
        <w:spacing w:after="0"/>
        <w:tabs>
          <w:tab w:leader="none" w:pos="9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lower amortization of unearned revenue of $10 million from refinements to the amortization period.</w:t>
      </w:r>
    </w:p>
    <w:p>
      <w:pPr>
        <w:spacing w:after="0" w:line="117"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i w:val="1"/>
          <w:iCs w:val="1"/>
          <w:color w:val="auto"/>
        </w:rPr>
        <w:t xml:space="preserve">Income Tax Expense (Benefit). </w:t>
      </w:r>
      <w:r>
        <w:rPr>
          <w:rFonts w:ascii="Arial" w:cs="Arial" w:eastAsia="Arial" w:hAnsi="Arial"/>
          <w:sz w:val="17"/>
          <w:szCs w:val="17"/>
          <w:color w:val="auto"/>
        </w:rPr>
        <w:t>Income tax expense for the nine months ended September 30, 2017 was $302 million, or 27% of operating earnings (loss)</w:t>
      </w:r>
      <w:r>
        <w:rPr>
          <w:rFonts w:ascii="Arial" w:cs="Arial" w:eastAsia="Arial" w:hAnsi="Arial"/>
          <w:sz w:val="17"/>
          <w:szCs w:val="17"/>
          <w:i w:val="1"/>
          <w:iCs w:val="1"/>
          <w:color w:val="auto"/>
        </w:rPr>
        <w:t xml:space="preserve"> </w:t>
      </w:r>
      <w:r>
        <w:rPr>
          <w:rFonts w:ascii="Arial" w:cs="Arial" w:eastAsia="Arial" w:hAnsi="Arial"/>
          <w:sz w:val="17"/>
          <w:szCs w:val="17"/>
          <w:color w:val="auto"/>
        </w:rPr>
        <w:t>before provision for income tax, compared to $368 million, or 30% of operating earnings (loss) before provision for income tax, for the nine months ended September 30, 2016. Our effective tax rates in both periods differ from the U.S. statutory rate of 35% primarily due to the impacts of the dividend received deductions. In the current period, we recognized an additional tax benefit of $85 million related to the dividend received deductions.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Life</w:t>
      </w:r>
    </w:p>
    <w:p>
      <w:pPr>
        <w:spacing w:after="0" w:line="117"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8"/>
          <w:szCs w:val="18"/>
          <w:i w:val="1"/>
          <w:iCs w:val="1"/>
          <w:color w:val="auto"/>
        </w:rPr>
        <w:t>Business Overview</w:t>
      </w:r>
      <w:r>
        <w:rPr>
          <w:rFonts w:ascii="Arial" w:cs="Arial" w:eastAsia="Arial" w:hAnsi="Arial"/>
          <w:sz w:val="14"/>
          <w:szCs w:val="14"/>
          <w:b w:val="1"/>
          <w:bCs w:val="1"/>
          <w:i w:val="1"/>
          <w:iCs w:val="1"/>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Life sales declined 74% for the nine months ended September 30, 2017, primarily due to the sale of MPCG to MassMutual in the</w:t>
      </w:r>
      <w:r>
        <w:rPr>
          <w:rFonts w:ascii="Arial" w:cs="Arial" w:eastAsia="Arial" w:hAnsi="Arial"/>
          <w:sz w:val="18"/>
          <w:szCs w:val="18"/>
          <w:i w:val="1"/>
          <w:iCs w:val="1"/>
          <w:color w:val="auto"/>
        </w:rPr>
        <w:t xml:space="preserve"> </w:t>
      </w:r>
      <w:r>
        <w:rPr>
          <w:rFonts w:ascii="Arial" w:cs="Arial" w:eastAsia="Arial" w:hAnsi="Arial"/>
          <w:sz w:val="18"/>
          <w:szCs w:val="18"/>
          <w:color w:val="auto"/>
        </w:rPr>
        <w:t>third quarter of 2016 and the migration away from products such as participating whole life and certain term life products in the current period. Despite lower sales, general account net flows continued to be positive.</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420"/>
          </w:cols>
          <w:pgMar w:left="240" w:top="126" w:right="239" w:bottom="1440" w:gutter="0" w:footer="0" w:header="0"/>
        </w:sectPr>
      </w:pPr>
    </w:p>
    <w:bookmarkStart w:id="98" w:name="page99"/>
    <w:bookmarkEnd w:id="98"/>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tbl>
      <w:tblPr>
        <w:tblLayout w:type="fixed"/>
        <w:tblInd w:w="1120" w:type="dxa"/>
        <w:tblCellMar>
          <w:top w:w="0" w:type="dxa"/>
          <w:left w:w="0" w:type="dxa"/>
          <w:bottom w:w="0" w:type="dxa"/>
          <w:right w:w="0" w:type="dxa"/>
        </w:tblCellMar>
      </w:tblPr>
      <w:tr>
        <w:trPr>
          <w:trHeight w:val="203"/>
        </w:trPr>
        <w:tc>
          <w:tcPr>
            <w:tcW w:w="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4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20" w:type="dxa"/>
            <w:vAlign w:val="bottom"/>
            <w:gridSpan w:val="3"/>
          </w:tcPr>
          <w:p>
            <w:pPr>
              <w:jc w:val="center"/>
              <w:ind w:right="313"/>
              <w:spacing w:after="0"/>
              <w:rPr>
                <w:sz w:val="20"/>
                <w:szCs w:val="20"/>
                <w:color w:val="auto"/>
              </w:rPr>
            </w:pPr>
            <w:r>
              <w:rPr>
                <w:rFonts w:ascii="Arial" w:cs="Arial" w:eastAsia="Arial" w:hAnsi="Arial"/>
                <w:sz w:val="16"/>
                <w:szCs w:val="16"/>
                <w:b w:val="1"/>
                <w:bCs w:val="1"/>
                <w:color w:val="auto"/>
                <w:w w:val="93"/>
              </w:rPr>
              <w:t>Three Months</w:t>
            </w: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20" w:type="dxa"/>
            <w:vAlign w:val="bottom"/>
            <w:gridSpan w:val="3"/>
          </w:tcPr>
          <w:p>
            <w:pPr>
              <w:jc w:val="center"/>
              <w:spacing w:after="0"/>
              <w:rPr>
                <w:sz w:val="20"/>
                <w:szCs w:val="20"/>
                <w:color w:val="auto"/>
              </w:rPr>
            </w:pPr>
            <w:r>
              <w:rPr>
                <w:rFonts w:ascii="Arial" w:cs="Arial" w:eastAsia="Arial" w:hAnsi="Arial"/>
                <w:sz w:val="16"/>
                <w:szCs w:val="16"/>
                <w:b w:val="1"/>
                <w:bCs w:val="1"/>
                <w:color w:val="auto"/>
                <w:w w:val="93"/>
              </w:rPr>
              <w:t>Nine Months</w:t>
            </w: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4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20" w:type="dxa"/>
            <w:vAlign w:val="bottom"/>
            <w:gridSpan w:val="3"/>
          </w:tcPr>
          <w:p>
            <w:pPr>
              <w:jc w:val="center"/>
              <w:ind w:right="353"/>
              <w:spacing w:after="0"/>
              <w:rPr>
                <w:sz w:val="20"/>
                <w:szCs w:val="20"/>
                <w:color w:val="auto"/>
              </w:rPr>
            </w:pPr>
            <w:r>
              <w:rPr>
                <w:rFonts w:ascii="Arial" w:cs="Arial" w:eastAsia="Arial" w:hAnsi="Arial"/>
                <w:sz w:val="16"/>
                <w:szCs w:val="16"/>
                <w:b w:val="1"/>
                <w:bCs w:val="1"/>
                <w:color w:val="auto"/>
                <w:w w:val="93"/>
              </w:rPr>
              <w:t>Ended</w:t>
            </w: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20" w:type="dxa"/>
            <w:vAlign w:val="bottom"/>
            <w:gridSpan w:val="3"/>
          </w:tcPr>
          <w:p>
            <w:pPr>
              <w:jc w:val="center"/>
              <w:spacing w:after="0"/>
              <w:rPr>
                <w:sz w:val="20"/>
                <w:szCs w:val="20"/>
                <w:color w:val="auto"/>
              </w:rPr>
            </w:pPr>
            <w:r>
              <w:rPr>
                <w:rFonts w:ascii="Arial" w:cs="Arial" w:eastAsia="Arial" w:hAnsi="Arial"/>
                <w:sz w:val="16"/>
                <w:szCs w:val="16"/>
                <w:b w:val="1"/>
                <w:bCs w:val="1"/>
                <w:color w:val="auto"/>
                <w:w w:val="93"/>
              </w:rPr>
              <w:t>Ended</w:t>
            </w: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20" w:type="dxa"/>
            <w:vAlign w:val="bottom"/>
            <w:gridSpan w:val="3"/>
          </w:tcPr>
          <w:p>
            <w:pPr>
              <w:jc w:val="center"/>
              <w:ind w:right="313"/>
              <w:spacing w:after="0"/>
              <w:rPr>
                <w:sz w:val="20"/>
                <w:szCs w:val="20"/>
                <w:color w:val="auto"/>
              </w:rPr>
            </w:pPr>
            <w:r>
              <w:rPr>
                <w:rFonts w:ascii="Arial" w:cs="Arial" w:eastAsia="Arial" w:hAnsi="Arial"/>
                <w:sz w:val="16"/>
                <w:szCs w:val="16"/>
                <w:b w:val="1"/>
                <w:bCs w:val="1"/>
                <w:color w:val="auto"/>
                <w:w w:val="89"/>
              </w:rPr>
              <w:t>September 30,</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20" w:type="dxa"/>
            <w:vAlign w:val="bottom"/>
            <w:gridSpan w:val="3"/>
          </w:tcPr>
          <w:p>
            <w:pPr>
              <w:jc w:val="center"/>
              <w:spacing w:after="0"/>
              <w:rPr>
                <w:sz w:val="20"/>
                <w:szCs w:val="20"/>
                <w:color w:val="auto"/>
              </w:rPr>
            </w:pPr>
            <w:r>
              <w:rPr>
                <w:rFonts w:ascii="Arial" w:cs="Arial" w:eastAsia="Arial" w:hAnsi="Arial"/>
                <w:sz w:val="16"/>
                <w:szCs w:val="16"/>
                <w:b w:val="1"/>
                <w:bCs w:val="1"/>
                <w:color w:val="auto"/>
                <w:w w:val="89"/>
              </w:rPr>
              <w:t>September 30,</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300" w:type="dxa"/>
            <w:vAlign w:val="bottom"/>
          </w:tcPr>
          <w:p>
            <w:pPr>
              <w:spacing w:after="0"/>
              <w:rPr>
                <w:sz w:val="2"/>
                <w:szCs w:val="2"/>
                <w:color w:val="auto"/>
              </w:rPr>
            </w:pPr>
          </w:p>
        </w:tc>
        <w:tc>
          <w:tcPr>
            <w:tcW w:w="344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4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b w:val="1"/>
                <w:bCs w:val="1"/>
                <w:color w:val="auto"/>
              </w:rPr>
              <w:t>2017</w:t>
            </w:r>
          </w:p>
        </w:tc>
        <w:tc>
          <w:tcPr>
            <w:tcW w:w="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b w:val="1"/>
                <w:bCs w:val="1"/>
                <w:color w:val="auto"/>
              </w:rPr>
              <w:t>2016</w:t>
            </w:r>
          </w:p>
        </w:tc>
        <w:tc>
          <w:tcPr>
            <w:tcW w:w="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b w:val="1"/>
                <w:bCs w:val="1"/>
                <w:color w:val="auto"/>
              </w:rPr>
              <w:t>2017</w:t>
            </w: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00" w:type="dxa"/>
            <w:vAlign w:val="bottom"/>
          </w:tcPr>
          <w:p>
            <w:pPr>
              <w:jc w:val="right"/>
              <w:ind w:right="391"/>
              <w:spacing w:after="0"/>
              <w:rPr>
                <w:sz w:val="20"/>
                <w:szCs w:val="20"/>
                <w:color w:val="auto"/>
              </w:rPr>
            </w:pPr>
            <w:r>
              <w:rPr>
                <w:rFonts w:ascii="Arial" w:cs="Arial" w:eastAsia="Arial" w:hAnsi="Arial"/>
                <w:sz w:val="16"/>
                <w:szCs w:val="16"/>
                <w:b w:val="1"/>
                <w:bCs w:val="1"/>
                <w:color w:val="auto"/>
                <w:w w:val="84"/>
              </w:rPr>
              <w:t>2016</w:t>
            </w: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300" w:type="dxa"/>
            <w:vAlign w:val="bottom"/>
            <w:vMerge w:val="restart"/>
          </w:tcPr>
          <w:p>
            <w:pPr>
              <w:spacing w:after="0"/>
              <w:rPr>
                <w:sz w:val="20"/>
                <w:szCs w:val="20"/>
                <w:color w:val="auto"/>
              </w:rPr>
            </w:pPr>
            <w:r>
              <w:rPr>
                <w:rFonts w:ascii="Arial" w:cs="Arial" w:eastAsia="Arial" w:hAnsi="Arial"/>
                <w:sz w:val="18"/>
                <w:szCs w:val="18"/>
                <w:b w:val="1"/>
                <w:bCs w:val="1"/>
                <w:color w:val="auto"/>
                <w:w w:val="87"/>
              </w:rPr>
              <w:t>Life</w:t>
            </w:r>
          </w:p>
        </w:tc>
        <w:tc>
          <w:tcPr>
            <w:tcW w:w="344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3"/>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8"/>
        </w:trPr>
        <w:tc>
          <w:tcPr>
            <w:tcW w:w="40" w:type="dxa"/>
            <w:vAlign w:val="bottom"/>
          </w:tcPr>
          <w:p>
            <w:pPr>
              <w:spacing w:after="0"/>
              <w:rPr>
                <w:sz w:val="15"/>
                <w:szCs w:val="15"/>
                <w:color w:val="auto"/>
              </w:rPr>
            </w:pPr>
          </w:p>
        </w:tc>
        <w:tc>
          <w:tcPr>
            <w:tcW w:w="300" w:type="dxa"/>
            <w:vAlign w:val="bottom"/>
            <w:tcBorders>
              <w:bottom w:val="single" w:sz="8" w:color="auto"/>
            </w:tcBorders>
            <w:vMerge w:val="continue"/>
          </w:tcPr>
          <w:p>
            <w:pPr>
              <w:spacing w:after="0"/>
              <w:rPr>
                <w:sz w:val="15"/>
                <w:szCs w:val="15"/>
                <w:color w:val="auto"/>
              </w:rPr>
            </w:pPr>
          </w:p>
        </w:tc>
        <w:tc>
          <w:tcPr>
            <w:tcW w:w="34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340" w:type="dxa"/>
            <w:vAlign w:val="bottom"/>
            <w:gridSpan w:val="3"/>
          </w:tcPr>
          <w:p>
            <w:pPr>
              <w:jc w:val="right"/>
              <w:ind w:right="413"/>
              <w:spacing w:after="0"/>
              <w:rPr>
                <w:sz w:val="20"/>
                <w:szCs w:val="20"/>
                <w:color w:val="auto"/>
              </w:rPr>
            </w:pPr>
            <w:r>
              <w:rPr>
                <w:rFonts w:ascii="Arial" w:cs="Arial" w:eastAsia="Arial" w:hAnsi="Arial"/>
                <w:sz w:val="14"/>
                <w:szCs w:val="14"/>
                <w:b w:val="1"/>
                <w:bCs w:val="1"/>
                <w:color w:val="auto"/>
              </w:rPr>
              <w:t>(In millions)</w:t>
            </w: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300" w:type="dxa"/>
            <w:vAlign w:val="bottom"/>
          </w:tcPr>
          <w:p>
            <w:pPr>
              <w:spacing w:after="0"/>
              <w:rPr>
                <w:sz w:val="4"/>
                <w:szCs w:val="4"/>
                <w:color w:val="auto"/>
              </w:rPr>
            </w:pPr>
          </w:p>
        </w:tc>
        <w:tc>
          <w:tcPr>
            <w:tcW w:w="3440" w:type="dxa"/>
            <w:vAlign w:val="bottom"/>
          </w:tcPr>
          <w:p>
            <w:pPr>
              <w:spacing w:after="0"/>
              <w:rPr>
                <w:sz w:val="4"/>
                <w:szCs w:val="4"/>
                <w:color w:val="auto"/>
              </w:rPr>
            </w:pPr>
          </w:p>
        </w:tc>
        <w:tc>
          <w:tcPr>
            <w:tcW w:w="820" w:type="dxa"/>
            <w:vAlign w:val="bottom"/>
          </w:tcPr>
          <w:p>
            <w:pPr>
              <w:spacing w:after="0"/>
              <w:rPr>
                <w:sz w:val="4"/>
                <w:szCs w:val="4"/>
                <w:color w:val="auto"/>
              </w:rPr>
            </w:pPr>
          </w:p>
        </w:tc>
        <w:tc>
          <w:tcPr>
            <w:tcW w:w="440" w:type="dxa"/>
            <w:vAlign w:val="bottom"/>
          </w:tcPr>
          <w:p>
            <w:pPr>
              <w:spacing w:after="0"/>
              <w:rPr>
                <w:sz w:val="4"/>
                <w:szCs w:val="4"/>
                <w:color w:val="auto"/>
              </w:rPr>
            </w:pPr>
          </w:p>
        </w:tc>
        <w:tc>
          <w:tcPr>
            <w:tcW w:w="120" w:type="dxa"/>
            <w:vAlign w:val="bottom"/>
          </w:tcPr>
          <w:p>
            <w:pPr>
              <w:spacing w:after="0"/>
              <w:rPr>
                <w:sz w:val="4"/>
                <w:szCs w:val="4"/>
                <w:color w:val="auto"/>
              </w:rPr>
            </w:pPr>
          </w:p>
        </w:tc>
        <w:tc>
          <w:tcPr>
            <w:tcW w:w="860" w:type="dxa"/>
            <w:vAlign w:val="bottom"/>
          </w:tcPr>
          <w:p>
            <w:pPr>
              <w:spacing w:after="0"/>
              <w:rPr>
                <w:sz w:val="4"/>
                <w:szCs w:val="4"/>
                <w:color w:val="auto"/>
              </w:rPr>
            </w:pPr>
          </w:p>
        </w:tc>
        <w:tc>
          <w:tcPr>
            <w:tcW w:w="400" w:type="dxa"/>
            <w:vAlign w:val="bottom"/>
          </w:tcPr>
          <w:p>
            <w:pPr>
              <w:spacing w:after="0"/>
              <w:rPr>
                <w:sz w:val="4"/>
                <w:szCs w:val="4"/>
                <w:color w:val="auto"/>
              </w:rPr>
            </w:pPr>
          </w:p>
        </w:tc>
        <w:tc>
          <w:tcPr>
            <w:tcW w:w="120" w:type="dxa"/>
            <w:vAlign w:val="bottom"/>
          </w:tcPr>
          <w:p>
            <w:pPr>
              <w:spacing w:after="0"/>
              <w:rPr>
                <w:sz w:val="4"/>
                <w:szCs w:val="4"/>
                <w:color w:val="auto"/>
              </w:rPr>
            </w:pPr>
          </w:p>
        </w:tc>
        <w:tc>
          <w:tcPr>
            <w:tcW w:w="820" w:type="dxa"/>
            <w:vAlign w:val="bottom"/>
          </w:tcPr>
          <w:p>
            <w:pPr>
              <w:spacing w:after="0"/>
              <w:rPr>
                <w:sz w:val="4"/>
                <w:szCs w:val="4"/>
                <w:color w:val="auto"/>
              </w:rPr>
            </w:pPr>
          </w:p>
        </w:tc>
        <w:tc>
          <w:tcPr>
            <w:tcW w:w="440" w:type="dxa"/>
            <w:vAlign w:val="bottom"/>
          </w:tcPr>
          <w:p>
            <w:pPr>
              <w:spacing w:after="0"/>
              <w:rPr>
                <w:sz w:val="4"/>
                <w:szCs w:val="4"/>
                <w:color w:val="auto"/>
              </w:rPr>
            </w:pPr>
          </w:p>
        </w:tc>
        <w:tc>
          <w:tcPr>
            <w:tcW w:w="100" w:type="dxa"/>
            <w:vAlign w:val="bottom"/>
          </w:tcPr>
          <w:p>
            <w:pPr>
              <w:spacing w:after="0"/>
              <w:rPr>
                <w:sz w:val="4"/>
                <w:szCs w:val="4"/>
                <w:color w:val="auto"/>
              </w:rPr>
            </w:pPr>
          </w:p>
        </w:tc>
        <w:tc>
          <w:tcPr>
            <w:tcW w:w="480" w:type="dxa"/>
            <w:vAlign w:val="bottom"/>
          </w:tcPr>
          <w:p>
            <w:pPr>
              <w:spacing w:after="0"/>
              <w:rPr>
                <w:sz w:val="4"/>
                <w:szCs w:val="4"/>
                <w:color w:val="auto"/>
              </w:rPr>
            </w:pPr>
          </w:p>
        </w:tc>
        <w:tc>
          <w:tcPr>
            <w:tcW w:w="8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37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Fee income</w:t>
            </w:r>
          </w:p>
        </w:tc>
        <w:tc>
          <w:tcPr>
            <w:tcW w:w="820" w:type="dxa"/>
            <w:vAlign w:val="bottom"/>
            <w:tcBorders>
              <w:bottom w:val="single" w:sz="8" w:color="CCEEFF"/>
            </w:tcBorders>
            <w:shd w:val="clear" w:color="auto" w:fill="CCEEFF"/>
          </w:tcPr>
          <w:p>
            <w:pPr>
              <w:jc w:val="right"/>
              <w:ind w:right="613"/>
              <w:spacing w:after="0"/>
              <w:rPr>
                <w:sz w:val="20"/>
                <w:szCs w:val="20"/>
                <w:color w:val="auto"/>
              </w:rPr>
            </w:pPr>
            <w:r>
              <w:rPr>
                <w:rFonts w:ascii="Arial" w:cs="Arial" w:eastAsia="Arial" w:hAnsi="Arial"/>
                <w:sz w:val="18"/>
                <w:szCs w:val="18"/>
                <w:color w:val="auto"/>
                <w:w w:val="99"/>
              </w:rPr>
              <w:t>$</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136</w:t>
            </w:r>
          </w:p>
        </w:tc>
        <w:tc>
          <w:tcPr>
            <w:tcW w:w="1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653"/>
              <w:spacing w:after="0"/>
              <w:rPr>
                <w:sz w:val="20"/>
                <w:szCs w:val="20"/>
                <w:color w:val="auto"/>
              </w:rPr>
            </w:pPr>
            <w:r>
              <w:rPr>
                <w:rFonts w:ascii="Arial" w:cs="Arial" w:eastAsia="Arial" w:hAnsi="Arial"/>
                <w:sz w:val="18"/>
                <w:szCs w:val="18"/>
                <w:color w:val="auto"/>
                <w:w w:val="99"/>
              </w:rPr>
              <w:t>$</w:t>
            </w:r>
          </w:p>
        </w:tc>
        <w:tc>
          <w:tcPr>
            <w:tcW w:w="4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84</w:t>
            </w: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633"/>
              <w:spacing w:after="0"/>
              <w:rPr>
                <w:sz w:val="20"/>
                <w:szCs w:val="20"/>
                <w:color w:val="auto"/>
              </w:rPr>
            </w:pPr>
            <w:r>
              <w:rPr>
                <w:rFonts w:ascii="Arial" w:cs="Arial" w:eastAsia="Arial" w:hAnsi="Arial"/>
                <w:sz w:val="18"/>
                <w:szCs w:val="18"/>
                <w:color w:val="auto"/>
                <w:w w:val="79"/>
              </w:rPr>
              <w:t>$</w:t>
            </w:r>
          </w:p>
        </w:tc>
        <w:tc>
          <w:tcPr>
            <w:tcW w:w="4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313</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245</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8"/>
                <w:szCs w:val="18"/>
                <w:color w:val="auto"/>
              </w:rPr>
              <w:t>Net investment spread</w:t>
            </w:r>
          </w:p>
        </w:tc>
        <w:tc>
          <w:tcPr>
            <w:tcW w:w="82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25</w:t>
            </w:r>
          </w:p>
        </w:tc>
        <w:tc>
          <w:tcPr>
            <w:tcW w:w="1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400" w:type="dxa"/>
            <w:vAlign w:val="bottom"/>
          </w:tcPr>
          <w:p>
            <w:pPr>
              <w:jc w:val="right"/>
              <w:ind w:right="12"/>
              <w:spacing w:after="0"/>
              <w:rPr>
                <w:sz w:val="20"/>
                <w:szCs w:val="20"/>
                <w:color w:val="auto"/>
              </w:rPr>
            </w:pPr>
            <w:r>
              <w:rPr>
                <w:rFonts w:ascii="Arial" w:cs="Arial" w:eastAsia="Arial" w:hAnsi="Arial"/>
                <w:sz w:val="18"/>
                <w:szCs w:val="18"/>
                <w:color w:val="auto"/>
              </w:rPr>
              <w:t>42</w:t>
            </w:r>
          </w:p>
        </w:tc>
        <w:tc>
          <w:tcPr>
            <w:tcW w:w="1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40" w:type="dxa"/>
            <w:vAlign w:val="bottom"/>
          </w:tcPr>
          <w:p>
            <w:pPr>
              <w:jc w:val="right"/>
              <w:ind w:right="12"/>
              <w:spacing w:after="0"/>
              <w:rPr>
                <w:sz w:val="20"/>
                <w:szCs w:val="20"/>
                <w:color w:val="auto"/>
              </w:rPr>
            </w:pPr>
            <w:r>
              <w:rPr>
                <w:rFonts w:ascii="Arial" w:cs="Arial" w:eastAsia="Arial" w:hAnsi="Arial"/>
                <w:sz w:val="18"/>
                <w:szCs w:val="18"/>
                <w:color w:val="auto"/>
              </w:rPr>
              <w:t>80</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00" w:type="dxa"/>
            <w:vAlign w:val="bottom"/>
          </w:tcPr>
          <w:p>
            <w:pPr>
              <w:spacing w:after="0"/>
              <w:rPr>
                <w:sz w:val="2"/>
                <w:szCs w:val="2"/>
                <w:color w:val="auto"/>
              </w:rPr>
            </w:pPr>
          </w:p>
        </w:tc>
        <w:tc>
          <w:tcPr>
            <w:tcW w:w="3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37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Insurance-related activities</w:t>
            </w:r>
          </w:p>
        </w:tc>
        <w:tc>
          <w:tcPr>
            <w:tcW w:w="8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22</w:t>
            </w: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8"/>
                <w:szCs w:val="18"/>
                <w:color w:val="auto"/>
              </w:rPr>
              <w:t>Amortization of DAC and VOBA</w:t>
            </w:r>
          </w:p>
        </w:tc>
        <w:tc>
          <w:tcPr>
            <w:tcW w:w="82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w w:val="95"/>
              </w:rPr>
              <w:t>(138)</w:t>
            </w:r>
          </w:p>
        </w:tc>
        <w:tc>
          <w:tcPr>
            <w:tcW w:w="1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(39)</w:t>
            </w:r>
          </w:p>
        </w:tc>
        <w:tc>
          <w:tcPr>
            <w:tcW w:w="1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w w:val="90"/>
              </w:rPr>
              <w:t>(190)</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(121)</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00" w:type="dxa"/>
            <w:vAlign w:val="bottom"/>
          </w:tcPr>
          <w:p>
            <w:pPr>
              <w:spacing w:after="0"/>
              <w:rPr>
                <w:sz w:val="2"/>
                <w:szCs w:val="2"/>
                <w:color w:val="auto"/>
              </w:rPr>
            </w:pPr>
          </w:p>
        </w:tc>
        <w:tc>
          <w:tcPr>
            <w:tcW w:w="3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37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Other expenses, net of DAC capitalization</w:t>
            </w:r>
          </w:p>
        </w:tc>
        <w:tc>
          <w:tcPr>
            <w:tcW w:w="8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12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1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0"/>
              </w:rPr>
              <w:t>(207)</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(228)</w:t>
            </w:r>
          </w:p>
        </w:tc>
        <w:tc>
          <w:tcPr>
            <w:tcW w:w="0" w:type="dxa"/>
            <w:vAlign w:val="bottom"/>
          </w:tcPr>
          <w:p>
            <w:pPr>
              <w:spacing w:after="0"/>
              <w:rPr>
                <w:sz w:val="1"/>
                <w:szCs w:val="1"/>
                <w:color w:val="auto"/>
              </w:rPr>
            </w:pPr>
          </w:p>
        </w:tc>
      </w:tr>
      <w:tr>
        <w:trPr>
          <w:trHeight w:val="209"/>
        </w:trPr>
        <w:tc>
          <w:tcPr>
            <w:tcW w:w="40" w:type="dxa"/>
            <w:vAlign w:val="bottom"/>
          </w:tcPr>
          <w:p>
            <w:pPr>
              <w:spacing w:after="0"/>
              <w:rPr>
                <w:sz w:val="18"/>
                <w:szCs w:val="18"/>
                <w:color w:val="auto"/>
              </w:rPr>
            </w:pPr>
          </w:p>
        </w:tc>
        <w:tc>
          <w:tcPr>
            <w:tcW w:w="3740" w:type="dxa"/>
            <w:vAlign w:val="bottom"/>
            <w:gridSpan w:val="2"/>
          </w:tcPr>
          <w:p>
            <w:pPr>
              <w:ind w:left="160"/>
              <w:spacing w:after="0"/>
              <w:rPr>
                <w:sz w:val="20"/>
                <w:szCs w:val="20"/>
                <w:color w:val="auto"/>
              </w:rPr>
            </w:pPr>
            <w:r>
              <w:rPr>
                <w:rFonts w:ascii="Arial" w:cs="Arial" w:eastAsia="Arial" w:hAnsi="Arial"/>
                <w:sz w:val="18"/>
                <w:szCs w:val="18"/>
                <w:color w:val="auto"/>
                <w:w w:val="98"/>
              </w:rPr>
              <w:t>Operating earnings (loss) before provision for</w:t>
            </w:r>
          </w:p>
        </w:tc>
        <w:tc>
          <w:tcPr>
            <w:tcW w:w="82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440" w:type="dxa"/>
            <w:vAlign w:val="bottom"/>
          </w:tcPr>
          <w:p>
            <w:pPr>
              <w:ind w:left="20"/>
              <w:spacing w:after="0"/>
              <w:rPr>
                <w:sz w:val="20"/>
                <w:szCs w:val="20"/>
                <w:color w:val="auto"/>
              </w:rPr>
            </w:pPr>
            <w:r>
              <w:rPr>
                <w:rFonts w:ascii="Arial" w:cs="Arial" w:eastAsia="Arial" w:hAnsi="Arial"/>
                <w:sz w:val="18"/>
                <w:szCs w:val="18"/>
                <w:color w:val="auto"/>
              </w:rPr>
              <w:t>income tax</w:t>
            </w:r>
          </w:p>
        </w:tc>
        <w:tc>
          <w:tcPr>
            <w:tcW w:w="82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400" w:type="dxa"/>
            <w:vAlign w:val="bottom"/>
          </w:tcPr>
          <w:p>
            <w:pPr>
              <w:jc w:val="right"/>
              <w:ind w:right="12"/>
              <w:spacing w:after="0"/>
              <w:rPr>
                <w:sz w:val="20"/>
                <w:szCs w:val="20"/>
                <w:color w:val="auto"/>
              </w:rPr>
            </w:pPr>
            <w:r>
              <w:rPr>
                <w:rFonts w:ascii="Arial" w:cs="Arial" w:eastAsia="Arial" w:hAnsi="Arial"/>
                <w:sz w:val="18"/>
                <w:szCs w:val="18"/>
                <w:color w:val="auto"/>
              </w:rPr>
              <w:t>42</w:t>
            </w: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0"/>
                <w:szCs w:val="20"/>
                <w:color w:val="auto"/>
              </w:rPr>
            </w:pP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00" w:type="dxa"/>
            <w:vAlign w:val="bottom"/>
          </w:tcPr>
          <w:p>
            <w:pPr>
              <w:spacing w:after="0"/>
              <w:rPr>
                <w:sz w:val="2"/>
                <w:szCs w:val="2"/>
                <w:color w:val="auto"/>
              </w:rPr>
            </w:pPr>
          </w:p>
        </w:tc>
        <w:tc>
          <w:tcPr>
            <w:tcW w:w="3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37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Provisions for income tax expense (benefit)</w:t>
            </w:r>
          </w:p>
        </w:tc>
        <w:tc>
          <w:tcPr>
            <w:tcW w:w="8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2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w:t>
            </w:r>
          </w:p>
        </w:tc>
        <w:tc>
          <w:tcPr>
            <w:tcW w:w="1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3740" w:type="dxa"/>
            <w:vAlign w:val="bottom"/>
            <w:gridSpan w:val="2"/>
          </w:tcPr>
          <w:p>
            <w:pPr>
              <w:ind w:left="160"/>
              <w:spacing w:after="0"/>
              <w:rPr>
                <w:sz w:val="20"/>
                <w:szCs w:val="20"/>
                <w:color w:val="auto"/>
              </w:rPr>
            </w:pPr>
            <w:r>
              <w:rPr>
                <w:rFonts w:ascii="Arial" w:cs="Arial" w:eastAsia="Arial" w:hAnsi="Arial"/>
                <w:sz w:val="18"/>
                <w:szCs w:val="18"/>
                <w:color w:val="auto"/>
              </w:rPr>
              <w:t>Operating earnings (loss)</w:t>
            </w:r>
          </w:p>
        </w:tc>
        <w:tc>
          <w:tcPr>
            <w:tcW w:w="820" w:type="dxa"/>
            <w:vAlign w:val="bottom"/>
            <w:tcBorders>
              <w:top w:val="single" w:sz="8" w:color="auto"/>
            </w:tcBorders>
          </w:tcPr>
          <w:p>
            <w:pPr>
              <w:jc w:val="right"/>
              <w:ind w:right="613"/>
              <w:spacing w:after="0"/>
              <w:rPr>
                <w:sz w:val="20"/>
                <w:szCs w:val="20"/>
                <w:color w:val="auto"/>
              </w:rPr>
            </w:pPr>
            <w:r>
              <w:rPr>
                <w:rFonts w:ascii="Arial" w:cs="Arial" w:eastAsia="Arial" w:hAnsi="Arial"/>
                <w:sz w:val="18"/>
                <w:szCs w:val="18"/>
                <w:color w:val="auto"/>
                <w:w w:val="99"/>
              </w:rPr>
              <w:t>$</w:t>
            </w: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20"/>
                <w:szCs w:val="20"/>
                <w:color w:val="auto"/>
              </w:rPr>
            </w:pPr>
          </w:p>
        </w:tc>
        <w:tc>
          <w:tcPr>
            <w:tcW w:w="860" w:type="dxa"/>
            <w:vAlign w:val="bottom"/>
            <w:tcBorders>
              <w:top w:val="single" w:sz="8" w:color="auto"/>
            </w:tcBorders>
          </w:tcPr>
          <w:p>
            <w:pPr>
              <w:jc w:val="right"/>
              <w:ind w:right="653"/>
              <w:spacing w:after="0"/>
              <w:rPr>
                <w:sz w:val="20"/>
                <w:szCs w:val="20"/>
                <w:color w:val="auto"/>
              </w:rPr>
            </w:pPr>
            <w:r>
              <w:rPr>
                <w:rFonts w:ascii="Arial" w:cs="Arial" w:eastAsia="Arial" w:hAnsi="Arial"/>
                <w:sz w:val="18"/>
                <w:szCs w:val="18"/>
                <w:color w:val="auto"/>
                <w:w w:val="99"/>
              </w:rPr>
              <w:t>$</w:t>
            </w:r>
          </w:p>
        </w:tc>
        <w:tc>
          <w:tcPr>
            <w:tcW w:w="4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26</w:t>
            </w:r>
          </w:p>
        </w:tc>
        <w:tc>
          <w:tcPr>
            <w:tcW w:w="120" w:type="dxa"/>
            <w:vAlign w:val="bottom"/>
          </w:tcPr>
          <w:p>
            <w:pPr>
              <w:spacing w:after="0"/>
              <w:rPr>
                <w:sz w:val="20"/>
                <w:szCs w:val="20"/>
                <w:color w:val="auto"/>
              </w:rPr>
            </w:pPr>
          </w:p>
        </w:tc>
        <w:tc>
          <w:tcPr>
            <w:tcW w:w="820" w:type="dxa"/>
            <w:vAlign w:val="bottom"/>
            <w:tcBorders>
              <w:top w:val="single" w:sz="8" w:color="auto"/>
            </w:tcBorders>
          </w:tcPr>
          <w:p>
            <w:pPr>
              <w:jc w:val="right"/>
              <w:ind w:right="633"/>
              <w:spacing w:after="0"/>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0"/>
                <w:szCs w:val="20"/>
                <w:color w:val="auto"/>
              </w:rPr>
            </w:pPr>
          </w:p>
        </w:tc>
        <w:tc>
          <w:tcPr>
            <w:tcW w:w="48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00" w:type="dxa"/>
            <w:vAlign w:val="bottom"/>
          </w:tcPr>
          <w:p>
            <w:pPr>
              <w:spacing w:after="0"/>
              <w:rPr>
                <w:sz w:val="2"/>
                <w:szCs w:val="2"/>
                <w:color w:val="auto"/>
              </w:rPr>
            </w:pPr>
          </w:p>
        </w:tc>
        <w:tc>
          <w:tcPr>
            <w:tcW w:w="344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Three Months Ended September 30, 2017 Compared with the Three Months Ended September 30, 2016</w:t>
      </w:r>
    </w:p>
    <w:p>
      <w:pPr>
        <w:spacing w:after="0" w:line="15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Unless otherwise noted, all amounts in the following discussion are net of income tax.</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7"/>
          <w:szCs w:val="17"/>
          <w:i w:val="1"/>
          <w:iCs w:val="1"/>
          <w:color w:val="auto"/>
        </w:rPr>
        <w:t>Overview</w:t>
      </w:r>
      <w:r>
        <w:rPr>
          <w:rFonts w:ascii="Arial" w:cs="Arial" w:eastAsia="Arial" w:hAnsi="Arial"/>
          <w:sz w:val="17"/>
          <w:szCs w:val="17"/>
          <w:color w:val="auto"/>
        </w:rPr>
        <w:t>. Operating earnings (loss) decreased $20 million, primarily due to higher amortization of DAC, partially offset by higher fee income.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Excluding the impact of the annual actuarial assumption review, operating earnings (loss) was largely unchanged.</w:t>
      </w:r>
    </w:p>
    <w:p>
      <w:pPr>
        <w:spacing w:after="0" w:line="103"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i w:val="1"/>
          <w:iCs w:val="1"/>
          <w:color w:val="auto"/>
        </w:rPr>
        <w:t>Fee Income</w:t>
      </w:r>
      <w:r>
        <w:rPr>
          <w:rFonts w:ascii="Arial" w:cs="Arial" w:eastAsia="Arial" w:hAnsi="Arial"/>
          <w:sz w:val="18"/>
          <w:szCs w:val="18"/>
          <w:color w:val="auto"/>
        </w:rPr>
        <w:t>. Higher fee income increased operating earnings (loss) by $34 million, due to higher amortization of unearned revenue primarily related to</w:t>
      </w:r>
      <w:r>
        <w:rPr>
          <w:rFonts w:ascii="Arial" w:cs="Arial" w:eastAsia="Arial" w:hAnsi="Arial"/>
          <w:sz w:val="18"/>
          <w:szCs w:val="18"/>
          <w:i w:val="1"/>
          <w:iCs w:val="1"/>
          <w:color w:val="auto"/>
        </w:rPr>
        <w:t xml:space="preserve"> </w:t>
      </w:r>
      <w:r>
        <w:rPr>
          <w:rFonts w:ascii="Arial" w:cs="Arial" w:eastAsia="Arial" w:hAnsi="Arial"/>
          <w:sz w:val="18"/>
          <w:szCs w:val="18"/>
          <w:color w:val="auto"/>
        </w:rPr>
        <w:t>changes in assumptions regarding maintenance expenses and mortality in connection with the annual actuarial assumption review, partially offset by higher fees resulting from the YRT Recapture in the second quarter of 2017. Excluding the impact from the annual actuarial assumption review, fee income decreased operating earnings (loss) by $6 million.</w:t>
      </w:r>
    </w:p>
    <w:p>
      <w:pPr>
        <w:spacing w:after="0" w:line="79"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i w:val="1"/>
          <w:iCs w:val="1"/>
          <w:color w:val="auto"/>
        </w:rPr>
        <w:t xml:space="preserve">Net Investment Spread. </w:t>
      </w:r>
      <w:r>
        <w:rPr>
          <w:rFonts w:ascii="Arial" w:cs="Arial" w:eastAsia="Arial" w:hAnsi="Arial"/>
          <w:sz w:val="17"/>
          <w:szCs w:val="17"/>
          <w:color w:val="auto"/>
        </w:rPr>
        <w:t>Lower net investment spread decreased operating earnings (loss) by $11 million, primarily driven by (i) lower interest on</w:t>
      </w:r>
      <w:r>
        <w:rPr>
          <w:rFonts w:ascii="Arial" w:cs="Arial" w:eastAsia="Arial" w:hAnsi="Arial"/>
          <w:sz w:val="17"/>
          <w:szCs w:val="17"/>
          <w:i w:val="1"/>
          <w:iCs w:val="1"/>
          <w:color w:val="auto"/>
        </w:rPr>
        <w:t xml:space="preserve"> </w:t>
      </w:r>
      <w:r>
        <w:rPr>
          <w:rFonts w:ascii="Arial" w:cs="Arial" w:eastAsia="Arial" w:hAnsi="Arial"/>
          <w:sz w:val="17"/>
          <w:szCs w:val="17"/>
          <w:color w:val="auto"/>
        </w:rPr>
        <w:t>allocated equity resulting from a decrease in both the interest credited rate and the allocated equity base, (ii) lower investment yields on our fixed maturity securities, as proceeds from maturing investments were invested at lower yields than the portfolio average, and (iii) lower funds withheld assets as a result of reinsurance recapture activity. These decreases were partially offset by lower interest credited to policyholders as a result of the recapture, by MLIC, in the fourth quarter of 2016 of an assumed reinsurance agreement covering participating whole life business, partially offset by higher interest credited on higher average policyholder account balances resulting from the positive net flows.</w:t>
      </w:r>
    </w:p>
    <w:p>
      <w:pPr>
        <w:spacing w:after="0" w:line="70"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i w:val="1"/>
          <w:iCs w:val="1"/>
          <w:color w:val="auto"/>
        </w:rPr>
        <w:t xml:space="preserve">Insurance-Related Activities. </w:t>
      </w:r>
      <w:r>
        <w:rPr>
          <w:rFonts w:ascii="Arial" w:cs="Arial" w:eastAsia="Arial" w:hAnsi="Arial"/>
          <w:sz w:val="17"/>
          <w:szCs w:val="17"/>
          <w:color w:val="auto"/>
        </w:rPr>
        <w:t>Policyholder benefits and claims were largely unchanged as the impact from lower ceded claim recoveries resulting from</w:t>
      </w:r>
      <w:r>
        <w:rPr>
          <w:rFonts w:ascii="Arial" w:cs="Arial" w:eastAsia="Arial" w:hAnsi="Arial"/>
          <w:sz w:val="17"/>
          <w:szCs w:val="17"/>
          <w:i w:val="1"/>
          <w:iCs w:val="1"/>
          <w:color w:val="auto"/>
        </w:rPr>
        <w:t xml:space="preserve"> </w:t>
      </w:r>
      <w:r>
        <w:rPr>
          <w:rFonts w:ascii="Arial" w:cs="Arial" w:eastAsia="Arial" w:hAnsi="Arial"/>
          <w:sz w:val="17"/>
          <w:szCs w:val="17"/>
          <w:color w:val="auto"/>
        </w:rPr>
        <w:t>the YRT Recapture and a higher volume of low severity claims below our reinsurance retention limits was mostly offset by lower direct claims.</w:t>
      </w:r>
    </w:p>
    <w:p>
      <w:pPr>
        <w:spacing w:after="0" w:line="38"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i w:val="1"/>
          <w:iCs w:val="1"/>
          <w:color w:val="auto"/>
        </w:rPr>
        <w:t xml:space="preserve">Amortization of DAC and VOBA. </w:t>
      </w:r>
      <w:r>
        <w:rPr>
          <w:rFonts w:ascii="Arial" w:cs="Arial" w:eastAsia="Arial" w:hAnsi="Arial"/>
          <w:sz w:val="17"/>
          <w:szCs w:val="17"/>
          <w:color w:val="auto"/>
        </w:rPr>
        <w:t>Higher amortization of DAC and VOBA decreased operating earnings (loss) by $64 million, primarily due to the</w:t>
      </w:r>
      <w:r>
        <w:rPr>
          <w:rFonts w:ascii="Arial" w:cs="Arial" w:eastAsia="Arial" w:hAnsi="Arial"/>
          <w:sz w:val="17"/>
          <w:szCs w:val="17"/>
          <w:i w:val="1"/>
          <w:iCs w:val="1"/>
          <w:color w:val="auto"/>
        </w:rPr>
        <w:t xml:space="preserve"> </w:t>
      </w:r>
      <w:r>
        <w:rPr>
          <w:rFonts w:ascii="Arial" w:cs="Arial" w:eastAsia="Arial" w:hAnsi="Arial"/>
          <w:sz w:val="17"/>
          <w:szCs w:val="17"/>
          <w:color w:val="auto"/>
        </w:rPr>
        <w:t>impact from changes in assumptions regarding mortality and maintenance expenses in connection with the annual actuarial assumption review. Excluding the impact of the annual actuarial assumption review, amortization of DAC and VOBA decreased operating earnings (loss) by $6 million.</w:t>
      </w:r>
    </w:p>
    <w:p>
      <w:pPr>
        <w:spacing w:after="0" w:line="5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i w:val="1"/>
          <w:iCs w:val="1"/>
          <w:color w:val="auto"/>
        </w:rPr>
        <w:t xml:space="preserve">Actuarial Assumption Review. </w:t>
      </w:r>
      <w:r>
        <w:rPr>
          <w:rFonts w:ascii="Arial" w:cs="Arial" w:eastAsia="Arial" w:hAnsi="Arial"/>
          <w:sz w:val="18"/>
          <w:szCs w:val="18"/>
          <w:color w:val="auto"/>
        </w:rPr>
        <w:t>The results of the annual actuarial assumption review, which are included in the amounts discussed above, decreased</w:t>
      </w:r>
      <w:r>
        <w:rPr>
          <w:rFonts w:ascii="Arial" w:cs="Arial" w:eastAsia="Arial" w:hAnsi="Arial"/>
          <w:sz w:val="18"/>
          <w:szCs w:val="18"/>
          <w:i w:val="1"/>
          <w:iCs w:val="1"/>
          <w:color w:val="auto"/>
        </w:rPr>
        <w:t xml:space="preserve"> </w:t>
      </w:r>
      <w:r>
        <w:rPr>
          <w:rFonts w:ascii="Arial" w:cs="Arial" w:eastAsia="Arial" w:hAnsi="Arial"/>
          <w:sz w:val="18"/>
          <w:szCs w:val="18"/>
          <w:color w:val="auto"/>
        </w:rPr>
        <w:t>operating earnings (loss) by $20 million, when compared to the prior period, due to:</w:t>
      </w:r>
    </w:p>
    <w:p>
      <w:pPr>
        <w:spacing w:after="0" w:line="62" w:lineRule="exact"/>
        <w:rPr>
          <w:sz w:val="20"/>
          <w:szCs w:val="20"/>
          <w:color w:val="auto"/>
        </w:rPr>
      </w:pPr>
    </w:p>
    <w:p>
      <w:pPr>
        <w:ind w:left="980" w:right="20" w:hanging="324"/>
        <w:spacing w:after="0" w:line="277" w:lineRule="auto"/>
        <w:tabs>
          <w:tab w:leader="none" w:pos="9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higher DAC amortization of $58 million mostly driven by changes in mortality and maintenance expense assumptions and, to a lesser extent, projected premiums and separate account growth rates; partially offset by</w:t>
      </w:r>
    </w:p>
    <w:p>
      <w:pPr>
        <w:spacing w:after="0" w:line="62" w:lineRule="exact"/>
        <w:rPr>
          <w:rFonts w:ascii="Arial" w:cs="Arial" w:eastAsia="Arial" w:hAnsi="Arial"/>
          <w:sz w:val="18"/>
          <w:szCs w:val="18"/>
          <w:color w:val="auto"/>
        </w:rPr>
      </w:pPr>
    </w:p>
    <w:p>
      <w:pPr>
        <w:ind w:left="980" w:hanging="324"/>
        <w:spacing w:after="0"/>
        <w:tabs>
          <w:tab w:leader="none" w:pos="9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higher fee income of $40 million due to changes in mortality and maintenance expense assumptions.</w:t>
      </w:r>
    </w:p>
    <w:p>
      <w:pPr>
        <w:spacing w:after="0" w:line="117"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i w:val="1"/>
          <w:iCs w:val="1"/>
          <w:color w:val="auto"/>
        </w:rPr>
        <w:t xml:space="preserve">Income Tax Expense (Benefit). </w:t>
      </w:r>
      <w:r>
        <w:rPr>
          <w:rFonts w:ascii="Arial" w:cs="Arial" w:eastAsia="Arial" w:hAnsi="Arial"/>
          <w:sz w:val="16"/>
          <w:szCs w:val="16"/>
          <w:color w:val="auto"/>
        </w:rPr>
        <w:t>Income tax benefit for the three months ended September 30, 2017 was $14 million, or 175% of operating earnings (loss)</w:t>
      </w:r>
      <w:r>
        <w:rPr>
          <w:rFonts w:ascii="Arial" w:cs="Arial" w:eastAsia="Arial" w:hAnsi="Arial"/>
          <w:sz w:val="16"/>
          <w:szCs w:val="16"/>
          <w:i w:val="1"/>
          <w:iCs w:val="1"/>
          <w:color w:val="auto"/>
        </w:rPr>
        <w:t xml:space="preserve"> </w:t>
      </w:r>
      <w:r>
        <w:rPr>
          <w:rFonts w:ascii="Arial" w:cs="Arial" w:eastAsia="Arial" w:hAnsi="Arial"/>
          <w:sz w:val="16"/>
          <w:szCs w:val="16"/>
          <w:color w:val="auto"/>
        </w:rPr>
        <w:t>before provision for income tax, compared to tax expense of $16 million, or 38% of operating earnings (loss) before provision for income tax, for the three months ended September 30, 2016. Our effective tax rates in both periods differ from the U.S. statutory rate of 35% primarily due to the impacts of the dividend received deductions. In the current period, we recognized an additional benefit related to true-ups for the dividend received deductions.</w:t>
      </w: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420"/>
          </w:cols>
          <w:pgMar w:left="240" w:top="126" w:right="239" w:bottom="1440" w:gutter="0" w:footer="0" w:header="0"/>
        </w:sectPr>
      </w:pPr>
    </w:p>
    <w:bookmarkStart w:id="99" w:name="page100"/>
    <w:bookmarkEnd w:id="99"/>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Nine Months Ended September 30, 2017 Compared with the Nine Months Ended September 30, 2016</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Unless otherwise noted, all amounts in the following discussion are net of income tax.</w:t>
      </w:r>
    </w:p>
    <w:p>
      <w:pPr>
        <w:spacing w:after="0" w:line="117"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i w:val="1"/>
          <w:iCs w:val="1"/>
          <w:color w:val="auto"/>
        </w:rPr>
        <w:t>Overview</w:t>
      </w:r>
      <w:r>
        <w:rPr>
          <w:rFonts w:ascii="Arial" w:cs="Arial" w:eastAsia="Arial" w:hAnsi="Arial"/>
          <w:sz w:val="18"/>
          <w:szCs w:val="18"/>
          <w:color w:val="auto"/>
        </w:rPr>
        <w:t>. Operating earnings (loss) decreased $39 million, primarily due to higher amortization of DAC and VOBA and higher claims expense, partially</w:t>
      </w:r>
      <w:r>
        <w:rPr>
          <w:rFonts w:ascii="Arial" w:cs="Arial" w:eastAsia="Arial" w:hAnsi="Arial"/>
          <w:sz w:val="18"/>
          <w:szCs w:val="18"/>
          <w:i w:val="1"/>
          <w:iCs w:val="1"/>
          <w:color w:val="auto"/>
        </w:rPr>
        <w:t xml:space="preserve"> </w:t>
      </w:r>
      <w:r>
        <w:rPr>
          <w:rFonts w:ascii="Arial" w:cs="Arial" w:eastAsia="Arial" w:hAnsi="Arial"/>
          <w:sz w:val="18"/>
          <w:szCs w:val="18"/>
          <w:color w:val="auto"/>
        </w:rPr>
        <w:t>offset by higher fee income.</w:t>
      </w:r>
    </w:p>
    <w:p>
      <w:pPr>
        <w:spacing w:after="0" w:line="62"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i w:val="1"/>
          <w:iCs w:val="1"/>
          <w:color w:val="auto"/>
        </w:rPr>
        <w:t>Fee Income</w:t>
      </w:r>
      <w:r>
        <w:rPr>
          <w:rFonts w:ascii="Arial" w:cs="Arial" w:eastAsia="Arial" w:hAnsi="Arial"/>
          <w:sz w:val="18"/>
          <w:szCs w:val="18"/>
          <w:color w:val="auto"/>
        </w:rPr>
        <w:t>. Higher fee income increased operating earnings (loss) by $44 million, primarily from changes to assumptions regarding mortality and</w:t>
      </w:r>
      <w:r>
        <w:rPr>
          <w:rFonts w:ascii="Arial" w:cs="Arial" w:eastAsia="Arial" w:hAnsi="Arial"/>
          <w:sz w:val="18"/>
          <w:szCs w:val="18"/>
          <w:i w:val="1"/>
          <w:iCs w:val="1"/>
          <w:color w:val="auto"/>
        </w:rPr>
        <w:t xml:space="preserve"> </w:t>
      </w:r>
      <w:r>
        <w:rPr>
          <w:rFonts w:ascii="Arial" w:cs="Arial" w:eastAsia="Arial" w:hAnsi="Arial"/>
          <w:sz w:val="18"/>
          <w:szCs w:val="18"/>
          <w:color w:val="auto"/>
        </w:rPr>
        <w:t>maintenance expenses in connection with the annual actuarial assumption review. Excluding the impact of the annual actuarial assumption review, fee income was largely unchanged.</w:t>
      </w:r>
    </w:p>
    <w:p>
      <w:pPr>
        <w:spacing w:after="0" w:line="73"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i w:val="1"/>
          <w:iCs w:val="1"/>
          <w:color w:val="auto"/>
        </w:rPr>
        <w:t xml:space="preserve">Net Investment Spread. </w:t>
      </w:r>
      <w:r>
        <w:rPr>
          <w:rFonts w:ascii="Arial" w:cs="Arial" w:eastAsia="Arial" w:hAnsi="Arial"/>
          <w:sz w:val="18"/>
          <w:szCs w:val="18"/>
          <w:color w:val="auto"/>
        </w:rPr>
        <w:t>Lower net investment spread decreased operating earnings (loss) by $16 million, primarily due to a decrease in net investment</w:t>
      </w:r>
      <w:r>
        <w:rPr>
          <w:rFonts w:ascii="Arial" w:cs="Arial" w:eastAsia="Arial" w:hAnsi="Arial"/>
          <w:sz w:val="18"/>
          <w:szCs w:val="18"/>
          <w:i w:val="1"/>
          <w:iCs w:val="1"/>
          <w:color w:val="auto"/>
        </w:rPr>
        <w:t xml:space="preserve"> </w:t>
      </w:r>
      <w:r>
        <w:rPr>
          <w:rFonts w:ascii="Arial" w:cs="Arial" w:eastAsia="Arial" w:hAnsi="Arial"/>
          <w:sz w:val="18"/>
          <w:szCs w:val="18"/>
          <w:color w:val="auto"/>
        </w:rPr>
        <w:t>income, which was partially offset by lower interest credited to policyholders. The decrease in net investment income resulted primarily from lower interest on allocated equity due to a decrease in both the interest credited rate and the allocated equity base, and lower investment yields on our fixed maturity securities, as proceeds from maturing investments were invested at lower yields than the portfolio average. Interest credited to policyholders decreased due to lower imputed interest on insurance liabilities as a result of the recapture, by MLIC, in the fourth quarter of 2016 of an assumed reinsurance agreement covering participating whole life business, partially offset by higher interest credited on higher average policyholder account balances resulting from the positive net flows.</w:t>
      </w:r>
    </w:p>
    <w:p>
      <w:pPr>
        <w:spacing w:after="0" w:line="81"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i w:val="1"/>
          <w:iCs w:val="1"/>
          <w:color w:val="auto"/>
        </w:rPr>
        <w:t xml:space="preserve">Insurance-Related Activities. </w:t>
      </w:r>
      <w:r>
        <w:rPr>
          <w:rFonts w:ascii="Arial" w:cs="Arial" w:eastAsia="Arial" w:hAnsi="Arial"/>
          <w:sz w:val="18"/>
          <w:szCs w:val="18"/>
          <w:color w:val="auto"/>
        </w:rPr>
        <w:t>Higher policyholder benefits and claims decreased operating earnings (loss) by $42 million, primarily due to lower ceded</w:t>
      </w:r>
      <w:r>
        <w:rPr>
          <w:rFonts w:ascii="Arial" w:cs="Arial" w:eastAsia="Arial" w:hAnsi="Arial"/>
          <w:sz w:val="18"/>
          <w:szCs w:val="18"/>
          <w:i w:val="1"/>
          <w:iCs w:val="1"/>
          <w:color w:val="auto"/>
        </w:rPr>
        <w:t xml:space="preserve"> </w:t>
      </w:r>
      <w:r>
        <w:rPr>
          <w:rFonts w:ascii="Arial" w:cs="Arial" w:eastAsia="Arial" w:hAnsi="Arial"/>
          <w:sz w:val="18"/>
          <w:szCs w:val="18"/>
          <w:color w:val="auto"/>
        </w:rPr>
        <w:t>claim recoveries resulting from the current period YRT Recapture and a higher volume of low severity claims below our reinsurance retention limits, which more than offset the impact of lower direct claims.</w:t>
      </w:r>
    </w:p>
    <w:p>
      <w:pPr>
        <w:spacing w:after="0" w:line="73"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i w:val="1"/>
          <w:iCs w:val="1"/>
          <w:color w:val="auto"/>
        </w:rPr>
        <w:t xml:space="preserve">Amortization of DAC and VOBA. </w:t>
      </w:r>
      <w:r>
        <w:rPr>
          <w:rFonts w:ascii="Arial" w:cs="Arial" w:eastAsia="Arial" w:hAnsi="Arial"/>
          <w:sz w:val="18"/>
          <w:szCs w:val="18"/>
          <w:color w:val="auto"/>
        </w:rPr>
        <w:t>Higher amortization of DAC and VOBA decreased operating earnings (loss) by $45 million, primarily due to the</w:t>
      </w:r>
      <w:r>
        <w:rPr>
          <w:rFonts w:ascii="Arial" w:cs="Arial" w:eastAsia="Arial" w:hAnsi="Arial"/>
          <w:sz w:val="18"/>
          <w:szCs w:val="18"/>
          <w:i w:val="1"/>
          <w:iCs w:val="1"/>
          <w:color w:val="auto"/>
        </w:rPr>
        <w:t xml:space="preserve"> </w:t>
      </w:r>
      <w:r>
        <w:rPr>
          <w:rFonts w:ascii="Arial" w:cs="Arial" w:eastAsia="Arial" w:hAnsi="Arial"/>
          <w:sz w:val="18"/>
          <w:szCs w:val="18"/>
          <w:color w:val="auto"/>
        </w:rPr>
        <w:t>impact from changes in assumptions regarding mortality and maintenance expenses in connection with the annual actuarial assumption review, partially offset by the impact on gross profits from higher mortality losses in the current period. Excluding the impact of the annual actuarial assumption review, amortization of DAC and VOBA increased operating earnings (loss) by $14 million.</w:t>
      </w:r>
    </w:p>
    <w:p>
      <w:pPr>
        <w:spacing w:after="0" w:line="7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i w:val="1"/>
          <w:iCs w:val="1"/>
          <w:color w:val="auto"/>
        </w:rPr>
        <w:t xml:space="preserve">Actuarial Assumption Review. </w:t>
      </w:r>
      <w:r>
        <w:rPr>
          <w:rFonts w:ascii="Arial" w:cs="Arial" w:eastAsia="Arial" w:hAnsi="Arial"/>
          <w:sz w:val="18"/>
          <w:szCs w:val="18"/>
          <w:color w:val="auto"/>
        </w:rPr>
        <w:t>The results of the annual actuarial assumption review, which are included in the amounts discussed above, decreased</w:t>
      </w:r>
      <w:r>
        <w:rPr>
          <w:rFonts w:ascii="Arial" w:cs="Arial" w:eastAsia="Arial" w:hAnsi="Arial"/>
          <w:sz w:val="18"/>
          <w:szCs w:val="18"/>
          <w:i w:val="1"/>
          <w:iCs w:val="1"/>
          <w:color w:val="auto"/>
        </w:rPr>
        <w:t xml:space="preserve"> </w:t>
      </w:r>
      <w:r>
        <w:rPr>
          <w:rFonts w:ascii="Arial" w:cs="Arial" w:eastAsia="Arial" w:hAnsi="Arial"/>
          <w:sz w:val="18"/>
          <w:szCs w:val="18"/>
          <w:color w:val="auto"/>
        </w:rPr>
        <w:t>operating earnings (loss) by $18 million, when compared to the prior period, due to:</w:t>
      </w:r>
    </w:p>
    <w:p>
      <w:pPr>
        <w:spacing w:after="0" w:line="62" w:lineRule="exact"/>
        <w:rPr>
          <w:sz w:val="20"/>
          <w:szCs w:val="20"/>
          <w:color w:val="auto"/>
        </w:rPr>
      </w:pPr>
    </w:p>
    <w:p>
      <w:pPr>
        <w:ind w:left="980" w:right="20" w:hanging="324"/>
        <w:spacing w:after="0" w:line="277" w:lineRule="auto"/>
        <w:tabs>
          <w:tab w:leader="none" w:pos="9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higher DAC amortization of $59 million mostly driven by changes in mortality and maintenance expense assumptions and, to a lesser extent, projected premiums and separate account growth rates; partially offset by</w:t>
      </w:r>
    </w:p>
    <w:p>
      <w:pPr>
        <w:spacing w:after="0" w:line="62" w:lineRule="exact"/>
        <w:rPr>
          <w:rFonts w:ascii="Arial" w:cs="Arial" w:eastAsia="Arial" w:hAnsi="Arial"/>
          <w:sz w:val="18"/>
          <w:szCs w:val="18"/>
          <w:color w:val="auto"/>
        </w:rPr>
      </w:pPr>
    </w:p>
    <w:p>
      <w:pPr>
        <w:ind w:left="980" w:hanging="324"/>
        <w:spacing w:after="0"/>
        <w:tabs>
          <w:tab w:leader="none" w:pos="9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higher fee income of $42 million due to changes in mortality and maintenance expense assumptions.</w:t>
      </w:r>
    </w:p>
    <w:p>
      <w:pPr>
        <w:spacing w:after="0" w:line="117"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i w:val="1"/>
          <w:iCs w:val="1"/>
          <w:color w:val="auto"/>
        </w:rPr>
        <w:t xml:space="preserve">Income Tax Expense (Benefit). </w:t>
      </w:r>
      <w:r>
        <w:rPr>
          <w:rFonts w:ascii="Arial" w:cs="Arial" w:eastAsia="Arial" w:hAnsi="Arial"/>
          <w:sz w:val="18"/>
          <w:szCs w:val="18"/>
          <w:color w:val="auto"/>
        </w:rPr>
        <w:t>Despite no reported operating earnings (loss) before provision for income tax, income tax benefit for the nine months</w:t>
      </w:r>
      <w:r>
        <w:rPr>
          <w:rFonts w:ascii="Arial" w:cs="Arial" w:eastAsia="Arial" w:hAnsi="Arial"/>
          <w:sz w:val="18"/>
          <w:szCs w:val="18"/>
          <w:i w:val="1"/>
          <w:iCs w:val="1"/>
          <w:color w:val="auto"/>
        </w:rPr>
        <w:t xml:space="preserve"> </w:t>
      </w:r>
      <w:r>
        <w:rPr>
          <w:rFonts w:ascii="Arial" w:cs="Arial" w:eastAsia="Arial" w:hAnsi="Arial"/>
          <w:sz w:val="18"/>
          <w:szCs w:val="18"/>
          <w:color w:val="auto"/>
        </w:rPr>
        <w:t>ended September 30, 2017 was $11 million, compared to income tax expense of $18 million, or 26% of operating earnings (loss) before provision for income tax, for the nine months ended September 30, 2016. Our effective tax rates in both periods differ from the U.S. statutory rate of 35% primarily due to the impacts of the dividend received deductions. In the current period, we recognized an additional benefit related to true-ups for the dividend received deductions.</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420"/>
          </w:cols>
          <w:pgMar w:left="240" w:top="126" w:right="239" w:bottom="1440" w:gutter="0" w:footer="0" w:header="0"/>
        </w:sectPr>
      </w:pPr>
    </w:p>
    <w:bookmarkStart w:id="100" w:name="page101"/>
    <w:bookmarkEnd w:id="100"/>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Run-off</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2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340" w:type="dxa"/>
            <w:vAlign w:val="bottom"/>
            <w:gridSpan w:val="3"/>
          </w:tcPr>
          <w:p>
            <w:pPr>
              <w:jc w:val="center"/>
              <w:ind w:right="233"/>
              <w:spacing w:after="0"/>
              <w:rPr>
                <w:sz w:val="20"/>
                <w:szCs w:val="20"/>
                <w:color w:val="auto"/>
              </w:rPr>
            </w:pPr>
            <w:r>
              <w:rPr>
                <w:rFonts w:ascii="Arial" w:cs="Arial" w:eastAsia="Arial" w:hAnsi="Arial"/>
                <w:sz w:val="16"/>
                <w:szCs w:val="16"/>
                <w:b w:val="1"/>
                <w:bCs w:val="1"/>
                <w:color w:val="auto"/>
                <w:w w:val="93"/>
              </w:rPr>
              <w:t>Three Months</w:t>
            </w: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0" w:type="dxa"/>
            <w:vAlign w:val="bottom"/>
            <w:gridSpan w:val="3"/>
          </w:tcPr>
          <w:p>
            <w:pPr>
              <w:jc w:val="center"/>
              <w:spacing w:after="0"/>
              <w:rPr>
                <w:sz w:val="20"/>
                <w:szCs w:val="20"/>
                <w:color w:val="auto"/>
              </w:rPr>
            </w:pPr>
            <w:r>
              <w:rPr>
                <w:rFonts w:ascii="Arial" w:cs="Arial" w:eastAsia="Arial" w:hAnsi="Arial"/>
                <w:sz w:val="16"/>
                <w:szCs w:val="16"/>
                <w:b w:val="1"/>
                <w:bCs w:val="1"/>
                <w:color w:val="auto"/>
                <w:w w:val="93"/>
              </w:rPr>
              <w:t>Nine Months</w:t>
            </w: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2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340" w:type="dxa"/>
            <w:vAlign w:val="bottom"/>
            <w:gridSpan w:val="3"/>
          </w:tcPr>
          <w:p>
            <w:pPr>
              <w:jc w:val="center"/>
              <w:ind w:right="273"/>
              <w:spacing w:after="0"/>
              <w:rPr>
                <w:sz w:val="20"/>
                <w:szCs w:val="20"/>
                <w:color w:val="auto"/>
              </w:rPr>
            </w:pPr>
            <w:r>
              <w:rPr>
                <w:rFonts w:ascii="Arial" w:cs="Arial" w:eastAsia="Arial" w:hAnsi="Arial"/>
                <w:sz w:val="16"/>
                <w:szCs w:val="16"/>
                <w:b w:val="1"/>
                <w:bCs w:val="1"/>
                <w:color w:val="auto"/>
                <w:w w:val="93"/>
              </w:rPr>
              <w:t>Ended</w:t>
            </w: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0" w:type="dxa"/>
            <w:vAlign w:val="bottom"/>
            <w:gridSpan w:val="3"/>
          </w:tcPr>
          <w:p>
            <w:pPr>
              <w:jc w:val="center"/>
              <w:spacing w:after="0"/>
              <w:rPr>
                <w:sz w:val="20"/>
                <w:szCs w:val="20"/>
                <w:color w:val="auto"/>
              </w:rPr>
            </w:pPr>
            <w:r>
              <w:rPr>
                <w:rFonts w:ascii="Arial" w:cs="Arial" w:eastAsia="Arial" w:hAnsi="Arial"/>
                <w:sz w:val="16"/>
                <w:szCs w:val="16"/>
                <w:b w:val="1"/>
                <w:bCs w:val="1"/>
                <w:color w:val="auto"/>
                <w:w w:val="93"/>
              </w:rPr>
              <w:t>Ended</w:t>
            </w: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340" w:type="dxa"/>
            <w:vAlign w:val="bottom"/>
            <w:gridSpan w:val="3"/>
          </w:tcPr>
          <w:p>
            <w:pPr>
              <w:jc w:val="center"/>
              <w:ind w:right="233"/>
              <w:spacing w:after="0"/>
              <w:rPr>
                <w:sz w:val="20"/>
                <w:szCs w:val="20"/>
                <w:color w:val="auto"/>
              </w:rPr>
            </w:pPr>
            <w:r>
              <w:rPr>
                <w:rFonts w:ascii="Arial" w:cs="Arial" w:eastAsia="Arial" w:hAnsi="Arial"/>
                <w:sz w:val="16"/>
                <w:szCs w:val="16"/>
                <w:b w:val="1"/>
                <w:bCs w:val="1"/>
                <w:color w:val="auto"/>
                <w:w w:val="89"/>
              </w:rPr>
              <w:t>September 30,</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0" w:type="dxa"/>
            <w:vAlign w:val="bottom"/>
            <w:gridSpan w:val="3"/>
          </w:tcPr>
          <w:p>
            <w:pPr>
              <w:jc w:val="center"/>
              <w:spacing w:after="0"/>
              <w:rPr>
                <w:sz w:val="20"/>
                <w:szCs w:val="20"/>
                <w:color w:val="auto"/>
              </w:rPr>
            </w:pPr>
            <w:r>
              <w:rPr>
                <w:rFonts w:ascii="Arial" w:cs="Arial" w:eastAsia="Arial" w:hAnsi="Arial"/>
                <w:sz w:val="16"/>
                <w:szCs w:val="16"/>
                <w:b w:val="1"/>
                <w:bCs w:val="1"/>
                <w:color w:val="auto"/>
                <w:w w:val="89"/>
              </w:rPr>
              <w:t>September 30,</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600" w:type="dxa"/>
            <w:vAlign w:val="bottom"/>
          </w:tcPr>
          <w:p>
            <w:pPr>
              <w:spacing w:after="0"/>
              <w:rPr>
                <w:sz w:val="2"/>
                <w:szCs w:val="2"/>
                <w:color w:val="auto"/>
              </w:rPr>
            </w:pPr>
          </w:p>
        </w:tc>
        <w:tc>
          <w:tcPr>
            <w:tcW w:w="326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2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b w:val="1"/>
                <w:bCs w:val="1"/>
                <w:color w:val="auto"/>
              </w:rPr>
              <w:t>2017</w:t>
            </w: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b w:val="1"/>
                <w:bCs w:val="1"/>
                <w:color w:val="auto"/>
              </w:rPr>
              <w:t>2016</w:t>
            </w: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b w:val="1"/>
                <w:bCs w:val="1"/>
                <w:color w:val="auto"/>
              </w:rPr>
              <w:t>2017</w:t>
            </w: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00" w:type="dxa"/>
            <w:vAlign w:val="bottom"/>
          </w:tcPr>
          <w:p>
            <w:pPr>
              <w:jc w:val="right"/>
              <w:ind w:right="371"/>
              <w:spacing w:after="0"/>
              <w:rPr>
                <w:sz w:val="20"/>
                <w:szCs w:val="20"/>
                <w:color w:val="auto"/>
              </w:rPr>
            </w:pPr>
            <w:r>
              <w:rPr>
                <w:rFonts w:ascii="Arial" w:cs="Arial" w:eastAsia="Arial" w:hAnsi="Arial"/>
                <w:sz w:val="16"/>
                <w:szCs w:val="16"/>
                <w:b w:val="1"/>
                <w:bCs w:val="1"/>
                <w:color w:val="auto"/>
                <w:w w:val="89"/>
              </w:rPr>
              <w:t>2016</w:t>
            </w: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600" w:type="dxa"/>
            <w:vAlign w:val="bottom"/>
            <w:vMerge w:val="restart"/>
          </w:tcPr>
          <w:p>
            <w:pPr>
              <w:spacing w:after="0"/>
              <w:rPr>
                <w:sz w:val="20"/>
                <w:szCs w:val="20"/>
                <w:color w:val="auto"/>
              </w:rPr>
            </w:pPr>
            <w:r>
              <w:rPr>
                <w:rFonts w:ascii="Arial" w:cs="Arial" w:eastAsia="Arial" w:hAnsi="Arial"/>
                <w:sz w:val="18"/>
                <w:szCs w:val="18"/>
                <w:b w:val="1"/>
                <w:bCs w:val="1"/>
                <w:color w:val="auto"/>
                <w:w w:val="90"/>
              </w:rPr>
              <w:t>Run-off</w:t>
            </w:r>
          </w:p>
        </w:tc>
        <w:tc>
          <w:tcPr>
            <w:tcW w:w="326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3"/>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8"/>
        </w:trPr>
        <w:tc>
          <w:tcPr>
            <w:tcW w:w="40" w:type="dxa"/>
            <w:vAlign w:val="bottom"/>
          </w:tcPr>
          <w:p>
            <w:pPr>
              <w:spacing w:after="0"/>
              <w:rPr>
                <w:sz w:val="15"/>
                <w:szCs w:val="15"/>
                <w:color w:val="auto"/>
              </w:rPr>
            </w:pPr>
          </w:p>
        </w:tc>
        <w:tc>
          <w:tcPr>
            <w:tcW w:w="600" w:type="dxa"/>
            <w:vAlign w:val="bottom"/>
            <w:tcBorders>
              <w:bottom w:val="single" w:sz="8" w:color="auto"/>
            </w:tcBorders>
            <w:vMerge w:val="continue"/>
          </w:tcPr>
          <w:p>
            <w:pPr>
              <w:spacing w:after="0"/>
              <w:rPr>
                <w:sz w:val="15"/>
                <w:szCs w:val="15"/>
                <w:color w:val="auto"/>
              </w:rPr>
            </w:pPr>
          </w:p>
        </w:tc>
        <w:tc>
          <w:tcPr>
            <w:tcW w:w="32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360" w:type="dxa"/>
            <w:vAlign w:val="bottom"/>
            <w:gridSpan w:val="3"/>
          </w:tcPr>
          <w:p>
            <w:pPr>
              <w:jc w:val="right"/>
              <w:ind w:right="373"/>
              <w:spacing w:after="0"/>
              <w:rPr>
                <w:sz w:val="20"/>
                <w:szCs w:val="20"/>
                <w:color w:val="auto"/>
              </w:rPr>
            </w:pPr>
            <w:r>
              <w:rPr>
                <w:rFonts w:ascii="Arial" w:cs="Arial" w:eastAsia="Arial" w:hAnsi="Arial"/>
                <w:sz w:val="14"/>
                <w:szCs w:val="14"/>
                <w:b w:val="1"/>
                <w:bCs w:val="1"/>
                <w:color w:val="auto"/>
              </w:rPr>
              <w:t>(In millions)</w:t>
            </w: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600" w:type="dxa"/>
            <w:vAlign w:val="bottom"/>
          </w:tcPr>
          <w:p>
            <w:pPr>
              <w:spacing w:after="0"/>
              <w:rPr>
                <w:sz w:val="4"/>
                <w:szCs w:val="4"/>
                <w:color w:val="auto"/>
              </w:rPr>
            </w:pPr>
          </w:p>
        </w:tc>
        <w:tc>
          <w:tcPr>
            <w:tcW w:w="3260" w:type="dxa"/>
            <w:vAlign w:val="bottom"/>
          </w:tcPr>
          <w:p>
            <w:pPr>
              <w:spacing w:after="0"/>
              <w:rPr>
                <w:sz w:val="4"/>
                <w:szCs w:val="4"/>
                <w:color w:val="auto"/>
              </w:rPr>
            </w:pPr>
          </w:p>
        </w:tc>
        <w:tc>
          <w:tcPr>
            <w:tcW w:w="800" w:type="dxa"/>
            <w:vAlign w:val="bottom"/>
          </w:tcPr>
          <w:p>
            <w:pPr>
              <w:spacing w:after="0"/>
              <w:rPr>
                <w:sz w:val="4"/>
                <w:szCs w:val="4"/>
                <w:color w:val="auto"/>
              </w:rPr>
            </w:pPr>
          </w:p>
        </w:tc>
        <w:tc>
          <w:tcPr>
            <w:tcW w:w="44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0" w:type="dxa"/>
            <w:vAlign w:val="bottom"/>
          </w:tcPr>
          <w:p>
            <w:pPr>
              <w:spacing w:after="0"/>
              <w:rPr>
                <w:sz w:val="4"/>
                <w:szCs w:val="4"/>
                <w:color w:val="auto"/>
              </w:rPr>
            </w:pPr>
          </w:p>
        </w:tc>
        <w:tc>
          <w:tcPr>
            <w:tcW w:w="46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0" w:type="dxa"/>
            <w:vAlign w:val="bottom"/>
          </w:tcPr>
          <w:p>
            <w:pPr>
              <w:spacing w:after="0"/>
              <w:rPr>
                <w:sz w:val="4"/>
                <w:szCs w:val="4"/>
                <w:color w:val="auto"/>
              </w:rPr>
            </w:pPr>
          </w:p>
        </w:tc>
        <w:tc>
          <w:tcPr>
            <w:tcW w:w="440" w:type="dxa"/>
            <w:vAlign w:val="bottom"/>
          </w:tcPr>
          <w:p>
            <w:pPr>
              <w:spacing w:after="0"/>
              <w:rPr>
                <w:sz w:val="4"/>
                <w:szCs w:val="4"/>
                <w:color w:val="auto"/>
              </w:rPr>
            </w:pPr>
          </w:p>
        </w:tc>
        <w:tc>
          <w:tcPr>
            <w:tcW w:w="100" w:type="dxa"/>
            <w:vAlign w:val="bottom"/>
          </w:tcPr>
          <w:p>
            <w:pPr>
              <w:spacing w:after="0"/>
              <w:rPr>
                <w:sz w:val="4"/>
                <w:szCs w:val="4"/>
                <w:color w:val="auto"/>
              </w:rPr>
            </w:pPr>
          </w:p>
        </w:tc>
        <w:tc>
          <w:tcPr>
            <w:tcW w:w="460" w:type="dxa"/>
            <w:vAlign w:val="bottom"/>
          </w:tcPr>
          <w:p>
            <w:pPr>
              <w:spacing w:after="0"/>
              <w:rPr>
                <w:sz w:val="4"/>
                <w:szCs w:val="4"/>
                <w:color w:val="auto"/>
              </w:rPr>
            </w:pPr>
          </w:p>
        </w:tc>
        <w:tc>
          <w:tcPr>
            <w:tcW w:w="8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39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Fee income</w:t>
            </w:r>
          </w:p>
        </w:tc>
        <w:tc>
          <w:tcPr>
            <w:tcW w:w="800" w:type="dxa"/>
            <w:vAlign w:val="bottom"/>
            <w:tcBorders>
              <w:bottom w:val="single" w:sz="8" w:color="CCEEFF"/>
            </w:tcBorders>
            <w:shd w:val="clear" w:color="auto" w:fill="CCEEFF"/>
          </w:tcPr>
          <w:p>
            <w:pPr>
              <w:jc w:val="right"/>
              <w:ind w:right="593"/>
              <w:spacing w:after="0"/>
              <w:rPr>
                <w:sz w:val="20"/>
                <w:szCs w:val="20"/>
                <w:color w:val="auto"/>
              </w:rPr>
            </w:pPr>
            <w:r>
              <w:rPr>
                <w:rFonts w:ascii="Arial" w:cs="Arial" w:eastAsia="Arial" w:hAnsi="Arial"/>
                <w:sz w:val="18"/>
                <w:szCs w:val="18"/>
                <w:color w:val="auto"/>
                <w:w w:val="99"/>
              </w:rPr>
              <w:t>$</w:t>
            </w:r>
          </w:p>
        </w:tc>
        <w:tc>
          <w:tcPr>
            <w:tcW w:w="4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199</w:t>
            </w:r>
          </w:p>
        </w:tc>
        <w:tc>
          <w:tcPr>
            <w:tcW w:w="1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593"/>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184</w:t>
            </w:r>
          </w:p>
        </w:tc>
        <w:tc>
          <w:tcPr>
            <w:tcW w:w="1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593"/>
              <w:spacing w:after="0"/>
              <w:rPr>
                <w:sz w:val="20"/>
                <w:szCs w:val="20"/>
                <w:color w:val="auto"/>
              </w:rPr>
            </w:pPr>
            <w:r>
              <w:rPr>
                <w:rFonts w:ascii="Arial" w:cs="Arial" w:eastAsia="Arial" w:hAnsi="Arial"/>
                <w:sz w:val="18"/>
                <w:szCs w:val="18"/>
                <w:color w:val="auto"/>
                <w:w w:val="99"/>
              </w:rPr>
              <w:t>$</w:t>
            </w:r>
          </w:p>
        </w:tc>
        <w:tc>
          <w:tcPr>
            <w:tcW w:w="4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571</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519</w:t>
            </w:r>
          </w:p>
        </w:tc>
        <w:tc>
          <w:tcPr>
            <w:tcW w:w="0" w:type="dxa"/>
            <w:vAlign w:val="bottom"/>
          </w:tcPr>
          <w:p>
            <w:pPr>
              <w:spacing w:after="0"/>
              <w:rPr>
                <w:sz w:val="1"/>
                <w:szCs w:val="1"/>
                <w:color w:val="auto"/>
              </w:rPr>
            </w:pPr>
          </w:p>
        </w:tc>
      </w:tr>
      <w:tr>
        <w:trPr>
          <w:trHeight w:val="243"/>
        </w:trPr>
        <w:tc>
          <w:tcPr>
            <w:tcW w:w="3900" w:type="dxa"/>
            <w:vAlign w:val="bottom"/>
            <w:gridSpan w:val="3"/>
          </w:tcPr>
          <w:p>
            <w:pPr>
              <w:ind w:left="40"/>
              <w:spacing w:after="0"/>
              <w:rPr>
                <w:sz w:val="20"/>
                <w:szCs w:val="20"/>
                <w:color w:val="auto"/>
              </w:rPr>
            </w:pPr>
            <w:r>
              <w:rPr>
                <w:rFonts w:ascii="Arial" w:cs="Arial" w:eastAsia="Arial" w:hAnsi="Arial"/>
                <w:sz w:val="18"/>
                <w:szCs w:val="18"/>
                <w:color w:val="auto"/>
              </w:rPr>
              <w:t>Net investment spread</w:t>
            </w:r>
          </w:p>
        </w:tc>
        <w:tc>
          <w:tcPr>
            <w:tcW w:w="800" w:type="dxa"/>
            <w:vAlign w:val="bottom"/>
          </w:tcPr>
          <w:p>
            <w:pPr>
              <w:spacing w:after="0"/>
              <w:rPr>
                <w:sz w:val="21"/>
                <w:szCs w:val="21"/>
                <w:color w:val="auto"/>
              </w:rPr>
            </w:pPr>
          </w:p>
        </w:tc>
        <w:tc>
          <w:tcPr>
            <w:tcW w:w="440" w:type="dxa"/>
            <w:vAlign w:val="bottom"/>
          </w:tcPr>
          <w:p>
            <w:pPr>
              <w:jc w:val="right"/>
              <w:ind w:right="12"/>
              <w:spacing w:after="0"/>
              <w:rPr>
                <w:sz w:val="20"/>
                <w:szCs w:val="20"/>
                <w:color w:val="auto"/>
              </w:rPr>
            </w:pPr>
            <w:r>
              <w:rPr>
                <w:rFonts w:ascii="Arial" w:cs="Arial" w:eastAsia="Arial" w:hAnsi="Arial"/>
                <w:sz w:val="18"/>
                <w:szCs w:val="18"/>
                <w:color w:val="auto"/>
              </w:rPr>
              <w:t>125</w:t>
            </w:r>
          </w:p>
        </w:tc>
        <w:tc>
          <w:tcPr>
            <w:tcW w:w="1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460" w:type="dxa"/>
            <w:vAlign w:val="bottom"/>
          </w:tcPr>
          <w:p>
            <w:pPr>
              <w:jc w:val="right"/>
              <w:ind w:right="12"/>
              <w:spacing w:after="0"/>
              <w:rPr>
                <w:sz w:val="20"/>
                <w:szCs w:val="20"/>
                <w:color w:val="auto"/>
              </w:rPr>
            </w:pPr>
            <w:r>
              <w:rPr>
                <w:rFonts w:ascii="Arial" w:cs="Arial" w:eastAsia="Arial" w:hAnsi="Arial"/>
                <w:sz w:val="18"/>
                <w:szCs w:val="18"/>
                <w:color w:val="auto"/>
              </w:rPr>
              <w:t>126</w:t>
            </w:r>
          </w:p>
        </w:tc>
        <w:tc>
          <w:tcPr>
            <w:tcW w:w="1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440" w:type="dxa"/>
            <w:vAlign w:val="bottom"/>
          </w:tcPr>
          <w:p>
            <w:pPr>
              <w:jc w:val="right"/>
              <w:ind w:right="12"/>
              <w:spacing w:after="0"/>
              <w:rPr>
                <w:sz w:val="20"/>
                <w:szCs w:val="20"/>
                <w:color w:val="auto"/>
              </w:rPr>
            </w:pPr>
            <w:r>
              <w:rPr>
                <w:rFonts w:ascii="Arial" w:cs="Arial" w:eastAsia="Arial" w:hAnsi="Arial"/>
                <w:sz w:val="18"/>
                <w:szCs w:val="18"/>
                <w:color w:val="auto"/>
              </w:rPr>
              <w:t>382</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356</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600" w:type="dxa"/>
            <w:vAlign w:val="bottom"/>
          </w:tcPr>
          <w:p>
            <w:pPr>
              <w:spacing w:after="0"/>
              <w:rPr>
                <w:sz w:val="2"/>
                <w:szCs w:val="2"/>
                <w:color w:val="auto"/>
              </w:rPr>
            </w:pPr>
          </w:p>
        </w:tc>
        <w:tc>
          <w:tcPr>
            <w:tcW w:w="3260" w:type="dxa"/>
            <w:vAlign w:val="bottom"/>
          </w:tcPr>
          <w:p>
            <w:pPr>
              <w:spacing w:after="0"/>
              <w:rPr>
                <w:sz w:val="2"/>
                <w:szCs w:val="2"/>
                <w:color w:val="auto"/>
              </w:rPr>
            </w:pPr>
          </w:p>
        </w:tc>
        <w:tc>
          <w:tcPr>
            <w:tcW w:w="8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Insurance-related activities</w:t>
            </w:r>
          </w:p>
        </w:tc>
        <w:tc>
          <w:tcPr>
            <w:tcW w:w="8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0"/>
              </w:rPr>
              <w:t>(150)</w:t>
            </w:r>
          </w:p>
        </w:tc>
        <w:tc>
          <w:tcPr>
            <w:tcW w:w="1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5"/>
              </w:rPr>
              <w:t>(213)</w:t>
            </w:r>
          </w:p>
        </w:tc>
        <w:tc>
          <w:tcPr>
            <w:tcW w:w="1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0"/>
              </w:rPr>
              <w:t>(467)</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(595)</w:t>
            </w:r>
          </w:p>
        </w:tc>
        <w:tc>
          <w:tcPr>
            <w:tcW w:w="0" w:type="dxa"/>
            <w:vAlign w:val="bottom"/>
          </w:tcPr>
          <w:p>
            <w:pPr>
              <w:spacing w:after="0"/>
              <w:rPr>
                <w:sz w:val="1"/>
                <w:szCs w:val="1"/>
                <w:color w:val="auto"/>
              </w:rPr>
            </w:pPr>
          </w:p>
        </w:tc>
      </w:tr>
      <w:tr>
        <w:trPr>
          <w:trHeight w:val="243"/>
        </w:trPr>
        <w:tc>
          <w:tcPr>
            <w:tcW w:w="3900" w:type="dxa"/>
            <w:vAlign w:val="bottom"/>
            <w:gridSpan w:val="3"/>
          </w:tcPr>
          <w:p>
            <w:pPr>
              <w:ind w:left="40"/>
              <w:spacing w:after="0"/>
              <w:rPr>
                <w:sz w:val="20"/>
                <w:szCs w:val="20"/>
                <w:color w:val="auto"/>
              </w:rPr>
            </w:pPr>
            <w:r>
              <w:rPr>
                <w:rFonts w:ascii="Arial" w:cs="Arial" w:eastAsia="Arial" w:hAnsi="Arial"/>
                <w:sz w:val="18"/>
                <w:szCs w:val="18"/>
                <w:color w:val="auto"/>
              </w:rPr>
              <w:t>Amortization of DAC and VOBA</w:t>
            </w:r>
          </w:p>
        </w:tc>
        <w:tc>
          <w:tcPr>
            <w:tcW w:w="800" w:type="dxa"/>
            <w:vAlign w:val="bottom"/>
          </w:tcPr>
          <w:p>
            <w:pPr>
              <w:spacing w:after="0"/>
              <w:rPr>
                <w:sz w:val="21"/>
                <w:szCs w:val="21"/>
                <w:color w:val="auto"/>
              </w:rPr>
            </w:pPr>
          </w:p>
        </w:tc>
        <w:tc>
          <w:tcPr>
            <w:tcW w:w="5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0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(406)</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600" w:type="dxa"/>
            <w:vAlign w:val="bottom"/>
          </w:tcPr>
          <w:p>
            <w:pPr>
              <w:spacing w:after="0"/>
              <w:rPr>
                <w:sz w:val="2"/>
                <w:szCs w:val="2"/>
                <w:color w:val="auto"/>
              </w:rPr>
            </w:pPr>
          </w:p>
        </w:tc>
        <w:tc>
          <w:tcPr>
            <w:tcW w:w="3260" w:type="dxa"/>
            <w:vAlign w:val="bottom"/>
          </w:tcPr>
          <w:p>
            <w:pPr>
              <w:spacing w:after="0"/>
              <w:rPr>
                <w:sz w:val="2"/>
                <w:szCs w:val="2"/>
                <w:color w:val="auto"/>
              </w:rPr>
            </w:pPr>
          </w:p>
        </w:tc>
        <w:tc>
          <w:tcPr>
            <w:tcW w:w="8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9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Other expenses, net of DAC capitalization</w:t>
            </w:r>
          </w:p>
        </w:tc>
        <w:tc>
          <w:tcPr>
            <w:tcW w:w="8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10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10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0"/>
              </w:rPr>
              <w:t>(208)</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(172)</w:t>
            </w:r>
          </w:p>
        </w:tc>
        <w:tc>
          <w:tcPr>
            <w:tcW w:w="0" w:type="dxa"/>
            <w:vAlign w:val="bottom"/>
          </w:tcPr>
          <w:p>
            <w:pPr>
              <w:spacing w:after="0"/>
              <w:rPr>
                <w:sz w:val="1"/>
                <w:szCs w:val="1"/>
                <w:color w:val="auto"/>
              </w:rPr>
            </w:pPr>
          </w:p>
        </w:tc>
      </w:tr>
      <w:tr>
        <w:trPr>
          <w:trHeight w:val="209"/>
        </w:trPr>
        <w:tc>
          <w:tcPr>
            <w:tcW w:w="40" w:type="dxa"/>
            <w:vAlign w:val="bottom"/>
          </w:tcPr>
          <w:p>
            <w:pPr>
              <w:spacing w:after="0"/>
              <w:rPr>
                <w:sz w:val="18"/>
                <w:szCs w:val="18"/>
                <w:color w:val="auto"/>
              </w:rPr>
            </w:pPr>
          </w:p>
        </w:tc>
        <w:tc>
          <w:tcPr>
            <w:tcW w:w="3860" w:type="dxa"/>
            <w:vAlign w:val="bottom"/>
            <w:gridSpan w:val="2"/>
          </w:tcPr>
          <w:p>
            <w:pPr>
              <w:ind w:left="160"/>
              <w:spacing w:after="0"/>
              <w:rPr>
                <w:sz w:val="20"/>
                <w:szCs w:val="20"/>
                <w:color w:val="auto"/>
              </w:rPr>
            </w:pPr>
            <w:r>
              <w:rPr>
                <w:rFonts w:ascii="Arial" w:cs="Arial" w:eastAsia="Arial" w:hAnsi="Arial"/>
                <w:sz w:val="18"/>
                <w:szCs w:val="18"/>
                <w:color w:val="auto"/>
              </w:rPr>
              <w:t>Operating earnings (loss) before provision for</w:t>
            </w:r>
          </w:p>
        </w:tc>
        <w:tc>
          <w:tcPr>
            <w:tcW w:w="80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20"/>
                <w:szCs w:val="20"/>
                <w:color w:val="auto"/>
              </w:rPr>
            </w:pPr>
          </w:p>
        </w:tc>
        <w:tc>
          <w:tcPr>
            <w:tcW w:w="3860" w:type="dxa"/>
            <w:vAlign w:val="bottom"/>
            <w:gridSpan w:val="2"/>
          </w:tcPr>
          <w:p>
            <w:pPr>
              <w:ind w:left="320"/>
              <w:spacing w:after="0"/>
              <w:rPr>
                <w:sz w:val="20"/>
                <w:szCs w:val="20"/>
                <w:color w:val="auto"/>
              </w:rPr>
            </w:pPr>
            <w:r>
              <w:rPr>
                <w:rFonts w:ascii="Arial" w:cs="Arial" w:eastAsia="Arial" w:hAnsi="Arial"/>
                <w:sz w:val="18"/>
                <w:szCs w:val="18"/>
                <w:color w:val="auto"/>
              </w:rPr>
              <w:t>income tax</w:t>
            </w:r>
          </w:p>
        </w:tc>
        <w:tc>
          <w:tcPr>
            <w:tcW w:w="800" w:type="dxa"/>
            <w:vAlign w:val="bottom"/>
          </w:tcPr>
          <w:p>
            <w:pPr>
              <w:spacing w:after="0"/>
              <w:rPr>
                <w:sz w:val="20"/>
                <w:szCs w:val="20"/>
                <w:color w:val="auto"/>
              </w:rPr>
            </w:pPr>
          </w:p>
        </w:tc>
        <w:tc>
          <w:tcPr>
            <w:tcW w:w="440" w:type="dxa"/>
            <w:vAlign w:val="bottom"/>
          </w:tcPr>
          <w:p>
            <w:pPr>
              <w:jc w:val="right"/>
              <w:ind w:right="12"/>
              <w:spacing w:after="0"/>
              <w:rPr>
                <w:sz w:val="20"/>
                <w:szCs w:val="20"/>
                <w:color w:val="auto"/>
              </w:rPr>
            </w:pPr>
            <w:r>
              <w:rPr>
                <w:rFonts w:ascii="Arial" w:cs="Arial" w:eastAsia="Arial" w:hAnsi="Arial"/>
                <w:sz w:val="18"/>
                <w:szCs w:val="18"/>
                <w:color w:val="auto"/>
              </w:rPr>
              <w:t>119</w:t>
            </w: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60" w:type="dxa"/>
            <w:vAlign w:val="bottom"/>
          </w:tcPr>
          <w:p>
            <w:pPr>
              <w:jc w:val="right"/>
              <w:ind w:right="12"/>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40" w:type="dxa"/>
            <w:vAlign w:val="bottom"/>
          </w:tcPr>
          <w:p>
            <w:pPr>
              <w:jc w:val="right"/>
              <w:ind w:right="12"/>
              <w:spacing w:after="0"/>
              <w:rPr>
                <w:sz w:val="20"/>
                <w:szCs w:val="20"/>
                <w:color w:val="auto"/>
              </w:rPr>
            </w:pPr>
            <w:r>
              <w:rPr>
                <w:rFonts w:ascii="Arial" w:cs="Arial" w:eastAsia="Arial" w:hAnsi="Arial"/>
                <w:sz w:val="18"/>
                <w:szCs w:val="18"/>
                <w:color w:val="auto"/>
              </w:rPr>
              <w:t>272</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(298)</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600" w:type="dxa"/>
            <w:vAlign w:val="bottom"/>
          </w:tcPr>
          <w:p>
            <w:pPr>
              <w:spacing w:after="0"/>
              <w:rPr>
                <w:sz w:val="2"/>
                <w:szCs w:val="2"/>
                <w:color w:val="auto"/>
              </w:rPr>
            </w:pPr>
          </w:p>
        </w:tc>
        <w:tc>
          <w:tcPr>
            <w:tcW w:w="3260" w:type="dxa"/>
            <w:vAlign w:val="bottom"/>
          </w:tcPr>
          <w:p>
            <w:pPr>
              <w:spacing w:after="0"/>
              <w:rPr>
                <w:sz w:val="2"/>
                <w:szCs w:val="2"/>
                <w:color w:val="auto"/>
              </w:rPr>
            </w:pPr>
          </w:p>
        </w:tc>
        <w:tc>
          <w:tcPr>
            <w:tcW w:w="8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9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Provisions for income tax expense (benefit)</w:t>
            </w:r>
          </w:p>
        </w:tc>
        <w:tc>
          <w:tcPr>
            <w:tcW w:w="8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36</w:t>
            </w:r>
          </w:p>
        </w:tc>
        <w:tc>
          <w:tcPr>
            <w:tcW w:w="10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88</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3860" w:type="dxa"/>
            <w:vAlign w:val="bottom"/>
            <w:gridSpan w:val="2"/>
          </w:tcPr>
          <w:p>
            <w:pPr>
              <w:ind w:left="160"/>
              <w:spacing w:after="0"/>
              <w:rPr>
                <w:sz w:val="20"/>
                <w:szCs w:val="20"/>
                <w:color w:val="auto"/>
              </w:rPr>
            </w:pPr>
            <w:r>
              <w:rPr>
                <w:rFonts w:ascii="Arial" w:cs="Arial" w:eastAsia="Arial" w:hAnsi="Arial"/>
                <w:sz w:val="18"/>
                <w:szCs w:val="18"/>
                <w:color w:val="auto"/>
              </w:rPr>
              <w:t>Operating earnings (loss)</w:t>
            </w:r>
          </w:p>
        </w:tc>
        <w:tc>
          <w:tcPr>
            <w:tcW w:w="800" w:type="dxa"/>
            <w:vAlign w:val="bottom"/>
            <w:tcBorders>
              <w:top w:val="single" w:sz="8" w:color="auto"/>
            </w:tcBorders>
          </w:tcPr>
          <w:p>
            <w:pPr>
              <w:jc w:val="right"/>
              <w:ind w:right="593"/>
              <w:spacing w:after="0"/>
              <w:rPr>
                <w:sz w:val="20"/>
                <w:szCs w:val="20"/>
                <w:color w:val="auto"/>
              </w:rPr>
            </w:pPr>
            <w:r>
              <w:rPr>
                <w:rFonts w:ascii="Arial" w:cs="Arial" w:eastAsia="Arial" w:hAnsi="Arial"/>
                <w:sz w:val="18"/>
                <w:szCs w:val="18"/>
                <w:color w:val="auto"/>
                <w:w w:val="99"/>
              </w:rPr>
              <w:t>$</w:t>
            </w:r>
          </w:p>
        </w:tc>
        <w:tc>
          <w:tcPr>
            <w:tcW w:w="4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83</w:t>
            </w:r>
          </w:p>
        </w:tc>
        <w:tc>
          <w:tcPr>
            <w:tcW w:w="100" w:type="dxa"/>
            <w:vAlign w:val="bottom"/>
          </w:tcPr>
          <w:p>
            <w:pPr>
              <w:spacing w:after="0"/>
              <w:rPr>
                <w:sz w:val="20"/>
                <w:szCs w:val="20"/>
                <w:color w:val="auto"/>
              </w:rPr>
            </w:pPr>
          </w:p>
        </w:tc>
        <w:tc>
          <w:tcPr>
            <w:tcW w:w="800" w:type="dxa"/>
            <w:vAlign w:val="bottom"/>
            <w:tcBorders>
              <w:top w:val="single" w:sz="8" w:color="auto"/>
            </w:tcBorders>
          </w:tcPr>
          <w:p>
            <w:pPr>
              <w:jc w:val="right"/>
              <w:ind w:right="593"/>
              <w:spacing w:after="0"/>
              <w:rPr>
                <w:sz w:val="20"/>
                <w:szCs w:val="20"/>
                <w:color w:val="auto"/>
              </w:rPr>
            </w:pPr>
            <w:r>
              <w:rPr>
                <w:rFonts w:ascii="Arial" w:cs="Arial" w:eastAsia="Arial" w:hAnsi="Arial"/>
                <w:sz w:val="18"/>
                <w:szCs w:val="18"/>
                <w:color w:val="auto"/>
                <w:w w:val="99"/>
              </w:rPr>
              <w:t>$</w:t>
            </w:r>
          </w:p>
        </w:tc>
        <w:tc>
          <w:tcPr>
            <w:tcW w:w="4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20"/>
                <w:szCs w:val="20"/>
                <w:color w:val="auto"/>
              </w:rPr>
            </w:pPr>
          </w:p>
        </w:tc>
        <w:tc>
          <w:tcPr>
            <w:tcW w:w="800" w:type="dxa"/>
            <w:vAlign w:val="bottom"/>
            <w:tcBorders>
              <w:top w:val="single" w:sz="8" w:color="auto"/>
            </w:tcBorders>
          </w:tcPr>
          <w:p>
            <w:pPr>
              <w:jc w:val="right"/>
              <w:ind w:right="593"/>
              <w:spacing w:after="0"/>
              <w:rPr>
                <w:sz w:val="20"/>
                <w:szCs w:val="20"/>
                <w:color w:val="auto"/>
              </w:rPr>
            </w:pPr>
            <w:r>
              <w:rPr>
                <w:rFonts w:ascii="Arial" w:cs="Arial" w:eastAsia="Arial" w:hAnsi="Arial"/>
                <w:sz w:val="18"/>
                <w:szCs w:val="18"/>
                <w:color w:val="auto"/>
                <w:w w:val="99"/>
              </w:rPr>
              <w:t>$</w:t>
            </w:r>
          </w:p>
        </w:tc>
        <w:tc>
          <w:tcPr>
            <w:tcW w:w="4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184</w:t>
            </w:r>
          </w:p>
        </w:tc>
        <w:tc>
          <w:tcPr>
            <w:tcW w:w="100" w:type="dxa"/>
            <w:vAlign w:val="bottom"/>
          </w:tcPr>
          <w:p>
            <w:pPr>
              <w:spacing w:after="0"/>
              <w:rPr>
                <w:sz w:val="20"/>
                <w:szCs w:val="20"/>
                <w:color w:val="auto"/>
              </w:rPr>
            </w:pPr>
          </w:p>
        </w:tc>
        <w:tc>
          <w:tcPr>
            <w:tcW w:w="46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(189)</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600" w:type="dxa"/>
            <w:vAlign w:val="bottom"/>
          </w:tcPr>
          <w:p>
            <w:pPr>
              <w:spacing w:after="0"/>
              <w:rPr>
                <w:sz w:val="2"/>
                <w:szCs w:val="2"/>
                <w:color w:val="auto"/>
              </w:rPr>
            </w:pPr>
          </w:p>
        </w:tc>
        <w:tc>
          <w:tcPr>
            <w:tcW w:w="326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Three Months Ended September 30, 2017 Compared with the Three Months Ended September 30, 2016</w:t>
      </w:r>
    </w:p>
    <w:p>
      <w:pPr>
        <w:spacing w:after="0" w:line="15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Unless otherwise noted, all amounts in the following discussion are net of income tax.</w:t>
      </w:r>
    </w:p>
    <w:p>
      <w:pPr>
        <w:spacing w:after="0" w:line="117"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i w:val="1"/>
          <w:iCs w:val="1"/>
          <w:color w:val="auto"/>
        </w:rPr>
        <w:t xml:space="preserve">Overview. </w:t>
      </w:r>
      <w:r>
        <w:rPr>
          <w:rFonts w:ascii="Arial" w:cs="Arial" w:eastAsia="Arial" w:hAnsi="Arial"/>
          <w:sz w:val="18"/>
          <w:szCs w:val="18"/>
          <w:color w:val="auto"/>
        </w:rPr>
        <w:t>Operating earnings (loss) increased by $57 million, primarily due to favorable impacts from ULSG-related charges recognized in the prior</w:t>
      </w:r>
      <w:r>
        <w:rPr>
          <w:rFonts w:ascii="Arial" w:cs="Arial" w:eastAsia="Arial" w:hAnsi="Arial"/>
          <w:sz w:val="18"/>
          <w:szCs w:val="18"/>
          <w:i w:val="1"/>
          <w:iCs w:val="1"/>
          <w:color w:val="auto"/>
        </w:rPr>
        <w:t xml:space="preserve"> </w:t>
      </w:r>
      <w:r>
        <w:rPr>
          <w:rFonts w:ascii="Arial" w:cs="Arial" w:eastAsia="Arial" w:hAnsi="Arial"/>
          <w:sz w:val="18"/>
          <w:szCs w:val="18"/>
          <w:color w:val="auto"/>
        </w:rPr>
        <w:t>period, net of additional charges recognized in the current period, higher fee income and lower amortization of DAC. Excluding the impact from the annual actuarial assumption review, operating earnings (loss) increased by $29 million.</w:t>
      </w:r>
    </w:p>
    <w:p>
      <w:pPr>
        <w:spacing w:after="0" w:line="73"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i w:val="1"/>
          <w:iCs w:val="1"/>
          <w:color w:val="auto"/>
        </w:rPr>
        <w:t xml:space="preserve">Fee Income. </w:t>
      </w:r>
      <w:r>
        <w:rPr>
          <w:rFonts w:ascii="Arial" w:cs="Arial" w:eastAsia="Arial" w:hAnsi="Arial"/>
          <w:sz w:val="18"/>
          <w:szCs w:val="18"/>
          <w:color w:val="auto"/>
        </w:rPr>
        <w:t>Higher fee income increased operating earnings (loss) by $10 million, primarily due to changes in assumptions regarding premium</w:t>
      </w:r>
      <w:r>
        <w:rPr>
          <w:rFonts w:ascii="Arial" w:cs="Arial" w:eastAsia="Arial" w:hAnsi="Arial"/>
          <w:sz w:val="18"/>
          <w:szCs w:val="18"/>
          <w:i w:val="1"/>
          <w:iCs w:val="1"/>
          <w:color w:val="auto"/>
        </w:rPr>
        <w:t xml:space="preserve"> </w:t>
      </w:r>
      <w:r>
        <w:rPr>
          <w:rFonts w:ascii="Arial" w:cs="Arial" w:eastAsia="Arial" w:hAnsi="Arial"/>
          <w:sz w:val="18"/>
          <w:szCs w:val="18"/>
          <w:color w:val="auto"/>
        </w:rPr>
        <w:t>persistency and mortality in connection with the annual actuarial assumption review. Excluding the impact from the annual actuarial assumption review, fee income decreased operating earnings (loss) by $3 million.</w:t>
      </w:r>
    </w:p>
    <w:p>
      <w:pPr>
        <w:spacing w:after="0" w:line="73"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Insurance-Related Activities</w:t>
      </w:r>
      <w:r>
        <w:rPr>
          <w:rFonts w:ascii="Arial" w:cs="Arial" w:eastAsia="Arial" w:hAnsi="Arial"/>
          <w:sz w:val="18"/>
          <w:szCs w:val="18"/>
          <w:color w:val="auto"/>
        </w:rPr>
        <w:t>. Insurance-related activities increased operating earnings (loss) by $41 million, primarily due to:</w:t>
      </w:r>
    </w:p>
    <w:p>
      <w:pPr>
        <w:spacing w:after="0" w:line="171" w:lineRule="exact"/>
        <w:rPr>
          <w:sz w:val="20"/>
          <w:szCs w:val="20"/>
          <w:color w:val="auto"/>
        </w:rPr>
      </w:pPr>
    </w:p>
    <w:p>
      <w:pPr>
        <w:ind w:left="660" w:hanging="328"/>
        <w:spacing w:after="0" w:line="277" w:lineRule="auto"/>
        <w:tabs>
          <w:tab w:leader="none" w:pos="6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an increase of $17 million from favorable claims experience as a result of lower direct claims net of the impact from lower ceded claim recoveries due to the YRT Recapture and a higher volume of low severity claims below our retention limits;</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an increase of $15 million resulting from changes in assumptions in connection with the annual actuarial assumption review; and</w:t>
      </w:r>
    </w:p>
    <w:p>
      <w:pPr>
        <w:spacing w:after="0" w:line="117" w:lineRule="exact"/>
        <w:rPr>
          <w:rFonts w:ascii="Arial" w:cs="Arial" w:eastAsia="Arial" w:hAnsi="Arial"/>
          <w:sz w:val="18"/>
          <w:szCs w:val="18"/>
          <w:color w:val="auto"/>
        </w:rPr>
      </w:pPr>
    </w:p>
    <w:p>
      <w:pPr>
        <w:ind w:left="340" w:right="580" w:hanging="8"/>
        <w:spacing w:after="0" w:line="422" w:lineRule="auto"/>
        <w:tabs>
          <w:tab w:leader="none" w:pos="664" w:val="left"/>
        </w:tabs>
        <w:numPr>
          <w:ilvl w:val="0"/>
          <w:numId w:val="71"/>
        </w:numPr>
        <w:rPr>
          <w:rFonts w:ascii="Arial" w:cs="Arial" w:eastAsia="Arial" w:hAnsi="Arial"/>
          <w:sz w:val="16"/>
          <w:szCs w:val="16"/>
          <w:color w:val="auto"/>
        </w:rPr>
      </w:pPr>
      <w:r>
        <w:rPr>
          <w:rFonts w:ascii="Arial" w:cs="Arial" w:eastAsia="Arial" w:hAnsi="Arial"/>
          <w:sz w:val="16"/>
          <w:szCs w:val="16"/>
          <w:color w:val="auto"/>
        </w:rPr>
        <w:t>an increase of $10 million due to lower recurring impacts of the ULSG Re-segmentation in the current period compared to the prior period. Excluding the impact from the annual actuarial assumption review, insurance-related activities increased operating earnings (loss) by $26 million.</w:t>
      </w:r>
    </w:p>
    <w:p>
      <w:pPr>
        <w:spacing w:after="0" w:line="1"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i w:val="1"/>
          <w:iCs w:val="1"/>
          <w:color w:val="auto"/>
        </w:rPr>
        <w:t xml:space="preserve">Amortization of DAC and VOBA. </w:t>
      </w:r>
      <w:r>
        <w:rPr>
          <w:rFonts w:ascii="Arial" w:cs="Arial" w:eastAsia="Arial" w:hAnsi="Arial"/>
          <w:sz w:val="18"/>
          <w:szCs w:val="18"/>
          <w:color w:val="auto"/>
        </w:rPr>
        <w:t>Lower amortization of DAC and VOBA increased operating earnings (loss) by $10 million driven by the write-down of</w:t>
      </w:r>
      <w:r>
        <w:rPr>
          <w:rFonts w:ascii="Arial" w:cs="Arial" w:eastAsia="Arial" w:hAnsi="Arial"/>
          <w:sz w:val="18"/>
          <w:szCs w:val="18"/>
          <w:i w:val="1"/>
          <w:iCs w:val="1"/>
          <w:color w:val="auto"/>
        </w:rPr>
        <w:t xml:space="preserve"> </w:t>
      </w:r>
      <w:r>
        <w:rPr>
          <w:rFonts w:ascii="Arial" w:cs="Arial" w:eastAsia="Arial" w:hAnsi="Arial"/>
          <w:sz w:val="18"/>
          <w:szCs w:val="18"/>
          <w:color w:val="auto"/>
        </w:rPr>
        <w:t>the DAC asset in 2016 in connection with the loss recognition triggered by the ULSG Model Change, resulting in no amortization expense in the current period.</w:t>
      </w:r>
    </w:p>
    <w:p>
      <w:pPr>
        <w:spacing w:after="0" w:line="73"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i w:val="1"/>
          <w:iCs w:val="1"/>
          <w:color w:val="auto"/>
        </w:rPr>
        <w:t xml:space="preserve">Actuarial Assumption Review. </w:t>
      </w:r>
      <w:r>
        <w:rPr>
          <w:rFonts w:ascii="Arial" w:cs="Arial" w:eastAsia="Arial" w:hAnsi="Arial"/>
          <w:sz w:val="18"/>
          <w:szCs w:val="18"/>
          <w:color w:val="auto"/>
        </w:rPr>
        <w:t>The results from the annual actuarial assumption review, which are included in the amounts discussed above, increased</w:t>
      </w:r>
      <w:r>
        <w:rPr>
          <w:rFonts w:ascii="Arial" w:cs="Arial" w:eastAsia="Arial" w:hAnsi="Arial"/>
          <w:sz w:val="18"/>
          <w:szCs w:val="18"/>
          <w:i w:val="1"/>
          <w:iCs w:val="1"/>
          <w:color w:val="auto"/>
        </w:rPr>
        <w:t xml:space="preserve"> </w:t>
      </w:r>
      <w:r>
        <w:rPr>
          <w:rFonts w:ascii="Arial" w:cs="Arial" w:eastAsia="Arial" w:hAnsi="Arial"/>
          <w:sz w:val="18"/>
          <w:szCs w:val="18"/>
          <w:color w:val="auto"/>
        </w:rPr>
        <w:t>operating earnings (loss) by $28 million, when compared to the prior period, primarily due to:</w:t>
      </w:r>
    </w:p>
    <w:p>
      <w:pPr>
        <w:spacing w:after="0" w:line="62" w:lineRule="exact"/>
        <w:rPr>
          <w:sz w:val="20"/>
          <w:szCs w:val="20"/>
          <w:color w:val="auto"/>
        </w:rPr>
      </w:pPr>
    </w:p>
    <w:p>
      <w:pPr>
        <w:ind w:left="980" w:hanging="324"/>
        <w:spacing w:after="0" w:line="277" w:lineRule="auto"/>
        <w:tabs>
          <w:tab w:leader="none" w:pos="9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lower insurance-related liabilities of $15 million from changes in general account growth rates and mortality, net of changes regarding premium persistency and maintenance expenses; and</w:t>
      </w:r>
    </w:p>
    <w:p>
      <w:pPr>
        <w:spacing w:after="0" w:line="62" w:lineRule="exact"/>
        <w:rPr>
          <w:rFonts w:ascii="Arial" w:cs="Arial" w:eastAsia="Arial" w:hAnsi="Arial"/>
          <w:sz w:val="18"/>
          <w:szCs w:val="18"/>
          <w:color w:val="auto"/>
        </w:rPr>
      </w:pPr>
    </w:p>
    <w:p>
      <w:pPr>
        <w:ind w:left="980" w:hanging="324"/>
        <w:spacing w:after="0"/>
        <w:tabs>
          <w:tab w:leader="none" w:pos="9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higher amortization of unearned revenue of $13 million due to changes in premium persistency and mortality.</w:t>
      </w:r>
    </w:p>
    <w:p>
      <w:pPr>
        <w:spacing w:after="0" w:line="11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i w:val="1"/>
          <w:iCs w:val="1"/>
          <w:color w:val="auto"/>
        </w:rPr>
        <w:t xml:space="preserve">Income Tax Expense (Benefit). </w:t>
      </w:r>
      <w:r>
        <w:rPr>
          <w:rFonts w:ascii="Arial" w:cs="Arial" w:eastAsia="Arial" w:hAnsi="Arial"/>
          <w:sz w:val="18"/>
          <w:szCs w:val="18"/>
          <w:color w:val="auto"/>
        </w:rPr>
        <w:t>Income tax expense for the three months ended September 30, 2017 was $36 million, or 30% of operating earnings (loss)</w:t>
      </w:r>
      <w:r>
        <w:rPr>
          <w:rFonts w:ascii="Arial" w:cs="Arial" w:eastAsia="Arial" w:hAnsi="Arial"/>
          <w:sz w:val="18"/>
          <w:szCs w:val="18"/>
          <w:i w:val="1"/>
          <w:iCs w:val="1"/>
          <w:color w:val="auto"/>
        </w:rPr>
        <w:t xml:space="preserve"> </w:t>
      </w:r>
      <w:r>
        <w:rPr>
          <w:rFonts w:ascii="Arial" w:cs="Arial" w:eastAsia="Arial" w:hAnsi="Arial"/>
          <w:sz w:val="18"/>
          <w:szCs w:val="18"/>
          <w:color w:val="auto"/>
        </w:rPr>
        <w:t>before provision for income tax, compared to $2 million, or 7% of operating earnings (loss) before provision for income tax, for the three months ended September 30, 2016. Our effective tax rates in both periods differ from the U.S. statutory rate of 35% primarily due to the impacts of the dividend received deductions.</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420"/>
          </w:cols>
          <w:pgMar w:left="240" w:top="126" w:right="239" w:bottom="1440" w:gutter="0" w:footer="0" w:header="0"/>
        </w:sectPr>
      </w:pPr>
    </w:p>
    <w:bookmarkStart w:id="101" w:name="page102"/>
    <w:bookmarkEnd w:id="101"/>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Nine Months Ended September 30, 2017 Compared with the Nine Months Ended September 30, 2016</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Unless otherwise noted, all amounts in the following discussion are net of income tax.</w:t>
      </w:r>
    </w:p>
    <w:p>
      <w:pPr>
        <w:spacing w:after="0" w:line="117"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i w:val="1"/>
          <w:iCs w:val="1"/>
          <w:color w:val="auto"/>
        </w:rPr>
        <w:t xml:space="preserve">Overview. </w:t>
      </w:r>
      <w:r>
        <w:rPr>
          <w:rFonts w:ascii="Arial" w:cs="Arial" w:eastAsia="Arial" w:hAnsi="Arial"/>
          <w:sz w:val="18"/>
          <w:szCs w:val="18"/>
          <w:color w:val="auto"/>
        </w:rPr>
        <w:t>Operating earnings (loss) increased by $373 million, primarily due to impacts from ULSG-related charges recognized in the prior period, net</w:t>
      </w:r>
      <w:r>
        <w:rPr>
          <w:rFonts w:ascii="Arial" w:cs="Arial" w:eastAsia="Arial" w:hAnsi="Arial"/>
          <w:sz w:val="18"/>
          <w:szCs w:val="18"/>
          <w:i w:val="1"/>
          <w:iCs w:val="1"/>
          <w:color w:val="auto"/>
        </w:rPr>
        <w:t xml:space="preserve"> </w:t>
      </w:r>
      <w:r>
        <w:rPr>
          <w:rFonts w:ascii="Arial" w:cs="Arial" w:eastAsia="Arial" w:hAnsi="Arial"/>
          <w:sz w:val="18"/>
          <w:szCs w:val="18"/>
          <w:color w:val="auto"/>
        </w:rPr>
        <w:t>of additional charges recognized in the current period, and higher fee income. Excluding the impact of the annual actuarial assumption review, operating earnings (loss) increased by $345 million.</w:t>
      </w:r>
    </w:p>
    <w:p>
      <w:pPr>
        <w:spacing w:after="0" w:line="73"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i w:val="1"/>
          <w:iCs w:val="1"/>
          <w:color w:val="auto"/>
        </w:rPr>
        <w:t xml:space="preserve">Fee Income. </w:t>
      </w:r>
      <w:r>
        <w:rPr>
          <w:rFonts w:ascii="Arial" w:cs="Arial" w:eastAsia="Arial" w:hAnsi="Arial"/>
          <w:sz w:val="18"/>
          <w:szCs w:val="18"/>
          <w:color w:val="auto"/>
        </w:rPr>
        <w:t>Higher fee income increased operating earnings (loss) by $34 million, primarily due to the unfavorable adjustment to unearned revenue in</w:t>
      </w:r>
      <w:r>
        <w:rPr>
          <w:rFonts w:ascii="Arial" w:cs="Arial" w:eastAsia="Arial" w:hAnsi="Arial"/>
          <w:sz w:val="18"/>
          <w:szCs w:val="18"/>
          <w:i w:val="1"/>
          <w:iCs w:val="1"/>
          <w:color w:val="auto"/>
        </w:rPr>
        <w:t xml:space="preserve"> </w:t>
      </w:r>
      <w:r>
        <w:rPr>
          <w:rFonts w:ascii="Arial" w:cs="Arial" w:eastAsia="Arial" w:hAnsi="Arial"/>
          <w:sz w:val="18"/>
          <w:szCs w:val="18"/>
          <w:color w:val="auto"/>
        </w:rPr>
        <w:t>the prior period resulting from the ULSG Model Change and changes in the current period related to assumptions regarding premium persistency and mortality in connection with the annual actuarial assumption review. Excluding the impact of the annual actuarial assumption review, fee income increased operating earnings (loss) by $21 million.</w:t>
      </w:r>
    </w:p>
    <w:p>
      <w:pPr>
        <w:spacing w:after="0" w:line="79"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Insurance-Related Activities</w:t>
      </w:r>
      <w:r>
        <w:rPr>
          <w:rFonts w:ascii="Arial" w:cs="Arial" w:eastAsia="Arial" w:hAnsi="Arial"/>
          <w:sz w:val="18"/>
          <w:szCs w:val="18"/>
          <w:color w:val="auto"/>
        </w:rPr>
        <w:t>. Insurance-related activities increased operating earnings (loss) by $83 million, primarily due to:</w:t>
      </w:r>
    </w:p>
    <w:p>
      <w:pPr>
        <w:spacing w:after="0" w:line="117" w:lineRule="exact"/>
        <w:rPr>
          <w:sz w:val="20"/>
          <w:szCs w:val="20"/>
          <w:color w:val="auto"/>
        </w:rPr>
      </w:pPr>
    </w:p>
    <w:p>
      <w:pPr>
        <w:ind w:left="660" w:hanging="328"/>
        <w:spacing w:after="0"/>
        <w:tabs>
          <w:tab w:leader="none" w:pos="6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an increase of $150 million from the impact of the charge in the prior period related to the ULSG Model Change; partially offset by</w:t>
      </w:r>
    </w:p>
    <w:p>
      <w:pPr>
        <w:spacing w:after="0" w:line="117"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a decrease due to higher insurance-related liabilities of $65 million from the recurring impact of the ULSG Re-segmentation combined with additional loss recognition resulting from an increase in policyholder conversions from term life policies in anticipation of the discontinuance of the ULSG products.</w:t>
      </w:r>
    </w:p>
    <w:p>
      <w:pPr>
        <w:spacing w:after="0" w:line="73" w:lineRule="exact"/>
        <w:rPr>
          <w:sz w:val="20"/>
          <w:szCs w:val="20"/>
          <w:color w:val="auto"/>
        </w:rPr>
      </w:pPr>
    </w:p>
    <w:p>
      <w:pPr>
        <w:ind w:left="340"/>
        <w:spacing w:after="0"/>
        <w:rPr>
          <w:sz w:val="20"/>
          <w:szCs w:val="20"/>
          <w:color w:val="auto"/>
        </w:rPr>
      </w:pPr>
      <w:r>
        <w:rPr>
          <w:rFonts w:ascii="Arial" w:cs="Arial" w:eastAsia="Arial" w:hAnsi="Arial"/>
          <w:sz w:val="16"/>
          <w:szCs w:val="16"/>
          <w:color w:val="auto"/>
        </w:rPr>
        <w:t>Excluding the impact of the annual actuarial assumption review, insurance-related activities increased operating earnings (loss) increased by $68 million.</w:t>
      </w:r>
    </w:p>
    <w:p>
      <w:pPr>
        <w:spacing w:after="0" w:line="140"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i w:val="1"/>
          <w:iCs w:val="1"/>
          <w:color w:val="auto"/>
        </w:rPr>
        <w:t xml:space="preserve">Amortization of DAC and VOBA. </w:t>
      </w:r>
      <w:r>
        <w:rPr>
          <w:rFonts w:ascii="Arial" w:cs="Arial" w:eastAsia="Arial" w:hAnsi="Arial"/>
          <w:sz w:val="18"/>
          <w:szCs w:val="18"/>
          <w:color w:val="auto"/>
        </w:rPr>
        <w:t>Lower amortization of DAC and VOBA increased operating earnings (loss) by $260 million driven by changes in the</w:t>
      </w:r>
      <w:r>
        <w:rPr>
          <w:rFonts w:ascii="Arial" w:cs="Arial" w:eastAsia="Arial" w:hAnsi="Arial"/>
          <w:sz w:val="18"/>
          <w:szCs w:val="18"/>
          <w:i w:val="1"/>
          <w:iCs w:val="1"/>
          <w:color w:val="auto"/>
        </w:rPr>
        <w:t xml:space="preserve"> </w:t>
      </w:r>
      <w:r>
        <w:rPr>
          <w:rFonts w:ascii="Arial" w:cs="Arial" w:eastAsia="Arial" w:hAnsi="Arial"/>
          <w:sz w:val="18"/>
          <w:szCs w:val="18"/>
          <w:color w:val="auto"/>
        </w:rPr>
        <w:t>prior period related to loss recognition triggered by the ULSG Model Change.</w:t>
      </w:r>
    </w:p>
    <w:p>
      <w:pPr>
        <w:spacing w:after="0" w:line="6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i w:val="1"/>
          <w:iCs w:val="1"/>
          <w:color w:val="auto"/>
        </w:rPr>
        <w:t xml:space="preserve">Income Tax Expense (Benefit). </w:t>
      </w:r>
      <w:r>
        <w:rPr>
          <w:rFonts w:ascii="Arial" w:cs="Arial" w:eastAsia="Arial" w:hAnsi="Arial"/>
          <w:sz w:val="18"/>
          <w:szCs w:val="18"/>
          <w:color w:val="auto"/>
        </w:rPr>
        <w:t>Income tax expense for the nine months ended September 30, 2017 was $88 million, or 32% of operating earnings (loss)</w:t>
      </w:r>
      <w:r>
        <w:rPr>
          <w:rFonts w:ascii="Arial" w:cs="Arial" w:eastAsia="Arial" w:hAnsi="Arial"/>
          <w:sz w:val="18"/>
          <w:szCs w:val="18"/>
          <w:i w:val="1"/>
          <w:iCs w:val="1"/>
          <w:color w:val="auto"/>
        </w:rPr>
        <w:t xml:space="preserve"> </w:t>
      </w:r>
      <w:r>
        <w:rPr>
          <w:rFonts w:ascii="Arial" w:cs="Arial" w:eastAsia="Arial" w:hAnsi="Arial"/>
          <w:sz w:val="18"/>
          <w:szCs w:val="18"/>
          <w:color w:val="auto"/>
        </w:rPr>
        <w:t>before provision for income tax, compared to an income tax benefit of $109 million, or 37% of operating earnings (loss) before provision for income tax, for the nine months ended September 30, 2016. Our effective tax rates in both periods differ from the U.S. statutory rate of 35% primarily due to the impacts of the dividend received deductions.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Corporate &amp; Other</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960" w:type="dxa"/>
            <w:vAlign w:val="bottom"/>
            <w:gridSpan w:val="3"/>
          </w:tcPr>
          <w:p>
            <w:pPr>
              <w:jc w:val="center"/>
              <w:ind w:left="73"/>
              <w:spacing w:after="0"/>
              <w:rPr>
                <w:sz w:val="20"/>
                <w:szCs w:val="20"/>
                <w:color w:val="auto"/>
              </w:rPr>
            </w:pPr>
            <w:r>
              <w:rPr>
                <w:rFonts w:ascii="Arial" w:cs="Arial" w:eastAsia="Arial" w:hAnsi="Arial"/>
                <w:sz w:val="16"/>
                <w:szCs w:val="16"/>
                <w:b w:val="1"/>
                <w:bCs w:val="1"/>
                <w:color w:val="auto"/>
                <w:w w:val="95"/>
              </w:rPr>
              <w:t>Three Months</w:t>
            </w: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440" w:type="dxa"/>
            <w:vAlign w:val="bottom"/>
            <w:gridSpan w:val="3"/>
          </w:tcPr>
          <w:p>
            <w:pPr>
              <w:jc w:val="center"/>
              <w:ind w:left="353"/>
              <w:spacing w:after="0"/>
              <w:rPr>
                <w:sz w:val="20"/>
                <w:szCs w:val="20"/>
                <w:color w:val="auto"/>
              </w:rPr>
            </w:pPr>
            <w:r>
              <w:rPr>
                <w:rFonts w:ascii="Arial" w:cs="Arial" w:eastAsia="Arial" w:hAnsi="Arial"/>
                <w:sz w:val="16"/>
                <w:szCs w:val="16"/>
                <w:b w:val="1"/>
                <w:bCs w:val="1"/>
                <w:color w:val="auto"/>
                <w:w w:val="91"/>
              </w:rPr>
              <w:t>Nine Months</w:t>
            </w: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960" w:type="dxa"/>
            <w:vAlign w:val="bottom"/>
            <w:gridSpan w:val="3"/>
          </w:tcPr>
          <w:p>
            <w:pPr>
              <w:jc w:val="center"/>
              <w:ind w:left="33"/>
              <w:spacing w:after="0"/>
              <w:rPr>
                <w:sz w:val="20"/>
                <w:szCs w:val="20"/>
                <w:color w:val="auto"/>
              </w:rPr>
            </w:pPr>
            <w:r>
              <w:rPr>
                <w:rFonts w:ascii="Arial" w:cs="Arial" w:eastAsia="Arial" w:hAnsi="Arial"/>
                <w:sz w:val="16"/>
                <w:szCs w:val="16"/>
                <w:b w:val="1"/>
                <w:bCs w:val="1"/>
                <w:color w:val="auto"/>
                <w:w w:val="89"/>
              </w:rPr>
              <w:t>Ended</w:t>
            </w: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440" w:type="dxa"/>
            <w:vAlign w:val="bottom"/>
            <w:gridSpan w:val="3"/>
          </w:tcPr>
          <w:p>
            <w:pPr>
              <w:jc w:val="center"/>
              <w:ind w:left="313"/>
              <w:spacing w:after="0"/>
              <w:rPr>
                <w:sz w:val="20"/>
                <w:szCs w:val="20"/>
                <w:color w:val="auto"/>
              </w:rPr>
            </w:pPr>
            <w:r>
              <w:rPr>
                <w:rFonts w:ascii="Arial" w:cs="Arial" w:eastAsia="Arial" w:hAnsi="Arial"/>
                <w:sz w:val="16"/>
                <w:szCs w:val="16"/>
                <w:b w:val="1"/>
                <w:bCs w:val="1"/>
                <w:color w:val="auto"/>
                <w:w w:val="89"/>
              </w:rPr>
              <w:t>Ended</w:t>
            </w: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960" w:type="dxa"/>
            <w:vAlign w:val="bottom"/>
            <w:gridSpan w:val="3"/>
          </w:tcPr>
          <w:p>
            <w:pPr>
              <w:jc w:val="center"/>
              <w:ind w:left="73"/>
              <w:spacing w:after="0"/>
              <w:rPr>
                <w:sz w:val="20"/>
                <w:szCs w:val="20"/>
                <w:color w:val="auto"/>
              </w:rPr>
            </w:pPr>
            <w:r>
              <w:rPr>
                <w:rFonts w:ascii="Arial" w:cs="Arial" w:eastAsia="Arial" w:hAnsi="Arial"/>
                <w:sz w:val="16"/>
                <w:szCs w:val="16"/>
                <w:b w:val="1"/>
                <w:bCs w:val="1"/>
                <w:color w:val="auto"/>
                <w:w w:val="91"/>
              </w:rPr>
              <w:t>September 30,</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40" w:type="dxa"/>
            <w:vAlign w:val="bottom"/>
            <w:gridSpan w:val="3"/>
          </w:tcPr>
          <w:p>
            <w:pPr>
              <w:jc w:val="center"/>
              <w:ind w:left="353"/>
              <w:spacing w:after="0"/>
              <w:rPr>
                <w:sz w:val="20"/>
                <w:szCs w:val="20"/>
                <w:color w:val="auto"/>
              </w:rPr>
            </w:pPr>
            <w:r>
              <w:rPr>
                <w:rFonts w:ascii="Arial" w:cs="Arial" w:eastAsia="Arial" w:hAnsi="Arial"/>
                <w:sz w:val="16"/>
                <w:szCs w:val="16"/>
                <w:b w:val="1"/>
                <w:bCs w:val="1"/>
                <w:color w:val="auto"/>
                <w:w w:val="91"/>
              </w:rPr>
              <w:t>September 30,</w:t>
            </w: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21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4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jc w:val="right"/>
              <w:ind w:right="393"/>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b w:val="1"/>
                <w:bCs w:val="1"/>
                <w:color w:val="auto"/>
              </w:rPr>
              <w:t>2016</w:t>
            </w:r>
          </w:p>
        </w:tc>
        <w:tc>
          <w:tcPr>
            <w:tcW w:w="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80" w:type="dxa"/>
            <w:vAlign w:val="bottom"/>
          </w:tcPr>
          <w:p>
            <w:pPr>
              <w:jc w:val="right"/>
              <w:ind w:right="393"/>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20" w:type="dxa"/>
            <w:vAlign w:val="bottom"/>
          </w:tcPr>
          <w:p>
            <w:pPr>
              <w:jc w:val="right"/>
              <w:ind w:right="391"/>
              <w:spacing w:after="0"/>
              <w:rPr>
                <w:sz w:val="20"/>
                <w:szCs w:val="20"/>
                <w:color w:val="auto"/>
              </w:rPr>
            </w:pPr>
            <w:r>
              <w:rPr>
                <w:rFonts w:ascii="Arial" w:cs="Arial" w:eastAsia="Arial" w:hAnsi="Arial"/>
                <w:sz w:val="16"/>
                <w:szCs w:val="16"/>
                <w:b w:val="1"/>
                <w:bCs w:val="1"/>
                <w:color w:val="auto"/>
                <w:w w:val="89"/>
              </w:rPr>
              <w:t>2016</w:t>
            </w: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1500" w:type="dxa"/>
            <w:vAlign w:val="bottom"/>
            <w:vMerge w:val="restart"/>
          </w:tcPr>
          <w:p>
            <w:pPr>
              <w:spacing w:after="0"/>
              <w:rPr>
                <w:sz w:val="20"/>
                <w:szCs w:val="20"/>
                <w:color w:val="auto"/>
              </w:rPr>
            </w:pPr>
            <w:r>
              <w:rPr>
                <w:rFonts w:ascii="Arial" w:cs="Arial" w:eastAsia="Arial" w:hAnsi="Arial"/>
                <w:sz w:val="18"/>
                <w:szCs w:val="18"/>
                <w:b w:val="1"/>
                <w:bCs w:val="1"/>
                <w:color w:val="auto"/>
                <w:w w:val="94"/>
              </w:rPr>
              <w:t>Corporate &amp; Other</w:t>
            </w:r>
          </w:p>
        </w:tc>
        <w:tc>
          <w:tcPr>
            <w:tcW w:w="21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gridSpan w:val="3"/>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8"/>
        </w:trPr>
        <w:tc>
          <w:tcPr>
            <w:tcW w:w="40" w:type="dxa"/>
            <w:vAlign w:val="bottom"/>
          </w:tcPr>
          <w:p>
            <w:pPr>
              <w:spacing w:after="0"/>
              <w:rPr>
                <w:sz w:val="15"/>
                <w:szCs w:val="15"/>
                <w:color w:val="auto"/>
              </w:rPr>
            </w:pPr>
          </w:p>
        </w:tc>
        <w:tc>
          <w:tcPr>
            <w:tcW w:w="1500" w:type="dxa"/>
            <w:vAlign w:val="bottom"/>
            <w:tcBorders>
              <w:bottom w:val="single" w:sz="8" w:color="auto"/>
            </w:tcBorders>
            <w:vMerge w:val="continue"/>
          </w:tcPr>
          <w:p>
            <w:pPr>
              <w:spacing w:after="0"/>
              <w:rPr>
                <w:sz w:val="15"/>
                <w:szCs w:val="15"/>
                <w:color w:val="auto"/>
              </w:rPr>
            </w:pPr>
          </w:p>
        </w:tc>
        <w:tc>
          <w:tcPr>
            <w:tcW w:w="21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94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millions)</w:t>
            </w: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1500" w:type="dxa"/>
            <w:vAlign w:val="bottom"/>
          </w:tcPr>
          <w:p>
            <w:pPr>
              <w:spacing w:after="0"/>
              <w:rPr>
                <w:sz w:val="4"/>
                <w:szCs w:val="4"/>
                <w:color w:val="auto"/>
              </w:rPr>
            </w:pPr>
          </w:p>
        </w:tc>
        <w:tc>
          <w:tcPr>
            <w:tcW w:w="216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60" w:type="dxa"/>
            <w:vAlign w:val="bottom"/>
          </w:tcPr>
          <w:p>
            <w:pPr>
              <w:spacing w:after="0"/>
              <w:rPr>
                <w:sz w:val="4"/>
                <w:szCs w:val="4"/>
                <w:color w:val="auto"/>
              </w:rPr>
            </w:pPr>
          </w:p>
        </w:tc>
        <w:tc>
          <w:tcPr>
            <w:tcW w:w="420" w:type="dxa"/>
            <w:vAlign w:val="bottom"/>
          </w:tcPr>
          <w:p>
            <w:pPr>
              <w:spacing w:after="0"/>
              <w:rPr>
                <w:sz w:val="4"/>
                <w:szCs w:val="4"/>
                <w:color w:val="auto"/>
              </w:rPr>
            </w:pPr>
          </w:p>
        </w:tc>
        <w:tc>
          <w:tcPr>
            <w:tcW w:w="120" w:type="dxa"/>
            <w:vAlign w:val="bottom"/>
          </w:tcPr>
          <w:p>
            <w:pPr>
              <w:spacing w:after="0"/>
              <w:rPr>
                <w:sz w:val="4"/>
                <w:szCs w:val="4"/>
                <w:color w:val="auto"/>
              </w:rPr>
            </w:pPr>
          </w:p>
        </w:tc>
        <w:tc>
          <w:tcPr>
            <w:tcW w:w="400" w:type="dxa"/>
            <w:vAlign w:val="bottom"/>
          </w:tcPr>
          <w:p>
            <w:pPr>
              <w:spacing w:after="0"/>
              <w:rPr>
                <w:sz w:val="4"/>
                <w:szCs w:val="4"/>
                <w:color w:val="auto"/>
              </w:rPr>
            </w:pPr>
          </w:p>
        </w:tc>
        <w:tc>
          <w:tcPr>
            <w:tcW w:w="880" w:type="dxa"/>
            <w:vAlign w:val="bottom"/>
          </w:tcPr>
          <w:p>
            <w:pPr>
              <w:spacing w:after="0"/>
              <w:rPr>
                <w:sz w:val="4"/>
                <w:szCs w:val="4"/>
                <w:color w:val="auto"/>
              </w:rPr>
            </w:pPr>
          </w:p>
        </w:tc>
        <w:tc>
          <w:tcPr>
            <w:tcW w:w="100" w:type="dxa"/>
            <w:vAlign w:val="bottom"/>
          </w:tcPr>
          <w:p>
            <w:pPr>
              <w:spacing w:after="0"/>
              <w:rPr>
                <w:sz w:val="4"/>
                <w:szCs w:val="4"/>
                <w:color w:val="auto"/>
              </w:rPr>
            </w:pPr>
          </w:p>
        </w:tc>
        <w:tc>
          <w:tcPr>
            <w:tcW w:w="460" w:type="dxa"/>
            <w:vAlign w:val="bottom"/>
          </w:tcPr>
          <w:p>
            <w:pPr>
              <w:spacing w:after="0"/>
              <w:rPr>
                <w:sz w:val="4"/>
                <w:szCs w:val="4"/>
                <w:color w:val="auto"/>
              </w:rPr>
            </w:pPr>
          </w:p>
        </w:tc>
        <w:tc>
          <w:tcPr>
            <w:tcW w:w="8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37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Fee income</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653"/>
              <w:spacing w:after="0"/>
              <w:rPr>
                <w:sz w:val="20"/>
                <w:szCs w:val="20"/>
                <w:color w:val="auto"/>
              </w:rPr>
            </w:pPr>
            <w:r>
              <w:rPr>
                <w:rFonts w:ascii="Arial" w:cs="Arial" w:eastAsia="Arial" w:hAnsi="Arial"/>
                <w:sz w:val="18"/>
                <w:szCs w:val="18"/>
                <w:color w:val="auto"/>
                <w:w w:val="99"/>
              </w:rPr>
              <w:t>$</w:t>
            </w: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43"/>
        </w:trPr>
        <w:tc>
          <w:tcPr>
            <w:tcW w:w="3700" w:type="dxa"/>
            <w:vAlign w:val="bottom"/>
            <w:gridSpan w:val="3"/>
          </w:tcPr>
          <w:p>
            <w:pPr>
              <w:ind w:left="40"/>
              <w:spacing w:after="0"/>
              <w:rPr>
                <w:sz w:val="20"/>
                <w:szCs w:val="20"/>
                <w:color w:val="auto"/>
              </w:rPr>
            </w:pPr>
            <w:r>
              <w:rPr>
                <w:rFonts w:ascii="Arial" w:cs="Arial" w:eastAsia="Arial" w:hAnsi="Arial"/>
                <w:sz w:val="18"/>
                <w:szCs w:val="18"/>
                <w:color w:val="auto"/>
              </w:rPr>
              <w:t>Net investment spread</w:t>
            </w:r>
          </w:p>
        </w:tc>
        <w:tc>
          <w:tcPr>
            <w:tcW w:w="300" w:type="dxa"/>
            <w:vAlign w:val="bottom"/>
          </w:tcPr>
          <w:p>
            <w:pPr>
              <w:spacing w:after="0"/>
              <w:rPr>
                <w:sz w:val="21"/>
                <w:szCs w:val="21"/>
                <w:color w:val="auto"/>
              </w:rPr>
            </w:pPr>
          </w:p>
        </w:tc>
        <w:tc>
          <w:tcPr>
            <w:tcW w:w="1000" w:type="dxa"/>
            <w:vAlign w:val="bottom"/>
          </w:tcPr>
          <w:p>
            <w:pPr>
              <w:jc w:val="right"/>
              <w:ind w:right="13"/>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420" w:type="dxa"/>
            <w:vAlign w:val="bottom"/>
          </w:tcPr>
          <w:p>
            <w:pPr>
              <w:jc w:val="right"/>
              <w:ind w:right="12"/>
              <w:spacing w:after="0"/>
              <w:rPr>
                <w:sz w:val="20"/>
                <w:szCs w:val="20"/>
                <w:color w:val="auto"/>
              </w:rPr>
            </w:pPr>
            <w:r>
              <w:rPr>
                <w:rFonts w:ascii="Arial" w:cs="Arial" w:eastAsia="Arial" w:hAnsi="Arial"/>
                <w:sz w:val="18"/>
                <w:szCs w:val="18"/>
                <w:color w:val="auto"/>
                <w:w w:val="99"/>
              </w:rPr>
              <w:t>103</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80" w:type="dxa"/>
            <w:vAlign w:val="bottom"/>
          </w:tcPr>
          <w:p>
            <w:pPr>
              <w:jc w:val="right"/>
              <w:ind w:right="13"/>
              <w:spacing w:after="0"/>
              <w:rPr>
                <w:sz w:val="20"/>
                <w:szCs w:val="20"/>
                <w:color w:val="auto"/>
              </w:rPr>
            </w:pPr>
            <w:r>
              <w:rPr>
                <w:rFonts w:ascii="Arial" w:cs="Arial" w:eastAsia="Arial" w:hAnsi="Arial"/>
                <w:sz w:val="18"/>
                <w:szCs w:val="18"/>
                <w:color w:val="auto"/>
              </w:rPr>
              <w:t>159</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187</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2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Insurance-related activities</w:t>
            </w: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33</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43"/>
        </w:trPr>
        <w:tc>
          <w:tcPr>
            <w:tcW w:w="3700" w:type="dxa"/>
            <w:vAlign w:val="bottom"/>
            <w:gridSpan w:val="3"/>
          </w:tcPr>
          <w:p>
            <w:pPr>
              <w:ind w:left="40"/>
              <w:spacing w:after="0"/>
              <w:rPr>
                <w:sz w:val="20"/>
                <w:szCs w:val="20"/>
                <w:color w:val="auto"/>
              </w:rPr>
            </w:pPr>
            <w:r>
              <w:rPr>
                <w:rFonts w:ascii="Arial" w:cs="Arial" w:eastAsia="Arial" w:hAnsi="Arial"/>
                <w:sz w:val="18"/>
                <w:szCs w:val="18"/>
                <w:color w:val="auto"/>
              </w:rPr>
              <w:t>Amortization of DAC and VOBA</w:t>
            </w: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2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7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Other expenses, net of DAC capitalization</w:t>
            </w:r>
          </w:p>
        </w:tc>
        <w:tc>
          <w:tcPr>
            <w:tcW w:w="3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(129)</w:t>
            </w:r>
          </w:p>
        </w:tc>
        <w:tc>
          <w:tcPr>
            <w:tcW w:w="10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1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(228)</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(176)</w:t>
            </w:r>
          </w:p>
        </w:tc>
        <w:tc>
          <w:tcPr>
            <w:tcW w:w="0" w:type="dxa"/>
            <w:vAlign w:val="bottom"/>
          </w:tcPr>
          <w:p>
            <w:pPr>
              <w:spacing w:after="0"/>
              <w:rPr>
                <w:sz w:val="1"/>
                <w:szCs w:val="1"/>
                <w:color w:val="auto"/>
              </w:rPr>
            </w:pPr>
          </w:p>
        </w:tc>
      </w:tr>
      <w:tr>
        <w:trPr>
          <w:trHeight w:val="209"/>
        </w:trPr>
        <w:tc>
          <w:tcPr>
            <w:tcW w:w="40" w:type="dxa"/>
            <w:vAlign w:val="bottom"/>
          </w:tcPr>
          <w:p>
            <w:pPr>
              <w:spacing w:after="0"/>
              <w:rPr>
                <w:sz w:val="18"/>
                <w:szCs w:val="18"/>
                <w:color w:val="auto"/>
              </w:rPr>
            </w:pPr>
          </w:p>
        </w:tc>
        <w:tc>
          <w:tcPr>
            <w:tcW w:w="3660" w:type="dxa"/>
            <w:vAlign w:val="bottom"/>
            <w:gridSpan w:val="2"/>
          </w:tcPr>
          <w:p>
            <w:pPr>
              <w:ind w:left="160"/>
              <w:spacing w:after="0"/>
              <w:rPr>
                <w:sz w:val="20"/>
                <w:szCs w:val="20"/>
                <w:color w:val="auto"/>
              </w:rPr>
            </w:pPr>
            <w:r>
              <w:rPr>
                <w:rFonts w:ascii="Arial" w:cs="Arial" w:eastAsia="Arial" w:hAnsi="Arial"/>
                <w:sz w:val="18"/>
                <w:szCs w:val="18"/>
                <w:color w:val="auto"/>
                <w:w w:val="96"/>
              </w:rPr>
              <w:t>Operating earnings (loss) before provision for</w:t>
            </w:r>
          </w:p>
        </w:tc>
        <w:tc>
          <w:tcPr>
            <w:tcW w:w="30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20"/>
                <w:szCs w:val="20"/>
                <w:color w:val="auto"/>
              </w:rPr>
            </w:pPr>
          </w:p>
        </w:tc>
        <w:tc>
          <w:tcPr>
            <w:tcW w:w="3660" w:type="dxa"/>
            <w:vAlign w:val="bottom"/>
            <w:gridSpan w:val="2"/>
          </w:tcPr>
          <w:p>
            <w:pPr>
              <w:ind w:left="320"/>
              <w:spacing w:after="0"/>
              <w:rPr>
                <w:sz w:val="20"/>
                <w:szCs w:val="20"/>
                <w:color w:val="auto"/>
              </w:rPr>
            </w:pPr>
            <w:r>
              <w:rPr>
                <w:rFonts w:ascii="Arial" w:cs="Arial" w:eastAsia="Arial" w:hAnsi="Arial"/>
                <w:sz w:val="18"/>
                <w:szCs w:val="18"/>
                <w:color w:val="auto"/>
              </w:rPr>
              <w:t>income tax</w:t>
            </w: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(95)</w:t>
            </w: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420" w:type="dxa"/>
            <w:vAlign w:val="bottom"/>
          </w:tcPr>
          <w:p>
            <w:pPr>
              <w:jc w:val="right"/>
              <w:ind w:right="12"/>
              <w:spacing w:after="0"/>
              <w:rPr>
                <w:sz w:val="20"/>
                <w:szCs w:val="20"/>
                <w:color w:val="auto"/>
              </w:rPr>
            </w:pPr>
            <w:r>
              <w:rPr>
                <w:rFonts w:ascii="Arial" w:cs="Arial" w:eastAsia="Arial" w:hAnsi="Arial"/>
                <w:sz w:val="18"/>
                <w:szCs w:val="18"/>
                <w:color w:val="auto"/>
              </w:rPr>
              <w:t>38</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(61)</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2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7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Provisions for income tax expense (benefit)</w:t>
            </w:r>
          </w:p>
        </w:tc>
        <w:tc>
          <w:tcPr>
            <w:tcW w:w="3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1,025</w:t>
            </w:r>
          </w:p>
        </w:tc>
        <w:tc>
          <w:tcPr>
            <w:tcW w:w="10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w:t>
            </w:r>
          </w:p>
        </w:tc>
        <w:tc>
          <w:tcPr>
            <w:tcW w:w="1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1,015</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3660" w:type="dxa"/>
            <w:vAlign w:val="bottom"/>
            <w:gridSpan w:val="2"/>
          </w:tcPr>
          <w:p>
            <w:pPr>
              <w:ind w:left="160"/>
              <w:spacing w:after="0"/>
              <w:rPr>
                <w:sz w:val="20"/>
                <w:szCs w:val="20"/>
                <w:color w:val="auto"/>
              </w:rPr>
            </w:pPr>
            <w:r>
              <w:rPr>
                <w:rFonts w:ascii="Arial" w:cs="Arial" w:eastAsia="Arial" w:hAnsi="Arial"/>
                <w:sz w:val="18"/>
                <w:szCs w:val="18"/>
                <w:color w:val="auto"/>
              </w:rPr>
              <w:t>Operating earnings (loss)</w:t>
            </w: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(1,120)</w:t>
            </w:r>
          </w:p>
        </w:tc>
        <w:tc>
          <w:tcPr>
            <w:tcW w:w="100" w:type="dxa"/>
            <w:vAlign w:val="bottom"/>
          </w:tcPr>
          <w:p>
            <w:pPr>
              <w:spacing w:after="0"/>
              <w:rPr>
                <w:sz w:val="20"/>
                <w:szCs w:val="20"/>
                <w:color w:val="auto"/>
              </w:rPr>
            </w:pPr>
          </w:p>
        </w:tc>
        <w:tc>
          <w:tcPr>
            <w:tcW w:w="860" w:type="dxa"/>
            <w:vAlign w:val="bottom"/>
            <w:tcBorders>
              <w:top w:val="single" w:sz="8" w:color="auto"/>
            </w:tcBorders>
          </w:tcPr>
          <w:p>
            <w:pPr>
              <w:jc w:val="right"/>
              <w:ind w:right="653"/>
              <w:spacing w:after="0"/>
              <w:rPr>
                <w:sz w:val="20"/>
                <w:szCs w:val="20"/>
                <w:color w:val="auto"/>
              </w:rPr>
            </w:pPr>
            <w:r>
              <w:rPr>
                <w:rFonts w:ascii="Arial" w:cs="Arial" w:eastAsia="Arial" w:hAnsi="Arial"/>
                <w:sz w:val="18"/>
                <w:szCs w:val="18"/>
                <w:color w:val="auto"/>
                <w:w w:val="99"/>
              </w:rPr>
              <w:t>$</w:t>
            </w:r>
          </w:p>
        </w:tc>
        <w:tc>
          <w:tcPr>
            <w:tcW w:w="4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30</w:t>
            </w:r>
          </w:p>
        </w:tc>
        <w:tc>
          <w:tcPr>
            <w:tcW w:w="120" w:type="dxa"/>
            <w:vAlign w:val="bottom"/>
          </w:tcPr>
          <w:p>
            <w:pPr>
              <w:spacing w:after="0"/>
              <w:rPr>
                <w:sz w:val="20"/>
                <w:szCs w:val="20"/>
                <w:color w:val="auto"/>
              </w:rPr>
            </w:pPr>
          </w:p>
        </w:tc>
        <w:tc>
          <w:tcPr>
            <w:tcW w:w="40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(1,076)</w:t>
            </w:r>
          </w:p>
        </w:tc>
        <w:tc>
          <w:tcPr>
            <w:tcW w:w="100" w:type="dxa"/>
            <w:vAlign w:val="bottom"/>
          </w:tcPr>
          <w:p>
            <w:pPr>
              <w:spacing w:after="0"/>
              <w:rPr>
                <w:sz w:val="20"/>
                <w:szCs w:val="20"/>
                <w:color w:val="auto"/>
              </w:rPr>
            </w:pPr>
          </w:p>
        </w:tc>
        <w:tc>
          <w:tcPr>
            <w:tcW w:w="46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21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Three Months Ended September 30, 2017 Compared with the Three Months Ended September 30, 2016</w:t>
      </w:r>
    </w:p>
    <w:p>
      <w:pPr>
        <w:spacing w:after="0" w:line="15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Unless otherwise noted, all amounts in the following discussion are net of income tax.</w:t>
      </w:r>
    </w:p>
    <w:p>
      <w:pPr>
        <w:spacing w:after="0" w:line="117" w:lineRule="exact"/>
        <w:rPr>
          <w:sz w:val="20"/>
          <w:szCs w:val="20"/>
          <w:color w:val="auto"/>
        </w:rPr>
      </w:pPr>
    </w:p>
    <w:p>
      <w:pPr>
        <w:ind w:firstLine="324"/>
        <w:spacing w:after="0" w:line="342" w:lineRule="auto"/>
        <w:rPr>
          <w:sz w:val="20"/>
          <w:szCs w:val="20"/>
          <w:color w:val="auto"/>
        </w:rPr>
      </w:pPr>
      <w:r>
        <w:rPr>
          <w:rFonts w:ascii="Arial" w:cs="Arial" w:eastAsia="Arial" w:hAnsi="Arial"/>
          <w:sz w:val="16"/>
          <w:szCs w:val="16"/>
          <w:i w:val="1"/>
          <w:iCs w:val="1"/>
          <w:color w:val="auto"/>
        </w:rPr>
        <w:t xml:space="preserve">Overview. </w:t>
      </w:r>
      <w:r>
        <w:rPr>
          <w:rFonts w:ascii="Arial" w:cs="Arial" w:eastAsia="Arial" w:hAnsi="Arial"/>
          <w:sz w:val="16"/>
          <w:szCs w:val="16"/>
          <w:color w:val="auto"/>
        </w:rPr>
        <w:t>Operating earnings (loss) decreased by $1.2 billion, primarily due to a non-cash tax charge triggered prior to the Separation. Excluding the</w:t>
      </w:r>
      <w:r>
        <w:rPr>
          <w:rFonts w:ascii="Arial" w:cs="Arial" w:eastAsia="Arial" w:hAnsi="Arial"/>
          <w:sz w:val="16"/>
          <w:szCs w:val="16"/>
          <w:i w:val="1"/>
          <w:iCs w:val="1"/>
          <w:color w:val="auto"/>
        </w:rPr>
        <w:t xml:space="preserve"> </w:t>
      </w:r>
      <w:r>
        <w:rPr>
          <w:rFonts w:ascii="Arial" w:cs="Arial" w:eastAsia="Arial" w:hAnsi="Arial"/>
          <w:sz w:val="16"/>
          <w:szCs w:val="16"/>
          <w:color w:val="auto"/>
        </w:rPr>
        <w:t>impact of this tax adjustment, operating earnings (loss) decreased by $77 million, primarily due to lower net investment income and higher expenses.</w:t>
      </w:r>
    </w:p>
    <w:p>
      <w:pPr>
        <w:spacing w:after="0" w:line="16"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i w:val="1"/>
          <w:iCs w:val="1"/>
          <w:color w:val="auto"/>
        </w:rPr>
        <w:t xml:space="preserve">Net Investment Spread. </w:t>
      </w:r>
      <w:r>
        <w:rPr>
          <w:rFonts w:ascii="Arial" w:cs="Arial" w:eastAsia="Arial" w:hAnsi="Arial"/>
          <w:sz w:val="18"/>
          <w:szCs w:val="18"/>
          <w:color w:val="auto"/>
        </w:rPr>
        <w:t>Lower net investment income decreased operating earnings (loss) by $44 million, primarily driven by (i) lower returns on other</w:t>
      </w:r>
      <w:r>
        <w:rPr>
          <w:rFonts w:ascii="Arial" w:cs="Arial" w:eastAsia="Arial" w:hAnsi="Arial"/>
          <w:sz w:val="18"/>
          <w:szCs w:val="18"/>
          <w:i w:val="1"/>
          <w:iCs w:val="1"/>
          <w:color w:val="auto"/>
        </w:rPr>
        <w:t xml:space="preserve"> </w:t>
      </w:r>
      <w:r>
        <w:rPr>
          <w:rFonts w:ascii="Arial" w:cs="Arial" w:eastAsia="Arial" w:hAnsi="Arial"/>
          <w:sz w:val="18"/>
          <w:szCs w:val="18"/>
          <w:color w:val="auto"/>
        </w:rPr>
        <w:t>limited partnerships, (ii) a reduction in the invested asset base, (iii) decreased income on interest rate</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1420"/>
          </w:cols>
          <w:pgMar w:left="240" w:top="126" w:right="239" w:bottom="1440" w:gutter="0" w:footer="0" w:header="0"/>
        </w:sectPr>
      </w:pPr>
    </w:p>
    <w:bookmarkStart w:id="102" w:name="page103"/>
    <w:bookmarkEnd w:id="102"/>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derivatives, and (iv) lower income from our securities lending program. These decreases were partially offset by the impact from a lower interest credited rate on allocated equity. The invested asset base decreased primarily due to a reduction in the allocated equity managed on behalf of the segments as well as a cash distribution paid to MetLife in the current period in connection with the Separation. Income from our securities lending program decreased as a result of a reduction in program size as well as lower margins resulting from a flatter yield curve.</w:t>
      </w:r>
    </w:p>
    <w:p>
      <w:pPr>
        <w:spacing w:after="0" w:line="79"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i w:val="1"/>
          <w:iCs w:val="1"/>
          <w:color w:val="auto"/>
        </w:rPr>
        <w:t xml:space="preserve">Other Expenses, Net of DAC Capitalization. </w:t>
      </w:r>
      <w:r>
        <w:rPr>
          <w:rFonts w:ascii="Arial" w:cs="Arial" w:eastAsia="Arial" w:hAnsi="Arial"/>
          <w:sz w:val="17"/>
          <w:szCs w:val="17"/>
          <w:color w:val="auto"/>
        </w:rPr>
        <w:t>Higher expenses decreased operating earnings (loss) by $42 million, primarily due to separation-related</w:t>
      </w:r>
      <w:r>
        <w:rPr>
          <w:rFonts w:ascii="Arial" w:cs="Arial" w:eastAsia="Arial" w:hAnsi="Arial"/>
          <w:sz w:val="17"/>
          <w:szCs w:val="17"/>
          <w:i w:val="1"/>
          <w:iCs w:val="1"/>
          <w:color w:val="auto"/>
        </w:rPr>
        <w:t xml:space="preserve"> </w:t>
      </w:r>
      <w:r>
        <w:rPr>
          <w:rFonts w:ascii="Arial" w:cs="Arial" w:eastAsia="Arial" w:hAnsi="Arial"/>
          <w:sz w:val="17"/>
          <w:szCs w:val="17"/>
          <w:color w:val="auto"/>
        </w:rPr>
        <w:t>system implementation and branding costs as well as the inter-segment reallocation of full-year corporate branding costs. These increases were partially offset by lower project-related costs and lower marketing costs associated with our U.S. direct to consumer business.</w:t>
      </w:r>
    </w:p>
    <w:p>
      <w:pPr>
        <w:spacing w:after="0" w:line="57"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i w:val="1"/>
          <w:iCs w:val="1"/>
          <w:color w:val="auto"/>
        </w:rPr>
        <w:t xml:space="preserve">Income Tax Expense (Benefit). </w:t>
      </w:r>
      <w:r>
        <w:rPr>
          <w:rFonts w:ascii="Arial" w:cs="Arial" w:eastAsia="Arial" w:hAnsi="Arial"/>
          <w:sz w:val="18"/>
          <w:szCs w:val="18"/>
          <w:color w:val="auto"/>
        </w:rPr>
        <w:t>Income tax expense for the three months ended September 30, 2017 was $1.0 billion compared to $8 million for the three</w:t>
      </w:r>
      <w:r>
        <w:rPr>
          <w:rFonts w:ascii="Arial" w:cs="Arial" w:eastAsia="Arial" w:hAnsi="Arial"/>
          <w:sz w:val="18"/>
          <w:szCs w:val="18"/>
          <w:i w:val="1"/>
          <w:iCs w:val="1"/>
          <w:color w:val="auto"/>
        </w:rPr>
        <w:t xml:space="preserve"> </w:t>
      </w:r>
      <w:r>
        <w:rPr>
          <w:rFonts w:ascii="Arial" w:cs="Arial" w:eastAsia="Arial" w:hAnsi="Arial"/>
          <w:sz w:val="18"/>
          <w:szCs w:val="18"/>
          <w:color w:val="auto"/>
        </w:rPr>
        <w:t>months ended September 30, 2016. Our effective tax rate typically differs from the U.S. statutory rate of 35% primarily due to the utilization of tax credits. We recognized a $1.1 billion non-cash tax charge triggered prior to the Separation. We also recognized an additional tax charge of $8 million related to tax credits as well as a downward adjustment of reserves by $20 million. These adjustments resulted in effective tax rate percentages that are not meaningful for comparison purposes and accordingly have not been included.</w:t>
      </w:r>
    </w:p>
    <w:p>
      <w:pPr>
        <w:spacing w:after="0" w:line="80"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Nine Months Ended September 30, 2017 Compared with the Nine Months Ended September 30, 2016</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Unless otherwise noted, all amounts in the following discussion are net of income tax.</w:t>
      </w:r>
    </w:p>
    <w:p>
      <w:pPr>
        <w:spacing w:after="0" w:line="117"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i w:val="1"/>
          <w:iCs w:val="1"/>
          <w:color w:val="auto"/>
        </w:rPr>
        <w:t xml:space="preserve">Overview. </w:t>
      </w:r>
      <w:r>
        <w:rPr>
          <w:rFonts w:ascii="Arial" w:cs="Arial" w:eastAsia="Arial" w:hAnsi="Arial"/>
          <w:sz w:val="18"/>
          <w:szCs w:val="18"/>
          <w:color w:val="auto"/>
        </w:rPr>
        <w:t>Operating earnings (loss) decreased by $1.1 billion, primarily due to a one-time non-cash tax charge triggered prior to the Separation.</w:t>
      </w:r>
      <w:r>
        <w:rPr>
          <w:rFonts w:ascii="Arial" w:cs="Arial" w:eastAsia="Arial" w:hAnsi="Arial"/>
          <w:sz w:val="18"/>
          <w:szCs w:val="18"/>
          <w:i w:val="1"/>
          <w:iCs w:val="1"/>
          <w:color w:val="auto"/>
        </w:rPr>
        <w:t xml:space="preserve"> </w:t>
      </w:r>
      <w:r>
        <w:rPr>
          <w:rFonts w:ascii="Arial" w:cs="Arial" w:eastAsia="Arial" w:hAnsi="Arial"/>
          <w:sz w:val="18"/>
          <w:szCs w:val="18"/>
          <w:color w:val="auto"/>
        </w:rPr>
        <w:t>Excluding the impact of this tax adjustment, operating earnings (loss) decreased by $30 million, primarily due to higher expenses and lower net investment income.</w:t>
      </w:r>
    </w:p>
    <w:p>
      <w:pPr>
        <w:spacing w:after="0" w:line="73"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i w:val="1"/>
          <w:iCs w:val="1"/>
          <w:color w:val="auto"/>
        </w:rPr>
        <w:t xml:space="preserve">Net Investment Spread. </w:t>
      </w:r>
      <w:r>
        <w:rPr>
          <w:rFonts w:ascii="Arial" w:cs="Arial" w:eastAsia="Arial" w:hAnsi="Arial"/>
          <w:sz w:val="18"/>
          <w:szCs w:val="18"/>
          <w:color w:val="auto"/>
        </w:rPr>
        <w:t>Lower net investment income decreased operating earnings (loss) by $18 million, primarily driven by (i) a lower invested asset</w:t>
      </w:r>
      <w:r>
        <w:rPr>
          <w:rFonts w:ascii="Arial" w:cs="Arial" w:eastAsia="Arial" w:hAnsi="Arial"/>
          <w:sz w:val="18"/>
          <w:szCs w:val="18"/>
          <w:i w:val="1"/>
          <w:iCs w:val="1"/>
          <w:color w:val="auto"/>
        </w:rPr>
        <w:t xml:space="preserve"> </w:t>
      </w:r>
      <w:r>
        <w:rPr>
          <w:rFonts w:ascii="Arial" w:cs="Arial" w:eastAsia="Arial" w:hAnsi="Arial"/>
          <w:sz w:val="18"/>
          <w:szCs w:val="18"/>
          <w:color w:val="auto"/>
        </w:rPr>
        <w:t>base, (ii) lower returns on other limited partnerships and (iii) lower income from our securities lending program. These decreases were partially offset by the impact from a lower interest credited rate on allocated equity, increased income on interest rate derivatives and the maturity of lower yielding fixed maturity securities. The invested asset base decreased as a result of the termination of certain collateral financing arrangements in connection with the formation of BRCD and a cash distribution paid to MetLife in the current period in connection with the Separation as well as a reduction in the allocated equity managed on behalf of the segments. Income from our securities lending program decreased as a result of a reduction in program size as well as lower margins resulting from a flatter yield curve.</w:t>
      </w:r>
    </w:p>
    <w:p>
      <w:pPr>
        <w:spacing w:after="0" w:line="8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i w:val="1"/>
          <w:iCs w:val="1"/>
          <w:color w:val="auto"/>
        </w:rPr>
        <w:t xml:space="preserve">Other Expenses, Net of DAC Capitalization. </w:t>
      </w:r>
      <w:r>
        <w:rPr>
          <w:rFonts w:ascii="Arial" w:cs="Arial" w:eastAsia="Arial" w:hAnsi="Arial"/>
          <w:sz w:val="18"/>
          <w:szCs w:val="18"/>
          <w:color w:val="auto"/>
        </w:rPr>
        <w:t>Higher expenses decreased operating earnings (loss) by $34 million, primarily due to separation-related</w:t>
      </w:r>
      <w:r>
        <w:rPr>
          <w:rFonts w:ascii="Arial" w:cs="Arial" w:eastAsia="Arial" w:hAnsi="Arial"/>
          <w:sz w:val="18"/>
          <w:szCs w:val="18"/>
          <w:i w:val="1"/>
          <w:iCs w:val="1"/>
          <w:color w:val="auto"/>
        </w:rPr>
        <w:t xml:space="preserve"> </w:t>
      </w:r>
      <w:r>
        <w:rPr>
          <w:rFonts w:ascii="Arial" w:cs="Arial" w:eastAsia="Arial" w:hAnsi="Arial"/>
          <w:sz w:val="18"/>
          <w:szCs w:val="18"/>
          <w:color w:val="auto"/>
        </w:rPr>
        <w:t>system implementation and branding costs as well as the inter-segment reallocation of full-year corporate branding costs. These increases in expenses were partially offset by lower project-related costs, lower marketing costs associated with our U.S. direct to consumer business and lower letter of credit fees in connection with the formation of BRCD.</w:t>
      </w:r>
    </w:p>
    <w:p>
      <w:pPr>
        <w:spacing w:after="0" w:line="79"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i w:val="1"/>
          <w:iCs w:val="1"/>
          <w:color w:val="auto"/>
        </w:rPr>
        <w:t xml:space="preserve">Income Tax Expense (Benefit). </w:t>
      </w:r>
      <w:r>
        <w:rPr>
          <w:rFonts w:ascii="Arial" w:cs="Arial" w:eastAsia="Arial" w:hAnsi="Arial"/>
          <w:sz w:val="17"/>
          <w:szCs w:val="17"/>
          <w:color w:val="auto"/>
        </w:rPr>
        <w:t>Income tax expense for the nine months ended September 30, 2017 was $1.0 billion compared to an income tax benefit of</w:t>
      </w:r>
      <w:r>
        <w:rPr>
          <w:rFonts w:ascii="Arial" w:cs="Arial" w:eastAsia="Arial" w:hAnsi="Arial"/>
          <w:sz w:val="17"/>
          <w:szCs w:val="17"/>
          <w:i w:val="1"/>
          <w:iCs w:val="1"/>
          <w:color w:val="auto"/>
        </w:rPr>
        <w:t xml:space="preserve"> </w:t>
      </w:r>
      <w:r>
        <w:rPr>
          <w:rFonts w:ascii="Arial" w:cs="Arial" w:eastAsia="Arial" w:hAnsi="Arial"/>
          <w:sz w:val="17"/>
          <w:szCs w:val="17"/>
          <w:color w:val="auto"/>
        </w:rPr>
        <w:t>$1 million for the nine months ended September 30, 2016. Our effective tax rate typically differs from the U.S. statutory rate of 35% primarily due to the utilization of tax credits. In the current period we recognized a $1.1 billion non-cash tax charge triggered prior to the Separation. We also recognized a tax benefit in the current period of $20 million related to tax credits as well as a downward adjustment of reserves by $17 million. These adjustments resulted in effective tax rate percentages that are not meaningful for comparison purposes and accordingly have not been included.</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1420"/>
          </w:cols>
          <w:pgMar w:left="240" w:top="126" w:right="239" w:bottom="1440" w:gutter="0" w:footer="0" w:header="0"/>
        </w:sectPr>
      </w:pPr>
    </w:p>
    <w:bookmarkStart w:id="103" w:name="page104"/>
    <w:bookmarkEnd w:id="103"/>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GMLB Riders</w:t>
      </w:r>
    </w:p>
    <w:p>
      <w:pPr>
        <w:spacing w:after="0" w:line="117"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following table presents the overall impact to income (loss) before provision for income tax from the performance of GMLB Riders for (i) changes in carrying value of the GAAP liabilities, (ii) the mark-to-market of hedges and reinsurance, (iii) fees, and (iv) associated DAC offsets for the three and nine months ended September 30, 2017 and 2016, respectively.</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8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140" w:type="dxa"/>
            <w:vAlign w:val="bottom"/>
            <w:gridSpan w:val="5"/>
          </w:tcPr>
          <w:p>
            <w:pPr>
              <w:jc w:val="center"/>
              <w:ind w:right="360"/>
              <w:spacing w:after="0"/>
              <w:rPr>
                <w:sz w:val="20"/>
                <w:szCs w:val="20"/>
                <w:color w:val="auto"/>
              </w:rPr>
            </w:pPr>
            <w:r>
              <w:rPr>
                <w:rFonts w:ascii="Arial" w:cs="Arial" w:eastAsia="Arial" w:hAnsi="Arial"/>
                <w:sz w:val="16"/>
                <w:szCs w:val="16"/>
                <w:b w:val="1"/>
                <w:bCs w:val="1"/>
                <w:color w:val="auto"/>
                <w:w w:val="93"/>
              </w:rPr>
              <w:t>Three Months</w:t>
            </w:r>
          </w:p>
        </w:tc>
        <w:tc>
          <w:tcPr>
            <w:tcW w:w="300" w:type="dxa"/>
            <w:vAlign w:val="bottom"/>
          </w:tcPr>
          <w:p>
            <w:pPr>
              <w:spacing w:after="0"/>
              <w:rPr>
                <w:sz w:val="17"/>
                <w:szCs w:val="17"/>
                <w:color w:val="auto"/>
              </w:rPr>
            </w:pPr>
          </w:p>
        </w:tc>
        <w:tc>
          <w:tcPr>
            <w:tcW w:w="1860" w:type="dxa"/>
            <w:vAlign w:val="bottom"/>
            <w:gridSpan w:val="4"/>
          </w:tcPr>
          <w:p>
            <w:pPr>
              <w:jc w:val="center"/>
              <w:ind w:right="191"/>
              <w:spacing w:after="0"/>
              <w:rPr>
                <w:sz w:val="20"/>
                <w:szCs w:val="20"/>
                <w:color w:val="auto"/>
              </w:rPr>
            </w:pPr>
            <w:r>
              <w:rPr>
                <w:rFonts w:ascii="Arial" w:cs="Arial" w:eastAsia="Arial" w:hAnsi="Arial"/>
                <w:sz w:val="16"/>
                <w:szCs w:val="16"/>
                <w:b w:val="1"/>
                <w:bCs w:val="1"/>
                <w:color w:val="auto"/>
                <w:w w:val="93"/>
              </w:rPr>
              <w:t>Nine Months</w:t>
            </w:r>
          </w:p>
        </w:tc>
        <w:tc>
          <w:tcPr>
            <w:tcW w:w="0" w:type="dxa"/>
            <w:vAlign w:val="bottom"/>
          </w:tcPr>
          <w:p>
            <w:pPr>
              <w:spacing w:after="0"/>
              <w:rPr>
                <w:sz w:val="1"/>
                <w:szCs w:val="1"/>
                <w:color w:val="auto"/>
              </w:rPr>
            </w:pPr>
          </w:p>
        </w:tc>
      </w:tr>
      <w:tr>
        <w:trPr>
          <w:trHeight w:val="203"/>
        </w:trPr>
        <w:tc>
          <w:tcPr>
            <w:tcW w:w="68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40" w:type="dxa"/>
            <w:vAlign w:val="bottom"/>
            <w:gridSpan w:val="3"/>
          </w:tcPr>
          <w:p>
            <w:pPr>
              <w:jc w:val="center"/>
              <w:ind w:left="432"/>
              <w:spacing w:after="0"/>
              <w:rPr>
                <w:sz w:val="20"/>
                <w:szCs w:val="20"/>
                <w:color w:val="auto"/>
              </w:rPr>
            </w:pPr>
            <w:r>
              <w:rPr>
                <w:rFonts w:ascii="Arial" w:cs="Arial" w:eastAsia="Arial" w:hAnsi="Arial"/>
                <w:sz w:val="16"/>
                <w:szCs w:val="16"/>
                <w:b w:val="1"/>
                <w:bCs w:val="1"/>
                <w:color w:val="auto"/>
                <w:w w:val="89"/>
              </w:rPr>
              <w:t>Ended</w:t>
            </w: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gridSpan w:val="3"/>
          </w:tcPr>
          <w:p>
            <w:pPr>
              <w:jc w:val="center"/>
              <w:ind w:left="372"/>
              <w:spacing w:after="0"/>
              <w:rPr>
                <w:sz w:val="20"/>
                <w:szCs w:val="20"/>
                <w:color w:val="auto"/>
              </w:rPr>
            </w:pPr>
            <w:r>
              <w:rPr>
                <w:rFonts w:ascii="Arial" w:cs="Arial" w:eastAsia="Arial" w:hAnsi="Arial"/>
                <w:sz w:val="16"/>
                <w:szCs w:val="16"/>
                <w:b w:val="1"/>
                <w:bCs w:val="1"/>
                <w:color w:val="auto"/>
                <w:w w:val="93"/>
              </w:rPr>
              <w:t>Ended</w:t>
            </w: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6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140" w:type="dxa"/>
            <w:vAlign w:val="bottom"/>
            <w:gridSpan w:val="5"/>
          </w:tcPr>
          <w:p>
            <w:pPr>
              <w:jc w:val="center"/>
              <w:ind w:right="340"/>
              <w:spacing w:after="0"/>
              <w:rPr>
                <w:sz w:val="20"/>
                <w:szCs w:val="20"/>
                <w:color w:val="auto"/>
              </w:rPr>
            </w:pPr>
            <w:r>
              <w:rPr>
                <w:rFonts w:ascii="Arial" w:cs="Arial" w:eastAsia="Arial" w:hAnsi="Arial"/>
                <w:sz w:val="16"/>
                <w:szCs w:val="16"/>
                <w:b w:val="1"/>
                <w:bCs w:val="1"/>
                <w:color w:val="auto"/>
                <w:w w:val="91"/>
              </w:rPr>
              <w:t>September 30,</w:t>
            </w:r>
          </w:p>
        </w:tc>
        <w:tc>
          <w:tcPr>
            <w:tcW w:w="300" w:type="dxa"/>
            <w:vAlign w:val="bottom"/>
          </w:tcPr>
          <w:p>
            <w:pPr>
              <w:spacing w:after="0"/>
              <w:rPr>
                <w:sz w:val="18"/>
                <w:szCs w:val="18"/>
                <w:color w:val="auto"/>
              </w:rPr>
            </w:pPr>
          </w:p>
        </w:tc>
        <w:tc>
          <w:tcPr>
            <w:tcW w:w="1860" w:type="dxa"/>
            <w:vAlign w:val="bottom"/>
            <w:gridSpan w:val="4"/>
          </w:tcPr>
          <w:p>
            <w:pPr>
              <w:jc w:val="center"/>
              <w:ind w:right="191"/>
              <w:spacing w:after="0"/>
              <w:rPr>
                <w:sz w:val="20"/>
                <w:szCs w:val="20"/>
                <w:color w:val="auto"/>
              </w:rPr>
            </w:pPr>
            <w:r>
              <w:rPr>
                <w:rFonts w:ascii="Arial" w:cs="Arial" w:eastAsia="Arial" w:hAnsi="Arial"/>
                <w:sz w:val="16"/>
                <w:szCs w:val="16"/>
                <w:b w:val="1"/>
                <w:bCs w:val="1"/>
                <w:color w:val="auto"/>
                <w:w w:val="89"/>
              </w:rPr>
              <w:t>September 30,</w:t>
            </w:r>
          </w:p>
        </w:tc>
        <w:tc>
          <w:tcPr>
            <w:tcW w:w="0" w:type="dxa"/>
            <w:vAlign w:val="bottom"/>
          </w:tcPr>
          <w:p>
            <w:pPr>
              <w:spacing w:after="0"/>
              <w:rPr>
                <w:sz w:val="1"/>
                <w:szCs w:val="1"/>
                <w:color w:val="auto"/>
              </w:rPr>
            </w:pPr>
          </w:p>
        </w:tc>
      </w:tr>
      <w:tr>
        <w:trPr>
          <w:trHeight w:val="33"/>
        </w:trPr>
        <w:tc>
          <w:tcPr>
            <w:tcW w:w="68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68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312"/>
              <w:spacing w:after="0"/>
              <w:rPr>
                <w:sz w:val="20"/>
                <w:szCs w:val="20"/>
                <w:color w:val="auto"/>
              </w:rPr>
            </w:pPr>
            <w:r>
              <w:rPr>
                <w:rFonts w:ascii="Arial" w:cs="Arial" w:eastAsia="Arial" w:hAnsi="Arial"/>
                <w:sz w:val="16"/>
                <w:szCs w:val="16"/>
                <w:b w:val="1"/>
                <w:bCs w:val="1"/>
                <w:color w:val="auto"/>
              </w:rPr>
              <w:t>2017</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ind w:right="252"/>
              <w:spacing w:after="0"/>
              <w:rPr>
                <w:sz w:val="20"/>
                <w:szCs w:val="20"/>
                <w:color w:val="auto"/>
              </w:rPr>
            </w:pPr>
            <w:r>
              <w:rPr>
                <w:rFonts w:ascii="Arial" w:cs="Arial" w:eastAsia="Arial" w:hAnsi="Arial"/>
                <w:sz w:val="16"/>
                <w:szCs w:val="16"/>
                <w:b w:val="1"/>
                <w:bCs w:val="1"/>
                <w:color w:val="auto"/>
              </w:rPr>
              <w:t>2016</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20" w:type="dxa"/>
            <w:vAlign w:val="bottom"/>
          </w:tcPr>
          <w:p>
            <w:pPr>
              <w:jc w:val="right"/>
              <w:ind w:right="272"/>
              <w:spacing w:after="0"/>
              <w:rPr>
                <w:sz w:val="20"/>
                <w:szCs w:val="20"/>
                <w:color w:val="auto"/>
              </w:rPr>
            </w:pPr>
            <w:r>
              <w:rPr>
                <w:rFonts w:ascii="Arial" w:cs="Arial" w:eastAsia="Arial" w:hAnsi="Arial"/>
                <w:sz w:val="16"/>
                <w:szCs w:val="16"/>
                <w:b w:val="1"/>
                <w:bCs w:val="1"/>
                <w:color w:val="auto"/>
                <w:w w:val="95"/>
              </w:rPr>
              <w:t>2017</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80" w:type="dxa"/>
            <w:vAlign w:val="bottom"/>
          </w:tcPr>
          <w:p>
            <w:pPr>
              <w:jc w:val="right"/>
              <w:ind w:right="271"/>
              <w:spacing w:after="0"/>
              <w:rPr>
                <w:sz w:val="20"/>
                <w:szCs w:val="20"/>
                <w:color w:val="auto"/>
              </w:rPr>
            </w:pPr>
            <w:r>
              <w:rPr>
                <w:rFonts w:ascii="Arial" w:cs="Arial" w:eastAsia="Arial" w:hAnsi="Arial"/>
                <w:sz w:val="16"/>
                <w:szCs w:val="16"/>
                <w:b w:val="1"/>
                <w:bCs w:val="1"/>
                <w:color w:val="auto"/>
              </w:rPr>
              <w:t>2016</w:t>
            </w:r>
          </w:p>
        </w:tc>
        <w:tc>
          <w:tcPr>
            <w:tcW w:w="0" w:type="dxa"/>
            <w:vAlign w:val="bottom"/>
          </w:tcPr>
          <w:p>
            <w:pPr>
              <w:spacing w:after="0"/>
              <w:rPr>
                <w:sz w:val="1"/>
                <w:szCs w:val="1"/>
                <w:color w:val="auto"/>
              </w:rPr>
            </w:pPr>
          </w:p>
        </w:tc>
      </w:tr>
      <w:tr>
        <w:trPr>
          <w:trHeight w:val="33"/>
        </w:trPr>
        <w:tc>
          <w:tcPr>
            <w:tcW w:w="68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3"/>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8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millions)</w:t>
            </w: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6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Directly Written Liabilities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288</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393</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550</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(4,205)</w:t>
            </w:r>
          </w:p>
        </w:tc>
        <w:tc>
          <w:tcPr>
            <w:tcW w:w="0" w:type="dxa"/>
            <w:vAlign w:val="bottom"/>
          </w:tcPr>
          <w:p>
            <w:pPr>
              <w:spacing w:after="0"/>
              <w:rPr>
                <w:sz w:val="1"/>
                <w:szCs w:val="1"/>
                <w:color w:val="auto"/>
              </w:rPr>
            </w:pPr>
          </w:p>
        </w:tc>
      </w:tr>
      <w:tr>
        <w:trPr>
          <w:trHeight w:val="243"/>
        </w:trPr>
        <w:tc>
          <w:tcPr>
            <w:tcW w:w="6840" w:type="dxa"/>
            <w:vAlign w:val="bottom"/>
          </w:tcPr>
          <w:p>
            <w:pPr>
              <w:ind w:left="40"/>
              <w:spacing w:after="0"/>
              <w:rPr>
                <w:sz w:val="20"/>
                <w:szCs w:val="20"/>
                <w:color w:val="auto"/>
              </w:rPr>
            </w:pPr>
            <w:r>
              <w:rPr>
                <w:rFonts w:ascii="Arial" w:cs="Arial" w:eastAsia="Arial" w:hAnsi="Arial"/>
                <w:sz w:val="18"/>
                <w:szCs w:val="18"/>
                <w:color w:val="auto"/>
              </w:rPr>
              <w:t>Assumed Reinsurance Liabilities</w:t>
            </w:r>
          </w:p>
        </w:tc>
        <w:tc>
          <w:tcPr>
            <w:tcW w:w="26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20" w:type="dxa"/>
            <w:vAlign w:val="bottom"/>
          </w:tcPr>
          <w:p>
            <w:pPr>
              <w:jc w:val="right"/>
              <w:ind w:right="12"/>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(191)</w:t>
            </w:r>
          </w:p>
        </w:tc>
        <w:tc>
          <w:tcPr>
            <w:tcW w:w="0" w:type="dxa"/>
            <w:vAlign w:val="bottom"/>
          </w:tcPr>
          <w:p>
            <w:pPr>
              <w:spacing w:after="0"/>
              <w:rPr>
                <w:sz w:val="1"/>
                <w:szCs w:val="1"/>
                <w:color w:val="auto"/>
              </w:rPr>
            </w:pPr>
          </w:p>
        </w:tc>
      </w:tr>
      <w:tr>
        <w:trPr>
          <w:trHeight w:val="27"/>
        </w:trPr>
        <w:tc>
          <w:tcPr>
            <w:tcW w:w="68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68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Liabilities</w:t>
            </w: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288</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407</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551</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(4,396)</w:t>
            </w:r>
          </w:p>
        </w:tc>
        <w:tc>
          <w:tcPr>
            <w:tcW w:w="0" w:type="dxa"/>
            <w:vAlign w:val="bottom"/>
          </w:tcPr>
          <w:p>
            <w:pPr>
              <w:spacing w:after="0"/>
              <w:rPr>
                <w:sz w:val="1"/>
                <w:szCs w:val="1"/>
                <w:color w:val="auto"/>
              </w:rPr>
            </w:pPr>
          </w:p>
        </w:tc>
      </w:tr>
      <w:tr>
        <w:trPr>
          <w:trHeight w:val="237"/>
        </w:trPr>
        <w:tc>
          <w:tcPr>
            <w:tcW w:w="6840" w:type="dxa"/>
            <w:vAlign w:val="bottom"/>
          </w:tcPr>
          <w:p>
            <w:pPr>
              <w:ind w:left="40"/>
              <w:spacing w:after="0"/>
              <w:rPr>
                <w:sz w:val="20"/>
                <w:szCs w:val="20"/>
                <w:color w:val="auto"/>
              </w:rPr>
            </w:pPr>
            <w:r>
              <w:rPr>
                <w:rFonts w:ascii="Arial" w:cs="Arial" w:eastAsia="Arial" w:hAnsi="Arial"/>
                <w:sz w:val="18"/>
                <w:szCs w:val="18"/>
                <w:color w:val="auto"/>
              </w:rPr>
              <w:t>Hedging Program (1)</w:t>
            </w: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(929)</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(1,207)</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(2,738)</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(126)</w:t>
            </w:r>
          </w:p>
        </w:tc>
        <w:tc>
          <w:tcPr>
            <w:tcW w:w="0" w:type="dxa"/>
            <w:vAlign w:val="bottom"/>
          </w:tcPr>
          <w:p>
            <w:pPr>
              <w:spacing w:after="0"/>
              <w:rPr>
                <w:sz w:val="1"/>
                <w:szCs w:val="1"/>
                <w:color w:val="auto"/>
              </w:rPr>
            </w:pPr>
          </w:p>
        </w:tc>
      </w:tr>
      <w:tr>
        <w:trPr>
          <w:trHeight w:val="27"/>
        </w:trPr>
        <w:tc>
          <w:tcPr>
            <w:tcW w:w="68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Ceded Reinsurance</w:t>
            </w: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(176)</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358</w:t>
            </w:r>
          </w:p>
        </w:tc>
        <w:tc>
          <w:tcPr>
            <w:tcW w:w="0" w:type="dxa"/>
            <w:vAlign w:val="bottom"/>
          </w:tcPr>
          <w:p>
            <w:pPr>
              <w:spacing w:after="0"/>
              <w:rPr>
                <w:sz w:val="1"/>
                <w:szCs w:val="1"/>
                <w:color w:val="auto"/>
              </w:rPr>
            </w:pPr>
          </w:p>
        </w:tc>
      </w:tr>
      <w:tr>
        <w:trPr>
          <w:trHeight w:val="237"/>
        </w:trPr>
        <w:tc>
          <w:tcPr>
            <w:tcW w:w="6840" w:type="dxa"/>
            <w:vAlign w:val="bottom"/>
          </w:tcPr>
          <w:p>
            <w:pPr>
              <w:ind w:left="180"/>
              <w:spacing w:after="0"/>
              <w:rPr>
                <w:sz w:val="20"/>
                <w:szCs w:val="20"/>
                <w:color w:val="auto"/>
              </w:rPr>
            </w:pPr>
            <w:r>
              <w:rPr>
                <w:rFonts w:ascii="Arial" w:cs="Arial" w:eastAsia="Arial" w:hAnsi="Arial"/>
                <w:sz w:val="18"/>
                <w:szCs w:val="18"/>
                <w:color w:val="auto"/>
              </w:rPr>
              <w:t>Total Hedging Program and Reinsurance</w:t>
            </w: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(951)</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(1,227)</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(2,914)</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232</w:t>
            </w:r>
          </w:p>
        </w:tc>
        <w:tc>
          <w:tcPr>
            <w:tcW w:w="0" w:type="dxa"/>
            <w:vAlign w:val="bottom"/>
          </w:tcPr>
          <w:p>
            <w:pPr>
              <w:spacing w:after="0"/>
              <w:rPr>
                <w:sz w:val="1"/>
                <w:szCs w:val="1"/>
                <w:color w:val="auto"/>
              </w:rPr>
            </w:pPr>
          </w:p>
        </w:tc>
      </w:tr>
      <w:tr>
        <w:trPr>
          <w:trHeight w:val="27"/>
        </w:trPr>
        <w:tc>
          <w:tcPr>
            <w:tcW w:w="68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Directly Written Fees</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227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227</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647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644</w:t>
            </w:r>
          </w:p>
        </w:tc>
        <w:tc>
          <w:tcPr>
            <w:tcW w:w="0" w:type="dxa"/>
            <w:vAlign w:val="bottom"/>
          </w:tcPr>
          <w:p>
            <w:pPr>
              <w:spacing w:after="0"/>
              <w:rPr>
                <w:sz w:val="1"/>
                <w:szCs w:val="1"/>
                <w:color w:val="auto"/>
              </w:rPr>
            </w:pPr>
          </w:p>
        </w:tc>
      </w:tr>
      <w:tr>
        <w:trPr>
          <w:trHeight w:val="243"/>
        </w:trPr>
        <w:tc>
          <w:tcPr>
            <w:tcW w:w="6840" w:type="dxa"/>
            <w:vAlign w:val="bottom"/>
          </w:tcPr>
          <w:p>
            <w:pPr>
              <w:ind w:left="40"/>
              <w:spacing w:after="0"/>
              <w:rPr>
                <w:sz w:val="20"/>
                <w:szCs w:val="20"/>
                <w:color w:val="auto"/>
              </w:rPr>
            </w:pPr>
            <w:r>
              <w:rPr>
                <w:rFonts w:ascii="Arial" w:cs="Arial" w:eastAsia="Arial" w:hAnsi="Arial"/>
                <w:sz w:val="18"/>
                <w:szCs w:val="18"/>
                <w:color w:val="auto"/>
              </w:rPr>
              <w:t>Assumed Reinsurance Fees</w:t>
            </w:r>
          </w:p>
        </w:tc>
        <w:tc>
          <w:tcPr>
            <w:tcW w:w="26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780" w:type="dxa"/>
            <w:vAlign w:val="bottom"/>
          </w:tcPr>
          <w:p>
            <w:pPr>
              <w:jc w:val="right"/>
              <w:ind w:right="31"/>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7"/>
        </w:trPr>
        <w:tc>
          <w:tcPr>
            <w:tcW w:w="68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68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Fees (2)</w:t>
            </w: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227</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230</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647</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654</w:t>
            </w:r>
          </w:p>
        </w:tc>
        <w:tc>
          <w:tcPr>
            <w:tcW w:w="0" w:type="dxa"/>
            <w:vAlign w:val="bottom"/>
          </w:tcPr>
          <w:p>
            <w:pPr>
              <w:spacing w:after="0"/>
              <w:rPr>
                <w:sz w:val="1"/>
                <w:szCs w:val="1"/>
                <w:color w:val="auto"/>
              </w:rPr>
            </w:pPr>
          </w:p>
        </w:tc>
      </w:tr>
      <w:tr>
        <w:trPr>
          <w:trHeight w:val="237"/>
        </w:trPr>
        <w:tc>
          <w:tcPr>
            <w:tcW w:w="6840" w:type="dxa"/>
            <w:vAlign w:val="bottom"/>
          </w:tcPr>
          <w:p>
            <w:pPr>
              <w:ind w:left="40"/>
              <w:spacing w:after="0"/>
              <w:rPr>
                <w:sz w:val="20"/>
                <w:szCs w:val="20"/>
                <w:color w:val="auto"/>
              </w:rPr>
            </w:pPr>
            <w:r>
              <w:rPr>
                <w:rFonts w:ascii="Arial" w:cs="Arial" w:eastAsia="Arial" w:hAnsi="Arial"/>
                <w:sz w:val="18"/>
                <w:szCs w:val="18"/>
                <w:color w:val="auto"/>
              </w:rPr>
              <w:t>GMLB Riders before DAC Offsets</w:t>
            </w: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(436)</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(590)</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(1,716)</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(3,510)</w:t>
            </w:r>
          </w:p>
        </w:tc>
        <w:tc>
          <w:tcPr>
            <w:tcW w:w="0" w:type="dxa"/>
            <w:vAlign w:val="bottom"/>
          </w:tcPr>
          <w:p>
            <w:pPr>
              <w:spacing w:after="0"/>
              <w:rPr>
                <w:sz w:val="1"/>
                <w:szCs w:val="1"/>
                <w:color w:val="auto"/>
              </w:rPr>
            </w:pPr>
          </w:p>
        </w:tc>
      </w:tr>
      <w:tr>
        <w:trPr>
          <w:trHeight w:val="27"/>
        </w:trPr>
        <w:tc>
          <w:tcPr>
            <w:tcW w:w="68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DAC Offsets</w:t>
            </w: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(205)</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161</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209</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896</w:t>
            </w:r>
          </w:p>
        </w:tc>
        <w:tc>
          <w:tcPr>
            <w:tcW w:w="0" w:type="dxa"/>
            <w:vAlign w:val="bottom"/>
          </w:tcPr>
          <w:p>
            <w:pPr>
              <w:spacing w:after="0"/>
              <w:rPr>
                <w:sz w:val="1"/>
                <w:szCs w:val="1"/>
                <w:color w:val="auto"/>
              </w:rPr>
            </w:pPr>
          </w:p>
        </w:tc>
      </w:tr>
      <w:tr>
        <w:trPr>
          <w:trHeight w:val="257"/>
        </w:trPr>
        <w:tc>
          <w:tcPr>
            <w:tcW w:w="6840" w:type="dxa"/>
            <w:vAlign w:val="bottom"/>
          </w:tcPr>
          <w:p>
            <w:pPr>
              <w:ind w:left="180"/>
              <w:spacing w:after="0"/>
              <w:rPr>
                <w:sz w:val="20"/>
                <w:szCs w:val="20"/>
                <w:color w:val="auto"/>
              </w:rPr>
            </w:pPr>
            <w:r>
              <w:rPr>
                <w:rFonts w:ascii="Arial" w:cs="Arial" w:eastAsia="Arial" w:hAnsi="Arial"/>
                <w:sz w:val="18"/>
                <w:szCs w:val="18"/>
                <w:color w:val="auto"/>
              </w:rPr>
              <w:t>Total GMLB Riders</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(641)</w:t>
            </w:r>
          </w:p>
        </w:tc>
        <w:tc>
          <w:tcPr>
            <w:tcW w:w="12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(429)</w:t>
            </w:r>
          </w:p>
        </w:tc>
        <w:tc>
          <w:tcPr>
            <w:tcW w:w="12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(1,507)</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(2,614)</w:t>
            </w:r>
          </w:p>
        </w:tc>
        <w:tc>
          <w:tcPr>
            <w:tcW w:w="0" w:type="dxa"/>
            <w:vAlign w:val="bottom"/>
          </w:tcPr>
          <w:p>
            <w:pPr>
              <w:spacing w:after="0"/>
              <w:rPr>
                <w:sz w:val="1"/>
                <w:szCs w:val="1"/>
                <w:color w:val="auto"/>
              </w:rPr>
            </w:pPr>
          </w:p>
        </w:tc>
      </w:tr>
      <w:tr>
        <w:trPr>
          <w:trHeight w:val="20"/>
        </w:trPr>
        <w:tc>
          <w:tcPr>
            <w:tcW w:w="6840" w:type="dxa"/>
            <w:vAlign w:val="bottom"/>
            <w:vMerge w:val="restart"/>
          </w:tcPr>
          <w:p>
            <w:pPr>
              <w:spacing w:after="0"/>
              <w:rPr>
                <w:sz w:val="20"/>
                <w:szCs w:val="20"/>
                <w:color w:val="auto"/>
              </w:rPr>
            </w:pPr>
            <w:r>
              <w:rPr>
                <w:rFonts w:ascii="Arial" w:cs="Arial" w:eastAsia="Arial" w:hAnsi="Arial"/>
                <w:sz w:val="14"/>
                <w:szCs w:val="14"/>
                <w:color w:val="auto"/>
              </w:rPr>
              <w:t>______________</w:t>
            </w: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6840" w:type="dxa"/>
            <w:vAlign w:val="bottom"/>
            <w:vMerge w:val="continue"/>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2" w:lineRule="exact"/>
        <w:rPr>
          <w:sz w:val="20"/>
          <w:szCs w:val="20"/>
          <w:color w:val="auto"/>
        </w:rPr>
      </w:pPr>
    </w:p>
    <w:p>
      <w:pPr>
        <w:jc w:val="both"/>
        <w:ind w:left="340" w:hanging="332"/>
        <w:spacing w:after="0" w:line="264" w:lineRule="auto"/>
        <w:tabs>
          <w:tab w:leader="none" w:pos="281" w:val="left"/>
        </w:tabs>
        <w:numPr>
          <w:ilvl w:val="0"/>
          <w:numId w:val="74"/>
        </w:numPr>
        <w:rPr>
          <w:rFonts w:ascii="Arial" w:cs="Arial" w:eastAsia="Arial" w:hAnsi="Arial"/>
          <w:sz w:val="18"/>
          <w:szCs w:val="18"/>
          <w:color w:val="auto"/>
        </w:rPr>
      </w:pPr>
      <w:r>
        <w:rPr>
          <w:rFonts w:ascii="Arial" w:cs="Arial" w:eastAsia="Arial" w:hAnsi="Arial"/>
          <w:sz w:val="18"/>
          <w:szCs w:val="18"/>
          <w:color w:val="auto"/>
        </w:rPr>
        <w:t>Includes changes in fair value of the Shield annuity embedded derivatives of ($142) million for the three months and nine months ended September 30, 2017. Changes in the fair value of the Shield annuity embedded derivatives were not included in the GMLB results for the three months and nine months ended September 30, 2016.</w:t>
      </w:r>
    </w:p>
    <w:p>
      <w:pPr>
        <w:spacing w:after="0" w:line="73" w:lineRule="exact"/>
        <w:rPr>
          <w:rFonts w:ascii="Arial" w:cs="Arial" w:eastAsia="Arial" w:hAnsi="Arial"/>
          <w:sz w:val="18"/>
          <w:szCs w:val="18"/>
          <w:color w:val="auto"/>
        </w:rPr>
      </w:pPr>
    </w:p>
    <w:p>
      <w:pPr>
        <w:ind w:left="340" w:hanging="332"/>
        <w:spacing w:after="0" w:line="342" w:lineRule="auto"/>
        <w:tabs>
          <w:tab w:leader="none" w:pos="279" w:val="left"/>
        </w:tabs>
        <w:numPr>
          <w:ilvl w:val="0"/>
          <w:numId w:val="74"/>
        </w:numPr>
        <w:rPr>
          <w:rFonts w:ascii="Arial" w:cs="Arial" w:eastAsia="Arial" w:hAnsi="Arial"/>
          <w:sz w:val="16"/>
          <w:szCs w:val="16"/>
          <w:color w:val="auto"/>
        </w:rPr>
      </w:pPr>
      <w:r>
        <w:rPr>
          <w:rFonts w:ascii="Arial" w:cs="Arial" w:eastAsia="Arial" w:hAnsi="Arial"/>
          <w:sz w:val="16"/>
          <w:szCs w:val="16"/>
          <w:color w:val="auto"/>
        </w:rPr>
        <w:t>Excludes living benefit fees, included as a component of operating earnings (loss), of $18 million and $54 million for the three months and nine months ended September 30, 2017, respectively, and $19 million and $58 million for the three months and nine months ended September 30, 2016, respectively.</w:t>
      </w:r>
    </w:p>
    <w:p>
      <w:pPr>
        <w:spacing w:after="0" w:line="124"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Three Months Ended September 30, 2017 Compared with the Three Months Ended September 30, 2016</w:t>
      </w:r>
    </w:p>
    <w:p>
      <w:pPr>
        <w:spacing w:after="0" w:line="158"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GMLB Riders decreased income (loss) before provision for income tax by $212 million ($138 million, net of income tax). Of this amount, a favorable change of $268 million ($174 million, net of income tax) was recorded in net derivative gains (losses). Excluding the impact of the annual actuarial assumption review, GMLB Riders increased net income (loss) before provision for income tax by $124 million ($80 million, net of income tax).</w:t>
      </w:r>
    </w:p>
    <w:p>
      <w:pPr>
        <w:spacing w:after="0" w:line="57"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i w:val="1"/>
          <w:iCs w:val="1"/>
          <w:color w:val="auto"/>
        </w:rPr>
        <w:t xml:space="preserve">GMLB Riders Liabilities. </w:t>
      </w:r>
      <w:r>
        <w:rPr>
          <w:rFonts w:ascii="Arial" w:cs="Arial" w:eastAsia="Arial" w:hAnsi="Arial"/>
          <w:sz w:val="18"/>
          <w:szCs w:val="18"/>
          <w:color w:val="auto"/>
        </w:rPr>
        <w:t>An unfavorable change in the carrying value of GMLB Riders liabilities decreased income (loss) before provision for income</w:t>
      </w:r>
      <w:r>
        <w:rPr>
          <w:rFonts w:ascii="Arial" w:cs="Arial" w:eastAsia="Arial" w:hAnsi="Arial"/>
          <w:sz w:val="18"/>
          <w:szCs w:val="18"/>
          <w:i w:val="1"/>
          <w:iCs w:val="1"/>
          <w:color w:val="auto"/>
        </w:rPr>
        <w:t xml:space="preserve"> </w:t>
      </w:r>
      <w:r>
        <w:rPr>
          <w:rFonts w:ascii="Arial" w:cs="Arial" w:eastAsia="Arial" w:hAnsi="Arial"/>
          <w:sz w:val="18"/>
          <w:szCs w:val="18"/>
          <w:color w:val="auto"/>
        </w:rPr>
        <w:t>tax by $119 million ($77 million, net of income tax), primarily due to unfavorable impacts from changes in actuarial assumptions in the current period and from less favorable impacts from equity markets and interest rates in the current period than in the prior period. These decreases were partially offset by a favorable change in the adjustment for nonperformance risk adjustment as a result of changing to use of our own creditworthiness post-separation. Excluding the impact of the annual actuarial assumption review, GMLB Riders liabilities decreased income (loss) before provision for income tax by $129 million ($84 million, net of income tax).</w:t>
      </w:r>
    </w:p>
    <w:p>
      <w:pPr>
        <w:spacing w:after="0" w:line="85" w:lineRule="exact"/>
        <w:rPr>
          <w:sz w:val="20"/>
          <w:szCs w:val="20"/>
          <w:color w:val="auto"/>
        </w:rPr>
      </w:pPr>
    </w:p>
    <w:p>
      <w:pPr>
        <w:jc w:val="both"/>
        <w:ind w:right="20" w:firstLine="324"/>
        <w:spacing w:after="0" w:line="279" w:lineRule="auto"/>
        <w:rPr>
          <w:sz w:val="20"/>
          <w:szCs w:val="20"/>
          <w:color w:val="auto"/>
        </w:rPr>
      </w:pPr>
      <w:r>
        <w:rPr>
          <w:rFonts w:ascii="Arial" w:cs="Arial" w:eastAsia="Arial" w:hAnsi="Arial"/>
          <w:sz w:val="17"/>
          <w:szCs w:val="17"/>
          <w:i w:val="1"/>
          <w:iCs w:val="1"/>
          <w:color w:val="auto"/>
        </w:rPr>
        <w:t xml:space="preserve">GMLB Riders Hedging Program and Reinsurance. </w:t>
      </w:r>
      <w:r>
        <w:rPr>
          <w:rFonts w:ascii="Arial" w:cs="Arial" w:eastAsia="Arial" w:hAnsi="Arial"/>
          <w:sz w:val="17"/>
          <w:szCs w:val="17"/>
          <w:color w:val="auto"/>
        </w:rPr>
        <w:t>The same equity market and interest rate factors that resulted in an unfavorable impact to the GMLB</w:t>
      </w:r>
      <w:r>
        <w:rPr>
          <w:rFonts w:ascii="Arial" w:cs="Arial" w:eastAsia="Arial" w:hAnsi="Arial"/>
          <w:sz w:val="17"/>
          <w:szCs w:val="17"/>
          <w:i w:val="1"/>
          <w:iCs w:val="1"/>
          <w:color w:val="auto"/>
        </w:rPr>
        <w:t xml:space="preserve"> </w:t>
      </w:r>
      <w:r>
        <w:rPr>
          <w:rFonts w:ascii="Arial" w:cs="Arial" w:eastAsia="Arial" w:hAnsi="Arial"/>
          <w:sz w:val="17"/>
          <w:szCs w:val="17"/>
          <w:color w:val="auto"/>
        </w:rPr>
        <w:t>Riders liabilities had an inverse favorable effect on the hedging program and reinsurance, increasing income (loss) before provision for income tax by $276 million ($179 million, net of income tax). Included in this amount is a decrease of $142 million in the fair value of our Shield annuity embedded derivatives which have been included in the hedging program results beginning in the third quarter of 2017 on a prospective basis.</w:t>
      </w:r>
    </w:p>
    <w:p>
      <w:pPr>
        <w:spacing w:after="0" w:line="63"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 xml:space="preserve">GMLB Riders Fees. </w:t>
      </w:r>
      <w:r>
        <w:rPr>
          <w:rFonts w:ascii="Arial" w:cs="Arial" w:eastAsia="Arial" w:hAnsi="Arial"/>
          <w:sz w:val="18"/>
          <w:szCs w:val="18"/>
          <w:color w:val="auto"/>
        </w:rPr>
        <w:t>Fees from GMLB Riders were largely unchanged.</w:t>
      </w:r>
    </w:p>
    <w:p>
      <w:pPr>
        <w:spacing w:after="0" w:line="117"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i w:val="1"/>
          <w:iCs w:val="1"/>
          <w:color w:val="auto"/>
        </w:rPr>
        <w:t xml:space="preserve">DAC Offsets. </w:t>
      </w:r>
      <w:r>
        <w:rPr>
          <w:rFonts w:ascii="Arial" w:cs="Arial" w:eastAsia="Arial" w:hAnsi="Arial"/>
          <w:sz w:val="18"/>
          <w:szCs w:val="18"/>
          <w:color w:val="auto"/>
        </w:rPr>
        <w:t>DAC offsets related to the changes in each of the individual components of the GMLB Riders discussed above decreased income (loss)</w:t>
      </w:r>
      <w:r>
        <w:rPr>
          <w:rFonts w:ascii="Arial" w:cs="Arial" w:eastAsia="Arial" w:hAnsi="Arial"/>
          <w:sz w:val="18"/>
          <w:szCs w:val="18"/>
          <w:i w:val="1"/>
          <w:iCs w:val="1"/>
          <w:color w:val="auto"/>
        </w:rPr>
        <w:t xml:space="preserve"> </w:t>
      </w:r>
      <w:r>
        <w:rPr>
          <w:rFonts w:ascii="Arial" w:cs="Arial" w:eastAsia="Arial" w:hAnsi="Arial"/>
          <w:sz w:val="18"/>
          <w:szCs w:val="18"/>
          <w:color w:val="auto"/>
        </w:rPr>
        <w:t>before provision for income tax by $366 million ($238 million, net of income tax). Excluding the impact of the annual actuarial assumption review, DAC offsets decreased income (loss) before provision for income tax by $21 million ($13 million, net of income tax).</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1420"/>
          </w:cols>
          <w:pgMar w:left="240" w:top="126" w:right="239" w:bottom="1440" w:gutter="0" w:footer="0" w:header="0"/>
        </w:sectPr>
      </w:pPr>
    </w:p>
    <w:bookmarkStart w:id="104" w:name="page105"/>
    <w:bookmarkEnd w:id="104"/>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i w:val="1"/>
          <w:iCs w:val="1"/>
          <w:color w:val="auto"/>
        </w:rPr>
        <w:t xml:space="preserve">Actuarial Assumption Review. </w:t>
      </w:r>
      <w:r>
        <w:rPr>
          <w:rFonts w:ascii="Arial" w:cs="Arial" w:eastAsia="Arial" w:hAnsi="Arial"/>
          <w:sz w:val="18"/>
          <w:szCs w:val="18"/>
          <w:color w:val="auto"/>
        </w:rPr>
        <w:t>The impact from the annual actuarial assumption review in the current period, which is included in the amounts discussed</w:t>
      </w:r>
      <w:r>
        <w:rPr>
          <w:rFonts w:ascii="Arial" w:cs="Arial" w:eastAsia="Arial" w:hAnsi="Arial"/>
          <w:sz w:val="18"/>
          <w:szCs w:val="18"/>
          <w:i w:val="1"/>
          <w:iCs w:val="1"/>
          <w:color w:val="auto"/>
        </w:rPr>
        <w:t xml:space="preserve"> </w:t>
      </w:r>
      <w:r>
        <w:rPr>
          <w:rFonts w:ascii="Arial" w:cs="Arial" w:eastAsia="Arial" w:hAnsi="Arial"/>
          <w:sz w:val="18"/>
          <w:szCs w:val="18"/>
          <w:color w:val="auto"/>
        </w:rPr>
        <w:t>above, resulted in a decrease in income (loss) before provision for income tax of $336 million ($218 million, net of income tax), primarily due to higher amortization of DAC resulting from refinements to the amortization period. The change resulting from using our own creditworthiness to calculate nonperformance risk post-separation was largely offset by changes in policyholder behavior assumptions regarding contract lapses and withdrawals as well as separate account growth rates. There was an immaterial impact from assumption changes in the prior period as the results from the 2016 actuarial assumption review were recognized in the second quarter of 2016.</w:t>
      </w:r>
    </w:p>
    <w:p>
      <w:pPr>
        <w:spacing w:after="0" w:line="85"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Nine Months Ended September 30, 2017 Compared with the Nine Months Ended September 30, 2016</w:t>
      </w:r>
    </w:p>
    <w:p>
      <w:pPr>
        <w:spacing w:after="0" w:line="117"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GMLB Riders increased income (loss) before provision for income tax by $1.1 billion ($720 million, net of income tax). Of this amount, a favorable change of $2.2 billion ($1.4 billion, net of income tax) was recorded in net derivative gains (losses). Excluding the impact of the annual actuarial assumption review, GMLB Riders decreased net income (loss) before provision for income tax by $912 million ($592 million, net of income tax).</w:t>
      </w:r>
    </w:p>
    <w:p>
      <w:pPr>
        <w:spacing w:after="0" w:line="57"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i w:val="1"/>
          <w:iCs w:val="1"/>
          <w:color w:val="auto"/>
        </w:rPr>
        <w:t xml:space="preserve">GMLB Riders Liabilities. </w:t>
      </w:r>
      <w:r>
        <w:rPr>
          <w:rFonts w:ascii="Arial" w:cs="Arial" w:eastAsia="Arial" w:hAnsi="Arial"/>
          <w:sz w:val="18"/>
          <w:szCs w:val="18"/>
          <w:color w:val="auto"/>
        </w:rPr>
        <w:t>A favorable change in the carrying value of GMLB Riders liabilities increased income (loss) before provision for income tax</w:t>
      </w:r>
      <w:r>
        <w:rPr>
          <w:rFonts w:ascii="Arial" w:cs="Arial" w:eastAsia="Arial" w:hAnsi="Arial"/>
          <w:sz w:val="18"/>
          <w:szCs w:val="18"/>
          <w:i w:val="1"/>
          <w:iCs w:val="1"/>
          <w:color w:val="auto"/>
        </w:rPr>
        <w:t xml:space="preserve"> </w:t>
      </w:r>
      <w:r>
        <w:rPr>
          <w:rFonts w:ascii="Arial" w:cs="Arial" w:eastAsia="Arial" w:hAnsi="Arial"/>
          <w:sz w:val="18"/>
          <w:szCs w:val="18"/>
          <w:color w:val="auto"/>
        </w:rPr>
        <w:t>by $4.9 billion ($3.2 billion, net of income tax), primarily due to lower charges related to the annual actuarial assumption review in the current period than in the prior period combined with favorable market impacts resulting from higher equity market performance and interest rates declining less in the current period than in the prior period. Excluding the impact of the annual actuarial assumption review, liabilities increased income (loss) before provision for income tax by $1.8 billion ($1.2 billion, net of income tax).</w:t>
      </w:r>
    </w:p>
    <w:p>
      <w:pPr>
        <w:spacing w:after="0" w:line="80"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i w:val="1"/>
          <w:iCs w:val="1"/>
          <w:color w:val="auto"/>
        </w:rPr>
        <w:t>GMLB Riders Hedging Program and Reinsurance</w:t>
      </w:r>
      <w:r>
        <w:rPr>
          <w:rFonts w:ascii="Arial" w:cs="Arial" w:eastAsia="Arial" w:hAnsi="Arial"/>
          <w:sz w:val="16"/>
          <w:szCs w:val="16"/>
          <w:color w:val="auto"/>
        </w:rPr>
        <w:t>: An unfavorable change in the fair value of GMLB Riders hedging program and reinsurance decreased</w:t>
      </w:r>
      <w:r>
        <w:rPr>
          <w:rFonts w:ascii="Arial" w:cs="Arial" w:eastAsia="Arial" w:hAnsi="Arial"/>
          <w:sz w:val="16"/>
          <w:szCs w:val="16"/>
          <w:i w:val="1"/>
          <w:iCs w:val="1"/>
          <w:color w:val="auto"/>
        </w:rPr>
        <w:t xml:space="preserve"> </w:t>
      </w:r>
      <w:r>
        <w:rPr>
          <w:rFonts w:ascii="Arial" w:cs="Arial" w:eastAsia="Arial" w:hAnsi="Arial"/>
          <w:sz w:val="16"/>
          <w:szCs w:val="16"/>
          <w:color w:val="auto"/>
        </w:rPr>
        <w:t>income (loss) before provision for income tax by $3.1 billion ($2.0 billion, net of income tax), primarily due to the inverse unfavorable impact of the same equity market and interest rate factors that impacted the GMLB Riders liabilities. Included in this decrease is a net charge of $155 million ($101 million, net of income tax) resulting from the 2017 VA Recapture and a decrease of $142 million ($92 million, net of income tax) in the fair value of the Shield annuities embedded derivatives which are included in the hedging program results beginning in the third quarter of 2017 on a prospective basis.</w:t>
      </w:r>
    </w:p>
    <w:p>
      <w:pPr>
        <w:spacing w:after="0" w:line="5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i w:val="1"/>
          <w:iCs w:val="1"/>
          <w:color w:val="auto"/>
        </w:rPr>
        <w:t>GMLB Riders Fees</w:t>
      </w:r>
      <w:r>
        <w:rPr>
          <w:rFonts w:ascii="Arial" w:cs="Arial" w:eastAsia="Arial" w:hAnsi="Arial"/>
          <w:sz w:val="18"/>
          <w:szCs w:val="18"/>
          <w:color w:val="auto"/>
        </w:rPr>
        <w:t>: Fees from GMLB Riders decreased income (loss) before provision for income tax by $7 million ($5 million, net of income tax),</w:t>
      </w:r>
      <w:r>
        <w:rPr>
          <w:rFonts w:ascii="Arial" w:cs="Arial" w:eastAsia="Arial" w:hAnsi="Arial"/>
          <w:sz w:val="18"/>
          <w:szCs w:val="18"/>
          <w:i w:val="1"/>
          <w:iCs w:val="1"/>
          <w:color w:val="auto"/>
        </w:rPr>
        <w:t xml:space="preserve"> </w:t>
      </w:r>
      <w:r>
        <w:rPr>
          <w:rFonts w:ascii="Arial" w:cs="Arial" w:eastAsia="Arial" w:hAnsi="Arial"/>
          <w:sz w:val="18"/>
          <w:szCs w:val="18"/>
          <w:color w:val="auto"/>
        </w:rPr>
        <w:t>primarily due to lower assumed fees resulting from the 2017 VA Recapture.</w:t>
      </w:r>
    </w:p>
    <w:p>
      <w:pPr>
        <w:spacing w:after="0" w:line="62"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i w:val="1"/>
          <w:iCs w:val="1"/>
          <w:color w:val="auto"/>
        </w:rPr>
        <w:t xml:space="preserve">DAC Offsets. </w:t>
      </w:r>
      <w:r>
        <w:rPr>
          <w:rFonts w:ascii="Arial" w:cs="Arial" w:eastAsia="Arial" w:hAnsi="Arial"/>
          <w:sz w:val="18"/>
          <w:szCs w:val="18"/>
          <w:color w:val="auto"/>
        </w:rPr>
        <w:t>DAC offsets related to the changes in each of the individual components of the GMLB Riders discussed above decreased income (loss)</w:t>
      </w:r>
      <w:r>
        <w:rPr>
          <w:rFonts w:ascii="Arial" w:cs="Arial" w:eastAsia="Arial" w:hAnsi="Arial"/>
          <w:sz w:val="18"/>
          <w:szCs w:val="18"/>
          <w:i w:val="1"/>
          <w:iCs w:val="1"/>
          <w:color w:val="auto"/>
        </w:rPr>
        <w:t xml:space="preserve"> </w:t>
      </w:r>
      <w:r>
        <w:rPr>
          <w:rFonts w:ascii="Arial" w:cs="Arial" w:eastAsia="Arial" w:hAnsi="Arial"/>
          <w:sz w:val="18"/>
          <w:szCs w:val="18"/>
          <w:color w:val="auto"/>
        </w:rPr>
        <w:t>before provision for income tax by $687 million ($447 million, net of income tax). Excluding the impact of the annual actuarial assumption review, DAC offsets increased income (loss) before provision for income tax by $396 million ($257 million, net of income tax).</w:t>
      </w:r>
    </w:p>
    <w:p>
      <w:pPr>
        <w:spacing w:after="0" w:line="73"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i w:val="1"/>
          <w:iCs w:val="1"/>
          <w:color w:val="auto"/>
        </w:rPr>
        <w:t xml:space="preserve">Actuarial Assumption Review. </w:t>
      </w:r>
      <w:r>
        <w:rPr>
          <w:rFonts w:ascii="Arial" w:cs="Arial" w:eastAsia="Arial" w:hAnsi="Arial"/>
          <w:sz w:val="18"/>
          <w:szCs w:val="18"/>
          <w:color w:val="auto"/>
        </w:rPr>
        <w:t>The impact from the annual actuarial assumption review, which is included in the amounts discussed above, resulted in an</w:t>
      </w:r>
      <w:r>
        <w:rPr>
          <w:rFonts w:ascii="Arial" w:cs="Arial" w:eastAsia="Arial" w:hAnsi="Arial"/>
          <w:sz w:val="18"/>
          <w:szCs w:val="18"/>
          <w:i w:val="1"/>
          <w:iCs w:val="1"/>
          <w:color w:val="auto"/>
        </w:rPr>
        <w:t xml:space="preserve"> </w:t>
      </w:r>
      <w:r>
        <w:rPr>
          <w:rFonts w:ascii="Arial" w:cs="Arial" w:eastAsia="Arial" w:hAnsi="Arial"/>
          <w:sz w:val="18"/>
          <w:szCs w:val="18"/>
          <w:color w:val="auto"/>
        </w:rPr>
        <w:t>increase in income (loss) before provision for income tax of $2.0 billion ($1.3 billion, net of income tax) in the current period, when compared to the prior period, primarily due to the following:</w:t>
      </w:r>
    </w:p>
    <w:p>
      <w:pPr>
        <w:spacing w:after="0" w:line="73" w:lineRule="exact"/>
        <w:rPr>
          <w:sz w:val="20"/>
          <w:szCs w:val="20"/>
          <w:color w:val="auto"/>
        </w:rPr>
      </w:pPr>
    </w:p>
    <w:p>
      <w:pPr>
        <w:jc w:val="both"/>
        <w:ind w:left="660" w:hanging="328"/>
        <w:spacing w:after="0" w:line="259" w:lineRule="auto"/>
        <w:tabs>
          <w:tab w:leader="none" w:pos="6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an increase of $3.0 billion ($2.0 billion, net of income tax) from the impact of the prior period increase in GMLB Riders liabilities accounted for as embedded derivatives, of which $2.4 billion ($1.6 billion, net of income tax) was primarily due to changes in behavioral assumptions regarding rider utilization and $571 million ($371 million, net of income tax) was due to changes in risk margins related to these behavioral assumption changes; and</w:t>
      </w:r>
    </w:p>
    <w:p>
      <w:pPr>
        <w:spacing w:after="0" w:line="78"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an increase of $521 million ($339 million, net of income tax) from a favorable change in the current period the nonperformance risk adjustment resulting from using our own creditworthiness post-separation; partially offset by</w:t>
      </w:r>
    </w:p>
    <w:p>
      <w:pPr>
        <w:spacing w:after="0" w:line="62"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a decrease of $1.1 billion ($704 million, net of income tax) from the impact of lower DAC amortization in the prior period as well as related to additional unfavorable adjustments in the current period resulting from the change in nonperformance risk adjustment and refinements to the amortization period; and</w:t>
      </w:r>
    </w:p>
    <w:p>
      <w:pPr>
        <w:spacing w:after="0" w:line="73" w:lineRule="exact"/>
        <w:rPr>
          <w:rFonts w:ascii="Arial" w:cs="Arial" w:eastAsia="Arial" w:hAnsi="Arial"/>
          <w:sz w:val="18"/>
          <w:szCs w:val="18"/>
          <w:color w:val="auto"/>
        </w:rPr>
      </w:pPr>
    </w:p>
    <w:p>
      <w:pPr>
        <w:jc w:val="both"/>
        <w:ind w:left="660" w:hanging="328"/>
        <w:spacing w:after="0" w:line="259" w:lineRule="auto"/>
        <w:tabs>
          <w:tab w:leader="none" w:pos="6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a decrease of $146 million ($95 million, net of income tax) from higher GMLB Riders liabilities accounted for as insurance, of which $326 million ($212 million, net of income tax) was primarily due to favorable impacts recognized in the prior period from behavioral assumption changes, mainly relating to rider utilization, reduced by $180 million ($117 million, net of income tax) related to economic assumptions, primarily lower projected interest rates in the prior period.</w:t>
      </w: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1420"/>
          </w:cols>
          <w:pgMar w:left="240" w:top="126" w:right="239" w:bottom="1440" w:gutter="0" w:footer="0" w:header="0"/>
        </w:sectPr>
      </w:pPr>
    </w:p>
    <w:bookmarkStart w:id="105" w:name="page106"/>
    <w:bookmarkEnd w:id="105"/>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 Risks</w:t>
      </w:r>
    </w:p>
    <w:p>
      <w:pPr>
        <w:spacing w:after="0" w:line="117" w:lineRule="exact"/>
        <w:rPr>
          <w:sz w:val="20"/>
          <w:szCs w:val="20"/>
          <w:color w:val="auto"/>
        </w:rPr>
      </w:pPr>
    </w:p>
    <w:p>
      <w:pPr>
        <w:ind w:firstLine="324"/>
        <w:spacing w:after="0" w:line="342" w:lineRule="auto"/>
        <w:rPr>
          <w:sz w:val="20"/>
          <w:szCs w:val="20"/>
          <w:color w:val="auto"/>
        </w:rPr>
      </w:pPr>
      <w:r>
        <w:rPr>
          <w:rFonts w:ascii="Arial" w:cs="Arial" w:eastAsia="Arial" w:hAnsi="Arial"/>
          <w:sz w:val="16"/>
          <w:szCs w:val="16"/>
          <w:color w:val="auto"/>
        </w:rPr>
        <w:t>Our primary investment objective is to optimize risk-adjusted net investment income and risk-adjusted total return while appropriately matching assets and liabilities. In addition, the investment process is designed to ensure that the portfolio has an appropriate level of liquidity, quality and diversification.</w:t>
      </w:r>
    </w:p>
    <w:p>
      <w:pPr>
        <w:spacing w:after="0" w:line="1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are exposed to the following primary sources of investment risks:</w:t>
      </w:r>
    </w:p>
    <w:p>
      <w:pPr>
        <w:spacing w:after="0" w:line="117" w:lineRule="exact"/>
        <w:rPr>
          <w:sz w:val="20"/>
          <w:szCs w:val="20"/>
          <w:color w:val="auto"/>
        </w:rPr>
      </w:pPr>
    </w:p>
    <w:p>
      <w:pPr>
        <w:ind w:left="660" w:hanging="328"/>
        <w:spacing w:after="0"/>
        <w:tabs>
          <w:tab w:leader="none" w:pos="660" w:val="left"/>
        </w:tabs>
        <w:numPr>
          <w:ilvl w:val="0"/>
          <w:numId w:val="76"/>
        </w:numPr>
        <w:rPr>
          <w:rFonts w:ascii="Arial" w:cs="Arial" w:eastAsia="Arial" w:hAnsi="Arial"/>
          <w:sz w:val="17"/>
          <w:szCs w:val="17"/>
          <w:color w:val="auto"/>
        </w:rPr>
      </w:pPr>
      <w:r>
        <w:rPr>
          <w:rFonts w:ascii="Arial" w:cs="Arial" w:eastAsia="Arial" w:hAnsi="Arial"/>
          <w:sz w:val="17"/>
          <w:szCs w:val="17"/>
          <w:color w:val="auto"/>
        </w:rPr>
        <w:t>credit risk, relating to the uncertainty associated with the continued ability of a given obligor to make timely payments of principal and interest;</w:t>
      </w:r>
    </w:p>
    <w:p>
      <w:pPr>
        <w:spacing w:after="0" w:line="128" w:lineRule="exact"/>
        <w:rPr>
          <w:rFonts w:ascii="Arial" w:cs="Arial" w:eastAsia="Arial" w:hAnsi="Arial"/>
          <w:sz w:val="17"/>
          <w:szCs w:val="17"/>
          <w:color w:val="auto"/>
        </w:rPr>
      </w:pPr>
    </w:p>
    <w:p>
      <w:pPr>
        <w:jc w:val="both"/>
        <w:ind w:left="660" w:hanging="328"/>
        <w:spacing w:after="0" w:line="264" w:lineRule="auto"/>
        <w:tabs>
          <w:tab w:leader="none" w:pos="660" w:val="left"/>
        </w:tabs>
        <w:numPr>
          <w:ilvl w:val="0"/>
          <w:numId w:val="76"/>
        </w:numPr>
        <w:rPr>
          <w:rFonts w:ascii="Arial" w:cs="Arial" w:eastAsia="Arial" w:hAnsi="Arial"/>
          <w:sz w:val="18"/>
          <w:szCs w:val="18"/>
          <w:color w:val="auto"/>
        </w:rPr>
      </w:pPr>
      <w:r>
        <w:rPr>
          <w:rFonts w:ascii="Arial" w:cs="Arial" w:eastAsia="Arial" w:hAnsi="Arial"/>
          <w:sz w:val="18"/>
          <w:szCs w:val="18"/>
          <w:color w:val="auto"/>
        </w:rPr>
        <w:t>interest rate risk, relating to the market price and cash flow variability associated with changes in market interest rates. Changes in market interest rates will impact the net unrealized gain or loss position of our fixed income investment portfolio and the rates of return we receive on both new funds invested and reinvestment of existing funds;</w:t>
      </w:r>
    </w:p>
    <w:p>
      <w:pPr>
        <w:spacing w:after="0" w:line="73" w:lineRule="exact"/>
        <w:rPr>
          <w:rFonts w:ascii="Arial" w:cs="Arial" w:eastAsia="Arial" w:hAnsi="Arial"/>
          <w:sz w:val="18"/>
          <w:szCs w:val="18"/>
          <w:color w:val="auto"/>
        </w:rPr>
      </w:pPr>
    </w:p>
    <w:p>
      <w:pPr>
        <w:jc w:val="both"/>
        <w:ind w:left="660" w:hanging="328"/>
        <w:spacing w:after="0" w:line="255" w:lineRule="auto"/>
        <w:tabs>
          <w:tab w:leader="none" w:pos="660" w:val="left"/>
        </w:tabs>
        <w:numPr>
          <w:ilvl w:val="0"/>
          <w:numId w:val="76"/>
        </w:numPr>
        <w:rPr>
          <w:rFonts w:ascii="Arial" w:cs="Arial" w:eastAsia="Arial" w:hAnsi="Arial"/>
          <w:sz w:val="18"/>
          <w:szCs w:val="18"/>
          <w:color w:val="auto"/>
        </w:rPr>
      </w:pPr>
      <w:r>
        <w:rPr>
          <w:rFonts w:ascii="Arial" w:cs="Arial" w:eastAsia="Arial" w:hAnsi="Arial"/>
          <w:sz w:val="18"/>
          <w:szCs w:val="18"/>
          <w:color w:val="auto"/>
        </w:rPr>
        <w:t>market valuation risk, relating to the variability in the estimated fair value of investments associated with changes in market factors such as credit spreads and equity market levels. A widening of credit spreads will adversely impact the net unrealized gain (loss) position of the fixed income investment portfolio, will increase losses associated with credit-based non-qualifying derivatives while we assume credit exposure, and, if credit spreads widen significantly or for an extended period of time, will likely result in higher other-than-temporary impairment (“OTTI”). Credit spread tightening will reduce net investment income associated with new purchases of fixed maturity securities and will favorably impact the net unrealized gain (loss) position of the fixed income investment portfolio;</w:t>
      </w:r>
    </w:p>
    <w:p>
      <w:pPr>
        <w:spacing w:after="0" w:line="85" w:lineRule="exact"/>
        <w:rPr>
          <w:rFonts w:ascii="Arial" w:cs="Arial" w:eastAsia="Arial" w:hAnsi="Arial"/>
          <w:sz w:val="18"/>
          <w:szCs w:val="18"/>
          <w:color w:val="auto"/>
        </w:rPr>
      </w:pPr>
    </w:p>
    <w:p>
      <w:pPr>
        <w:ind w:left="660" w:hanging="328"/>
        <w:spacing w:after="0"/>
        <w:tabs>
          <w:tab w:leader="none" w:pos="660" w:val="left"/>
        </w:tabs>
        <w:numPr>
          <w:ilvl w:val="0"/>
          <w:numId w:val="76"/>
        </w:numPr>
        <w:rPr>
          <w:rFonts w:ascii="Arial" w:cs="Arial" w:eastAsia="Arial" w:hAnsi="Arial"/>
          <w:sz w:val="18"/>
          <w:szCs w:val="18"/>
          <w:color w:val="auto"/>
        </w:rPr>
      </w:pPr>
      <w:r>
        <w:rPr>
          <w:rFonts w:ascii="Arial" w:cs="Arial" w:eastAsia="Arial" w:hAnsi="Arial"/>
          <w:sz w:val="18"/>
          <w:szCs w:val="18"/>
          <w:color w:val="auto"/>
        </w:rPr>
        <w:t>liquidity risk, relating to the diminished ability to sell certain investments, in times of strained market conditions;</w:t>
      </w:r>
    </w:p>
    <w:p>
      <w:pPr>
        <w:spacing w:after="0" w:line="117"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76"/>
        </w:numPr>
        <w:rPr>
          <w:rFonts w:ascii="Arial" w:cs="Arial" w:eastAsia="Arial" w:hAnsi="Arial"/>
          <w:sz w:val="18"/>
          <w:szCs w:val="18"/>
          <w:color w:val="auto"/>
        </w:rPr>
      </w:pPr>
      <w:r>
        <w:rPr>
          <w:rFonts w:ascii="Arial" w:cs="Arial" w:eastAsia="Arial" w:hAnsi="Arial"/>
          <w:sz w:val="18"/>
          <w:szCs w:val="18"/>
          <w:color w:val="auto"/>
        </w:rPr>
        <w:t>real estate risk, relating to commercial, agricultural and residential real estate, and stemming from factors, which include, but are not limited to, market conditions, including the demand and supply of leasable commercial space, creditworthiness of borrowers and their tenants and joint venture partners, capital markets volatility and inherent interest rate movements; and</w:t>
      </w:r>
    </w:p>
    <w:p>
      <w:pPr>
        <w:spacing w:after="0" w:line="73" w:lineRule="exact"/>
        <w:rPr>
          <w:rFonts w:ascii="Arial" w:cs="Arial" w:eastAsia="Arial" w:hAnsi="Arial"/>
          <w:sz w:val="18"/>
          <w:szCs w:val="18"/>
          <w:color w:val="auto"/>
        </w:rPr>
      </w:pPr>
    </w:p>
    <w:p>
      <w:pPr>
        <w:ind w:left="660" w:hanging="328"/>
        <w:spacing w:after="0"/>
        <w:tabs>
          <w:tab w:leader="none" w:pos="660" w:val="left"/>
        </w:tabs>
        <w:numPr>
          <w:ilvl w:val="0"/>
          <w:numId w:val="76"/>
        </w:numPr>
        <w:rPr>
          <w:rFonts w:ascii="Arial" w:cs="Arial" w:eastAsia="Arial" w:hAnsi="Arial"/>
          <w:sz w:val="18"/>
          <w:szCs w:val="18"/>
          <w:color w:val="auto"/>
        </w:rPr>
      </w:pPr>
      <w:r>
        <w:rPr>
          <w:rFonts w:ascii="Arial" w:cs="Arial" w:eastAsia="Arial" w:hAnsi="Arial"/>
          <w:sz w:val="18"/>
          <w:szCs w:val="18"/>
          <w:color w:val="auto"/>
        </w:rPr>
        <w:t>currency risk, relating to the variability in currency exchange rates for foreign denominated investments.</w:t>
      </w:r>
    </w:p>
    <w:p>
      <w:pPr>
        <w:spacing w:after="0" w:line="117"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We manage these risks through asset-type allocation and industry and issuer diversification. Risk limits are also used to promote diversification by asset sector, avoid concentrations in any single issuer and limit overall aggregate credit and equity risk exposure. Real estate risk is managed through geographic and property type and product type diversification. We manage interest rate risk as part of our Asset Liability Management (“ALM”) strategies. Product design, such as the use of market value adjustment features and surrender charges, is also utilized to manage interest rate risk. These strategies include maintaining an investment portfolio with diversified maturities that targets a weighted average duration that reflects the duration of our estimated liability cash flow profile. For certain of our liability portfolios, it is not possible to invest assets to the full liability duration, thereby creating some asset/liability mismatch. We also use certain derivatives in the management of currency, credit, interest rate, and equity market risks.</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Current Environment</w:t>
      </w:r>
    </w:p>
    <w:p>
      <w:pPr>
        <w:spacing w:after="0" w:line="117" w:lineRule="exact"/>
        <w:rPr>
          <w:sz w:val="20"/>
          <w:szCs w:val="20"/>
          <w:color w:val="auto"/>
        </w:rPr>
      </w:pPr>
    </w:p>
    <w:p>
      <w:pPr>
        <w:jc w:val="both"/>
        <w:ind w:left="180" w:firstLine="324"/>
        <w:spacing w:after="0" w:line="312" w:lineRule="auto"/>
        <w:rPr>
          <w:sz w:val="20"/>
          <w:szCs w:val="20"/>
          <w:color w:val="auto"/>
        </w:rPr>
      </w:pPr>
      <w:r>
        <w:rPr>
          <w:rFonts w:ascii="Arial" w:cs="Arial" w:eastAsia="Arial" w:hAnsi="Arial"/>
          <w:sz w:val="16"/>
          <w:szCs w:val="16"/>
          <w:color w:val="auto"/>
        </w:rPr>
        <w:t>Our business and results of operations are materially affected by conditions in capital markets and the economy, generally. Recently, political and/or economic instability primarily in the U.K. and Puerto Rico have contributed to global market volatility. See “Management’s Discussion and Analysis of Financial Condition and Results of Operations — Industry Trends and Uncertainties — Financial and Economic Environment” included in the Form 10.</w:t>
      </w:r>
    </w:p>
    <w:p>
      <w:pPr>
        <w:spacing w:after="0" w:line="39" w:lineRule="exact"/>
        <w:rPr>
          <w:sz w:val="20"/>
          <w:szCs w:val="20"/>
          <w:color w:val="auto"/>
        </w:rPr>
      </w:pPr>
    </w:p>
    <w:p>
      <w:pPr>
        <w:jc w:val="both"/>
        <w:ind w:left="180" w:firstLine="324"/>
        <w:spacing w:after="0" w:line="302" w:lineRule="auto"/>
        <w:rPr>
          <w:sz w:val="20"/>
          <w:szCs w:val="20"/>
          <w:color w:val="auto"/>
        </w:rPr>
      </w:pPr>
      <w:r>
        <w:rPr>
          <w:rFonts w:ascii="Arial" w:cs="Arial" w:eastAsia="Arial" w:hAnsi="Arial"/>
          <w:sz w:val="16"/>
          <w:szCs w:val="16"/>
          <w:color w:val="auto"/>
        </w:rPr>
        <w:t>As a U.S. insurance company, we are affected by the monetary policy of the Federal Reserve Board in the United States. In June 2017, the Federal Open Market Committee increased the federal funds rate, the second such increase in 2017. The Federal Reserve may take further actions to influence interest rates in the future, which may have an impact on the pricing levels of risk-bearing investments and may adversely impact the level of product sales. We are also affected by the monetary policy of central banks around the world due to the diversification of our investment portfolio.</w:t>
      </w:r>
    </w:p>
    <w:p>
      <w:pPr>
        <w:spacing w:after="0" w:line="46"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European Investments</w:t>
      </w:r>
    </w:p>
    <w:p>
      <w:pPr>
        <w:spacing w:after="0" w:line="117" w:lineRule="exact"/>
        <w:rPr>
          <w:sz w:val="20"/>
          <w:szCs w:val="20"/>
          <w:color w:val="auto"/>
        </w:rPr>
      </w:pPr>
    </w:p>
    <w:p>
      <w:pPr>
        <w:jc w:val="both"/>
        <w:ind w:left="180" w:firstLine="324"/>
        <w:spacing w:after="0" w:line="259" w:lineRule="auto"/>
        <w:rPr>
          <w:sz w:val="20"/>
          <w:szCs w:val="20"/>
          <w:color w:val="auto"/>
        </w:rPr>
      </w:pPr>
      <w:r>
        <w:rPr>
          <w:rFonts w:ascii="Arial" w:cs="Arial" w:eastAsia="Arial" w:hAnsi="Arial"/>
          <w:sz w:val="18"/>
          <w:szCs w:val="18"/>
          <w:color w:val="auto"/>
        </w:rPr>
        <w:t>We maintain general account investments in Europe for diversification. We have proactively mitigated risk in both direct and indirect exposures by investing in a diversified portfolio of high quality investments with a focus on the higher-rated countries, including the U.K., the Netherlands, Germany, France, Switzerland and Norway. Our total European general account exposure to fixed maturity and perpetual hybrid securities classified as non-redeemable preferred stock was $4.3 billion, or 5% of cash</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104</w:t>
      </w:r>
    </w:p>
    <w:p>
      <w:pPr>
        <w:sectPr>
          <w:pgSz w:w="11900" w:h="16838" w:orient="portrait"/>
          <w:cols w:equalWidth="0" w:num="1">
            <w:col w:w="11420"/>
          </w:cols>
          <w:pgMar w:left="240" w:top="126" w:right="239" w:bottom="1440" w:gutter="0" w:footer="0" w:header="0"/>
        </w:sectPr>
      </w:pPr>
    </w:p>
    <w:bookmarkStart w:id="106" w:name="page107"/>
    <w:bookmarkEnd w:id="106"/>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180" w:right="480"/>
        <w:spacing w:after="0" w:line="375" w:lineRule="auto"/>
        <w:rPr>
          <w:sz w:val="20"/>
          <w:szCs w:val="20"/>
          <w:color w:val="auto"/>
        </w:rPr>
      </w:pPr>
      <w:r>
        <w:rPr>
          <w:rFonts w:ascii="Arial" w:cs="Arial" w:eastAsia="Arial" w:hAnsi="Arial"/>
          <w:sz w:val="18"/>
          <w:szCs w:val="18"/>
          <w:color w:val="auto"/>
        </w:rPr>
        <w:t xml:space="preserve">and invested assets at September 30, 2017, which is invested in a diversified portfolio of primarily investment grade non-financial services securities. </w:t>
      </w:r>
      <w:r>
        <w:rPr>
          <w:rFonts w:ascii="Arial" w:cs="Arial" w:eastAsia="Arial" w:hAnsi="Arial"/>
          <w:sz w:val="18"/>
          <w:szCs w:val="18"/>
          <w:b w:val="1"/>
          <w:bCs w:val="1"/>
          <w:i w:val="1"/>
          <w:iCs w:val="1"/>
          <w:u w:val="single" w:color="auto"/>
          <w:color w:val="auto"/>
        </w:rPr>
        <w:t>Selected Country and Sector Investments</w:t>
      </w:r>
    </w:p>
    <w:p>
      <w:pPr>
        <w:spacing w:after="0" w:line="1" w:lineRule="exact"/>
        <w:rPr>
          <w:sz w:val="20"/>
          <w:szCs w:val="20"/>
          <w:color w:val="auto"/>
        </w:rPr>
      </w:pPr>
    </w:p>
    <w:p>
      <w:pPr>
        <w:jc w:val="both"/>
        <w:ind w:left="180" w:firstLine="324"/>
        <w:spacing w:after="0" w:line="257" w:lineRule="auto"/>
        <w:rPr>
          <w:sz w:val="20"/>
          <w:szCs w:val="20"/>
          <w:color w:val="auto"/>
        </w:rPr>
      </w:pPr>
      <w:r>
        <w:rPr>
          <w:rFonts w:ascii="Arial" w:cs="Arial" w:eastAsia="Arial" w:hAnsi="Arial"/>
          <w:sz w:val="18"/>
          <w:szCs w:val="18"/>
          <w:color w:val="auto"/>
        </w:rPr>
        <w:t>Recent elevated levels of market volatility have affected the performance of various asset classes. Contributing factors include concerns about economic conditions and capital markets; lower energy and oil prices impacting the energy sector, declining sales and increased online competition in the retail sector and recent country and sector specific volatility due to local economic and/or political concerns have affected the performance of certain of our investments. See “Management’s Discussion and Analysis of Financial Condition and Results of Operations — Industry Trends and Uncertainties — Financial and Economic Environment” included in the Form 10.</w:t>
      </w:r>
    </w:p>
    <w:p>
      <w:pPr>
        <w:spacing w:after="0" w:line="80" w:lineRule="exact"/>
        <w:rPr>
          <w:sz w:val="20"/>
          <w:szCs w:val="20"/>
          <w:color w:val="auto"/>
        </w:rPr>
      </w:pPr>
    </w:p>
    <w:p>
      <w:pPr>
        <w:jc w:val="both"/>
        <w:ind w:left="180" w:firstLine="324"/>
        <w:spacing w:after="0" w:line="257" w:lineRule="auto"/>
        <w:rPr>
          <w:sz w:val="20"/>
          <w:szCs w:val="20"/>
          <w:color w:val="auto"/>
        </w:rPr>
      </w:pPr>
      <w:r>
        <w:rPr>
          <w:rFonts w:ascii="Arial" w:cs="Arial" w:eastAsia="Arial" w:hAnsi="Arial"/>
          <w:sz w:val="18"/>
          <w:szCs w:val="18"/>
          <w:color w:val="auto"/>
        </w:rPr>
        <w:t>We have exposure to global market volatility, as we maintain general account investments in the U.K. and Puerto Rico, among other countries, through our global portfolio diversification. Our exposure to sovereign fixed maturity securities and total fixed maturity securities of the U.K. and Puerto Rico totaled $3 million and $1.5 billion, at estimated fair value, respectively, at September 30, 2017. See “Management’s Discussion and Analysis of Financial Condition and Results of Operations — Investments — Current Environment — Selected Country Investments” included in the Form 10 for further information by country.</w:t>
      </w:r>
    </w:p>
    <w:p>
      <w:pPr>
        <w:spacing w:after="0" w:line="80" w:lineRule="exact"/>
        <w:rPr>
          <w:sz w:val="20"/>
          <w:szCs w:val="20"/>
          <w:color w:val="auto"/>
        </w:rPr>
      </w:pPr>
    </w:p>
    <w:p>
      <w:pPr>
        <w:jc w:val="both"/>
        <w:ind w:left="180" w:firstLine="324"/>
        <w:spacing w:after="0" w:line="312" w:lineRule="auto"/>
        <w:rPr>
          <w:sz w:val="20"/>
          <w:szCs w:val="20"/>
          <w:color w:val="auto"/>
        </w:rPr>
      </w:pPr>
      <w:r>
        <w:rPr>
          <w:rFonts w:ascii="Arial" w:cs="Arial" w:eastAsia="Arial" w:hAnsi="Arial"/>
          <w:sz w:val="16"/>
          <w:szCs w:val="16"/>
          <w:color w:val="auto"/>
        </w:rPr>
        <w:t>There has been an increased market focus on energy sector investments as a result of lower energy and oil prices. Our net exposure to energy sector fixed maturity securities was $2.1 billion (comprised of fixed maturity securities of $2.1 billion at estimated fair value and related net written credit default swaps of $10 million at notional value), of which 84% were investment grade, with unrealized gains of $131 million at September 30, 2017.</w:t>
      </w:r>
    </w:p>
    <w:p>
      <w:pPr>
        <w:spacing w:after="0" w:line="39" w:lineRule="exact"/>
        <w:rPr>
          <w:sz w:val="20"/>
          <w:szCs w:val="20"/>
          <w:color w:val="auto"/>
        </w:rPr>
      </w:pPr>
    </w:p>
    <w:p>
      <w:pPr>
        <w:jc w:val="both"/>
        <w:ind w:left="180" w:firstLine="324"/>
        <w:spacing w:after="0" w:line="264" w:lineRule="auto"/>
        <w:rPr>
          <w:sz w:val="20"/>
          <w:szCs w:val="20"/>
          <w:color w:val="auto"/>
        </w:rPr>
      </w:pPr>
      <w:r>
        <w:rPr>
          <w:rFonts w:ascii="Arial" w:cs="Arial" w:eastAsia="Arial" w:hAnsi="Arial"/>
          <w:sz w:val="18"/>
          <w:szCs w:val="18"/>
          <w:color w:val="auto"/>
        </w:rPr>
        <w:t>There has been an increased market focus on retail sector investments as a result of declining sales and the effects of online competition. Our exposure to retail sector corporate fixed maturity securities was $1.5 billion, of which 94% were investment grade, with unrealized gains of $85 million at September 30, 2017.</w:t>
      </w:r>
    </w:p>
    <w:p>
      <w:pPr>
        <w:spacing w:after="0" w:line="73" w:lineRule="exact"/>
        <w:rPr>
          <w:sz w:val="20"/>
          <w:szCs w:val="20"/>
          <w:color w:val="auto"/>
        </w:rPr>
      </w:pPr>
    </w:p>
    <w:p>
      <w:pPr>
        <w:jc w:val="both"/>
        <w:ind w:left="180" w:firstLine="324"/>
        <w:spacing w:after="0" w:line="264" w:lineRule="auto"/>
        <w:rPr>
          <w:sz w:val="20"/>
          <w:szCs w:val="20"/>
          <w:color w:val="auto"/>
        </w:rPr>
      </w:pPr>
      <w:r>
        <w:rPr>
          <w:rFonts w:ascii="Arial" w:cs="Arial" w:eastAsia="Arial" w:hAnsi="Arial"/>
          <w:sz w:val="18"/>
          <w:szCs w:val="18"/>
          <w:color w:val="auto"/>
        </w:rPr>
        <w:t>We manage direct and indirect investment exposure in the selected countries and energy and retail sectors through fundamental credit analysis and we continually monitor and adjust our level of investment exposure. We do not expect that our general account investments in these countries and energy and retail sectors will have a material adverse effect on our results of operations or financial condition.</w:t>
      </w:r>
    </w:p>
    <w:p>
      <w:pPr>
        <w:spacing w:after="0" w:line="73"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Current Environment — Summary</w:t>
      </w:r>
    </w:p>
    <w:p>
      <w:pPr>
        <w:spacing w:after="0" w:line="117" w:lineRule="exact"/>
        <w:rPr>
          <w:sz w:val="20"/>
          <w:szCs w:val="20"/>
          <w:color w:val="auto"/>
        </w:rPr>
      </w:pPr>
    </w:p>
    <w:p>
      <w:pPr>
        <w:jc w:val="both"/>
        <w:ind w:left="180" w:firstLine="324"/>
        <w:spacing w:after="0" w:line="272" w:lineRule="auto"/>
        <w:rPr>
          <w:sz w:val="20"/>
          <w:szCs w:val="20"/>
          <w:color w:val="auto"/>
        </w:rPr>
      </w:pPr>
      <w:r>
        <w:rPr>
          <w:rFonts w:ascii="Arial" w:cs="Arial" w:eastAsia="Arial" w:hAnsi="Arial"/>
          <w:sz w:val="17"/>
          <w:szCs w:val="17"/>
          <w:color w:val="auto"/>
        </w:rPr>
        <w:t>All of these factors have had and could continue to have an adverse effect on the financial results of companies in the financial services industry, including us. Such global economic conditions, as well as the global financial markets, continue to impact our net investment income, net investment gains (losses), net derivative gains (losses), level of unrealized gains (losses) within the various asset classes in our investment portfolio, and our level of investment in lower yielding cash equivalents, short-term investments and government securities. See “Management’s Discussion and Analysis of Financial Condition and Results of Operations — Industry Trends and Uncertainties” and “Risk Factors — Economic Environment and Capital Markets-Related Risks — We are exposed to significant financial and capital markets risks which may adversely affect our results of operations, financial condition and liquidity, and may cause our net investment income and net income to vary from period to period.”</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105</w:t>
      </w:r>
    </w:p>
    <w:p>
      <w:pPr>
        <w:sectPr>
          <w:pgSz w:w="11900" w:h="16838" w:orient="portrait"/>
          <w:cols w:equalWidth="0" w:num="1">
            <w:col w:w="11420"/>
          </w:cols>
          <w:pgMar w:left="240" w:top="126" w:right="239" w:bottom="1440" w:gutter="0" w:footer="0" w:header="0"/>
        </w:sectPr>
      </w:pPr>
    </w:p>
    <w:bookmarkStart w:id="107" w:name="page108"/>
    <w:bookmarkEnd w:id="107"/>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Investment Portfolio Results</w:t>
      </w:r>
    </w:p>
    <w:p>
      <w:pPr>
        <w:spacing w:after="0" w:line="117" w:lineRule="exact"/>
        <w:rPr>
          <w:sz w:val="20"/>
          <w:szCs w:val="20"/>
          <w:color w:val="auto"/>
        </w:rPr>
      </w:pPr>
    </w:p>
    <w:p>
      <w:pPr>
        <w:jc w:val="both"/>
        <w:ind w:left="180" w:firstLine="324"/>
        <w:spacing w:after="0" w:line="259" w:lineRule="auto"/>
        <w:rPr>
          <w:sz w:val="20"/>
          <w:szCs w:val="20"/>
          <w:color w:val="auto"/>
        </w:rPr>
      </w:pPr>
      <w:r>
        <w:rPr>
          <w:rFonts w:ascii="Arial" w:cs="Arial" w:eastAsia="Arial" w:hAnsi="Arial"/>
          <w:sz w:val="18"/>
          <w:szCs w:val="18"/>
          <w:color w:val="auto"/>
        </w:rPr>
        <w:t>The following summary yield table presents the yield and net investment income for our investment portfolio for the periods indicated. As described below, this table reflects certain differences from the presentation of net investment income presented in the GAAP statement of operations. This summary yield table presentation is consistent with how we measure our investment performance for management purposes, and we believe it enhances understanding of our investment portfolio results.</w:t>
      </w:r>
    </w:p>
    <w:p>
      <w:pPr>
        <w:spacing w:after="0" w:line="372" w:lineRule="exact"/>
        <w:rPr>
          <w:sz w:val="20"/>
          <w:szCs w:val="20"/>
          <w:color w:val="auto"/>
        </w:rPr>
      </w:pPr>
    </w:p>
    <w:tbl>
      <w:tblPr>
        <w:tblLayout w:type="fixed"/>
        <w:tblInd w:w="500" w:type="dxa"/>
        <w:tblCellMar>
          <w:top w:w="0" w:type="dxa"/>
          <w:left w:w="0" w:type="dxa"/>
          <w:bottom w:w="0" w:type="dxa"/>
          <w:right w:w="0" w:type="dxa"/>
        </w:tblCellMar>
      </w:tblPr>
      <w:tr>
        <w:trPr>
          <w:trHeight w:val="174"/>
        </w:trPr>
        <w:tc>
          <w:tcPr>
            <w:tcW w:w="3240" w:type="dxa"/>
            <w:vAlign w:val="bottom"/>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2260" w:type="dxa"/>
            <w:vAlign w:val="bottom"/>
            <w:tcBorders>
              <w:bottom w:val="single" w:sz="8" w:color="auto"/>
            </w:tcBorders>
            <w:gridSpan w:val="7"/>
          </w:tcPr>
          <w:p>
            <w:pPr>
              <w:jc w:val="right"/>
              <w:ind w:right="200"/>
              <w:spacing w:after="0"/>
              <w:rPr>
                <w:sz w:val="20"/>
                <w:szCs w:val="20"/>
                <w:color w:val="auto"/>
              </w:rPr>
            </w:pPr>
            <w:r>
              <w:rPr>
                <w:rFonts w:ascii="Arial" w:cs="Arial" w:eastAsia="Arial" w:hAnsi="Arial"/>
                <w:sz w:val="13"/>
                <w:szCs w:val="13"/>
                <w:b w:val="1"/>
                <w:bCs w:val="1"/>
                <w:color w:val="auto"/>
                <w:w w:val="92"/>
              </w:rPr>
              <w:t>Three Months Ended September 30,</w:t>
            </w:r>
          </w:p>
        </w:tc>
        <w:tc>
          <w:tcPr>
            <w:tcW w:w="6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2140" w:type="dxa"/>
            <w:vAlign w:val="bottom"/>
            <w:tcBorders>
              <w:bottom w:val="single" w:sz="8" w:color="auto"/>
            </w:tcBorders>
            <w:gridSpan w:val="8"/>
          </w:tcPr>
          <w:p>
            <w:pPr>
              <w:jc w:val="right"/>
              <w:ind w:right="180"/>
              <w:spacing w:after="0"/>
              <w:rPr>
                <w:sz w:val="20"/>
                <w:szCs w:val="20"/>
                <w:color w:val="auto"/>
              </w:rPr>
            </w:pPr>
            <w:r>
              <w:rPr>
                <w:rFonts w:ascii="Arial" w:cs="Arial" w:eastAsia="Arial" w:hAnsi="Arial"/>
                <w:sz w:val="13"/>
                <w:szCs w:val="13"/>
                <w:b w:val="1"/>
                <w:bCs w:val="1"/>
                <w:color w:val="auto"/>
                <w:w w:val="90"/>
              </w:rPr>
              <w:t>Nine Months Ended September 30,</w:t>
            </w:r>
          </w:p>
        </w:tc>
        <w:tc>
          <w:tcPr>
            <w:tcW w:w="600" w:type="dxa"/>
            <w:vAlign w:val="bottom"/>
            <w:tcBorders>
              <w:bottom w:val="single" w:sz="8" w:color="auto"/>
            </w:tcBorders>
          </w:tcPr>
          <w:p>
            <w:pPr>
              <w:spacing w:after="0"/>
              <w:rPr>
                <w:sz w:val="15"/>
                <w:szCs w:val="15"/>
                <w:color w:val="auto"/>
              </w:rPr>
            </w:pPr>
          </w:p>
        </w:tc>
      </w:tr>
      <w:tr>
        <w:trPr>
          <w:trHeight w:val="173"/>
        </w:trPr>
        <w:tc>
          <w:tcPr>
            <w:tcW w:w="32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80" w:type="dxa"/>
            <w:vAlign w:val="bottom"/>
            <w:gridSpan w:val="3"/>
          </w:tcPr>
          <w:p>
            <w:pPr>
              <w:jc w:val="right"/>
              <w:ind w:right="100"/>
              <w:spacing w:after="0"/>
              <w:rPr>
                <w:sz w:val="20"/>
                <w:szCs w:val="20"/>
                <w:color w:val="auto"/>
              </w:rPr>
            </w:pPr>
            <w:r>
              <w:rPr>
                <w:rFonts w:ascii="Arial" w:cs="Arial" w:eastAsia="Arial" w:hAnsi="Arial"/>
                <w:sz w:val="13"/>
                <w:szCs w:val="13"/>
                <w:b w:val="1"/>
                <w:bCs w:val="1"/>
                <w:color w:val="auto"/>
                <w:w w:val="89"/>
              </w:rPr>
              <w:t>2017</w:t>
            </w: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20" w:type="dxa"/>
            <w:vAlign w:val="bottom"/>
          </w:tcPr>
          <w:p>
            <w:pPr>
              <w:jc w:val="right"/>
              <w:spacing w:after="0"/>
              <w:rPr>
                <w:sz w:val="20"/>
                <w:szCs w:val="20"/>
                <w:color w:val="auto"/>
              </w:rPr>
            </w:pPr>
            <w:r>
              <w:rPr>
                <w:rFonts w:ascii="Arial" w:cs="Arial" w:eastAsia="Arial" w:hAnsi="Arial"/>
                <w:sz w:val="13"/>
                <w:szCs w:val="13"/>
                <w:b w:val="1"/>
                <w:bCs w:val="1"/>
                <w:color w:val="auto"/>
                <w:w w:val="89"/>
              </w:rPr>
              <w:t>2016</w:t>
            </w: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20" w:type="dxa"/>
            <w:vAlign w:val="bottom"/>
          </w:tcPr>
          <w:p>
            <w:pPr>
              <w:jc w:val="right"/>
              <w:spacing w:after="0"/>
              <w:rPr>
                <w:sz w:val="20"/>
                <w:szCs w:val="20"/>
                <w:color w:val="auto"/>
              </w:rPr>
            </w:pPr>
            <w:r>
              <w:rPr>
                <w:rFonts w:ascii="Arial" w:cs="Arial" w:eastAsia="Arial" w:hAnsi="Arial"/>
                <w:sz w:val="13"/>
                <w:szCs w:val="13"/>
                <w:b w:val="1"/>
                <w:bCs w:val="1"/>
                <w:color w:val="auto"/>
                <w:w w:val="89"/>
              </w:rPr>
              <w:t>2017</w:t>
            </w: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40" w:type="dxa"/>
            <w:vAlign w:val="bottom"/>
            <w:gridSpan w:val="3"/>
          </w:tcPr>
          <w:p>
            <w:pPr>
              <w:jc w:val="right"/>
              <w:ind w:right="80"/>
              <w:spacing w:after="0"/>
              <w:rPr>
                <w:sz w:val="20"/>
                <w:szCs w:val="20"/>
                <w:color w:val="auto"/>
              </w:rPr>
            </w:pPr>
            <w:r>
              <w:rPr>
                <w:rFonts w:ascii="Arial" w:cs="Arial" w:eastAsia="Arial" w:hAnsi="Arial"/>
                <w:sz w:val="13"/>
                <w:szCs w:val="13"/>
                <w:b w:val="1"/>
                <w:bCs w:val="1"/>
                <w:color w:val="auto"/>
                <w:w w:val="82"/>
              </w:rPr>
              <w:t>2016</w:t>
            </w:r>
          </w:p>
        </w:tc>
        <w:tc>
          <w:tcPr>
            <w:tcW w:w="600" w:type="dxa"/>
            <w:vAlign w:val="bottom"/>
          </w:tcPr>
          <w:p>
            <w:pPr>
              <w:spacing w:after="0"/>
              <w:rPr>
                <w:sz w:val="15"/>
                <w:szCs w:val="15"/>
                <w:color w:val="auto"/>
              </w:rPr>
            </w:pPr>
          </w:p>
        </w:tc>
      </w:tr>
      <w:tr>
        <w:trPr>
          <w:trHeight w:val="151"/>
        </w:trPr>
        <w:tc>
          <w:tcPr>
            <w:tcW w:w="3240" w:type="dxa"/>
            <w:vAlign w:val="bottom"/>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r>
      <w:tr>
        <w:trPr>
          <w:trHeight w:val="137"/>
        </w:trPr>
        <w:tc>
          <w:tcPr>
            <w:tcW w:w="3240" w:type="dxa"/>
            <w:vAlign w:val="bottom"/>
          </w:tcPr>
          <w:p>
            <w:pPr>
              <w:spacing w:after="0"/>
              <w:rPr>
                <w:sz w:val="11"/>
                <w:szCs w:val="11"/>
                <w:color w:val="auto"/>
              </w:rPr>
            </w:pPr>
          </w:p>
        </w:tc>
        <w:tc>
          <w:tcPr>
            <w:tcW w:w="680" w:type="dxa"/>
            <w:vAlign w:val="bottom"/>
          </w:tcPr>
          <w:p>
            <w:pPr>
              <w:jc w:val="right"/>
              <w:ind w:right="57"/>
              <w:spacing w:after="0" w:line="138" w:lineRule="exact"/>
              <w:rPr>
                <w:sz w:val="20"/>
                <w:szCs w:val="20"/>
                <w:color w:val="auto"/>
              </w:rPr>
            </w:pPr>
            <w:r>
              <w:rPr>
                <w:rFonts w:ascii="Arial" w:cs="Arial" w:eastAsia="Arial" w:hAnsi="Arial"/>
                <w:sz w:val="13"/>
                <w:szCs w:val="13"/>
                <w:b w:val="1"/>
                <w:bCs w:val="1"/>
                <w:color w:val="auto"/>
              </w:rPr>
              <w:t>Yield%</w:t>
            </w: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jc w:val="right"/>
              <w:ind w:right="117"/>
              <w:spacing w:after="0" w:line="138" w:lineRule="exact"/>
              <w:rPr>
                <w:sz w:val="20"/>
                <w:szCs w:val="20"/>
                <w:color w:val="auto"/>
              </w:rPr>
            </w:pPr>
            <w:r>
              <w:rPr>
                <w:rFonts w:ascii="Arial" w:cs="Arial" w:eastAsia="Arial" w:hAnsi="Arial"/>
                <w:sz w:val="13"/>
                <w:szCs w:val="13"/>
                <w:b w:val="1"/>
                <w:bCs w:val="1"/>
                <w:color w:val="auto"/>
              </w:rPr>
              <w:t>Yield%</w:t>
            </w: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jc w:val="right"/>
              <w:ind w:right="97"/>
              <w:spacing w:after="0" w:line="138" w:lineRule="exact"/>
              <w:rPr>
                <w:sz w:val="20"/>
                <w:szCs w:val="20"/>
                <w:color w:val="auto"/>
              </w:rPr>
            </w:pPr>
            <w:r>
              <w:rPr>
                <w:rFonts w:ascii="Arial" w:cs="Arial" w:eastAsia="Arial" w:hAnsi="Arial"/>
                <w:sz w:val="13"/>
                <w:szCs w:val="13"/>
                <w:b w:val="1"/>
                <w:bCs w:val="1"/>
                <w:color w:val="auto"/>
              </w:rPr>
              <w:t>Yield%</w:t>
            </w: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jc w:val="right"/>
              <w:ind w:right="57"/>
              <w:spacing w:after="0" w:line="138" w:lineRule="exact"/>
              <w:rPr>
                <w:sz w:val="20"/>
                <w:szCs w:val="20"/>
                <w:color w:val="auto"/>
              </w:rPr>
            </w:pPr>
            <w:r>
              <w:rPr>
                <w:rFonts w:ascii="Arial" w:cs="Arial" w:eastAsia="Arial" w:hAnsi="Arial"/>
                <w:sz w:val="13"/>
                <w:szCs w:val="13"/>
                <w:b w:val="1"/>
                <w:bCs w:val="1"/>
                <w:color w:val="auto"/>
              </w:rPr>
              <w:t>Yield%</w:t>
            </w: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r>
      <w:tr>
        <w:trPr>
          <w:trHeight w:val="174"/>
        </w:trPr>
        <w:tc>
          <w:tcPr>
            <w:tcW w:w="3240" w:type="dxa"/>
            <w:vAlign w:val="bottom"/>
          </w:tcPr>
          <w:p>
            <w:pPr>
              <w:spacing w:after="0"/>
              <w:rPr>
                <w:sz w:val="15"/>
                <w:szCs w:val="15"/>
                <w:color w:val="auto"/>
              </w:rPr>
            </w:pPr>
          </w:p>
        </w:tc>
        <w:tc>
          <w:tcPr>
            <w:tcW w:w="680" w:type="dxa"/>
            <w:vAlign w:val="bottom"/>
            <w:tcBorders>
              <w:bottom w:val="single" w:sz="8" w:color="auto"/>
            </w:tcBorders>
          </w:tcPr>
          <w:p>
            <w:pPr>
              <w:jc w:val="right"/>
              <w:ind w:right="177"/>
              <w:spacing w:after="0"/>
              <w:rPr>
                <w:sz w:val="20"/>
                <w:szCs w:val="20"/>
                <w:color w:val="auto"/>
              </w:rPr>
            </w:pPr>
            <w:r>
              <w:rPr>
                <w:rFonts w:ascii="Arial" w:cs="Arial" w:eastAsia="Arial" w:hAnsi="Arial"/>
                <w:sz w:val="13"/>
                <w:szCs w:val="13"/>
                <w:b w:val="1"/>
                <w:bCs w:val="1"/>
                <w:color w:val="auto"/>
              </w:rPr>
              <w:t>(1)</w:t>
            </w:r>
          </w:p>
        </w:tc>
        <w:tc>
          <w:tcPr>
            <w:tcW w:w="6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gridSpan w:val="2"/>
          </w:tcPr>
          <w:p>
            <w:pPr>
              <w:ind w:left="40"/>
              <w:spacing w:after="0"/>
              <w:rPr>
                <w:sz w:val="20"/>
                <w:szCs w:val="20"/>
                <w:color w:val="auto"/>
              </w:rPr>
            </w:pPr>
            <w:r>
              <w:rPr>
                <w:rFonts w:ascii="Arial" w:cs="Arial" w:eastAsia="Arial" w:hAnsi="Arial"/>
                <w:sz w:val="13"/>
                <w:szCs w:val="13"/>
                <w:b w:val="1"/>
                <w:bCs w:val="1"/>
                <w:color w:val="auto"/>
              </w:rPr>
              <w:t>Amount</w:t>
            </w:r>
          </w:p>
        </w:tc>
        <w:tc>
          <w:tcPr>
            <w:tcW w:w="740" w:type="dxa"/>
            <w:vAlign w:val="bottom"/>
            <w:tcBorders>
              <w:bottom w:val="single" w:sz="8" w:color="auto"/>
            </w:tcBorders>
          </w:tcPr>
          <w:p>
            <w:pPr>
              <w:jc w:val="right"/>
              <w:ind w:right="237"/>
              <w:spacing w:after="0"/>
              <w:rPr>
                <w:sz w:val="20"/>
                <w:szCs w:val="20"/>
                <w:color w:val="auto"/>
              </w:rPr>
            </w:pPr>
            <w:r>
              <w:rPr>
                <w:rFonts w:ascii="Arial" w:cs="Arial" w:eastAsia="Arial" w:hAnsi="Arial"/>
                <w:sz w:val="13"/>
                <w:szCs w:val="13"/>
                <w:b w:val="1"/>
                <w:bCs w:val="1"/>
                <w:color w:val="auto"/>
              </w:rPr>
              <w:t>(1)</w:t>
            </w:r>
          </w:p>
        </w:tc>
        <w:tc>
          <w:tcPr>
            <w:tcW w:w="3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gridSpan w:val="2"/>
          </w:tcPr>
          <w:p>
            <w:pPr>
              <w:ind w:left="20"/>
              <w:spacing w:after="0"/>
              <w:rPr>
                <w:sz w:val="20"/>
                <w:szCs w:val="20"/>
                <w:color w:val="auto"/>
              </w:rPr>
            </w:pPr>
            <w:r>
              <w:rPr>
                <w:rFonts w:ascii="Arial" w:cs="Arial" w:eastAsia="Arial" w:hAnsi="Arial"/>
                <w:sz w:val="13"/>
                <w:szCs w:val="13"/>
                <w:b w:val="1"/>
                <w:bCs w:val="1"/>
                <w:color w:val="auto"/>
              </w:rPr>
              <w:t>Amount</w:t>
            </w:r>
          </w:p>
        </w:tc>
        <w:tc>
          <w:tcPr>
            <w:tcW w:w="720" w:type="dxa"/>
            <w:vAlign w:val="bottom"/>
            <w:tcBorders>
              <w:bottom w:val="single" w:sz="8" w:color="auto"/>
            </w:tcBorders>
          </w:tcPr>
          <w:p>
            <w:pPr>
              <w:jc w:val="right"/>
              <w:ind w:right="217"/>
              <w:spacing w:after="0"/>
              <w:rPr>
                <w:sz w:val="20"/>
                <w:szCs w:val="20"/>
                <w:color w:val="auto"/>
              </w:rPr>
            </w:pPr>
            <w:r>
              <w:rPr>
                <w:rFonts w:ascii="Arial" w:cs="Arial" w:eastAsia="Arial" w:hAnsi="Arial"/>
                <w:sz w:val="13"/>
                <w:szCs w:val="13"/>
                <w:b w:val="1"/>
                <w:bCs w:val="1"/>
                <w:color w:val="auto"/>
              </w:rPr>
              <w:t>(1)</w:t>
            </w:r>
          </w:p>
        </w:tc>
        <w:tc>
          <w:tcPr>
            <w:tcW w:w="3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gridSpan w:val="2"/>
          </w:tcPr>
          <w:p>
            <w:pPr>
              <w:ind w:left="20"/>
              <w:spacing w:after="0"/>
              <w:rPr>
                <w:sz w:val="20"/>
                <w:szCs w:val="20"/>
                <w:color w:val="auto"/>
              </w:rPr>
            </w:pPr>
            <w:r>
              <w:rPr>
                <w:rFonts w:ascii="Arial" w:cs="Arial" w:eastAsia="Arial" w:hAnsi="Arial"/>
                <w:sz w:val="13"/>
                <w:szCs w:val="13"/>
                <w:b w:val="1"/>
                <w:bCs w:val="1"/>
                <w:color w:val="auto"/>
              </w:rPr>
              <w:t>Amount</w:t>
            </w:r>
          </w:p>
        </w:tc>
        <w:tc>
          <w:tcPr>
            <w:tcW w:w="680" w:type="dxa"/>
            <w:vAlign w:val="bottom"/>
            <w:tcBorders>
              <w:bottom w:val="single" w:sz="8" w:color="auto"/>
            </w:tcBorders>
          </w:tcPr>
          <w:p>
            <w:pPr>
              <w:jc w:val="right"/>
              <w:ind w:right="177"/>
              <w:spacing w:after="0"/>
              <w:rPr>
                <w:sz w:val="20"/>
                <w:szCs w:val="20"/>
                <w:color w:val="auto"/>
              </w:rPr>
            </w:pPr>
            <w:r>
              <w:rPr>
                <w:rFonts w:ascii="Arial" w:cs="Arial" w:eastAsia="Arial" w:hAnsi="Arial"/>
                <w:sz w:val="13"/>
                <w:szCs w:val="13"/>
                <w:b w:val="1"/>
                <w:bCs w:val="1"/>
                <w:color w:val="auto"/>
              </w:rPr>
              <w:t>(1)</w:t>
            </w:r>
          </w:p>
        </w:tc>
        <w:tc>
          <w:tcPr>
            <w:tcW w:w="4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b w:val="1"/>
                <w:bCs w:val="1"/>
                <w:color w:val="auto"/>
                <w:w w:val="89"/>
              </w:rPr>
              <w:t>Amount</w:t>
            </w:r>
          </w:p>
        </w:tc>
      </w:tr>
      <w:tr>
        <w:trPr>
          <w:trHeight w:val="181"/>
        </w:trPr>
        <w:tc>
          <w:tcPr>
            <w:tcW w:w="32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60" w:type="dxa"/>
            <w:vAlign w:val="bottom"/>
            <w:gridSpan w:val="3"/>
          </w:tcPr>
          <w:p>
            <w:pPr>
              <w:jc w:val="right"/>
              <w:ind w:right="257"/>
              <w:spacing w:after="0"/>
              <w:rPr>
                <w:sz w:val="20"/>
                <w:szCs w:val="20"/>
                <w:color w:val="auto"/>
              </w:rPr>
            </w:pPr>
            <w:r>
              <w:rPr>
                <w:rFonts w:ascii="Arial" w:cs="Arial" w:eastAsia="Arial" w:hAnsi="Arial"/>
                <w:sz w:val="13"/>
                <w:szCs w:val="13"/>
                <w:b w:val="1"/>
                <w:bCs w:val="1"/>
                <w:color w:val="auto"/>
                <w:w w:val="92"/>
              </w:rPr>
              <w:t>(Dollars in millions)</w:t>
            </w: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r>
      <w:tr>
        <w:trPr>
          <w:trHeight w:val="278"/>
        </w:trPr>
        <w:tc>
          <w:tcPr>
            <w:tcW w:w="3240" w:type="dxa"/>
            <w:vAlign w:val="bottom"/>
            <w:shd w:val="clear" w:color="auto" w:fill="BFE4FF"/>
          </w:tcPr>
          <w:p>
            <w:pPr>
              <w:ind w:left="20"/>
              <w:spacing w:after="0"/>
              <w:rPr>
                <w:sz w:val="20"/>
                <w:szCs w:val="20"/>
                <w:color w:val="auto"/>
              </w:rPr>
            </w:pPr>
            <w:r>
              <w:rPr>
                <w:rFonts w:ascii="Arial" w:cs="Arial" w:eastAsia="Arial" w:hAnsi="Arial"/>
                <w:sz w:val="13"/>
                <w:szCs w:val="13"/>
                <w:color w:val="auto"/>
              </w:rPr>
              <w:t>Investment income</w:t>
            </w:r>
          </w:p>
        </w:tc>
        <w:tc>
          <w:tcPr>
            <w:tcW w:w="680" w:type="dxa"/>
            <w:vAlign w:val="bottom"/>
            <w:shd w:val="clear" w:color="auto" w:fill="BFE4FF"/>
          </w:tcPr>
          <w:p>
            <w:pPr>
              <w:jc w:val="right"/>
              <w:spacing w:after="0"/>
              <w:rPr>
                <w:sz w:val="20"/>
                <w:szCs w:val="20"/>
                <w:color w:val="auto"/>
              </w:rPr>
            </w:pPr>
            <w:r>
              <w:rPr>
                <w:rFonts w:ascii="Arial" w:cs="Arial" w:eastAsia="Arial" w:hAnsi="Arial"/>
                <w:sz w:val="13"/>
                <w:szCs w:val="13"/>
                <w:color w:val="auto"/>
              </w:rPr>
              <w:t>4.47</w:t>
            </w:r>
          </w:p>
        </w:tc>
        <w:tc>
          <w:tcPr>
            <w:tcW w:w="380" w:type="dxa"/>
            <w:vAlign w:val="bottom"/>
            <w:gridSpan w:val="3"/>
            <w:shd w:val="clear" w:color="auto" w:fill="BFE4FF"/>
          </w:tcPr>
          <w:p>
            <w:pPr>
              <w:jc w:val="right"/>
              <w:ind w:right="20"/>
              <w:spacing w:after="0"/>
              <w:rPr>
                <w:sz w:val="20"/>
                <w:szCs w:val="20"/>
                <w:color w:val="auto"/>
              </w:rPr>
            </w:pPr>
            <w:r>
              <w:rPr>
                <w:rFonts w:ascii="Arial" w:cs="Arial" w:eastAsia="Arial" w:hAnsi="Arial"/>
                <w:sz w:val="13"/>
                <w:szCs w:val="13"/>
                <w:color w:val="auto"/>
              </w:rPr>
              <w:t>% $</w:t>
            </w:r>
          </w:p>
        </w:tc>
        <w:tc>
          <w:tcPr>
            <w:tcW w:w="640" w:type="dxa"/>
            <w:vAlign w:val="bottom"/>
            <w:shd w:val="clear" w:color="auto" w:fill="BFE4FF"/>
          </w:tcPr>
          <w:p>
            <w:pPr>
              <w:jc w:val="right"/>
              <w:ind w:right="57"/>
              <w:spacing w:after="0"/>
              <w:rPr>
                <w:sz w:val="20"/>
                <w:szCs w:val="20"/>
                <w:color w:val="auto"/>
              </w:rPr>
            </w:pPr>
            <w:r>
              <w:rPr>
                <w:rFonts w:ascii="Arial" w:cs="Arial" w:eastAsia="Arial" w:hAnsi="Arial"/>
                <w:sz w:val="13"/>
                <w:szCs w:val="13"/>
                <w:color w:val="auto"/>
              </w:rPr>
              <w:t>806</w:t>
            </w:r>
          </w:p>
        </w:tc>
        <w:tc>
          <w:tcPr>
            <w:tcW w:w="120" w:type="dxa"/>
            <w:vAlign w:val="bottom"/>
            <w:shd w:val="clear" w:color="auto" w:fill="BFE4FF"/>
          </w:tcPr>
          <w:p>
            <w:pPr>
              <w:spacing w:after="0"/>
              <w:rPr>
                <w:sz w:val="24"/>
                <w:szCs w:val="24"/>
                <w:color w:val="auto"/>
              </w:rPr>
            </w:pPr>
          </w:p>
        </w:tc>
        <w:tc>
          <w:tcPr>
            <w:tcW w:w="740" w:type="dxa"/>
            <w:vAlign w:val="bottom"/>
            <w:shd w:val="clear" w:color="auto" w:fill="BFE4FF"/>
          </w:tcPr>
          <w:p>
            <w:pPr>
              <w:jc w:val="right"/>
              <w:ind w:right="57"/>
              <w:spacing w:after="0"/>
              <w:rPr>
                <w:sz w:val="20"/>
                <w:szCs w:val="20"/>
                <w:color w:val="auto"/>
              </w:rPr>
            </w:pPr>
            <w:r>
              <w:rPr>
                <w:rFonts w:ascii="Arial" w:cs="Arial" w:eastAsia="Arial" w:hAnsi="Arial"/>
                <w:sz w:val="13"/>
                <w:szCs w:val="13"/>
                <w:color w:val="auto"/>
              </w:rPr>
              <w:t>5.09</w:t>
            </w:r>
          </w:p>
        </w:tc>
        <w:tc>
          <w:tcPr>
            <w:tcW w:w="440" w:type="dxa"/>
            <w:vAlign w:val="bottom"/>
            <w:gridSpan w:val="2"/>
            <w:shd w:val="clear" w:color="auto" w:fill="BFE4FF"/>
          </w:tcPr>
          <w:p>
            <w:pPr>
              <w:jc w:val="right"/>
              <w:ind w:right="40"/>
              <w:spacing w:after="0"/>
              <w:rPr>
                <w:sz w:val="20"/>
                <w:szCs w:val="20"/>
                <w:color w:val="auto"/>
              </w:rPr>
            </w:pPr>
            <w:r>
              <w:rPr>
                <w:rFonts w:ascii="Arial" w:cs="Arial" w:eastAsia="Arial" w:hAnsi="Arial"/>
                <w:sz w:val="13"/>
                <w:szCs w:val="13"/>
                <w:color w:val="auto"/>
              </w:rPr>
              <w:t>% $</w:t>
            </w:r>
          </w:p>
        </w:tc>
        <w:tc>
          <w:tcPr>
            <w:tcW w:w="620" w:type="dxa"/>
            <w:vAlign w:val="bottom"/>
            <w:shd w:val="clear" w:color="auto" w:fill="BFE4FF"/>
          </w:tcPr>
          <w:p>
            <w:pPr>
              <w:jc w:val="right"/>
              <w:ind w:right="37"/>
              <w:spacing w:after="0"/>
              <w:rPr>
                <w:sz w:val="20"/>
                <w:szCs w:val="20"/>
                <w:color w:val="auto"/>
              </w:rPr>
            </w:pPr>
            <w:r>
              <w:rPr>
                <w:rFonts w:ascii="Arial" w:cs="Arial" w:eastAsia="Arial" w:hAnsi="Arial"/>
                <w:sz w:val="13"/>
                <w:szCs w:val="13"/>
                <w:color w:val="auto"/>
              </w:rPr>
              <w:t>969</w:t>
            </w:r>
          </w:p>
        </w:tc>
        <w:tc>
          <w:tcPr>
            <w:tcW w:w="120" w:type="dxa"/>
            <w:vAlign w:val="bottom"/>
            <w:shd w:val="clear" w:color="auto" w:fill="BFE4FF"/>
          </w:tcPr>
          <w:p>
            <w:pPr>
              <w:spacing w:after="0"/>
              <w:rPr>
                <w:sz w:val="24"/>
                <w:szCs w:val="24"/>
                <w:color w:val="auto"/>
              </w:rPr>
            </w:pPr>
          </w:p>
        </w:tc>
        <w:tc>
          <w:tcPr>
            <w:tcW w:w="720" w:type="dxa"/>
            <w:vAlign w:val="bottom"/>
            <w:shd w:val="clear" w:color="auto" w:fill="BFE4FF"/>
          </w:tcPr>
          <w:p>
            <w:pPr>
              <w:jc w:val="right"/>
              <w:ind w:right="37"/>
              <w:spacing w:after="0"/>
              <w:rPr>
                <w:sz w:val="20"/>
                <w:szCs w:val="20"/>
                <w:color w:val="auto"/>
              </w:rPr>
            </w:pPr>
            <w:r>
              <w:rPr>
                <w:rFonts w:ascii="Arial" w:cs="Arial" w:eastAsia="Arial" w:hAnsi="Arial"/>
                <w:sz w:val="13"/>
                <w:szCs w:val="13"/>
                <w:color w:val="auto"/>
              </w:rPr>
              <w:t>4.64</w:t>
            </w:r>
          </w:p>
        </w:tc>
        <w:tc>
          <w:tcPr>
            <w:tcW w:w="420" w:type="dxa"/>
            <w:vAlign w:val="bottom"/>
            <w:gridSpan w:val="2"/>
            <w:shd w:val="clear" w:color="auto" w:fill="BFE4FF"/>
          </w:tcPr>
          <w:p>
            <w:pPr>
              <w:jc w:val="right"/>
              <w:ind w:right="20"/>
              <w:spacing w:after="0"/>
              <w:rPr>
                <w:sz w:val="20"/>
                <w:szCs w:val="20"/>
                <w:color w:val="auto"/>
              </w:rPr>
            </w:pPr>
            <w:r>
              <w:rPr>
                <w:rFonts w:ascii="Arial" w:cs="Arial" w:eastAsia="Arial" w:hAnsi="Arial"/>
                <w:sz w:val="13"/>
                <w:szCs w:val="13"/>
                <w:color w:val="auto"/>
              </w:rPr>
              <w:t>% $</w:t>
            </w:r>
          </w:p>
        </w:tc>
        <w:tc>
          <w:tcPr>
            <w:tcW w:w="600" w:type="dxa"/>
            <w:vAlign w:val="bottom"/>
            <w:shd w:val="clear" w:color="auto" w:fill="BFE4FF"/>
          </w:tcPr>
          <w:p>
            <w:pPr>
              <w:jc w:val="right"/>
              <w:ind w:right="37"/>
              <w:spacing w:after="0"/>
              <w:rPr>
                <w:sz w:val="20"/>
                <w:szCs w:val="20"/>
                <w:color w:val="auto"/>
              </w:rPr>
            </w:pPr>
            <w:r>
              <w:rPr>
                <w:rFonts w:ascii="Arial" w:cs="Arial" w:eastAsia="Arial" w:hAnsi="Arial"/>
                <w:sz w:val="13"/>
                <w:szCs w:val="13"/>
                <w:color w:val="auto"/>
              </w:rPr>
              <w:t>2,511</w:t>
            </w:r>
          </w:p>
        </w:tc>
        <w:tc>
          <w:tcPr>
            <w:tcW w:w="100" w:type="dxa"/>
            <w:vAlign w:val="bottom"/>
            <w:shd w:val="clear" w:color="auto" w:fill="BFE4FF"/>
          </w:tcPr>
          <w:p>
            <w:pPr>
              <w:spacing w:after="0"/>
              <w:rPr>
                <w:sz w:val="24"/>
                <w:szCs w:val="24"/>
                <w:color w:val="auto"/>
              </w:rPr>
            </w:pPr>
          </w:p>
        </w:tc>
        <w:tc>
          <w:tcPr>
            <w:tcW w:w="680" w:type="dxa"/>
            <w:vAlign w:val="bottom"/>
            <w:shd w:val="clear" w:color="auto" w:fill="BFE4FF"/>
          </w:tcPr>
          <w:p>
            <w:pPr>
              <w:jc w:val="right"/>
              <w:spacing w:after="0"/>
              <w:rPr>
                <w:sz w:val="20"/>
                <w:szCs w:val="20"/>
                <w:color w:val="auto"/>
              </w:rPr>
            </w:pPr>
            <w:r>
              <w:rPr>
                <w:rFonts w:ascii="Arial" w:cs="Arial" w:eastAsia="Arial" w:hAnsi="Arial"/>
                <w:sz w:val="13"/>
                <w:szCs w:val="13"/>
                <w:color w:val="auto"/>
              </w:rPr>
              <w:t>4.95</w:t>
            </w:r>
          </w:p>
        </w:tc>
        <w:tc>
          <w:tcPr>
            <w:tcW w:w="340" w:type="dxa"/>
            <w:vAlign w:val="bottom"/>
            <w:gridSpan w:val="3"/>
            <w:shd w:val="clear" w:color="auto" w:fill="BFE4FF"/>
          </w:tcPr>
          <w:p>
            <w:pPr>
              <w:jc w:val="right"/>
              <w:ind w:right="20"/>
              <w:spacing w:after="0"/>
              <w:rPr>
                <w:sz w:val="20"/>
                <w:szCs w:val="20"/>
                <w:color w:val="auto"/>
              </w:rPr>
            </w:pPr>
            <w:r>
              <w:rPr>
                <w:rFonts w:ascii="Arial" w:cs="Arial" w:eastAsia="Arial" w:hAnsi="Arial"/>
                <w:sz w:val="13"/>
                <w:szCs w:val="13"/>
                <w:color w:val="auto"/>
              </w:rPr>
              <w:t>% $</w:t>
            </w:r>
          </w:p>
        </w:tc>
        <w:tc>
          <w:tcPr>
            <w:tcW w:w="600" w:type="dxa"/>
            <w:vAlign w:val="bottom"/>
            <w:shd w:val="clear" w:color="auto" w:fill="BFE4FF"/>
          </w:tcPr>
          <w:p>
            <w:pPr>
              <w:jc w:val="right"/>
              <w:ind w:right="37"/>
              <w:spacing w:after="0"/>
              <w:rPr>
                <w:sz w:val="20"/>
                <w:szCs w:val="20"/>
                <w:color w:val="auto"/>
              </w:rPr>
            </w:pPr>
            <w:r>
              <w:rPr>
                <w:rFonts w:ascii="Arial" w:cs="Arial" w:eastAsia="Arial" w:hAnsi="Arial"/>
                <w:sz w:val="13"/>
                <w:szCs w:val="13"/>
                <w:color w:val="auto"/>
              </w:rPr>
              <w:t>2,703</w:t>
            </w:r>
          </w:p>
        </w:tc>
      </w:tr>
      <w:tr>
        <w:trPr>
          <w:trHeight w:val="264"/>
        </w:trPr>
        <w:tc>
          <w:tcPr>
            <w:tcW w:w="3240" w:type="dxa"/>
            <w:vAlign w:val="bottom"/>
            <w:tcBorders>
              <w:bottom w:val="single" w:sz="8" w:color="BFE4FF"/>
            </w:tcBorders>
          </w:tcPr>
          <w:p>
            <w:pPr>
              <w:ind w:left="20"/>
              <w:spacing w:after="0"/>
              <w:rPr>
                <w:sz w:val="20"/>
                <w:szCs w:val="20"/>
                <w:color w:val="auto"/>
              </w:rPr>
            </w:pPr>
            <w:r>
              <w:rPr>
                <w:rFonts w:ascii="Arial" w:cs="Arial" w:eastAsia="Arial" w:hAnsi="Arial"/>
                <w:sz w:val="13"/>
                <w:szCs w:val="13"/>
                <w:color w:val="auto"/>
              </w:rPr>
              <w:t>Investment fees and expenses</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(0.15)</w:t>
            </w:r>
          </w:p>
        </w:tc>
        <w:tc>
          <w:tcPr>
            <w:tcW w:w="60" w:type="dxa"/>
            <w:vAlign w:val="bottom"/>
            <w:tcBorders>
              <w:bottom w:val="single" w:sz="8" w:color="auto"/>
            </w:tcBorders>
          </w:tcPr>
          <w:p>
            <w:pPr>
              <w:spacing w:after="0"/>
              <w:rPr>
                <w:sz w:val="22"/>
                <w:szCs w:val="22"/>
                <w:color w:val="auto"/>
              </w:rPr>
            </w:pPr>
          </w:p>
        </w:tc>
        <w:tc>
          <w:tcPr>
            <w:tcW w:w="220" w:type="dxa"/>
            <w:vAlign w:val="bottom"/>
            <w:tcBorders>
              <w:bottom w:val="single" w:sz="8" w:color="BFE4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(26)</w:t>
            </w:r>
          </w:p>
        </w:tc>
        <w:tc>
          <w:tcPr>
            <w:tcW w:w="120" w:type="dxa"/>
            <w:vAlign w:val="bottom"/>
            <w:tcBorders>
              <w:bottom w:val="single" w:sz="8" w:color="BFE4FF"/>
            </w:tcBorders>
          </w:tcPr>
          <w:p>
            <w:pPr>
              <w:spacing w:after="0"/>
              <w:rPr>
                <w:sz w:val="22"/>
                <w:szCs w:val="22"/>
                <w:color w:val="auto"/>
              </w:rPr>
            </w:pPr>
          </w:p>
        </w:tc>
        <w:tc>
          <w:tcPr>
            <w:tcW w:w="74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(0.14)</w:t>
            </w:r>
          </w:p>
        </w:tc>
        <w:tc>
          <w:tcPr>
            <w:tcW w:w="320" w:type="dxa"/>
            <w:vAlign w:val="bottom"/>
            <w:tcBorders>
              <w:bottom w:val="single" w:sz="8" w:color="BFE4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(27)</w:t>
            </w:r>
          </w:p>
        </w:tc>
        <w:tc>
          <w:tcPr>
            <w:tcW w:w="120" w:type="dxa"/>
            <w:vAlign w:val="bottom"/>
            <w:tcBorders>
              <w:bottom w:val="single" w:sz="8" w:color="BFE4FF"/>
            </w:tcBorders>
          </w:tcPr>
          <w:p>
            <w:pPr>
              <w:spacing w:after="0"/>
              <w:rPr>
                <w:sz w:val="22"/>
                <w:szCs w:val="22"/>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(0.15)</w:t>
            </w:r>
          </w:p>
        </w:tc>
        <w:tc>
          <w:tcPr>
            <w:tcW w:w="320" w:type="dxa"/>
            <w:vAlign w:val="bottom"/>
            <w:tcBorders>
              <w:bottom w:val="single" w:sz="8" w:color="BFE4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(81)</w:t>
            </w:r>
          </w:p>
        </w:tc>
        <w:tc>
          <w:tcPr>
            <w:tcW w:w="100" w:type="dxa"/>
            <w:vAlign w:val="bottom"/>
            <w:tcBorders>
              <w:bottom w:val="single" w:sz="8" w:color="BFE4FF"/>
            </w:tcBorders>
          </w:tcPr>
          <w:p>
            <w:pPr>
              <w:spacing w:after="0"/>
              <w:rPr>
                <w:sz w:val="22"/>
                <w:szCs w:val="22"/>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(0.14)</w:t>
            </w:r>
          </w:p>
        </w:tc>
        <w:tc>
          <w:tcPr>
            <w:tcW w:w="40" w:type="dxa"/>
            <w:vAlign w:val="bottom"/>
            <w:tcBorders>
              <w:bottom w:val="single" w:sz="8" w:color="auto"/>
            </w:tcBorders>
          </w:tcPr>
          <w:p>
            <w:pPr>
              <w:spacing w:after="0"/>
              <w:rPr>
                <w:sz w:val="22"/>
                <w:szCs w:val="22"/>
                <w:color w:val="auto"/>
              </w:rPr>
            </w:pPr>
          </w:p>
        </w:tc>
        <w:tc>
          <w:tcPr>
            <w:tcW w:w="200" w:type="dxa"/>
            <w:vAlign w:val="bottom"/>
            <w:tcBorders>
              <w:bottom w:val="single" w:sz="8" w:color="BFE4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(79)</w:t>
            </w:r>
          </w:p>
        </w:tc>
      </w:tr>
      <w:tr>
        <w:trPr>
          <w:trHeight w:val="242"/>
        </w:trPr>
        <w:tc>
          <w:tcPr>
            <w:tcW w:w="3240" w:type="dxa"/>
            <w:vAlign w:val="bottom"/>
            <w:shd w:val="clear" w:color="auto" w:fill="BFE4FF"/>
          </w:tcPr>
          <w:p>
            <w:pPr>
              <w:ind w:left="20"/>
              <w:spacing w:after="0"/>
              <w:rPr>
                <w:sz w:val="20"/>
                <w:szCs w:val="20"/>
                <w:color w:val="auto"/>
              </w:rPr>
            </w:pPr>
            <w:r>
              <w:rPr>
                <w:rFonts w:ascii="Arial" w:cs="Arial" w:eastAsia="Arial" w:hAnsi="Arial"/>
                <w:sz w:val="13"/>
                <w:szCs w:val="13"/>
                <w:color w:val="auto"/>
              </w:rPr>
              <w:t>Net investment income (2),(3)</w:t>
            </w:r>
          </w:p>
        </w:tc>
        <w:tc>
          <w:tcPr>
            <w:tcW w:w="680" w:type="dxa"/>
            <w:vAlign w:val="bottom"/>
            <w:shd w:val="clear" w:color="auto" w:fill="BFE4FF"/>
          </w:tcPr>
          <w:p>
            <w:pPr>
              <w:jc w:val="right"/>
              <w:spacing w:after="0"/>
              <w:rPr>
                <w:sz w:val="20"/>
                <w:szCs w:val="20"/>
                <w:color w:val="auto"/>
              </w:rPr>
            </w:pPr>
            <w:r>
              <w:rPr>
                <w:rFonts w:ascii="Arial" w:cs="Arial" w:eastAsia="Arial" w:hAnsi="Arial"/>
                <w:sz w:val="13"/>
                <w:szCs w:val="13"/>
                <w:color w:val="auto"/>
              </w:rPr>
              <w:t>4.32</w:t>
            </w:r>
          </w:p>
        </w:tc>
        <w:tc>
          <w:tcPr>
            <w:tcW w:w="380" w:type="dxa"/>
            <w:vAlign w:val="bottom"/>
            <w:gridSpan w:val="3"/>
            <w:shd w:val="clear" w:color="auto" w:fill="BFE4FF"/>
          </w:tcPr>
          <w:p>
            <w:pPr>
              <w:jc w:val="right"/>
              <w:ind w:right="20"/>
              <w:spacing w:after="0"/>
              <w:rPr>
                <w:sz w:val="20"/>
                <w:szCs w:val="20"/>
                <w:color w:val="auto"/>
              </w:rPr>
            </w:pPr>
            <w:r>
              <w:rPr>
                <w:rFonts w:ascii="Arial" w:cs="Arial" w:eastAsia="Arial" w:hAnsi="Arial"/>
                <w:sz w:val="13"/>
                <w:szCs w:val="13"/>
                <w:color w:val="auto"/>
              </w:rPr>
              <w:t>% $</w:t>
            </w:r>
          </w:p>
        </w:tc>
        <w:tc>
          <w:tcPr>
            <w:tcW w:w="640" w:type="dxa"/>
            <w:vAlign w:val="bottom"/>
            <w:shd w:val="clear" w:color="auto" w:fill="BFE4FF"/>
          </w:tcPr>
          <w:p>
            <w:pPr>
              <w:jc w:val="right"/>
              <w:ind w:right="57"/>
              <w:spacing w:after="0"/>
              <w:rPr>
                <w:sz w:val="20"/>
                <w:szCs w:val="20"/>
                <w:color w:val="auto"/>
              </w:rPr>
            </w:pPr>
            <w:r>
              <w:rPr>
                <w:rFonts w:ascii="Arial" w:cs="Arial" w:eastAsia="Arial" w:hAnsi="Arial"/>
                <w:sz w:val="13"/>
                <w:szCs w:val="13"/>
                <w:color w:val="auto"/>
              </w:rPr>
              <w:t>780</w:t>
            </w:r>
          </w:p>
        </w:tc>
        <w:tc>
          <w:tcPr>
            <w:tcW w:w="120" w:type="dxa"/>
            <w:vAlign w:val="bottom"/>
            <w:shd w:val="clear" w:color="auto" w:fill="BFE4FF"/>
          </w:tcPr>
          <w:p>
            <w:pPr>
              <w:spacing w:after="0"/>
              <w:rPr>
                <w:sz w:val="21"/>
                <w:szCs w:val="21"/>
                <w:color w:val="auto"/>
              </w:rPr>
            </w:pPr>
          </w:p>
        </w:tc>
        <w:tc>
          <w:tcPr>
            <w:tcW w:w="740" w:type="dxa"/>
            <w:vAlign w:val="bottom"/>
            <w:shd w:val="clear" w:color="auto" w:fill="BFE4FF"/>
          </w:tcPr>
          <w:p>
            <w:pPr>
              <w:jc w:val="right"/>
              <w:ind w:right="57"/>
              <w:spacing w:after="0"/>
              <w:rPr>
                <w:sz w:val="20"/>
                <w:szCs w:val="20"/>
                <w:color w:val="auto"/>
              </w:rPr>
            </w:pPr>
            <w:r>
              <w:rPr>
                <w:rFonts w:ascii="Arial" w:cs="Arial" w:eastAsia="Arial" w:hAnsi="Arial"/>
                <w:sz w:val="13"/>
                <w:szCs w:val="13"/>
                <w:color w:val="auto"/>
              </w:rPr>
              <w:t>4.95</w:t>
            </w:r>
          </w:p>
        </w:tc>
        <w:tc>
          <w:tcPr>
            <w:tcW w:w="440" w:type="dxa"/>
            <w:vAlign w:val="bottom"/>
            <w:gridSpan w:val="2"/>
            <w:shd w:val="clear" w:color="auto" w:fill="BFE4FF"/>
          </w:tcPr>
          <w:p>
            <w:pPr>
              <w:jc w:val="right"/>
              <w:ind w:right="40"/>
              <w:spacing w:after="0"/>
              <w:rPr>
                <w:sz w:val="20"/>
                <w:szCs w:val="20"/>
                <w:color w:val="auto"/>
              </w:rPr>
            </w:pPr>
            <w:r>
              <w:rPr>
                <w:rFonts w:ascii="Arial" w:cs="Arial" w:eastAsia="Arial" w:hAnsi="Arial"/>
                <w:sz w:val="13"/>
                <w:szCs w:val="13"/>
                <w:color w:val="auto"/>
              </w:rPr>
              <w:t>% $</w:t>
            </w:r>
          </w:p>
        </w:tc>
        <w:tc>
          <w:tcPr>
            <w:tcW w:w="620" w:type="dxa"/>
            <w:vAlign w:val="bottom"/>
            <w:shd w:val="clear" w:color="auto" w:fill="BFE4FF"/>
          </w:tcPr>
          <w:p>
            <w:pPr>
              <w:jc w:val="right"/>
              <w:ind w:right="37"/>
              <w:spacing w:after="0"/>
              <w:rPr>
                <w:sz w:val="20"/>
                <w:szCs w:val="20"/>
                <w:color w:val="auto"/>
              </w:rPr>
            </w:pPr>
            <w:r>
              <w:rPr>
                <w:rFonts w:ascii="Arial" w:cs="Arial" w:eastAsia="Arial" w:hAnsi="Arial"/>
                <w:sz w:val="13"/>
                <w:szCs w:val="13"/>
                <w:color w:val="auto"/>
              </w:rPr>
              <w:t>942</w:t>
            </w:r>
          </w:p>
        </w:tc>
        <w:tc>
          <w:tcPr>
            <w:tcW w:w="120" w:type="dxa"/>
            <w:vAlign w:val="bottom"/>
            <w:shd w:val="clear" w:color="auto" w:fill="BFE4FF"/>
          </w:tcPr>
          <w:p>
            <w:pPr>
              <w:spacing w:after="0"/>
              <w:rPr>
                <w:sz w:val="21"/>
                <w:szCs w:val="21"/>
                <w:color w:val="auto"/>
              </w:rPr>
            </w:pPr>
          </w:p>
        </w:tc>
        <w:tc>
          <w:tcPr>
            <w:tcW w:w="720" w:type="dxa"/>
            <w:vAlign w:val="bottom"/>
            <w:shd w:val="clear" w:color="auto" w:fill="BFE4FF"/>
          </w:tcPr>
          <w:p>
            <w:pPr>
              <w:jc w:val="right"/>
              <w:ind w:right="37"/>
              <w:spacing w:after="0"/>
              <w:rPr>
                <w:sz w:val="20"/>
                <w:szCs w:val="20"/>
                <w:color w:val="auto"/>
              </w:rPr>
            </w:pPr>
            <w:r>
              <w:rPr>
                <w:rFonts w:ascii="Arial" w:cs="Arial" w:eastAsia="Arial" w:hAnsi="Arial"/>
                <w:sz w:val="13"/>
                <w:szCs w:val="13"/>
                <w:color w:val="auto"/>
              </w:rPr>
              <w:t>4.49</w:t>
            </w:r>
          </w:p>
        </w:tc>
        <w:tc>
          <w:tcPr>
            <w:tcW w:w="420" w:type="dxa"/>
            <w:vAlign w:val="bottom"/>
            <w:gridSpan w:val="2"/>
            <w:shd w:val="clear" w:color="auto" w:fill="BFE4FF"/>
          </w:tcPr>
          <w:p>
            <w:pPr>
              <w:jc w:val="right"/>
              <w:ind w:right="20"/>
              <w:spacing w:after="0"/>
              <w:rPr>
                <w:sz w:val="20"/>
                <w:szCs w:val="20"/>
                <w:color w:val="auto"/>
              </w:rPr>
            </w:pPr>
            <w:r>
              <w:rPr>
                <w:rFonts w:ascii="Arial" w:cs="Arial" w:eastAsia="Arial" w:hAnsi="Arial"/>
                <w:sz w:val="13"/>
                <w:szCs w:val="13"/>
                <w:color w:val="auto"/>
              </w:rPr>
              <w:t>% $</w:t>
            </w:r>
          </w:p>
        </w:tc>
        <w:tc>
          <w:tcPr>
            <w:tcW w:w="600" w:type="dxa"/>
            <w:vAlign w:val="bottom"/>
            <w:shd w:val="clear" w:color="auto" w:fill="BFE4FF"/>
          </w:tcPr>
          <w:p>
            <w:pPr>
              <w:jc w:val="right"/>
              <w:ind w:right="37"/>
              <w:spacing w:after="0"/>
              <w:rPr>
                <w:sz w:val="20"/>
                <w:szCs w:val="20"/>
                <w:color w:val="auto"/>
              </w:rPr>
            </w:pPr>
            <w:r>
              <w:rPr>
                <w:rFonts w:ascii="Arial" w:cs="Arial" w:eastAsia="Arial" w:hAnsi="Arial"/>
                <w:sz w:val="13"/>
                <w:szCs w:val="13"/>
                <w:color w:val="auto"/>
              </w:rPr>
              <w:t>2,430</w:t>
            </w:r>
          </w:p>
        </w:tc>
        <w:tc>
          <w:tcPr>
            <w:tcW w:w="100" w:type="dxa"/>
            <w:vAlign w:val="bottom"/>
            <w:shd w:val="clear" w:color="auto" w:fill="BFE4FF"/>
          </w:tcPr>
          <w:p>
            <w:pPr>
              <w:spacing w:after="0"/>
              <w:rPr>
                <w:sz w:val="21"/>
                <w:szCs w:val="21"/>
                <w:color w:val="auto"/>
              </w:rPr>
            </w:pPr>
          </w:p>
        </w:tc>
        <w:tc>
          <w:tcPr>
            <w:tcW w:w="680" w:type="dxa"/>
            <w:vAlign w:val="bottom"/>
            <w:shd w:val="clear" w:color="auto" w:fill="BFE4FF"/>
          </w:tcPr>
          <w:p>
            <w:pPr>
              <w:jc w:val="right"/>
              <w:spacing w:after="0"/>
              <w:rPr>
                <w:sz w:val="20"/>
                <w:szCs w:val="20"/>
                <w:color w:val="auto"/>
              </w:rPr>
            </w:pPr>
            <w:r>
              <w:rPr>
                <w:rFonts w:ascii="Arial" w:cs="Arial" w:eastAsia="Arial" w:hAnsi="Arial"/>
                <w:sz w:val="13"/>
                <w:szCs w:val="13"/>
                <w:color w:val="auto"/>
              </w:rPr>
              <w:t>4.81</w:t>
            </w:r>
          </w:p>
        </w:tc>
        <w:tc>
          <w:tcPr>
            <w:tcW w:w="340" w:type="dxa"/>
            <w:vAlign w:val="bottom"/>
            <w:gridSpan w:val="3"/>
            <w:shd w:val="clear" w:color="auto" w:fill="BFE4FF"/>
          </w:tcPr>
          <w:p>
            <w:pPr>
              <w:jc w:val="right"/>
              <w:ind w:right="20"/>
              <w:spacing w:after="0"/>
              <w:rPr>
                <w:sz w:val="20"/>
                <w:szCs w:val="20"/>
                <w:color w:val="auto"/>
              </w:rPr>
            </w:pPr>
            <w:r>
              <w:rPr>
                <w:rFonts w:ascii="Arial" w:cs="Arial" w:eastAsia="Arial" w:hAnsi="Arial"/>
                <w:sz w:val="13"/>
                <w:szCs w:val="13"/>
                <w:color w:val="auto"/>
              </w:rPr>
              <w:t>% $</w:t>
            </w:r>
          </w:p>
        </w:tc>
        <w:tc>
          <w:tcPr>
            <w:tcW w:w="600" w:type="dxa"/>
            <w:vAlign w:val="bottom"/>
            <w:shd w:val="clear" w:color="auto" w:fill="BFE4FF"/>
          </w:tcPr>
          <w:p>
            <w:pPr>
              <w:jc w:val="right"/>
              <w:ind w:right="37"/>
              <w:spacing w:after="0"/>
              <w:rPr>
                <w:sz w:val="20"/>
                <w:szCs w:val="20"/>
                <w:color w:val="auto"/>
              </w:rPr>
            </w:pPr>
            <w:r>
              <w:rPr>
                <w:rFonts w:ascii="Arial" w:cs="Arial" w:eastAsia="Arial" w:hAnsi="Arial"/>
                <w:sz w:val="13"/>
                <w:szCs w:val="13"/>
                <w:color w:val="auto"/>
              </w:rPr>
              <w:t>2,624</w:t>
            </w:r>
          </w:p>
        </w:tc>
      </w:tr>
      <w:tr>
        <w:trPr>
          <w:trHeight w:val="20"/>
        </w:trPr>
        <w:tc>
          <w:tcPr>
            <w:tcW w:w="3240" w:type="dxa"/>
            <w:vAlign w:val="bottom"/>
            <w:tcBorders>
              <w:top w:val="single" w:sz="8" w:color="BFE4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BFE4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BFE4FF"/>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BFE4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BFE4FF"/>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BFE4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BFE4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BFE4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r>
    </w:tbl>
    <w:p>
      <w:pPr>
        <w:spacing w:after="0" w:line="269" w:lineRule="exact"/>
        <w:rPr>
          <w:sz w:val="20"/>
          <w:szCs w:val="20"/>
          <w:color w:val="auto"/>
        </w:rPr>
      </w:pPr>
    </w:p>
    <w:p>
      <w:pPr>
        <w:jc w:val="both"/>
        <w:ind w:left="660" w:hanging="328"/>
        <w:spacing w:after="0" w:line="279" w:lineRule="auto"/>
        <w:tabs>
          <w:tab w:leader="none" w:pos="660" w:val="left"/>
        </w:tabs>
        <w:numPr>
          <w:ilvl w:val="0"/>
          <w:numId w:val="77"/>
        </w:numPr>
        <w:rPr>
          <w:rFonts w:ascii="Arial" w:cs="Arial" w:eastAsia="Arial" w:hAnsi="Arial"/>
          <w:sz w:val="17"/>
          <w:szCs w:val="17"/>
          <w:color w:val="auto"/>
        </w:rPr>
      </w:pPr>
      <w:r>
        <w:rPr>
          <w:rFonts w:ascii="Arial" w:cs="Arial" w:eastAsia="Arial" w:hAnsi="Arial"/>
          <w:sz w:val="17"/>
          <w:szCs w:val="17"/>
          <w:color w:val="auto"/>
        </w:rPr>
        <w:t>Yields are calculated as investment income as a percent of average quarterly asset carrying values. Investment income excludes recognized gains and losses and reflects the adjustments presented in footnote (3) below. Asset carrying values exclude unrealized gains (losses), collateral received in connection with our securities lending program, freestanding derivative assets, collateral received from derivative counterparties and the effects of consolidating certain VIEs under GAAP that are treated as consolidated securitization entities (“CSEs”).</w:t>
      </w:r>
    </w:p>
    <w:p>
      <w:pPr>
        <w:spacing w:after="0" w:line="63" w:lineRule="exact"/>
        <w:rPr>
          <w:rFonts w:ascii="Arial" w:cs="Arial" w:eastAsia="Arial" w:hAnsi="Arial"/>
          <w:sz w:val="17"/>
          <w:szCs w:val="17"/>
          <w:color w:val="auto"/>
        </w:rPr>
      </w:pPr>
    </w:p>
    <w:p>
      <w:pPr>
        <w:jc w:val="both"/>
        <w:ind w:left="660" w:hanging="328"/>
        <w:spacing w:after="0" w:line="264" w:lineRule="auto"/>
        <w:tabs>
          <w:tab w:leader="none" w:pos="660" w:val="left"/>
        </w:tabs>
        <w:numPr>
          <w:ilvl w:val="0"/>
          <w:numId w:val="77"/>
        </w:numPr>
        <w:rPr>
          <w:rFonts w:ascii="Arial" w:cs="Arial" w:eastAsia="Arial" w:hAnsi="Arial"/>
          <w:sz w:val="18"/>
          <w:szCs w:val="18"/>
          <w:color w:val="auto"/>
        </w:rPr>
      </w:pPr>
      <w:r>
        <w:rPr>
          <w:rFonts w:ascii="Arial" w:cs="Arial" w:eastAsia="Arial" w:hAnsi="Arial"/>
          <w:sz w:val="18"/>
          <w:szCs w:val="18"/>
          <w:color w:val="auto"/>
        </w:rPr>
        <w:t>Net investment income included in yield calculations includes earned income on derivatives and amortization of premium on derivatives that are hedges of investments or that are used to replicate certain investments, but do not qualify for hedge accounting treatment (“investment hedge adjustments”).</w:t>
      </w:r>
    </w:p>
    <w:p>
      <w:pPr>
        <w:spacing w:after="0" w:line="73"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77"/>
        </w:numPr>
        <w:rPr>
          <w:rFonts w:ascii="Arial" w:cs="Arial" w:eastAsia="Arial" w:hAnsi="Arial"/>
          <w:sz w:val="17"/>
          <w:szCs w:val="17"/>
          <w:color w:val="auto"/>
        </w:rPr>
      </w:pPr>
      <w:r>
        <w:rPr>
          <w:rFonts w:ascii="Arial" w:cs="Arial" w:eastAsia="Arial" w:hAnsi="Arial"/>
          <w:sz w:val="17"/>
          <w:szCs w:val="17"/>
          <w:color w:val="auto"/>
        </w:rPr>
        <w:t>Net investment income presented in the yield table varies from the most directly comparable GAAP measure due to certain reclassifications and adjustments and excludes the effects of consolidating certain VIEs under GAAP that are treated as CSEs, as presented below.</w:t>
      </w:r>
    </w:p>
    <w:p>
      <w:pPr>
        <w:spacing w:after="0" w:line="314" w:lineRule="exact"/>
        <w:rPr>
          <w:sz w:val="20"/>
          <w:szCs w:val="20"/>
          <w:color w:val="auto"/>
        </w:rPr>
      </w:pPr>
    </w:p>
    <w:tbl>
      <w:tblPr>
        <w:tblLayout w:type="fixed"/>
        <w:tblInd w:w="140" w:type="dxa"/>
        <w:tblCellMar>
          <w:top w:w="0" w:type="dxa"/>
          <w:left w:w="0" w:type="dxa"/>
          <w:bottom w:w="0" w:type="dxa"/>
          <w:right w:w="0" w:type="dxa"/>
        </w:tblCellMar>
      </w:tblPr>
      <w:tr>
        <w:trPr>
          <w:trHeight w:val="192"/>
        </w:trPr>
        <w:tc>
          <w:tcPr>
            <w:tcW w:w="5240" w:type="dxa"/>
            <w:vAlign w:val="bottom"/>
          </w:tcPr>
          <w:p>
            <w:pPr>
              <w:spacing w:after="0"/>
              <w:rPr>
                <w:sz w:val="16"/>
                <w:szCs w:val="16"/>
                <w:color w:val="auto"/>
              </w:rPr>
            </w:pPr>
          </w:p>
        </w:tc>
        <w:tc>
          <w:tcPr>
            <w:tcW w:w="3140" w:type="dxa"/>
            <w:vAlign w:val="bottom"/>
            <w:gridSpan w:val="6"/>
          </w:tcPr>
          <w:p>
            <w:pPr>
              <w:ind w:left="420"/>
              <w:spacing w:after="0"/>
              <w:rPr>
                <w:sz w:val="20"/>
                <w:szCs w:val="20"/>
                <w:color w:val="auto"/>
              </w:rPr>
            </w:pPr>
            <w:r>
              <w:rPr>
                <w:rFonts w:ascii="Arial" w:cs="Arial" w:eastAsia="Arial" w:hAnsi="Arial"/>
                <w:sz w:val="14"/>
                <w:szCs w:val="14"/>
                <w:b w:val="1"/>
                <w:bCs w:val="1"/>
                <w:color w:val="auto"/>
              </w:rPr>
              <w:t>Three Months Ended September 30,</w:t>
            </w:r>
          </w:p>
        </w:tc>
        <w:tc>
          <w:tcPr>
            <w:tcW w:w="260" w:type="dxa"/>
            <w:vAlign w:val="bottom"/>
          </w:tcPr>
          <w:p>
            <w:pPr>
              <w:spacing w:after="0"/>
              <w:rPr>
                <w:sz w:val="16"/>
                <w:szCs w:val="16"/>
                <w:color w:val="auto"/>
              </w:rPr>
            </w:pPr>
          </w:p>
        </w:tc>
        <w:tc>
          <w:tcPr>
            <w:tcW w:w="2500" w:type="dxa"/>
            <w:vAlign w:val="bottom"/>
            <w:gridSpan w:val="4"/>
          </w:tcPr>
          <w:p>
            <w:pPr>
              <w:jc w:val="right"/>
              <w:ind w:right="201"/>
              <w:spacing w:after="0"/>
              <w:rPr>
                <w:sz w:val="20"/>
                <w:szCs w:val="20"/>
                <w:color w:val="auto"/>
              </w:rPr>
            </w:pPr>
            <w:r>
              <w:rPr>
                <w:rFonts w:ascii="Arial" w:cs="Arial" w:eastAsia="Arial" w:hAnsi="Arial"/>
                <w:sz w:val="14"/>
                <w:szCs w:val="14"/>
                <w:b w:val="1"/>
                <w:bCs w:val="1"/>
                <w:color w:val="auto"/>
                <w:w w:val="95"/>
              </w:rPr>
              <w:t>Nine Months Ended September 30,</w:t>
            </w:r>
          </w:p>
        </w:tc>
      </w:tr>
      <w:tr>
        <w:trPr>
          <w:trHeight w:val="264"/>
        </w:trPr>
        <w:tc>
          <w:tcPr>
            <w:tcW w:w="5240" w:type="dxa"/>
            <w:vAlign w:val="bottom"/>
          </w:tcPr>
          <w:p>
            <w:pPr>
              <w:spacing w:after="0"/>
              <w:rPr>
                <w:sz w:val="22"/>
                <w:szCs w:val="22"/>
                <w:color w:val="auto"/>
              </w:rPr>
            </w:pPr>
          </w:p>
        </w:tc>
        <w:tc>
          <w:tcPr>
            <w:tcW w:w="1000" w:type="dxa"/>
            <w:vAlign w:val="bottom"/>
            <w:tcBorders>
              <w:top w:val="single" w:sz="8" w:color="auto"/>
              <w:bottom w:val="single" w:sz="8" w:color="auto"/>
            </w:tcBorders>
          </w:tcPr>
          <w:p>
            <w:pPr>
              <w:jc w:val="right"/>
              <w:ind w:right="43"/>
              <w:spacing w:after="0"/>
              <w:rPr>
                <w:sz w:val="20"/>
                <w:szCs w:val="20"/>
                <w:color w:val="auto"/>
              </w:rPr>
            </w:pPr>
            <w:r>
              <w:rPr>
                <w:rFonts w:ascii="Arial" w:cs="Arial" w:eastAsia="Arial" w:hAnsi="Arial"/>
                <w:sz w:val="14"/>
                <w:szCs w:val="14"/>
                <w:b w:val="1"/>
                <w:bCs w:val="1"/>
                <w:color w:val="auto"/>
              </w:rPr>
              <w:t>2017</w:t>
            </w:r>
          </w:p>
        </w:tc>
        <w:tc>
          <w:tcPr>
            <w:tcW w:w="480" w:type="dxa"/>
            <w:vAlign w:val="bottom"/>
            <w:tcBorders>
              <w:top w:val="single" w:sz="8" w:color="auto"/>
              <w:bottom w:val="single" w:sz="8" w:color="auto"/>
            </w:tcBorders>
          </w:tcPr>
          <w:p>
            <w:pPr>
              <w:spacing w:after="0"/>
              <w:rPr>
                <w:sz w:val="22"/>
                <w:szCs w:val="22"/>
                <w:color w:val="auto"/>
              </w:rPr>
            </w:pPr>
          </w:p>
        </w:tc>
        <w:tc>
          <w:tcPr>
            <w:tcW w:w="120" w:type="dxa"/>
            <w:vAlign w:val="bottom"/>
            <w:tcBorders>
              <w:top w:val="single" w:sz="8" w:color="auto"/>
              <w:bottom w:val="single" w:sz="8" w:color="auto"/>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100" w:type="dxa"/>
            <w:vAlign w:val="bottom"/>
            <w:tcBorders>
              <w:top w:val="single" w:sz="8" w:color="auto"/>
              <w:bottom w:val="single" w:sz="8" w:color="auto"/>
            </w:tcBorders>
          </w:tcPr>
          <w:p>
            <w:pPr>
              <w:jc w:val="right"/>
              <w:ind w:right="502"/>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auto"/>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1180" w:type="dxa"/>
            <w:vAlign w:val="bottom"/>
            <w:tcBorders>
              <w:top w:val="single" w:sz="8" w:color="auto"/>
              <w:bottom w:val="single" w:sz="8" w:color="auto"/>
            </w:tcBorders>
          </w:tcPr>
          <w:p>
            <w:pPr>
              <w:jc w:val="right"/>
              <w:ind w:right="502"/>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top w:val="single" w:sz="8" w:color="auto"/>
              <w:bottom w:val="single" w:sz="8" w:color="auto"/>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920" w:type="dxa"/>
            <w:vAlign w:val="bottom"/>
            <w:tcBorders>
              <w:top w:val="single" w:sz="8" w:color="auto"/>
              <w:bottom w:val="single" w:sz="8" w:color="auto"/>
            </w:tcBorders>
          </w:tcPr>
          <w:p>
            <w:pPr>
              <w:jc w:val="right"/>
              <w:ind w:right="381"/>
              <w:spacing w:after="0"/>
              <w:rPr>
                <w:sz w:val="20"/>
                <w:szCs w:val="20"/>
                <w:color w:val="auto"/>
              </w:rPr>
            </w:pPr>
            <w:r>
              <w:rPr>
                <w:rFonts w:ascii="Arial" w:cs="Arial" w:eastAsia="Arial" w:hAnsi="Arial"/>
                <w:sz w:val="14"/>
                <w:szCs w:val="14"/>
                <w:b w:val="1"/>
                <w:bCs w:val="1"/>
                <w:color w:val="auto"/>
              </w:rPr>
              <w:t>2016</w:t>
            </w:r>
          </w:p>
        </w:tc>
      </w:tr>
      <w:tr>
        <w:trPr>
          <w:trHeight w:val="196"/>
        </w:trPr>
        <w:tc>
          <w:tcPr>
            <w:tcW w:w="5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6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millions)</w:t>
            </w: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56"/>
        </w:trPr>
        <w:tc>
          <w:tcPr>
            <w:tcW w:w="5240" w:type="dxa"/>
            <w:vAlign w:val="bottom"/>
            <w:tcBorders>
              <w:bottom w:val="single" w:sz="8" w:color="BFE4FF"/>
            </w:tcBorders>
            <w:shd w:val="clear" w:color="auto" w:fill="BFE4FF"/>
          </w:tcPr>
          <w:p>
            <w:pPr>
              <w:ind w:left="40"/>
              <w:spacing w:after="0"/>
              <w:rPr>
                <w:sz w:val="20"/>
                <w:szCs w:val="20"/>
                <w:color w:val="auto"/>
              </w:rPr>
            </w:pPr>
            <w:r>
              <w:rPr>
                <w:rFonts w:ascii="Arial" w:cs="Arial" w:eastAsia="Arial" w:hAnsi="Arial"/>
                <w:sz w:val="16"/>
                <w:szCs w:val="16"/>
                <w:color w:val="auto"/>
              </w:rPr>
              <w:t>Net investment income — in the above yield table</w:t>
            </w:r>
          </w:p>
        </w:tc>
        <w:tc>
          <w:tcPr>
            <w:tcW w:w="1000" w:type="dxa"/>
            <w:vAlign w:val="bottom"/>
            <w:tcBorders>
              <w:bottom w:val="single" w:sz="8" w:color="BFE4FF"/>
            </w:tcBorders>
            <w:shd w:val="clear" w:color="auto" w:fill="BFE4FF"/>
          </w:tcPr>
          <w:p>
            <w:pPr>
              <w:jc w:val="right"/>
              <w:ind w:right="803"/>
              <w:spacing w:after="0"/>
              <w:rPr>
                <w:sz w:val="20"/>
                <w:szCs w:val="20"/>
                <w:color w:val="auto"/>
              </w:rPr>
            </w:pPr>
            <w:r>
              <w:rPr>
                <w:rFonts w:ascii="Arial" w:cs="Arial" w:eastAsia="Arial" w:hAnsi="Arial"/>
                <w:sz w:val="16"/>
                <w:szCs w:val="16"/>
                <w:color w:val="auto"/>
              </w:rPr>
              <w:t>$</w:t>
            </w:r>
          </w:p>
        </w:tc>
        <w:tc>
          <w:tcPr>
            <w:tcW w:w="480" w:type="dxa"/>
            <w:vAlign w:val="bottom"/>
            <w:tcBorders>
              <w:bottom w:val="single" w:sz="8" w:color="BFE4FF"/>
            </w:tcBorders>
            <w:shd w:val="clear" w:color="auto" w:fill="BFE4FF"/>
          </w:tcPr>
          <w:p>
            <w:pPr>
              <w:jc w:val="right"/>
              <w:ind w:right="39"/>
              <w:spacing w:after="0"/>
              <w:rPr>
                <w:sz w:val="20"/>
                <w:szCs w:val="20"/>
                <w:color w:val="auto"/>
              </w:rPr>
            </w:pPr>
            <w:r>
              <w:rPr>
                <w:rFonts w:ascii="Arial" w:cs="Arial" w:eastAsia="Arial" w:hAnsi="Arial"/>
                <w:sz w:val="16"/>
                <w:szCs w:val="16"/>
                <w:color w:val="auto"/>
              </w:rPr>
              <w:t>780</w:t>
            </w:r>
          </w:p>
        </w:tc>
        <w:tc>
          <w:tcPr>
            <w:tcW w:w="120" w:type="dxa"/>
            <w:vAlign w:val="bottom"/>
            <w:tcBorders>
              <w:bottom w:val="single" w:sz="8" w:color="BFE4FF"/>
            </w:tcBorders>
            <w:shd w:val="clear" w:color="auto" w:fill="BFE4FF"/>
          </w:tcPr>
          <w:p>
            <w:pPr>
              <w:spacing w:after="0"/>
              <w:rPr>
                <w:sz w:val="22"/>
                <w:szCs w:val="22"/>
                <w:color w:val="auto"/>
              </w:rPr>
            </w:pPr>
          </w:p>
        </w:tc>
        <w:tc>
          <w:tcPr>
            <w:tcW w:w="340" w:type="dxa"/>
            <w:vAlign w:val="bottom"/>
            <w:tcBorders>
              <w:bottom w:val="single" w:sz="8" w:color="BFE4FF"/>
            </w:tcBorders>
            <w:shd w:val="clear" w:color="auto" w:fill="BFE4FF"/>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BFE4FF"/>
            </w:tcBorders>
            <w:shd w:val="clear" w:color="auto" w:fill="BFE4FF"/>
          </w:tcPr>
          <w:p>
            <w:pPr>
              <w:jc w:val="right"/>
              <w:ind w:right="22"/>
              <w:spacing w:after="0"/>
              <w:rPr>
                <w:sz w:val="20"/>
                <w:szCs w:val="20"/>
                <w:color w:val="auto"/>
              </w:rPr>
            </w:pPr>
            <w:r>
              <w:rPr>
                <w:rFonts w:ascii="Arial" w:cs="Arial" w:eastAsia="Arial" w:hAnsi="Arial"/>
                <w:sz w:val="16"/>
                <w:szCs w:val="16"/>
                <w:color w:val="auto"/>
              </w:rPr>
              <w:t>942</w:t>
            </w:r>
          </w:p>
        </w:tc>
        <w:tc>
          <w:tcPr>
            <w:tcW w:w="100" w:type="dxa"/>
            <w:vAlign w:val="bottom"/>
            <w:tcBorders>
              <w:bottom w:val="single" w:sz="8" w:color="BFE4FF"/>
            </w:tcBorders>
            <w:shd w:val="clear" w:color="auto" w:fill="BFE4FF"/>
          </w:tcPr>
          <w:p>
            <w:pPr>
              <w:spacing w:after="0"/>
              <w:rPr>
                <w:sz w:val="22"/>
                <w:szCs w:val="22"/>
                <w:color w:val="auto"/>
              </w:rPr>
            </w:pPr>
          </w:p>
        </w:tc>
        <w:tc>
          <w:tcPr>
            <w:tcW w:w="260" w:type="dxa"/>
            <w:vAlign w:val="bottom"/>
            <w:tcBorders>
              <w:bottom w:val="single" w:sz="8" w:color="BFE4FF"/>
            </w:tcBorders>
            <w:shd w:val="clear" w:color="auto" w:fill="BFE4FF"/>
          </w:tcPr>
          <w:p>
            <w:pPr>
              <w:jc w:val="right"/>
              <w:ind w:right="5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BFE4FF"/>
            </w:tcBorders>
            <w:shd w:val="clear" w:color="auto" w:fill="BFE4FF"/>
          </w:tcPr>
          <w:p>
            <w:pPr>
              <w:jc w:val="right"/>
              <w:ind w:right="22"/>
              <w:spacing w:after="0"/>
              <w:rPr>
                <w:sz w:val="20"/>
                <w:szCs w:val="20"/>
                <w:color w:val="auto"/>
              </w:rPr>
            </w:pPr>
            <w:r>
              <w:rPr>
                <w:rFonts w:ascii="Arial" w:cs="Arial" w:eastAsia="Arial" w:hAnsi="Arial"/>
                <w:sz w:val="16"/>
                <w:szCs w:val="16"/>
                <w:color w:val="auto"/>
              </w:rPr>
              <w:t>2,430</w:t>
            </w:r>
          </w:p>
        </w:tc>
        <w:tc>
          <w:tcPr>
            <w:tcW w:w="100" w:type="dxa"/>
            <w:vAlign w:val="bottom"/>
            <w:tcBorders>
              <w:bottom w:val="single" w:sz="8" w:color="BFE4FF"/>
            </w:tcBorders>
            <w:shd w:val="clear" w:color="auto" w:fill="BFE4FF"/>
          </w:tcPr>
          <w:p>
            <w:pPr>
              <w:spacing w:after="0"/>
              <w:rPr>
                <w:sz w:val="22"/>
                <w:szCs w:val="22"/>
                <w:color w:val="auto"/>
              </w:rPr>
            </w:pPr>
          </w:p>
        </w:tc>
        <w:tc>
          <w:tcPr>
            <w:tcW w:w="300" w:type="dxa"/>
            <w:vAlign w:val="bottom"/>
            <w:tcBorders>
              <w:bottom w:val="single" w:sz="8" w:color="BFE4FF"/>
            </w:tcBorders>
            <w:shd w:val="clear" w:color="auto" w:fill="BFE4FF"/>
          </w:tcPr>
          <w:p>
            <w:pPr>
              <w:jc w:val="right"/>
              <w:ind w:right="9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BFE4FF"/>
            </w:tcBorders>
            <w:shd w:val="clear" w:color="auto" w:fill="BFE4FF"/>
          </w:tcPr>
          <w:p>
            <w:pPr>
              <w:jc w:val="right"/>
              <w:ind w:right="21"/>
              <w:spacing w:after="0"/>
              <w:rPr>
                <w:sz w:val="20"/>
                <w:szCs w:val="20"/>
                <w:color w:val="auto"/>
              </w:rPr>
            </w:pPr>
            <w:r>
              <w:rPr>
                <w:rFonts w:ascii="Arial" w:cs="Arial" w:eastAsia="Arial" w:hAnsi="Arial"/>
                <w:sz w:val="16"/>
                <w:szCs w:val="16"/>
                <w:color w:val="auto"/>
              </w:rPr>
              <w:t>2,624</w:t>
            </w:r>
          </w:p>
        </w:tc>
      </w:tr>
      <w:tr>
        <w:trPr>
          <w:trHeight w:val="237"/>
        </w:trPr>
        <w:tc>
          <w:tcPr>
            <w:tcW w:w="5240" w:type="dxa"/>
            <w:vAlign w:val="bottom"/>
          </w:tcPr>
          <w:p>
            <w:pPr>
              <w:ind w:left="40"/>
              <w:spacing w:after="0"/>
              <w:rPr>
                <w:sz w:val="20"/>
                <w:szCs w:val="20"/>
                <w:color w:val="auto"/>
              </w:rPr>
            </w:pPr>
            <w:r>
              <w:rPr>
                <w:rFonts w:ascii="Arial" w:cs="Arial" w:eastAsia="Arial" w:hAnsi="Arial"/>
                <w:sz w:val="16"/>
                <w:szCs w:val="16"/>
                <w:color w:val="auto"/>
              </w:rPr>
              <w:t>Investment hedge adjustments</w:t>
            </w:r>
          </w:p>
        </w:tc>
        <w:tc>
          <w:tcPr>
            <w:tcW w:w="100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(17)</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(74)</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(120)</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(206)</w:t>
            </w:r>
          </w:p>
        </w:tc>
      </w:tr>
      <w:tr>
        <w:trPr>
          <w:trHeight w:val="33"/>
        </w:trPr>
        <w:tc>
          <w:tcPr>
            <w:tcW w:w="5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5240" w:type="dxa"/>
            <w:vAlign w:val="bottom"/>
            <w:tcBorders>
              <w:bottom w:val="single" w:sz="8" w:color="BFE4FF"/>
            </w:tcBorders>
            <w:shd w:val="clear" w:color="auto" w:fill="BFE4FF"/>
          </w:tcPr>
          <w:p>
            <w:pPr>
              <w:ind w:left="40"/>
              <w:spacing w:after="0"/>
              <w:rPr>
                <w:sz w:val="20"/>
                <w:szCs w:val="20"/>
                <w:color w:val="auto"/>
              </w:rPr>
            </w:pPr>
            <w:r>
              <w:rPr>
                <w:rFonts w:ascii="Arial" w:cs="Arial" w:eastAsia="Arial" w:hAnsi="Arial"/>
                <w:sz w:val="16"/>
                <w:szCs w:val="16"/>
                <w:color w:val="auto"/>
              </w:rPr>
              <w:t>Incremental net investment income from CSEs</w:t>
            </w:r>
          </w:p>
        </w:tc>
        <w:tc>
          <w:tcPr>
            <w:tcW w:w="1000" w:type="dxa"/>
            <w:vAlign w:val="bottom"/>
            <w:tcBorders>
              <w:bottom w:val="single" w:sz="8" w:color="BFE4FF"/>
            </w:tcBorders>
            <w:shd w:val="clear" w:color="auto" w:fill="BFE4FF"/>
          </w:tcPr>
          <w:p>
            <w:pPr>
              <w:spacing w:after="0"/>
              <w:rPr>
                <w:sz w:val="23"/>
                <w:szCs w:val="23"/>
                <w:color w:val="auto"/>
              </w:rPr>
            </w:pPr>
          </w:p>
        </w:tc>
        <w:tc>
          <w:tcPr>
            <w:tcW w:w="48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6"/>
                <w:szCs w:val="16"/>
                <w:color w:val="auto"/>
              </w:rPr>
              <w:t>(2)</w:t>
            </w:r>
          </w:p>
        </w:tc>
        <w:tc>
          <w:tcPr>
            <w:tcW w:w="120" w:type="dxa"/>
            <w:vAlign w:val="bottom"/>
            <w:tcBorders>
              <w:bottom w:val="single" w:sz="8" w:color="BFE4FF"/>
            </w:tcBorders>
            <w:shd w:val="clear" w:color="auto" w:fill="BFE4FF"/>
          </w:tcPr>
          <w:p>
            <w:pPr>
              <w:spacing w:after="0"/>
              <w:rPr>
                <w:sz w:val="23"/>
                <w:szCs w:val="23"/>
                <w:color w:val="auto"/>
              </w:rPr>
            </w:pPr>
          </w:p>
        </w:tc>
        <w:tc>
          <w:tcPr>
            <w:tcW w:w="340" w:type="dxa"/>
            <w:vAlign w:val="bottom"/>
            <w:tcBorders>
              <w:bottom w:val="single" w:sz="8" w:color="BFE4FF"/>
            </w:tcBorders>
            <w:shd w:val="clear" w:color="auto" w:fill="BFE4FF"/>
          </w:tcPr>
          <w:p>
            <w:pPr>
              <w:spacing w:after="0"/>
              <w:rPr>
                <w:sz w:val="23"/>
                <w:szCs w:val="23"/>
                <w:color w:val="auto"/>
              </w:rPr>
            </w:pPr>
          </w:p>
        </w:tc>
        <w:tc>
          <w:tcPr>
            <w:tcW w:w="1100" w:type="dxa"/>
            <w:vAlign w:val="bottom"/>
            <w:tcBorders>
              <w:bottom w:val="single" w:sz="8" w:color="BFE4FF"/>
            </w:tcBorders>
            <w:shd w:val="clear" w:color="auto" w:fill="BFE4FF"/>
          </w:tcPr>
          <w:p>
            <w:pPr>
              <w:jc w:val="right"/>
              <w:ind w:right="22"/>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BFE4FF"/>
            </w:tcBorders>
            <w:shd w:val="clear" w:color="auto" w:fill="BFE4FF"/>
          </w:tcPr>
          <w:p>
            <w:pPr>
              <w:spacing w:after="0"/>
              <w:rPr>
                <w:sz w:val="23"/>
                <w:szCs w:val="23"/>
                <w:color w:val="auto"/>
              </w:rPr>
            </w:pPr>
          </w:p>
        </w:tc>
        <w:tc>
          <w:tcPr>
            <w:tcW w:w="260" w:type="dxa"/>
            <w:vAlign w:val="bottom"/>
            <w:tcBorders>
              <w:bottom w:val="single" w:sz="8" w:color="BFE4FF"/>
            </w:tcBorders>
            <w:shd w:val="clear" w:color="auto" w:fill="BFE4FF"/>
          </w:tcPr>
          <w:p>
            <w:pPr>
              <w:spacing w:after="0"/>
              <w:rPr>
                <w:sz w:val="23"/>
                <w:szCs w:val="23"/>
                <w:color w:val="auto"/>
              </w:rPr>
            </w:pPr>
          </w:p>
        </w:tc>
        <w:tc>
          <w:tcPr>
            <w:tcW w:w="118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BFE4FF"/>
            </w:tcBorders>
            <w:shd w:val="clear" w:color="auto" w:fill="BFE4FF"/>
          </w:tcPr>
          <w:p>
            <w:pPr>
              <w:spacing w:after="0"/>
              <w:rPr>
                <w:sz w:val="23"/>
                <w:szCs w:val="23"/>
                <w:color w:val="auto"/>
              </w:rPr>
            </w:pPr>
          </w:p>
        </w:tc>
        <w:tc>
          <w:tcPr>
            <w:tcW w:w="300" w:type="dxa"/>
            <w:vAlign w:val="bottom"/>
            <w:tcBorders>
              <w:bottom w:val="single" w:sz="8" w:color="BFE4FF"/>
            </w:tcBorders>
            <w:shd w:val="clear" w:color="auto" w:fill="BFE4FF"/>
          </w:tcPr>
          <w:p>
            <w:pPr>
              <w:spacing w:after="0"/>
              <w:rPr>
                <w:sz w:val="23"/>
                <w:szCs w:val="23"/>
                <w:color w:val="auto"/>
              </w:rPr>
            </w:pPr>
          </w:p>
        </w:tc>
        <w:tc>
          <w:tcPr>
            <w:tcW w:w="920" w:type="dxa"/>
            <w:vAlign w:val="bottom"/>
            <w:tcBorders>
              <w:bottom w:val="single" w:sz="8" w:color="BFE4FF"/>
            </w:tcBorders>
            <w:shd w:val="clear" w:color="auto" w:fill="BFE4FF"/>
          </w:tcPr>
          <w:p>
            <w:pPr>
              <w:jc w:val="right"/>
              <w:ind w:right="21"/>
              <w:spacing w:after="0"/>
              <w:rPr>
                <w:sz w:val="20"/>
                <w:szCs w:val="20"/>
                <w:color w:val="auto"/>
              </w:rPr>
            </w:pPr>
            <w:r>
              <w:rPr>
                <w:rFonts w:ascii="Arial" w:cs="Arial" w:eastAsia="Arial" w:hAnsi="Arial"/>
                <w:sz w:val="16"/>
                <w:szCs w:val="16"/>
                <w:color w:val="auto"/>
              </w:rPr>
              <w:t>4</w:t>
            </w:r>
          </w:p>
        </w:tc>
      </w:tr>
      <w:tr>
        <w:trPr>
          <w:trHeight w:val="244"/>
        </w:trPr>
        <w:tc>
          <w:tcPr>
            <w:tcW w:w="5240" w:type="dxa"/>
            <w:vAlign w:val="bottom"/>
          </w:tcPr>
          <w:p>
            <w:pPr>
              <w:ind w:left="40"/>
              <w:spacing w:after="0"/>
              <w:rPr>
                <w:sz w:val="20"/>
                <w:szCs w:val="20"/>
                <w:color w:val="auto"/>
              </w:rPr>
            </w:pPr>
            <w:r>
              <w:rPr>
                <w:rFonts w:ascii="Arial" w:cs="Arial" w:eastAsia="Arial" w:hAnsi="Arial"/>
                <w:sz w:val="16"/>
                <w:szCs w:val="16"/>
                <w:color w:val="auto"/>
              </w:rPr>
              <w:t>Net investment income — GAAP statements of operations</w:t>
            </w:r>
          </w:p>
        </w:tc>
        <w:tc>
          <w:tcPr>
            <w:tcW w:w="1000" w:type="dxa"/>
            <w:vAlign w:val="bottom"/>
            <w:tcBorders>
              <w:top w:val="single" w:sz="8" w:color="auto"/>
              <w:bottom w:val="single" w:sz="8" w:color="auto"/>
            </w:tcBorders>
          </w:tcPr>
          <w:p>
            <w:pPr>
              <w:jc w:val="right"/>
              <w:ind w:right="803"/>
              <w:spacing w:after="0"/>
              <w:rPr>
                <w:sz w:val="20"/>
                <w:szCs w:val="20"/>
                <w:color w:val="auto"/>
              </w:rPr>
            </w:pPr>
            <w:r>
              <w:rPr>
                <w:rFonts w:ascii="Arial" w:cs="Arial" w:eastAsia="Arial" w:hAnsi="Arial"/>
                <w:sz w:val="16"/>
                <w:szCs w:val="16"/>
                <w:color w:val="auto"/>
              </w:rPr>
              <w:t>$</w:t>
            </w:r>
          </w:p>
        </w:tc>
        <w:tc>
          <w:tcPr>
            <w:tcW w:w="48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761</w:t>
            </w:r>
          </w:p>
        </w:tc>
        <w:tc>
          <w:tcPr>
            <w:tcW w:w="120" w:type="dxa"/>
            <w:vAlign w:val="bottom"/>
          </w:tcPr>
          <w:p>
            <w:pPr>
              <w:spacing w:after="0"/>
              <w:rPr>
                <w:sz w:val="21"/>
                <w:szCs w:val="21"/>
                <w:color w:val="auto"/>
              </w:rPr>
            </w:pPr>
          </w:p>
        </w:tc>
        <w:tc>
          <w:tcPr>
            <w:tcW w:w="340" w:type="dxa"/>
            <w:vAlign w:val="bottom"/>
            <w:tcBorders>
              <w:top w:val="single" w:sz="8" w:color="auto"/>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bottom w:val="single" w:sz="8" w:color="auto"/>
            </w:tcBorders>
          </w:tcPr>
          <w:p>
            <w:pPr>
              <w:jc w:val="right"/>
              <w:ind w:right="22"/>
              <w:spacing w:after="0"/>
              <w:rPr>
                <w:sz w:val="20"/>
                <w:szCs w:val="20"/>
                <w:color w:val="auto"/>
              </w:rPr>
            </w:pPr>
            <w:r>
              <w:rPr>
                <w:rFonts w:ascii="Arial" w:cs="Arial" w:eastAsia="Arial" w:hAnsi="Arial"/>
                <w:sz w:val="16"/>
                <w:szCs w:val="16"/>
                <w:color w:val="auto"/>
              </w:rPr>
              <w:t>869</w:t>
            </w:r>
          </w:p>
        </w:tc>
        <w:tc>
          <w:tcPr>
            <w:tcW w:w="100" w:type="dxa"/>
            <w:vAlign w:val="bottom"/>
          </w:tcPr>
          <w:p>
            <w:pPr>
              <w:spacing w:after="0"/>
              <w:rPr>
                <w:sz w:val="21"/>
                <w:szCs w:val="21"/>
                <w:color w:val="auto"/>
              </w:rPr>
            </w:pPr>
          </w:p>
        </w:tc>
        <w:tc>
          <w:tcPr>
            <w:tcW w:w="26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180" w:type="dxa"/>
            <w:vAlign w:val="bottom"/>
            <w:tcBorders>
              <w:top w:val="single" w:sz="8" w:color="auto"/>
              <w:bottom w:val="single" w:sz="8" w:color="auto"/>
            </w:tcBorders>
          </w:tcPr>
          <w:p>
            <w:pPr>
              <w:jc w:val="right"/>
              <w:ind w:right="22"/>
              <w:spacing w:after="0"/>
              <w:rPr>
                <w:sz w:val="20"/>
                <w:szCs w:val="20"/>
                <w:color w:val="auto"/>
              </w:rPr>
            </w:pPr>
            <w:r>
              <w:rPr>
                <w:rFonts w:ascii="Arial" w:cs="Arial" w:eastAsia="Arial" w:hAnsi="Arial"/>
                <w:sz w:val="16"/>
                <w:szCs w:val="16"/>
                <w:color w:val="auto"/>
              </w:rPr>
              <w:t>2,309</w:t>
            </w:r>
          </w:p>
        </w:tc>
        <w:tc>
          <w:tcPr>
            <w:tcW w:w="100" w:type="dxa"/>
            <w:vAlign w:val="bottom"/>
          </w:tcPr>
          <w:p>
            <w:pPr>
              <w:spacing w:after="0"/>
              <w:rPr>
                <w:sz w:val="21"/>
                <w:szCs w:val="21"/>
                <w:color w:val="auto"/>
              </w:rPr>
            </w:pPr>
          </w:p>
        </w:tc>
        <w:tc>
          <w:tcPr>
            <w:tcW w:w="30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920" w:type="dxa"/>
            <w:vAlign w:val="bottom"/>
            <w:tcBorders>
              <w:top w:val="single" w:sz="8" w:color="auto"/>
              <w:bottom w:val="single" w:sz="8" w:color="auto"/>
            </w:tcBorders>
          </w:tcPr>
          <w:p>
            <w:pPr>
              <w:jc w:val="right"/>
              <w:ind w:right="21"/>
              <w:spacing w:after="0"/>
              <w:rPr>
                <w:sz w:val="20"/>
                <w:szCs w:val="20"/>
                <w:color w:val="auto"/>
              </w:rPr>
            </w:pPr>
            <w:r>
              <w:rPr>
                <w:rFonts w:ascii="Arial" w:cs="Arial" w:eastAsia="Arial" w:hAnsi="Arial"/>
                <w:sz w:val="16"/>
                <w:szCs w:val="16"/>
                <w:color w:val="auto"/>
              </w:rPr>
              <w:t>2,422</w:t>
            </w:r>
          </w:p>
        </w:tc>
      </w:tr>
      <w:tr>
        <w:trPr>
          <w:trHeight w:val="20"/>
        </w:trPr>
        <w:tc>
          <w:tcPr>
            <w:tcW w:w="524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left="180" w:firstLine="324"/>
        <w:spacing w:after="0" w:line="277" w:lineRule="auto"/>
        <w:rPr>
          <w:sz w:val="20"/>
          <w:szCs w:val="20"/>
          <w:color w:val="auto"/>
        </w:rPr>
      </w:pPr>
      <w:r>
        <w:rPr>
          <w:rFonts w:ascii="Arial" w:cs="Arial" w:eastAsia="Arial" w:hAnsi="Arial"/>
          <w:sz w:val="18"/>
          <w:szCs w:val="18"/>
          <w:color w:val="auto"/>
        </w:rPr>
        <w:t>See “— Results of Operations — Consolidated Results for the Three Months and Nine Months Ended September 30, 2017 and 2016 — Operating” for an analysis of the period over period changes in net investment income.</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106</w:t>
      </w:r>
    </w:p>
    <w:p>
      <w:pPr>
        <w:sectPr>
          <w:pgSz w:w="11900" w:h="16838" w:orient="portrait"/>
          <w:cols w:equalWidth="0" w:num="1">
            <w:col w:w="11420"/>
          </w:cols>
          <w:pgMar w:left="240" w:top="126" w:right="239" w:bottom="1440" w:gutter="0" w:footer="0" w:header="0"/>
        </w:sectPr>
      </w:pPr>
    </w:p>
    <w:bookmarkStart w:id="108" w:name="page109"/>
    <w:bookmarkEnd w:id="108"/>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Fixed Maturity and Equity Securities Available-for-Sale</w:t>
      </w:r>
    </w:p>
    <w:p>
      <w:pPr>
        <w:spacing w:after="0" w:line="117"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following table presents fixed maturity and equity securities available-for-sale (“AFS”) by type (public or private) and information about perpetual and redeemable securities held at:</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40" w:type="dxa"/>
            <w:vAlign w:val="bottom"/>
            <w:gridSpan w:val="4"/>
          </w:tcPr>
          <w:p>
            <w:pPr>
              <w:ind w:left="400"/>
              <w:spacing w:after="0"/>
              <w:rPr>
                <w:sz w:val="20"/>
                <w:szCs w:val="20"/>
                <w:color w:val="auto"/>
              </w:rPr>
            </w:pPr>
            <w:r>
              <w:rPr>
                <w:rFonts w:ascii="Arial" w:cs="Arial" w:eastAsia="Arial" w:hAnsi="Arial"/>
                <w:sz w:val="16"/>
                <w:szCs w:val="16"/>
                <w:b w:val="1"/>
                <w:bCs w:val="1"/>
                <w:color w:val="auto"/>
              </w:rPr>
              <w:t>September 30, 2017</w:t>
            </w:r>
          </w:p>
        </w:tc>
        <w:tc>
          <w:tcPr>
            <w:tcW w:w="160" w:type="dxa"/>
            <w:vAlign w:val="bottom"/>
          </w:tcPr>
          <w:p>
            <w:pPr>
              <w:spacing w:after="0"/>
              <w:rPr>
                <w:sz w:val="18"/>
                <w:szCs w:val="18"/>
                <w:color w:val="auto"/>
              </w:rPr>
            </w:pPr>
          </w:p>
        </w:tc>
        <w:tc>
          <w:tcPr>
            <w:tcW w:w="2300" w:type="dxa"/>
            <w:vAlign w:val="bottom"/>
            <w:gridSpan w:val="3"/>
          </w:tcPr>
          <w:p>
            <w:pPr>
              <w:jc w:val="right"/>
              <w:ind w:right="472"/>
              <w:spacing w:after="0"/>
              <w:rPr>
                <w:sz w:val="20"/>
                <w:szCs w:val="20"/>
                <w:color w:val="auto"/>
              </w:rPr>
            </w:pPr>
            <w:r>
              <w:rPr>
                <w:rFonts w:ascii="Arial" w:cs="Arial" w:eastAsia="Arial" w:hAnsi="Arial"/>
                <w:sz w:val="16"/>
                <w:szCs w:val="16"/>
                <w:b w:val="1"/>
                <w:bCs w:val="1"/>
                <w:color w:val="auto"/>
              </w:rPr>
              <w:t>December 31, 2016</w:t>
            </w:r>
          </w:p>
        </w:tc>
      </w:tr>
      <w:tr>
        <w:trPr>
          <w:trHeight w:val="33"/>
        </w:trPr>
        <w:tc>
          <w:tcPr>
            <w:tcW w:w="63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gridSpan w:val="2"/>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09"/>
        </w:trPr>
        <w:tc>
          <w:tcPr>
            <w:tcW w:w="6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ind w:left="60"/>
              <w:spacing w:after="0"/>
              <w:rPr>
                <w:sz w:val="20"/>
                <w:szCs w:val="20"/>
                <w:color w:val="auto"/>
              </w:rPr>
            </w:pPr>
            <w:r>
              <w:rPr>
                <w:rFonts w:ascii="Arial" w:cs="Arial" w:eastAsia="Arial" w:hAnsi="Arial"/>
                <w:sz w:val="16"/>
                <w:szCs w:val="16"/>
                <w:b w:val="1"/>
                <w:bCs w:val="1"/>
                <w:color w:val="auto"/>
              </w:rPr>
              <w:t>Estimated</w:t>
            </w:r>
          </w:p>
        </w:tc>
        <w:tc>
          <w:tcPr>
            <w:tcW w:w="1300" w:type="dxa"/>
            <w:vAlign w:val="bottom"/>
            <w:gridSpan w:val="2"/>
          </w:tcPr>
          <w:p>
            <w:pPr>
              <w:ind w:left="420"/>
              <w:spacing w:after="0"/>
              <w:rPr>
                <w:sz w:val="20"/>
                <w:szCs w:val="20"/>
                <w:color w:val="auto"/>
              </w:rPr>
            </w:pPr>
            <w:r>
              <w:rPr>
                <w:rFonts w:ascii="Arial" w:cs="Arial" w:eastAsia="Arial" w:hAnsi="Arial"/>
                <w:sz w:val="16"/>
                <w:szCs w:val="16"/>
                <w:b w:val="1"/>
                <w:bCs w:val="1"/>
                <w:color w:val="auto"/>
              </w:rPr>
              <w:t>% of</w:t>
            </w:r>
          </w:p>
        </w:tc>
        <w:tc>
          <w:tcPr>
            <w:tcW w:w="160" w:type="dxa"/>
            <w:vAlign w:val="bottom"/>
          </w:tcPr>
          <w:p>
            <w:pPr>
              <w:spacing w:after="0"/>
              <w:rPr>
                <w:sz w:val="18"/>
                <w:szCs w:val="18"/>
                <w:color w:val="auto"/>
              </w:rPr>
            </w:pPr>
          </w:p>
        </w:tc>
        <w:tc>
          <w:tcPr>
            <w:tcW w:w="1080" w:type="dxa"/>
            <w:vAlign w:val="bottom"/>
            <w:gridSpan w:val="2"/>
          </w:tcPr>
          <w:p>
            <w:pPr>
              <w:ind w:left="60"/>
              <w:spacing w:after="0"/>
              <w:rPr>
                <w:sz w:val="20"/>
                <w:szCs w:val="20"/>
                <w:color w:val="auto"/>
              </w:rPr>
            </w:pPr>
            <w:r>
              <w:rPr>
                <w:rFonts w:ascii="Arial" w:cs="Arial" w:eastAsia="Arial" w:hAnsi="Arial"/>
                <w:sz w:val="16"/>
                <w:szCs w:val="16"/>
                <w:b w:val="1"/>
                <w:bCs w:val="1"/>
                <w:color w:val="auto"/>
              </w:rPr>
              <w:t>Estimated</w:t>
            </w:r>
          </w:p>
        </w:tc>
        <w:tc>
          <w:tcPr>
            <w:tcW w:w="1220" w:type="dxa"/>
            <w:vAlign w:val="bottom"/>
          </w:tcPr>
          <w:p>
            <w:pPr>
              <w:jc w:val="right"/>
              <w:ind w:right="352"/>
              <w:spacing w:after="0"/>
              <w:rPr>
                <w:sz w:val="20"/>
                <w:szCs w:val="20"/>
                <w:color w:val="auto"/>
              </w:rPr>
            </w:pPr>
            <w:r>
              <w:rPr>
                <w:rFonts w:ascii="Arial" w:cs="Arial" w:eastAsia="Arial" w:hAnsi="Arial"/>
                <w:sz w:val="16"/>
                <w:szCs w:val="16"/>
                <w:b w:val="1"/>
                <w:bCs w:val="1"/>
                <w:color w:val="auto"/>
              </w:rPr>
              <w:t>% of</w:t>
            </w:r>
          </w:p>
        </w:tc>
      </w:tr>
      <w:tr>
        <w:trPr>
          <w:trHeight w:val="210"/>
        </w:trPr>
        <w:tc>
          <w:tcPr>
            <w:tcW w:w="6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ind w:left="60"/>
              <w:spacing w:after="0"/>
              <w:rPr>
                <w:sz w:val="20"/>
                <w:szCs w:val="20"/>
                <w:color w:val="auto"/>
              </w:rPr>
            </w:pPr>
            <w:r>
              <w:rPr>
                <w:rFonts w:ascii="Arial" w:cs="Arial" w:eastAsia="Arial" w:hAnsi="Arial"/>
                <w:sz w:val="16"/>
                <w:szCs w:val="16"/>
                <w:b w:val="1"/>
                <w:bCs w:val="1"/>
                <w:color w:val="auto"/>
              </w:rPr>
              <w:t>Fair Value</w:t>
            </w:r>
          </w:p>
        </w:tc>
        <w:tc>
          <w:tcPr>
            <w:tcW w:w="1300" w:type="dxa"/>
            <w:vAlign w:val="bottom"/>
            <w:gridSpan w:val="2"/>
          </w:tcPr>
          <w:p>
            <w:pPr>
              <w:ind w:left="420"/>
              <w:spacing w:after="0"/>
              <w:rPr>
                <w:sz w:val="20"/>
                <w:szCs w:val="20"/>
                <w:color w:val="auto"/>
              </w:rPr>
            </w:pPr>
            <w:r>
              <w:rPr>
                <w:rFonts w:ascii="Arial" w:cs="Arial" w:eastAsia="Arial" w:hAnsi="Arial"/>
                <w:sz w:val="16"/>
                <w:szCs w:val="16"/>
                <w:b w:val="1"/>
                <w:bCs w:val="1"/>
                <w:color w:val="auto"/>
              </w:rPr>
              <w:t>Total</w:t>
            </w:r>
          </w:p>
        </w:tc>
        <w:tc>
          <w:tcPr>
            <w:tcW w:w="160" w:type="dxa"/>
            <w:vAlign w:val="bottom"/>
          </w:tcPr>
          <w:p>
            <w:pPr>
              <w:spacing w:after="0"/>
              <w:rPr>
                <w:sz w:val="18"/>
                <w:szCs w:val="18"/>
                <w:color w:val="auto"/>
              </w:rPr>
            </w:pPr>
          </w:p>
        </w:tc>
        <w:tc>
          <w:tcPr>
            <w:tcW w:w="1080" w:type="dxa"/>
            <w:vAlign w:val="bottom"/>
            <w:gridSpan w:val="2"/>
          </w:tcPr>
          <w:p>
            <w:pPr>
              <w:ind w:left="40"/>
              <w:spacing w:after="0"/>
              <w:rPr>
                <w:sz w:val="20"/>
                <w:szCs w:val="20"/>
                <w:color w:val="auto"/>
              </w:rPr>
            </w:pPr>
            <w:r>
              <w:rPr>
                <w:rFonts w:ascii="Arial" w:cs="Arial" w:eastAsia="Arial" w:hAnsi="Arial"/>
                <w:sz w:val="16"/>
                <w:szCs w:val="16"/>
                <w:b w:val="1"/>
                <w:bCs w:val="1"/>
                <w:color w:val="auto"/>
              </w:rPr>
              <w:t>Fair Value</w:t>
            </w:r>
          </w:p>
        </w:tc>
        <w:tc>
          <w:tcPr>
            <w:tcW w:w="1220" w:type="dxa"/>
            <w:vAlign w:val="bottom"/>
          </w:tcPr>
          <w:p>
            <w:pPr>
              <w:jc w:val="right"/>
              <w:ind w:right="352"/>
              <w:spacing w:after="0"/>
              <w:rPr>
                <w:sz w:val="20"/>
                <w:szCs w:val="20"/>
                <w:color w:val="auto"/>
              </w:rPr>
            </w:pPr>
            <w:r>
              <w:rPr>
                <w:rFonts w:ascii="Arial" w:cs="Arial" w:eastAsia="Arial" w:hAnsi="Arial"/>
                <w:sz w:val="16"/>
                <w:szCs w:val="16"/>
                <w:b w:val="1"/>
                <w:bCs w:val="1"/>
                <w:color w:val="auto"/>
              </w:rPr>
              <w:t>Total</w:t>
            </w:r>
          </w:p>
        </w:tc>
      </w:tr>
      <w:tr>
        <w:trPr>
          <w:trHeight w:val="33"/>
        </w:trPr>
        <w:tc>
          <w:tcPr>
            <w:tcW w:w="63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540" w:type="dxa"/>
            <w:vAlign w:val="bottom"/>
            <w:tcBorders>
              <w:bottom w:val="single" w:sz="8" w:color="auto"/>
            </w:tcBorders>
            <w:gridSpan w:val="5"/>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190"/>
        </w:trPr>
        <w:tc>
          <w:tcPr>
            <w:tcW w:w="63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540" w:type="dxa"/>
            <w:vAlign w:val="bottom"/>
            <w:gridSpan w:val="5"/>
          </w:tcPr>
          <w:p>
            <w:pPr>
              <w:ind w:left="620"/>
              <w:spacing w:after="0"/>
              <w:rPr>
                <w:sz w:val="20"/>
                <w:szCs w:val="20"/>
                <w:color w:val="auto"/>
              </w:rPr>
            </w:pPr>
            <w:r>
              <w:rPr>
                <w:rFonts w:ascii="Arial" w:cs="Arial" w:eastAsia="Arial" w:hAnsi="Arial"/>
                <w:sz w:val="14"/>
                <w:szCs w:val="14"/>
                <w:b w:val="1"/>
                <w:bCs w:val="1"/>
                <w:color w:val="auto"/>
              </w:rPr>
              <w:t>(Dollars in millions)</w:t>
            </w:r>
          </w:p>
        </w:tc>
        <w:tc>
          <w:tcPr>
            <w:tcW w:w="1220" w:type="dxa"/>
            <w:vAlign w:val="bottom"/>
          </w:tcPr>
          <w:p>
            <w:pPr>
              <w:spacing w:after="0"/>
              <w:rPr>
                <w:sz w:val="16"/>
                <w:szCs w:val="16"/>
                <w:color w:val="auto"/>
              </w:rPr>
            </w:pPr>
          </w:p>
        </w:tc>
      </w:tr>
      <w:tr>
        <w:trPr>
          <w:trHeight w:val="256"/>
        </w:trPr>
        <w:tc>
          <w:tcPr>
            <w:tcW w:w="6320" w:type="dxa"/>
            <w:vAlign w:val="bottom"/>
            <w:tcBorders>
              <w:bottom w:val="single" w:sz="8" w:color="BFE4FF"/>
            </w:tcBorders>
            <w:shd w:val="clear" w:color="auto" w:fill="BFE4FF"/>
          </w:tcPr>
          <w:p>
            <w:pPr>
              <w:ind w:left="40"/>
              <w:spacing w:after="0"/>
              <w:rPr>
                <w:sz w:val="20"/>
                <w:szCs w:val="20"/>
                <w:color w:val="auto"/>
              </w:rPr>
            </w:pPr>
            <w:r>
              <w:rPr>
                <w:rFonts w:ascii="Arial" w:cs="Arial" w:eastAsia="Arial" w:hAnsi="Arial"/>
                <w:sz w:val="18"/>
                <w:szCs w:val="18"/>
                <w:b w:val="1"/>
                <w:bCs w:val="1"/>
                <w:color w:val="auto"/>
              </w:rPr>
              <w:t>Fixed maturity securities</w:t>
            </w:r>
          </w:p>
        </w:tc>
        <w:tc>
          <w:tcPr>
            <w:tcW w:w="200" w:type="dxa"/>
            <w:vAlign w:val="bottom"/>
            <w:tcBorders>
              <w:bottom w:val="single" w:sz="8" w:color="BFE4FF"/>
            </w:tcBorders>
            <w:shd w:val="clear" w:color="auto" w:fill="BFE4FF"/>
          </w:tcPr>
          <w:p>
            <w:pPr>
              <w:spacing w:after="0"/>
              <w:rPr>
                <w:sz w:val="22"/>
                <w:szCs w:val="22"/>
                <w:color w:val="auto"/>
              </w:rPr>
            </w:pPr>
          </w:p>
        </w:tc>
        <w:tc>
          <w:tcPr>
            <w:tcW w:w="1020" w:type="dxa"/>
            <w:vAlign w:val="bottom"/>
            <w:tcBorders>
              <w:bottom w:val="single" w:sz="8" w:color="BFE4FF"/>
            </w:tcBorders>
            <w:shd w:val="clear" w:color="auto" w:fill="BFE4FF"/>
          </w:tcPr>
          <w:p>
            <w:pPr>
              <w:spacing w:after="0"/>
              <w:rPr>
                <w:sz w:val="22"/>
                <w:szCs w:val="22"/>
                <w:color w:val="auto"/>
              </w:rPr>
            </w:pPr>
          </w:p>
        </w:tc>
        <w:tc>
          <w:tcPr>
            <w:tcW w:w="120" w:type="dxa"/>
            <w:vAlign w:val="bottom"/>
            <w:tcBorders>
              <w:bottom w:val="single" w:sz="8" w:color="BFE4FF"/>
            </w:tcBorders>
            <w:shd w:val="clear" w:color="auto" w:fill="BFE4FF"/>
          </w:tcPr>
          <w:p>
            <w:pPr>
              <w:spacing w:after="0"/>
              <w:rPr>
                <w:sz w:val="22"/>
                <w:szCs w:val="22"/>
                <w:color w:val="auto"/>
              </w:rPr>
            </w:pPr>
          </w:p>
        </w:tc>
        <w:tc>
          <w:tcPr>
            <w:tcW w:w="1200" w:type="dxa"/>
            <w:vAlign w:val="bottom"/>
            <w:tcBorders>
              <w:bottom w:val="single" w:sz="8" w:color="BFE4FF"/>
            </w:tcBorders>
            <w:shd w:val="clear" w:color="auto" w:fill="BFE4FF"/>
          </w:tcPr>
          <w:p>
            <w:pPr>
              <w:spacing w:after="0"/>
              <w:rPr>
                <w:sz w:val="22"/>
                <w:szCs w:val="22"/>
                <w:color w:val="auto"/>
              </w:rPr>
            </w:pPr>
          </w:p>
        </w:tc>
        <w:tc>
          <w:tcPr>
            <w:tcW w:w="100" w:type="dxa"/>
            <w:vAlign w:val="bottom"/>
            <w:tcBorders>
              <w:bottom w:val="single" w:sz="8" w:color="BFE4FF"/>
            </w:tcBorders>
            <w:shd w:val="clear" w:color="auto" w:fill="BFE4FF"/>
          </w:tcPr>
          <w:p>
            <w:pPr>
              <w:spacing w:after="0"/>
              <w:rPr>
                <w:sz w:val="22"/>
                <w:szCs w:val="22"/>
                <w:color w:val="auto"/>
              </w:rPr>
            </w:pPr>
          </w:p>
        </w:tc>
        <w:tc>
          <w:tcPr>
            <w:tcW w:w="160" w:type="dxa"/>
            <w:vAlign w:val="bottom"/>
            <w:tcBorders>
              <w:bottom w:val="single" w:sz="8" w:color="BFE4FF"/>
            </w:tcBorders>
            <w:shd w:val="clear" w:color="auto" w:fill="BFE4FF"/>
          </w:tcPr>
          <w:p>
            <w:pPr>
              <w:spacing w:after="0"/>
              <w:rPr>
                <w:sz w:val="22"/>
                <w:szCs w:val="22"/>
                <w:color w:val="auto"/>
              </w:rPr>
            </w:pPr>
          </w:p>
        </w:tc>
        <w:tc>
          <w:tcPr>
            <w:tcW w:w="980" w:type="dxa"/>
            <w:vAlign w:val="bottom"/>
            <w:tcBorders>
              <w:bottom w:val="single" w:sz="8" w:color="BFE4FF"/>
            </w:tcBorders>
            <w:shd w:val="clear" w:color="auto" w:fill="BFE4FF"/>
          </w:tcPr>
          <w:p>
            <w:pPr>
              <w:spacing w:after="0"/>
              <w:rPr>
                <w:sz w:val="22"/>
                <w:szCs w:val="22"/>
                <w:color w:val="auto"/>
              </w:rPr>
            </w:pPr>
          </w:p>
        </w:tc>
        <w:tc>
          <w:tcPr>
            <w:tcW w:w="100" w:type="dxa"/>
            <w:vAlign w:val="bottom"/>
            <w:tcBorders>
              <w:bottom w:val="single" w:sz="8" w:color="BFE4FF"/>
            </w:tcBorders>
            <w:shd w:val="clear" w:color="auto" w:fill="BFE4FF"/>
          </w:tcPr>
          <w:p>
            <w:pPr>
              <w:spacing w:after="0"/>
              <w:rPr>
                <w:sz w:val="22"/>
                <w:szCs w:val="22"/>
                <w:color w:val="auto"/>
              </w:rPr>
            </w:pPr>
          </w:p>
        </w:tc>
        <w:tc>
          <w:tcPr>
            <w:tcW w:w="1220" w:type="dxa"/>
            <w:vAlign w:val="bottom"/>
            <w:tcBorders>
              <w:bottom w:val="single" w:sz="8" w:color="BFE4FF"/>
            </w:tcBorders>
            <w:shd w:val="clear" w:color="auto" w:fill="BFE4FF"/>
          </w:tcPr>
          <w:p>
            <w:pPr>
              <w:spacing w:after="0"/>
              <w:rPr>
                <w:sz w:val="22"/>
                <w:szCs w:val="22"/>
                <w:color w:val="auto"/>
              </w:rPr>
            </w:pPr>
          </w:p>
        </w:tc>
      </w:tr>
      <w:tr>
        <w:trPr>
          <w:trHeight w:val="243"/>
        </w:trPr>
        <w:tc>
          <w:tcPr>
            <w:tcW w:w="6320" w:type="dxa"/>
            <w:vAlign w:val="bottom"/>
          </w:tcPr>
          <w:p>
            <w:pPr>
              <w:ind w:left="280"/>
              <w:spacing w:after="0"/>
              <w:rPr>
                <w:sz w:val="20"/>
                <w:szCs w:val="20"/>
                <w:color w:val="auto"/>
              </w:rPr>
            </w:pPr>
            <w:r>
              <w:rPr>
                <w:rFonts w:ascii="Arial" w:cs="Arial" w:eastAsia="Arial" w:hAnsi="Arial"/>
                <w:sz w:val="18"/>
                <w:szCs w:val="18"/>
                <w:color w:val="auto"/>
              </w:rPr>
              <w:t>Publicly-traded</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92"/>
              <w:spacing w:after="0"/>
              <w:rPr>
                <w:sz w:val="20"/>
                <w:szCs w:val="20"/>
                <w:color w:val="auto"/>
              </w:rPr>
            </w:pPr>
            <w:r>
              <w:rPr>
                <w:rFonts w:ascii="Arial" w:cs="Arial" w:eastAsia="Arial" w:hAnsi="Arial"/>
                <w:sz w:val="18"/>
                <w:szCs w:val="18"/>
                <w:color w:val="auto"/>
              </w:rPr>
              <w:t>53,290</w:t>
            </w:r>
          </w:p>
        </w:tc>
        <w:tc>
          <w:tcPr>
            <w:tcW w:w="1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83.8%</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51,437</w:t>
            </w:r>
          </w:p>
        </w:tc>
        <w:tc>
          <w:tcPr>
            <w:tcW w:w="100" w:type="dxa"/>
            <w:vAlign w:val="bottom"/>
          </w:tcPr>
          <w:p>
            <w:pPr>
              <w:spacing w:after="0"/>
              <w:rPr>
                <w:sz w:val="21"/>
                <w:szCs w:val="21"/>
                <w:color w:val="auto"/>
              </w:rPr>
            </w:pPr>
          </w:p>
        </w:tc>
        <w:tc>
          <w:tcPr>
            <w:tcW w:w="1220" w:type="dxa"/>
            <w:vAlign w:val="bottom"/>
          </w:tcPr>
          <w:p>
            <w:pPr>
              <w:jc w:val="right"/>
              <w:ind w:right="92"/>
              <w:spacing w:after="0"/>
              <w:rPr>
                <w:sz w:val="20"/>
                <w:szCs w:val="20"/>
                <w:color w:val="auto"/>
              </w:rPr>
            </w:pPr>
            <w:r>
              <w:rPr>
                <w:rFonts w:ascii="Arial" w:cs="Arial" w:eastAsia="Arial" w:hAnsi="Arial"/>
                <w:sz w:val="18"/>
                <w:szCs w:val="18"/>
                <w:color w:val="auto"/>
              </w:rPr>
              <w:t>83.8%</w:t>
            </w:r>
          </w:p>
        </w:tc>
      </w:tr>
      <w:tr>
        <w:trPr>
          <w:trHeight w:val="27"/>
        </w:trPr>
        <w:tc>
          <w:tcPr>
            <w:tcW w:w="6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6320" w:type="dxa"/>
            <w:vAlign w:val="bottom"/>
            <w:tcBorders>
              <w:bottom w:val="single" w:sz="8" w:color="BFE4FF"/>
            </w:tcBorders>
            <w:shd w:val="clear" w:color="auto" w:fill="BFE4FF"/>
          </w:tcPr>
          <w:p>
            <w:pPr>
              <w:ind w:left="280"/>
              <w:spacing w:after="0"/>
              <w:rPr>
                <w:sz w:val="20"/>
                <w:szCs w:val="20"/>
                <w:color w:val="auto"/>
              </w:rPr>
            </w:pPr>
            <w:r>
              <w:rPr>
                <w:rFonts w:ascii="Arial" w:cs="Arial" w:eastAsia="Arial" w:hAnsi="Arial"/>
                <w:sz w:val="18"/>
                <w:szCs w:val="18"/>
                <w:color w:val="auto"/>
              </w:rPr>
              <w:t>Privately-placed</w:t>
            </w:r>
          </w:p>
        </w:tc>
        <w:tc>
          <w:tcPr>
            <w:tcW w:w="200" w:type="dxa"/>
            <w:vAlign w:val="bottom"/>
            <w:tcBorders>
              <w:bottom w:val="single" w:sz="8" w:color="BFE4FF"/>
            </w:tcBorders>
            <w:shd w:val="clear" w:color="auto" w:fill="BFE4FF"/>
          </w:tcPr>
          <w:p>
            <w:pPr>
              <w:spacing w:after="0"/>
              <w:rPr>
                <w:sz w:val="23"/>
                <w:szCs w:val="23"/>
                <w:color w:val="auto"/>
              </w:rPr>
            </w:pPr>
          </w:p>
        </w:tc>
        <w:tc>
          <w:tcPr>
            <w:tcW w:w="1020" w:type="dxa"/>
            <w:vAlign w:val="bottom"/>
            <w:tcBorders>
              <w:bottom w:val="single" w:sz="8" w:color="BFE4FF"/>
            </w:tcBorders>
            <w:shd w:val="clear" w:color="auto" w:fill="BFE4FF"/>
          </w:tcPr>
          <w:p>
            <w:pPr>
              <w:jc w:val="right"/>
              <w:ind w:right="92"/>
              <w:spacing w:after="0"/>
              <w:rPr>
                <w:sz w:val="20"/>
                <w:szCs w:val="20"/>
                <w:color w:val="auto"/>
              </w:rPr>
            </w:pPr>
            <w:r>
              <w:rPr>
                <w:rFonts w:ascii="Arial" w:cs="Arial" w:eastAsia="Arial" w:hAnsi="Arial"/>
                <w:sz w:val="18"/>
                <w:szCs w:val="18"/>
                <w:color w:val="auto"/>
              </w:rPr>
              <w:t>10,275</w:t>
            </w:r>
          </w:p>
        </w:tc>
        <w:tc>
          <w:tcPr>
            <w:tcW w:w="120" w:type="dxa"/>
            <w:vAlign w:val="bottom"/>
            <w:tcBorders>
              <w:bottom w:val="single" w:sz="8" w:color="BFE4FF"/>
            </w:tcBorders>
            <w:shd w:val="clear" w:color="auto" w:fill="BFE4FF"/>
          </w:tcPr>
          <w:p>
            <w:pPr>
              <w:spacing w:after="0"/>
              <w:rPr>
                <w:sz w:val="23"/>
                <w:szCs w:val="23"/>
                <w:color w:val="auto"/>
              </w:rPr>
            </w:pPr>
          </w:p>
        </w:tc>
        <w:tc>
          <w:tcPr>
            <w:tcW w:w="1200" w:type="dxa"/>
            <w:vAlign w:val="bottom"/>
            <w:tcBorders>
              <w:bottom w:val="single" w:sz="8" w:color="BFE4FF"/>
            </w:tcBorders>
            <w:shd w:val="clear" w:color="auto" w:fill="BFE4FF"/>
          </w:tcPr>
          <w:p>
            <w:pPr>
              <w:jc w:val="right"/>
              <w:ind w:right="114"/>
              <w:spacing w:after="0"/>
              <w:rPr>
                <w:sz w:val="20"/>
                <w:szCs w:val="20"/>
                <w:color w:val="auto"/>
              </w:rPr>
            </w:pPr>
            <w:r>
              <w:rPr>
                <w:rFonts w:ascii="Arial" w:cs="Arial" w:eastAsia="Arial" w:hAnsi="Arial"/>
                <w:sz w:val="18"/>
                <w:szCs w:val="18"/>
                <w:color w:val="auto"/>
              </w:rPr>
              <w:t>16.2</w:t>
            </w:r>
          </w:p>
        </w:tc>
        <w:tc>
          <w:tcPr>
            <w:tcW w:w="100" w:type="dxa"/>
            <w:vAlign w:val="bottom"/>
            <w:tcBorders>
              <w:bottom w:val="single" w:sz="8" w:color="BFE4FF"/>
            </w:tcBorders>
            <w:shd w:val="clear" w:color="auto" w:fill="BFE4FF"/>
          </w:tcPr>
          <w:p>
            <w:pPr>
              <w:spacing w:after="0"/>
              <w:rPr>
                <w:sz w:val="23"/>
                <w:szCs w:val="23"/>
                <w:color w:val="auto"/>
              </w:rPr>
            </w:pPr>
          </w:p>
        </w:tc>
        <w:tc>
          <w:tcPr>
            <w:tcW w:w="160" w:type="dxa"/>
            <w:vAlign w:val="bottom"/>
            <w:tcBorders>
              <w:bottom w:val="single" w:sz="8" w:color="BFE4FF"/>
            </w:tcBorders>
            <w:shd w:val="clear" w:color="auto" w:fill="BFE4FF"/>
          </w:tcPr>
          <w:p>
            <w:pPr>
              <w:spacing w:after="0"/>
              <w:rPr>
                <w:sz w:val="23"/>
                <w:szCs w:val="23"/>
                <w:color w:val="auto"/>
              </w:rPr>
            </w:pPr>
          </w:p>
        </w:tc>
        <w:tc>
          <w:tcPr>
            <w:tcW w:w="980" w:type="dxa"/>
            <w:vAlign w:val="bottom"/>
            <w:tcBorders>
              <w:bottom w:val="single" w:sz="8" w:color="BFE4FF"/>
            </w:tcBorders>
            <w:shd w:val="clear" w:color="auto" w:fill="BFE4FF"/>
          </w:tcPr>
          <w:p>
            <w:pPr>
              <w:jc w:val="right"/>
              <w:ind w:right="32"/>
              <w:spacing w:after="0"/>
              <w:rPr>
                <w:sz w:val="20"/>
                <w:szCs w:val="20"/>
                <w:color w:val="auto"/>
              </w:rPr>
            </w:pPr>
            <w:r>
              <w:rPr>
                <w:rFonts w:ascii="Arial" w:cs="Arial" w:eastAsia="Arial" w:hAnsi="Arial"/>
                <w:sz w:val="18"/>
                <w:szCs w:val="18"/>
                <w:color w:val="auto"/>
              </w:rPr>
              <w:t>9,951</w:t>
            </w:r>
          </w:p>
        </w:tc>
        <w:tc>
          <w:tcPr>
            <w:tcW w:w="100" w:type="dxa"/>
            <w:vAlign w:val="bottom"/>
            <w:tcBorders>
              <w:bottom w:val="single" w:sz="8" w:color="BFE4FF"/>
            </w:tcBorders>
            <w:shd w:val="clear" w:color="auto" w:fill="BFE4FF"/>
          </w:tcPr>
          <w:p>
            <w:pPr>
              <w:spacing w:after="0"/>
              <w:rPr>
                <w:sz w:val="23"/>
                <w:szCs w:val="23"/>
                <w:color w:val="auto"/>
              </w:rPr>
            </w:pPr>
          </w:p>
        </w:tc>
        <w:tc>
          <w:tcPr>
            <w:tcW w:w="1220" w:type="dxa"/>
            <w:vAlign w:val="bottom"/>
            <w:tcBorders>
              <w:bottom w:val="single" w:sz="8" w:color="BFE4FF"/>
            </w:tcBorders>
            <w:shd w:val="clear" w:color="auto" w:fill="BFE4FF"/>
          </w:tcPr>
          <w:p>
            <w:pPr>
              <w:jc w:val="right"/>
              <w:ind w:right="92"/>
              <w:spacing w:after="0"/>
              <w:rPr>
                <w:sz w:val="20"/>
                <w:szCs w:val="20"/>
                <w:color w:val="auto"/>
              </w:rPr>
            </w:pPr>
            <w:r>
              <w:rPr>
                <w:rFonts w:ascii="Arial" w:cs="Arial" w:eastAsia="Arial" w:hAnsi="Arial"/>
                <w:sz w:val="18"/>
                <w:szCs w:val="18"/>
                <w:color w:val="auto"/>
              </w:rPr>
              <w:t>16.2</w:t>
            </w:r>
          </w:p>
        </w:tc>
      </w:tr>
      <w:tr>
        <w:trPr>
          <w:trHeight w:val="297"/>
        </w:trPr>
        <w:tc>
          <w:tcPr>
            <w:tcW w:w="6320" w:type="dxa"/>
            <w:vAlign w:val="bottom"/>
            <w:tcBorders>
              <w:bottom w:val="single" w:sz="8" w:color="BFE4FF"/>
            </w:tcBorders>
          </w:tcPr>
          <w:p>
            <w:pPr>
              <w:ind w:left="600"/>
              <w:spacing w:after="0"/>
              <w:rPr>
                <w:sz w:val="20"/>
                <w:szCs w:val="20"/>
                <w:color w:val="auto"/>
              </w:rPr>
            </w:pPr>
            <w:r>
              <w:rPr>
                <w:rFonts w:ascii="Arial" w:cs="Arial" w:eastAsia="Arial" w:hAnsi="Arial"/>
                <w:sz w:val="18"/>
                <w:szCs w:val="18"/>
                <w:color w:val="auto"/>
              </w:rPr>
              <w:t>Total fixed maturity securities</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ind w:right="92"/>
              <w:spacing w:after="0"/>
              <w:rPr>
                <w:sz w:val="20"/>
                <w:szCs w:val="20"/>
                <w:color w:val="auto"/>
              </w:rPr>
            </w:pPr>
            <w:r>
              <w:rPr>
                <w:rFonts w:ascii="Arial" w:cs="Arial" w:eastAsia="Arial" w:hAnsi="Arial"/>
                <w:sz w:val="18"/>
                <w:szCs w:val="18"/>
                <w:color w:val="auto"/>
              </w:rPr>
              <w:t>63,565</w:t>
            </w:r>
          </w:p>
        </w:tc>
        <w:tc>
          <w:tcPr>
            <w:tcW w:w="120" w:type="dxa"/>
            <w:vAlign w:val="bottom"/>
            <w:tcBorders>
              <w:bottom w:val="single" w:sz="8" w:color="BFE4FF"/>
            </w:tcBorders>
          </w:tcPr>
          <w:p>
            <w:pPr>
              <w:spacing w:after="0"/>
              <w:rPr>
                <w:sz w:val="24"/>
                <w:szCs w:val="24"/>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Borders>
              <w:bottom w:val="single" w:sz="8" w:color="BFE4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61,388</w:t>
            </w:r>
          </w:p>
        </w:tc>
        <w:tc>
          <w:tcPr>
            <w:tcW w:w="100" w:type="dxa"/>
            <w:vAlign w:val="bottom"/>
            <w:tcBorders>
              <w:bottom w:val="single" w:sz="8" w:color="BFE4FF"/>
            </w:tcBorders>
          </w:tcPr>
          <w:p>
            <w:pPr>
              <w:spacing w:after="0"/>
              <w:rPr>
                <w:sz w:val="24"/>
                <w:szCs w:val="24"/>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100.0%</w:t>
            </w:r>
          </w:p>
        </w:tc>
      </w:tr>
      <w:tr>
        <w:trPr>
          <w:trHeight w:val="237"/>
        </w:trPr>
        <w:tc>
          <w:tcPr>
            <w:tcW w:w="6320" w:type="dxa"/>
            <w:vAlign w:val="bottom"/>
            <w:tcBorders>
              <w:bottom w:val="single" w:sz="8" w:color="BFE4FF"/>
            </w:tcBorders>
            <w:shd w:val="clear" w:color="auto" w:fill="BFE4FF"/>
          </w:tcPr>
          <w:p>
            <w:pPr>
              <w:ind w:left="600"/>
              <w:spacing w:after="0"/>
              <w:rPr>
                <w:sz w:val="20"/>
                <w:szCs w:val="20"/>
                <w:color w:val="auto"/>
              </w:rPr>
            </w:pPr>
            <w:r>
              <w:rPr>
                <w:rFonts w:ascii="Arial" w:cs="Arial" w:eastAsia="Arial" w:hAnsi="Arial"/>
                <w:sz w:val="18"/>
                <w:szCs w:val="18"/>
                <w:color w:val="auto"/>
              </w:rPr>
              <w:t>Percentage of cash and invested assets</w:t>
            </w:r>
          </w:p>
        </w:tc>
        <w:tc>
          <w:tcPr>
            <w:tcW w:w="200" w:type="dxa"/>
            <w:vAlign w:val="bottom"/>
            <w:tcBorders>
              <w:bottom w:val="single" w:sz="8" w:color="BFE4FF"/>
            </w:tcBorders>
            <w:shd w:val="clear" w:color="auto" w:fill="BFE4FF"/>
          </w:tcPr>
          <w:p>
            <w:pPr>
              <w:spacing w:after="0"/>
              <w:rPr>
                <w:sz w:val="20"/>
                <w:szCs w:val="20"/>
                <w:color w:val="auto"/>
              </w:rPr>
            </w:pPr>
          </w:p>
        </w:tc>
        <w:tc>
          <w:tcPr>
            <w:tcW w:w="102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rPr>
              <w:t>76.3%</w:t>
            </w:r>
          </w:p>
        </w:tc>
        <w:tc>
          <w:tcPr>
            <w:tcW w:w="120" w:type="dxa"/>
            <w:vAlign w:val="bottom"/>
            <w:tcBorders>
              <w:bottom w:val="single" w:sz="8" w:color="BFE4FF"/>
            </w:tcBorders>
            <w:shd w:val="clear" w:color="auto" w:fill="BFE4FF"/>
          </w:tcPr>
          <w:p>
            <w:pPr>
              <w:spacing w:after="0"/>
              <w:rPr>
                <w:sz w:val="20"/>
                <w:szCs w:val="20"/>
                <w:color w:val="auto"/>
              </w:rPr>
            </w:pPr>
          </w:p>
        </w:tc>
        <w:tc>
          <w:tcPr>
            <w:tcW w:w="1200" w:type="dxa"/>
            <w:vAlign w:val="bottom"/>
            <w:tcBorders>
              <w:bottom w:val="single" w:sz="8" w:color="BFE4FF"/>
            </w:tcBorders>
            <w:shd w:val="clear" w:color="auto" w:fill="BFE4FF"/>
          </w:tcPr>
          <w:p>
            <w:pPr>
              <w:spacing w:after="0"/>
              <w:rPr>
                <w:sz w:val="20"/>
                <w:szCs w:val="20"/>
                <w:color w:val="auto"/>
              </w:rPr>
            </w:pPr>
          </w:p>
        </w:tc>
        <w:tc>
          <w:tcPr>
            <w:tcW w:w="100" w:type="dxa"/>
            <w:vAlign w:val="bottom"/>
            <w:tcBorders>
              <w:bottom w:val="single" w:sz="8" w:color="BFE4FF"/>
            </w:tcBorders>
            <w:shd w:val="clear" w:color="auto" w:fill="BFE4FF"/>
          </w:tcPr>
          <w:p>
            <w:pPr>
              <w:spacing w:after="0"/>
              <w:rPr>
                <w:sz w:val="20"/>
                <w:szCs w:val="20"/>
                <w:color w:val="auto"/>
              </w:rPr>
            </w:pPr>
          </w:p>
        </w:tc>
        <w:tc>
          <w:tcPr>
            <w:tcW w:w="160" w:type="dxa"/>
            <w:vAlign w:val="bottom"/>
            <w:tcBorders>
              <w:bottom w:val="single" w:sz="8" w:color="BFE4FF"/>
            </w:tcBorders>
            <w:shd w:val="clear" w:color="auto" w:fill="BFE4FF"/>
          </w:tcPr>
          <w:p>
            <w:pPr>
              <w:spacing w:after="0"/>
              <w:rPr>
                <w:sz w:val="20"/>
                <w:szCs w:val="20"/>
                <w:color w:val="auto"/>
              </w:rPr>
            </w:pPr>
          </w:p>
        </w:tc>
        <w:tc>
          <w:tcPr>
            <w:tcW w:w="980" w:type="dxa"/>
            <w:vAlign w:val="bottom"/>
            <w:tcBorders>
              <w:bottom w:val="single" w:sz="8" w:color="BFE4FF"/>
            </w:tcBorders>
            <w:shd w:val="clear" w:color="auto" w:fill="BFE4FF"/>
          </w:tcPr>
          <w:p>
            <w:pPr>
              <w:jc w:val="right"/>
              <w:ind w:right="32"/>
              <w:spacing w:after="0"/>
              <w:rPr>
                <w:sz w:val="20"/>
                <w:szCs w:val="20"/>
                <w:color w:val="auto"/>
              </w:rPr>
            </w:pPr>
            <w:r>
              <w:rPr>
                <w:rFonts w:ascii="Arial" w:cs="Arial" w:eastAsia="Arial" w:hAnsi="Arial"/>
                <w:sz w:val="18"/>
                <w:szCs w:val="18"/>
                <w:color w:val="auto"/>
              </w:rPr>
              <w:t>71.5%</w:t>
            </w:r>
          </w:p>
        </w:tc>
        <w:tc>
          <w:tcPr>
            <w:tcW w:w="100" w:type="dxa"/>
            <w:vAlign w:val="bottom"/>
            <w:tcBorders>
              <w:bottom w:val="single" w:sz="8" w:color="BFE4FF"/>
            </w:tcBorders>
            <w:shd w:val="clear" w:color="auto" w:fill="BFE4FF"/>
          </w:tcPr>
          <w:p>
            <w:pPr>
              <w:spacing w:after="0"/>
              <w:rPr>
                <w:sz w:val="20"/>
                <w:szCs w:val="20"/>
                <w:color w:val="auto"/>
              </w:rPr>
            </w:pPr>
          </w:p>
        </w:tc>
        <w:tc>
          <w:tcPr>
            <w:tcW w:w="1220" w:type="dxa"/>
            <w:vAlign w:val="bottom"/>
            <w:tcBorders>
              <w:bottom w:val="single" w:sz="8" w:color="BFE4FF"/>
            </w:tcBorders>
            <w:shd w:val="clear" w:color="auto" w:fill="BFE4FF"/>
          </w:tcPr>
          <w:p>
            <w:pPr>
              <w:spacing w:after="0"/>
              <w:rPr>
                <w:sz w:val="20"/>
                <w:szCs w:val="20"/>
                <w:color w:val="auto"/>
              </w:rPr>
            </w:pPr>
          </w:p>
        </w:tc>
      </w:tr>
      <w:tr>
        <w:trPr>
          <w:trHeight w:val="243"/>
        </w:trPr>
        <w:tc>
          <w:tcPr>
            <w:tcW w:w="6320" w:type="dxa"/>
            <w:vAlign w:val="bottom"/>
          </w:tcPr>
          <w:p>
            <w:pPr>
              <w:ind w:left="40"/>
              <w:spacing w:after="0"/>
              <w:rPr>
                <w:sz w:val="20"/>
                <w:szCs w:val="20"/>
                <w:color w:val="auto"/>
              </w:rPr>
            </w:pPr>
            <w:r>
              <w:rPr>
                <w:rFonts w:ascii="Arial" w:cs="Arial" w:eastAsia="Arial" w:hAnsi="Arial"/>
                <w:sz w:val="18"/>
                <w:szCs w:val="18"/>
                <w:b w:val="1"/>
                <w:bCs w:val="1"/>
                <w:color w:val="auto"/>
              </w:rPr>
              <w:t>Equity securities</w:t>
            </w:r>
          </w:p>
        </w:tc>
        <w:tc>
          <w:tcPr>
            <w:tcW w:w="2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7"/>
        </w:trPr>
        <w:tc>
          <w:tcPr>
            <w:tcW w:w="6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6320" w:type="dxa"/>
            <w:vAlign w:val="bottom"/>
            <w:tcBorders>
              <w:bottom w:val="single" w:sz="8" w:color="BFE4FF"/>
            </w:tcBorders>
            <w:shd w:val="clear" w:color="auto" w:fill="BFE4FF"/>
          </w:tcPr>
          <w:p>
            <w:pPr>
              <w:ind w:left="280"/>
              <w:spacing w:after="0"/>
              <w:rPr>
                <w:sz w:val="20"/>
                <w:szCs w:val="20"/>
                <w:color w:val="auto"/>
              </w:rPr>
            </w:pPr>
            <w:r>
              <w:rPr>
                <w:rFonts w:ascii="Arial" w:cs="Arial" w:eastAsia="Arial" w:hAnsi="Arial"/>
                <w:sz w:val="18"/>
                <w:szCs w:val="18"/>
                <w:color w:val="auto"/>
              </w:rPr>
              <w:t>Publicly-traded</w:t>
            </w:r>
          </w:p>
        </w:tc>
        <w:tc>
          <w:tcPr>
            <w:tcW w:w="20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BFE4FF"/>
            </w:tcBorders>
            <w:shd w:val="clear" w:color="auto" w:fill="BFE4FF"/>
          </w:tcPr>
          <w:p>
            <w:pPr>
              <w:jc w:val="right"/>
              <w:ind w:right="92"/>
              <w:spacing w:after="0"/>
              <w:rPr>
                <w:sz w:val="20"/>
                <w:szCs w:val="20"/>
                <w:color w:val="auto"/>
              </w:rPr>
            </w:pPr>
            <w:r>
              <w:rPr>
                <w:rFonts w:ascii="Arial" w:cs="Arial" w:eastAsia="Arial" w:hAnsi="Arial"/>
                <w:sz w:val="18"/>
                <w:szCs w:val="18"/>
                <w:color w:val="auto"/>
              </w:rPr>
              <w:t>189</w:t>
            </w:r>
          </w:p>
        </w:tc>
        <w:tc>
          <w:tcPr>
            <w:tcW w:w="120" w:type="dxa"/>
            <w:vAlign w:val="bottom"/>
            <w:tcBorders>
              <w:bottom w:val="single" w:sz="8" w:color="BFE4FF"/>
            </w:tcBorders>
            <w:shd w:val="clear" w:color="auto" w:fill="BFE4FF"/>
          </w:tcPr>
          <w:p>
            <w:pPr>
              <w:spacing w:after="0"/>
              <w:rPr>
                <w:sz w:val="21"/>
                <w:szCs w:val="21"/>
                <w:color w:val="auto"/>
              </w:rPr>
            </w:pPr>
          </w:p>
        </w:tc>
        <w:tc>
          <w:tcPr>
            <w:tcW w:w="120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rPr>
              <w:t>71.3%</w:t>
            </w:r>
          </w:p>
        </w:tc>
        <w:tc>
          <w:tcPr>
            <w:tcW w:w="100" w:type="dxa"/>
            <w:vAlign w:val="bottom"/>
            <w:tcBorders>
              <w:bottom w:val="single" w:sz="8" w:color="BFE4FF"/>
            </w:tcBorders>
            <w:shd w:val="clear" w:color="auto" w:fill="BFE4FF"/>
          </w:tcPr>
          <w:p>
            <w:pPr>
              <w:spacing w:after="0"/>
              <w:rPr>
                <w:sz w:val="21"/>
                <w:szCs w:val="21"/>
                <w:color w:val="auto"/>
              </w:rPr>
            </w:pPr>
          </w:p>
        </w:tc>
        <w:tc>
          <w:tcPr>
            <w:tcW w:w="16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BFE4FF"/>
            </w:tcBorders>
            <w:shd w:val="clear" w:color="auto" w:fill="BFE4FF"/>
          </w:tcPr>
          <w:p>
            <w:pPr>
              <w:jc w:val="right"/>
              <w:ind w:right="32"/>
              <w:spacing w:after="0"/>
              <w:rPr>
                <w:sz w:val="20"/>
                <w:szCs w:val="20"/>
                <w:color w:val="auto"/>
              </w:rPr>
            </w:pPr>
            <w:r>
              <w:rPr>
                <w:rFonts w:ascii="Arial" w:cs="Arial" w:eastAsia="Arial" w:hAnsi="Arial"/>
                <w:sz w:val="18"/>
                <w:szCs w:val="18"/>
                <w:color w:val="auto"/>
              </w:rPr>
              <w:t>212</w:t>
            </w:r>
          </w:p>
        </w:tc>
        <w:tc>
          <w:tcPr>
            <w:tcW w:w="100" w:type="dxa"/>
            <w:vAlign w:val="bottom"/>
            <w:tcBorders>
              <w:bottom w:val="single" w:sz="8" w:color="BFE4FF"/>
            </w:tcBorders>
            <w:shd w:val="clear" w:color="auto" w:fill="BFE4FF"/>
          </w:tcPr>
          <w:p>
            <w:pPr>
              <w:spacing w:after="0"/>
              <w:rPr>
                <w:sz w:val="21"/>
                <w:szCs w:val="21"/>
                <w:color w:val="auto"/>
              </w:rPr>
            </w:pPr>
          </w:p>
        </w:tc>
        <w:tc>
          <w:tcPr>
            <w:tcW w:w="1220" w:type="dxa"/>
            <w:vAlign w:val="bottom"/>
            <w:tcBorders>
              <w:bottom w:val="single" w:sz="8" w:color="BFE4FF"/>
            </w:tcBorders>
            <w:shd w:val="clear" w:color="auto" w:fill="BFE4FF"/>
          </w:tcPr>
          <w:p>
            <w:pPr>
              <w:jc w:val="right"/>
              <w:ind w:right="92"/>
              <w:spacing w:after="0"/>
              <w:rPr>
                <w:sz w:val="20"/>
                <w:szCs w:val="20"/>
                <w:color w:val="auto"/>
              </w:rPr>
            </w:pPr>
            <w:r>
              <w:rPr>
                <w:rFonts w:ascii="Arial" w:cs="Arial" w:eastAsia="Arial" w:hAnsi="Arial"/>
                <w:sz w:val="18"/>
                <w:szCs w:val="18"/>
                <w:color w:val="auto"/>
              </w:rPr>
              <w:t>70.7%</w:t>
            </w:r>
          </w:p>
        </w:tc>
      </w:tr>
      <w:tr>
        <w:trPr>
          <w:trHeight w:val="243"/>
        </w:trPr>
        <w:tc>
          <w:tcPr>
            <w:tcW w:w="6320" w:type="dxa"/>
            <w:vAlign w:val="bottom"/>
          </w:tcPr>
          <w:p>
            <w:pPr>
              <w:ind w:left="280"/>
              <w:spacing w:after="0"/>
              <w:rPr>
                <w:sz w:val="20"/>
                <w:szCs w:val="20"/>
                <w:color w:val="auto"/>
              </w:rPr>
            </w:pPr>
            <w:r>
              <w:rPr>
                <w:rFonts w:ascii="Arial" w:cs="Arial" w:eastAsia="Arial" w:hAnsi="Arial"/>
                <w:sz w:val="18"/>
                <w:szCs w:val="18"/>
                <w:color w:val="auto"/>
              </w:rPr>
              <w:t>Privately-held</w:t>
            </w:r>
          </w:p>
        </w:tc>
        <w:tc>
          <w:tcPr>
            <w:tcW w:w="200" w:type="dxa"/>
            <w:vAlign w:val="bottom"/>
          </w:tcPr>
          <w:p>
            <w:pPr>
              <w:spacing w:after="0"/>
              <w:rPr>
                <w:sz w:val="21"/>
                <w:szCs w:val="21"/>
                <w:color w:val="auto"/>
              </w:rPr>
            </w:pPr>
          </w:p>
        </w:tc>
        <w:tc>
          <w:tcPr>
            <w:tcW w:w="1020" w:type="dxa"/>
            <w:vAlign w:val="bottom"/>
          </w:tcPr>
          <w:p>
            <w:pPr>
              <w:jc w:val="right"/>
              <w:ind w:right="92"/>
              <w:spacing w:after="0"/>
              <w:rPr>
                <w:sz w:val="20"/>
                <w:szCs w:val="20"/>
                <w:color w:val="auto"/>
              </w:rPr>
            </w:pPr>
            <w:r>
              <w:rPr>
                <w:rFonts w:ascii="Arial" w:cs="Arial" w:eastAsia="Arial" w:hAnsi="Arial"/>
                <w:sz w:val="18"/>
                <w:szCs w:val="18"/>
                <w:color w:val="auto"/>
              </w:rPr>
              <w:t>76</w:t>
            </w:r>
          </w:p>
        </w:tc>
        <w:tc>
          <w:tcPr>
            <w:tcW w:w="120" w:type="dxa"/>
            <w:vAlign w:val="bottom"/>
          </w:tcPr>
          <w:p>
            <w:pPr>
              <w:spacing w:after="0"/>
              <w:rPr>
                <w:sz w:val="21"/>
                <w:szCs w:val="21"/>
                <w:color w:val="auto"/>
              </w:rPr>
            </w:pPr>
          </w:p>
        </w:tc>
        <w:tc>
          <w:tcPr>
            <w:tcW w:w="1200" w:type="dxa"/>
            <w:vAlign w:val="bottom"/>
          </w:tcPr>
          <w:p>
            <w:pPr>
              <w:jc w:val="right"/>
              <w:ind w:right="114"/>
              <w:spacing w:after="0"/>
              <w:rPr>
                <w:sz w:val="20"/>
                <w:szCs w:val="20"/>
                <w:color w:val="auto"/>
              </w:rPr>
            </w:pPr>
            <w:r>
              <w:rPr>
                <w:rFonts w:ascii="Arial" w:cs="Arial" w:eastAsia="Arial" w:hAnsi="Arial"/>
                <w:sz w:val="18"/>
                <w:szCs w:val="18"/>
                <w:color w:val="auto"/>
              </w:rPr>
              <w:t>28.7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88</w:t>
            </w:r>
          </w:p>
        </w:tc>
        <w:tc>
          <w:tcPr>
            <w:tcW w:w="100" w:type="dxa"/>
            <w:vAlign w:val="bottom"/>
          </w:tcPr>
          <w:p>
            <w:pPr>
              <w:spacing w:after="0"/>
              <w:rPr>
                <w:sz w:val="21"/>
                <w:szCs w:val="21"/>
                <w:color w:val="auto"/>
              </w:rPr>
            </w:pPr>
          </w:p>
        </w:tc>
        <w:tc>
          <w:tcPr>
            <w:tcW w:w="1220" w:type="dxa"/>
            <w:vAlign w:val="bottom"/>
          </w:tcPr>
          <w:p>
            <w:pPr>
              <w:jc w:val="right"/>
              <w:ind w:right="92"/>
              <w:spacing w:after="0"/>
              <w:rPr>
                <w:sz w:val="20"/>
                <w:szCs w:val="20"/>
                <w:color w:val="auto"/>
              </w:rPr>
            </w:pPr>
            <w:r>
              <w:rPr>
                <w:rFonts w:ascii="Arial" w:cs="Arial" w:eastAsia="Arial" w:hAnsi="Arial"/>
                <w:sz w:val="18"/>
                <w:szCs w:val="18"/>
                <w:color w:val="auto"/>
              </w:rPr>
              <w:t>29.3</w:t>
            </w:r>
          </w:p>
        </w:tc>
      </w:tr>
      <w:tr>
        <w:trPr>
          <w:trHeight w:val="27"/>
        </w:trPr>
        <w:tc>
          <w:tcPr>
            <w:tcW w:w="6320" w:type="dxa"/>
            <w:vAlign w:val="bottom"/>
            <w:tcBorders>
              <w:bottom w:val="single" w:sz="8" w:color="BFE4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BFE4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BFE4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BFE4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57"/>
        </w:trPr>
        <w:tc>
          <w:tcPr>
            <w:tcW w:w="6320" w:type="dxa"/>
            <w:vAlign w:val="bottom"/>
            <w:tcBorders>
              <w:bottom w:val="single" w:sz="8" w:color="BFE4FF"/>
            </w:tcBorders>
            <w:shd w:val="clear" w:color="auto" w:fill="BFE4FF"/>
          </w:tcPr>
          <w:p>
            <w:pPr>
              <w:ind w:left="600"/>
              <w:spacing w:after="0"/>
              <w:rPr>
                <w:sz w:val="20"/>
                <w:szCs w:val="20"/>
                <w:color w:val="auto"/>
              </w:rPr>
            </w:pPr>
            <w:r>
              <w:rPr>
                <w:rFonts w:ascii="Arial" w:cs="Arial" w:eastAsia="Arial" w:hAnsi="Arial"/>
                <w:sz w:val="18"/>
                <w:szCs w:val="18"/>
                <w:color w:val="auto"/>
              </w:rPr>
              <w:t>Total equity securities</w:t>
            </w:r>
          </w:p>
        </w:tc>
        <w:tc>
          <w:tcPr>
            <w:tcW w:w="20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BFE4FF"/>
          </w:tcPr>
          <w:p>
            <w:pPr>
              <w:jc w:val="right"/>
              <w:ind w:right="92"/>
              <w:spacing w:after="0"/>
              <w:rPr>
                <w:sz w:val="20"/>
                <w:szCs w:val="20"/>
                <w:color w:val="auto"/>
              </w:rPr>
            </w:pPr>
            <w:r>
              <w:rPr>
                <w:rFonts w:ascii="Arial" w:cs="Arial" w:eastAsia="Arial" w:hAnsi="Arial"/>
                <w:sz w:val="18"/>
                <w:szCs w:val="18"/>
                <w:color w:val="auto"/>
              </w:rPr>
              <w:t>265</w:t>
            </w:r>
          </w:p>
        </w:tc>
        <w:tc>
          <w:tcPr>
            <w:tcW w:w="120" w:type="dxa"/>
            <w:vAlign w:val="bottom"/>
            <w:tcBorders>
              <w:bottom w:val="single" w:sz="8" w:color="BFE4FF"/>
            </w:tcBorders>
            <w:shd w:val="clear" w:color="auto" w:fill="BFE4FF"/>
          </w:tcPr>
          <w:p>
            <w:pPr>
              <w:spacing w:after="0"/>
              <w:rPr>
                <w:sz w:val="22"/>
                <w:szCs w:val="22"/>
                <w:color w:val="auto"/>
              </w:rPr>
            </w:pPr>
          </w:p>
        </w:tc>
        <w:tc>
          <w:tcPr>
            <w:tcW w:w="120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Borders>
              <w:bottom w:val="single" w:sz="8" w:color="BFE4FF"/>
            </w:tcBorders>
            <w:shd w:val="clear" w:color="auto" w:fill="BFE4FF"/>
          </w:tcPr>
          <w:p>
            <w:pPr>
              <w:spacing w:after="0"/>
              <w:rPr>
                <w:sz w:val="22"/>
                <w:szCs w:val="22"/>
                <w:color w:val="auto"/>
              </w:rPr>
            </w:pPr>
          </w:p>
        </w:tc>
        <w:tc>
          <w:tcPr>
            <w:tcW w:w="16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BFE4FF"/>
          </w:tcPr>
          <w:p>
            <w:pPr>
              <w:jc w:val="right"/>
              <w:ind w:right="32"/>
              <w:spacing w:after="0"/>
              <w:rPr>
                <w:sz w:val="20"/>
                <w:szCs w:val="20"/>
                <w:color w:val="auto"/>
              </w:rPr>
            </w:pPr>
            <w:r>
              <w:rPr>
                <w:rFonts w:ascii="Arial" w:cs="Arial" w:eastAsia="Arial" w:hAnsi="Arial"/>
                <w:sz w:val="18"/>
                <w:szCs w:val="18"/>
                <w:color w:val="auto"/>
              </w:rPr>
              <w:t>300</w:t>
            </w:r>
          </w:p>
        </w:tc>
        <w:tc>
          <w:tcPr>
            <w:tcW w:w="100" w:type="dxa"/>
            <w:vAlign w:val="bottom"/>
            <w:tcBorders>
              <w:bottom w:val="single" w:sz="8" w:color="BFE4FF"/>
            </w:tcBorders>
            <w:shd w:val="clear" w:color="auto" w:fill="BFE4FF"/>
          </w:tcPr>
          <w:p>
            <w:pPr>
              <w:spacing w:after="0"/>
              <w:rPr>
                <w:sz w:val="22"/>
                <w:szCs w:val="22"/>
                <w:color w:val="auto"/>
              </w:rPr>
            </w:pPr>
          </w:p>
        </w:tc>
        <w:tc>
          <w:tcPr>
            <w:tcW w:w="1220" w:type="dxa"/>
            <w:vAlign w:val="bottom"/>
            <w:tcBorders>
              <w:bottom w:val="single" w:sz="8" w:color="auto"/>
            </w:tcBorders>
            <w:shd w:val="clear" w:color="auto" w:fill="BFE4FF"/>
          </w:tcPr>
          <w:p>
            <w:pPr>
              <w:jc w:val="right"/>
              <w:ind w:right="92"/>
              <w:spacing w:after="0"/>
              <w:rPr>
                <w:sz w:val="20"/>
                <w:szCs w:val="20"/>
                <w:color w:val="auto"/>
              </w:rPr>
            </w:pPr>
            <w:r>
              <w:rPr>
                <w:rFonts w:ascii="Arial" w:cs="Arial" w:eastAsia="Arial" w:hAnsi="Arial"/>
                <w:sz w:val="18"/>
                <w:szCs w:val="18"/>
                <w:color w:val="auto"/>
              </w:rPr>
              <w:t>100.0%</w:t>
            </w:r>
          </w:p>
        </w:tc>
      </w:tr>
      <w:tr>
        <w:trPr>
          <w:trHeight w:val="20"/>
        </w:trPr>
        <w:tc>
          <w:tcPr>
            <w:tcW w:w="63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230"/>
        </w:trPr>
        <w:tc>
          <w:tcPr>
            <w:tcW w:w="6320" w:type="dxa"/>
            <w:vAlign w:val="bottom"/>
          </w:tcPr>
          <w:p>
            <w:pPr>
              <w:ind w:left="600"/>
              <w:spacing w:after="0"/>
              <w:rPr>
                <w:sz w:val="20"/>
                <w:szCs w:val="20"/>
                <w:color w:val="auto"/>
              </w:rPr>
            </w:pPr>
            <w:r>
              <w:rPr>
                <w:rFonts w:ascii="Arial" w:cs="Arial" w:eastAsia="Arial" w:hAnsi="Arial"/>
                <w:sz w:val="18"/>
                <w:szCs w:val="18"/>
                <w:color w:val="auto"/>
              </w:rPr>
              <w:t>Percentage of cash and invested assets</w:t>
            </w:r>
          </w:p>
        </w:tc>
        <w:tc>
          <w:tcPr>
            <w:tcW w:w="2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0.3%</w:t>
            </w:r>
          </w:p>
        </w:tc>
        <w:tc>
          <w:tcPr>
            <w:tcW w:w="1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27"/>
        </w:trPr>
        <w:tc>
          <w:tcPr>
            <w:tcW w:w="6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6320" w:type="dxa"/>
            <w:vAlign w:val="bottom"/>
            <w:tcBorders>
              <w:bottom w:val="single" w:sz="8" w:color="BFE4FF"/>
            </w:tcBorders>
            <w:shd w:val="clear" w:color="auto" w:fill="BFE4FF"/>
          </w:tcPr>
          <w:p>
            <w:pPr>
              <w:ind w:left="40"/>
              <w:spacing w:after="0"/>
              <w:rPr>
                <w:sz w:val="20"/>
                <w:szCs w:val="20"/>
                <w:color w:val="auto"/>
              </w:rPr>
            </w:pPr>
            <w:r>
              <w:rPr>
                <w:rFonts w:ascii="Arial" w:cs="Arial" w:eastAsia="Arial" w:hAnsi="Arial"/>
                <w:sz w:val="18"/>
                <w:szCs w:val="18"/>
                <w:color w:val="auto"/>
              </w:rPr>
              <w:t>Perpetual securities included within fixed maturity and equity securities AFS</w:t>
            </w:r>
          </w:p>
        </w:tc>
        <w:tc>
          <w:tcPr>
            <w:tcW w:w="20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BFE4FF"/>
            </w:tcBorders>
            <w:shd w:val="clear" w:color="auto" w:fill="BFE4FF"/>
          </w:tcPr>
          <w:p>
            <w:pPr>
              <w:jc w:val="right"/>
              <w:ind w:right="92"/>
              <w:spacing w:after="0"/>
              <w:rPr>
                <w:sz w:val="20"/>
                <w:szCs w:val="20"/>
                <w:color w:val="auto"/>
              </w:rPr>
            </w:pPr>
            <w:r>
              <w:rPr>
                <w:rFonts w:ascii="Arial" w:cs="Arial" w:eastAsia="Arial" w:hAnsi="Arial"/>
                <w:sz w:val="18"/>
                <w:szCs w:val="18"/>
                <w:color w:val="auto"/>
              </w:rPr>
              <w:t>42</w:t>
            </w:r>
          </w:p>
        </w:tc>
        <w:tc>
          <w:tcPr>
            <w:tcW w:w="120" w:type="dxa"/>
            <w:vAlign w:val="bottom"/>
            <w:tcBorders>
              <w:bottom w:val="single" w:sz="8" w:color="BFE4FF"/>
            </w:tcBorders>
            <w:shd w:val="clear" w:color="auto" w:fill="BFE4FF"/>
          </w:tcPr>
          <w:p>
            <w:pPr>
              <w:spacing w:after="0"/>
              <w:rPr>
                <w:sz w:val="21"/>
                <w:szCs w:val="21"/>
                <w:color w:val="auto"/>
              </w:rPr>
            </w:pPr>
          </w:p>
        </w:tc>
        <w:tc>
          <w:tcPr>
            <w:tcW w:w="1200" w:type="dxa"/>
            <w:vAlign w:val="bottom"/>
            <w:tcBorders>
              <w:bottom w:val="single" w:sz="8" w:color="BFE4FF"/>
            </w:tcBorders>
            <w:shd w:val="clear" w:color="auto" w:fill="BFE4FF"/>
          </w:tcPr>
          <w:p>
            <w:pPr>
              <w:spacing w:after="0"/>
              <w:rPr>
                <w:sz w:val="21"/>
                <w:szCs w:val="21"/>
                <w:color w:val="auto"/>
              </w:rPr>
            </w:pPr>
          </w:p>
        </w:tc>
        <w:tc>
          <w:tcPr>
            <w:tcW w:w="100" w:type="dxa"/>
            <w:vAlign w:val="bottom"/>
            <w:tcBorders>
              <w:bottom w:val="single" w:sz="8" w:color="BFE4FF"/>
            </w:tcBorders>
            <w:shd w:val="clear" w:color="auto" w:fill="BFE4FF"/>
          </w:tcPr>
          <w:p>
            <w:pPr>
              <w:spacing w:after="0"/>
              <w:rPr>
                <w:sz w:val="21"/>
                <w:szCs w:val="21"/>
                <w:color w:val="auto"/>
              </w:rPr>
            </w:pPr>
          </w:p>
        </w:tc>
        <w:tc>
          <w:tcPr>
            <w:tcW w:w="16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BFE4FF"/>
            </w:tcBorders>
            <w:shd w:val="clear" w:color="auto" w:fill="BFE4FF"/>
          </w:tcPr>
          <w:p>
            <w:pPr>
              <w:jc w:val="right"/>
              <w:ind w:right="32"/>
              <w:spacing w:after="0"/>
              <w:rPr>
                <w:sz w:val="20"/>
                <w:szCs w:val="20"/>
                <w:color w:val="auto"/>
              </w:rPr>
            </w:pPr>
            <w:r>
              <w:rPr>
                <w:rFonts w:ascii="Arial" w:cs="Arial" w:eastAsia="Arial" w:hAnsi="Arial"/>
                <w:sz w:val="18"/>
                <w:szCs w:val="18"/>
                <w:color w:val="auto"/>
              </w:rPr>
              <w:t>72</w:t>
            </w:r>
          </w:p>
        </w:tc>
        <w:tc>
          <w:tcPr>
            <w:tcW w:w="100" w:type="dxa"/>
            <w:vAlign w:val="bottom"/>
            <w:tcBorders>
              <w:bottom w:val="single" w:sz="8" w:color="BFE4FF"/>
            </w:tcBorders>
            <w:shd w:val="clear" w:color="auto" w:fill="BFE4FF"/>
          </w:tcPr>
          <w:p>
            <w:pPr>
              <w:spacing w:after="0"/>
              <w:rPr>
                <w:sz w:val="21"/>
                <w:szCs w:val="21"/>
                <w:color w:val="auto"/>
              </w:rPr>
            </w:pPr>
          </w:p>
        </w:tc>
        <w:tc>
          <w:tcPr>
            <w:tcW w:w="1220" w:type="dxa"/>
            <w:vAlign w:val="bottom"/>
            <w:tcBorders>
              <w:bottom w:val="single" w:sz="8" w:color="BFE4FF"/>
            </w:tcBorders>
            <w:shd w:val="clear" w:color="auto" w:fill="BFE4FF"/>
          </w:tcPr>
          <w:p>
            <w:pPr>
              <w:spacing w:after="0"/>
              <w:rPr>
                <w:sz w:val="21"/>
                <w:szCs w:val="21"/>
                <w:color w:val="auto"/>
              </w:rPr>
            </w:pPr>
          </w:p>
        </w:tc>
      </w:tr>
      <w:tr>
        <w:trPr>
          <w:trHeight w:val="229"/>
        </w:trPr>
        <w:tc>
          <w:tcPr>
            <w:tcW w:w="6320" w:type="dxa"/>
            <w:vAlign w:val="bottom"/>
          </w:tcPr>
          <w:p>
            <w:pPr>
              <w:ind w:left="40"/>
              <w:spacing w:after="0"/>
              <w:rPr>
                <w:sz w:val="20"/>
                <w:szCs w:val="20"/>
                <w:color w:val="auto"/>
              </w:rPr>
            </w:pPr>
            <w:r>
              <w:rPr>
                <w:rFonts w:ascii="Arial" w:cs="Arial" w:eastAsia="Arial" w:hAnsi="Arial"/>
                <w:sz w:val="18"/>
                <w:szCs w:val="18"/>
                <w:color w:val="auto"/>
                <w:w w:val="98"/>
              </w:rPr>
              <w:t>Redeemable preferred stock with a stated maturity included within fixed maturity</w:t>
            </w:r>
          </w:p>
        </w:tc>
        <w:tc>
          <w:tcPr>
            <w:tcW w:w="2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30"/>
        </w:trPr>
        <w:tc>
          <w:tcPr>
            <w:tcW w:w="6320" w:type="dxa"/>
            <w:vAlign w:val="bottom"/>
          </w:tcPr>
          <w:p>
            <w:pPr>
              <w:ind w:left="360"/>
              <w:spacing w:after="0"/>
              <w:rPr>
                <w:sz w:val="20"/>
                <w:szCs w:val="20"/>
                <w:color w:val="auto"/>
              </w:rPr>
            </w:pPr>
            <w:r>
              <w:rPr>
                <w:rFonts w:ascii="Arial" w:cs="Arial" w:eastAsia="Arial" w:hAnsi="Arial"/>
                <w:sz w:val="18"/>
                <w:szCs w:val="18"/>
                <w:color w:val="auto"/>
              </w:rPr>
              <w:t>securities AFS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92"/>
              <w:spacing w:after="0"/>
              <w:rPr>
                <w:sz w:val="20"/>
                <w:szCs w:val="20"/>
                <w:color w:val="auto"/>
              </w:rPr>
            </w:pPr>
            <w:r>
              <w:rPr>
                <w:rFonts w:ascii="Arial" w:cs="Arial" w:eastAsia="Arial" w:hAnsi="Arial"/>
                <w:sz w:val="18"/>
                <w:szCs w:val="18"/>
                <w:color w:val="auto"/>
              </w:rPr>
              <w:t>102</w:t>
            </w:r>
          </w:p>
        </w:tc>
        <w:tc>
          <w:tcPr>
            <w:tcW w:w="1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322</w:t>
            </w:r>
          </w:p>
        </w:tc>
        <w:tc>
          <w:tcPr>
            <w:tcW w:w="100" w:type="dxa"/>
            <w:vAlign w:val="bottom"/>
          </w:tcPr>
          <w:p>
            <w:pPr>
              <w:spacing w:after="0"/>
              <w:rPr>
                <w:sz w:val="20"/>
                <w:szCs w:val="20"/>
                <w:color w:val="auto"/>
              </w:rPr>
            </w:pPr>
          </w:p>
        </w:tc>
        <w:tc>
          <w:tcPr>
            <w:tcW w:w="1220" w:type="dxa"/>
            <w:vAlign w:val="bottom"/>
          </w:tcPr>
          <w:p>
            <w:pPr>
              <w:spacing w:after="0"/>
              <w:rPr>
                <w:sz w:val="20"/>
                <w:szCs w:val="20"/>
                <w:color w:val="auto"/>
              </w:rPr>
            </w:pPr>
          </w:p>
        </w:tc>
      </w:tr>
    </w:tbl>
    <w:p>
      <w:pPr>
        <w:spacing w:after="0" w:line="121" w:lineRule="exact"/>
        <w:rPr>
          <w:sz w:val="20"/>
          <w:szCs w:val="20"/>
          <w:color w:val="auto"/>
        </w:rPr>
      </w:pPr>
    </w:p>
    <w:p>
      <w:pPr>
        <w:jc w:val="both"/>
        <w:ind w:left="180" w:firstLine="324"/>
        <w:spacing w:after="0" w:line="255" w:lineRule="auto"/>
        <w:rPr>
          <w:sz w:val="20"/>
          <w:szCs w:val="20"/>
          <w:color w:val="auto"/>
        </w:rPr>
      </w:pPr>
      <w:r>
        <w:rPr>
          <w:rFonts w:ascii="Arial" w:cs="Arial" w:eastAsia="Arial" w:hAnsi="Arial"/>
          <w:sz w:val="18"/>
          <w:szCs w:val="18"/>
          <w:color w:val="auto"/>
        </w:rPr>
        <w:t>Perpetual securities are included within fixed maturity and equity securities. Upon acquisition, we classify perpetual securities that have attributes of both debt and equity as fixed maturity securities if the securities have an interest rate step-up feature which, when combined with other qualitative factors, indicates that the securities have more debt-like characteristics; while those with more equity-like characteristics are classified as equity securities. Many of such securities, commonly referred to as “perpetual hybrid securities,” have been issued by non-U.S. financial institutions that are accorded the highest two capital treatment categories by their respective regulatory bodies (i.e., core capital, or “Tier 1 capital,” and perpetual deferrable securities, or “Upper Tier 2 capital”).</w:t>
      </w:r>
    </w:p>
    <w:p>
      <w:pPr>
        <w:spacing w:after="0" w:line="85" w:lineRule="exact"/>
        <w:rPr>
          <w:sz w:val="20"/>
          <w:szCs w:val="20"/>
          <w:color w:val="auto"/>
        </w:rPr>
      </w:pPr>
    </w:p>
    <w:p>
      <w:pPr>
        <w:jc w:val="both"/>
        <w:ind w:left="180" w:firstLine="324"/>
        <w:spacing w:after="0" w:line="279" w:lineRule="auto"/>
        <w:rPr>
          <w:sz w:val="20"/>
          <w:szCs w:val="20"/>
          <w:color w:val="auto"/>
        </w:rPr>
      </w:pPr>
      <w:r>
        <w:rPr>
          <w:rFonts w:ascii="Arial" w:cs="Arial" w:eastAsia="Arial" w:hAnsi="Arial"/>
          <w:sz w:val="17"/>
          <w:szCs w:val="17"/>
          <w:color w:val="auto"/>
        </w:rPr>
        <w:t xml:space="preserve">Redeemable preferred stock with a stated maturity is included within fixed maturity securities. These securities, which are commonly referred to as “capital securities,” primarily have cumulative interest deferral features and are primarily issued by U.S. financial institutions. See also “Management’s Discussion and Analysis of Financial Condition and Results of Operations </w:t>
      </w:r>
      <w:r>
        <w:rPr>
          <w:rFonts w:ascii="Arial" w:cs="Arial" w:eastAsia="Arial" w:hAnsi="Arial"/>
          <w:sz w:val="17"/>
          <w:szCs w:val="17"/>
          <w:b w:val="1"/>
          <w:bCs w:val="1"/>
          <w:color w:val="auto"/>
        </w:rPr>
        <w:t>—</w:t>
      </w:r>
      <w:r>
        <w:rPr>
          <w:rFonts w:ascii="Arial" w:cs="Arial" w:eastAsia="Arial" w:hAnsi="Arial"/>
          <w:sz w:val="17"/>
          <w:szCs w:val="17"/>
          <w:color w:val="auto"/>
        </w:rPr>
        <w:t xml:space="preserve"> Investments — Fixed Maturity and Equity Securities AFS — Valuation of Securities” included in the Form 10 for further information on the processes used to value securities and the related controls.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107</w:t>
      </w:r>
    </w:p>
    <w:p>
      <w:pPr>
        <w:sectPr>
          <w:pgSz w:w="11900" w:h="16838" w:orient="portrait"/>
          <w:cols w:equalWidth="0" w:num="1">
            <w:col w:w="11420"/>
          </w:cols>
          <w:pgMar w:left="240" w:top="126" w:right="239" w:bottom="1440" w:gutter="0" w:footer="0" w:header="0"/>
        </w:sectPr>
      </w:pPr>
    </w:p>
    <w:bookmarkStart w:id="109" w:name="page110"/>
    <w:bookmarkEnd w:id="109"/>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Fair Value of Fixed Maturity and Equity Securities — AFS</w:t>
      </w:r>
    </w:p>
    <w:p>
      <w:pPr>
        <w:spacing w:after="0" w:line="117" w:lineRule="exact"/>
        <w:rPr>
          <w:sz w:val="20"/>
          <w:szCs w:val="20"/>
          <w:color w:val="auto"/>
        </w:rPr>
      </w:pPr>
    </w:p>
    <w:p>
      <w:pPr>
        <w:ind w:left="180" w:firstLine="324"/>
        <w:spacing w:after="0" w:line="277" w:lineRule="auto"/>
        <w:rPr>
          <w:sz w:val="20"/>
          <w:szCs w:val="20"/>
          <w:color w:val="auto"/>
        </w:rPr>
      </w:pPr>
      <w:r>
        <w:rPr>
          <w:rFonts w:ascii="Arial" w:cs="Arial" w:eastAsia="Arial" w:hAnsi="Arial"/>
          <w:sz w:val="18"/>
          <w:szCs w:val="18"/>
          <w:color w:val="auto"/>
        </w:rPr>
        <w:t>Fixed maturity and equity securities AFS measured at estimated fair value on a recurring basis and their corresponding fair value pricing sources are as follows: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0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760" w:type="dxa"/>
            <w:vAlign w:val="bottom"/>
            <w:gridSpan w:val="3"/>
          </w:tcPr>
          <w:p>
            <w:pPr>
              <w:jc w:val="right"/>
              <w:ind w:right="139"/>
              <w:spacing w:after="0"/>
              <w:rPr>
                <w:sz w:val="20"/>
                <w:szCs w:val="20"/>
                <w:color w:val="auto"/>
              </w:rPr>
            </w:pPr>
            <w:r>
              <w:rPr>
                <w:rFonts w:ascii="Arial" w:cs="Arial" w:eastAsia="Arial" w:hAnsi="Arial"/>
                <w:sz w:val="16"/>
                <w:szCs w:val="16"/>
                <w:b w:val="1"/>
                <w:bCs w:val="1"/>
                <w:color w:val="auto"/>
              </w:rPr>
              <w:t>September 30, 2017</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33"/>
        </w:trPr>
        <w:tc>
          <w:tcPr>
            <w:tcW w:w="500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gridSpan w:val="3"/>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3"/>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09"/>
        </w:trPr>
        <w:tc>
          <w:tcPr>
            <w:tcW w:w="50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760" w:type="dxa"/>
            <w:vAlign w:val="bottom"/>
            <w:gridSpan w:val="3"/>
          </w:tcPr>
          <w:p>
            <w:pPr>
              <w:jc w:val="center"/>
              <w:ind w:left="259"/>
              <w:spacing w:after="0"/>
              <w:rPr>
                <w:sz w:val="20"/>
                <w:szCs w:val="20"/>
                <w:color w:val="auto"/>
              </w:rPr>
            </w:pPr>
            <w:r>
              <w:rPr>
                <w:rFonts w:ascii="Arial" w:cs="Arial" w:eastAsia="Arial" w:hAnsi="Arial"/>
                <w:sz w:val="16"/>
                <w:szCs w:val="16"/>
                <w:b w:val="1"/>
                <w:bCs w:val="1"/>
                <w:color w:val="auto"/>
                <w:w w:val="97"/>
              </w:rPr>
              <w:t>Fixed Maturity</w:t>
            </w: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340" w:type="dxa"/>
            <w:vAlign w:val="bottom"/>
            <w:gridSpan w:val="3"/>
          </w:tcPr>
          <w:p>
            <w:pPr>
              <w:jc w:val="center"/>
              <w:spacing w:after="0"/>
              <w:rPr>
                <w:sz w:val="20"/>
                <w:szCs w:val="20"/>
                <w:color w:val="auto"/>
              </w:rPr>
            </w:pPr>
            <w:r>
              <w:rPr>
                <w:rFonts w:ascii="Arial" w:cs="Arial" w:eastAsia="Arial" w:hAnsi="Arial"/>
                <w:sz w:val="16"/>
                <w:szCs w:val="16"/>
                <w:b w:val="1"/>
                <w:bCs w:val="1"/>
                <w:color w:val="auto"/>
                <w:w w:val="93"/>
              </w:rPr>
              <w:t>Equity</w:t>
            </w:r>
          </w:p>
        </w:tc>
        <w:tc>
          <w:tcPr>
            <w:tcW w:w="860" w:type="dxa"/>
            <w:vAlign w:val="bottom"/>
          </w:tcPr>
          <w:p>
            <w:pPr>
              <w:spacing w:after="0"/>
              <w:rPr>
                <w:sz w:val="18"/>
                <w:szCs w:val="18"/>
                <w:color w:val="auto"/>
              </w:rPr>
            </w:pPr>
          </w:p>
        </w:tc>
      </w:tr>
      <w:tr>
        <w:trPr>
          <w:trHeight w:val="210"/>
        </w:trPr>
        <w:tc>
          <w:tcPr>
            <w:tcW w:w="50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760" w:type="dxa"/>
            <w:vAlign w:val="bottom"/>
            <w:gridSpan w:val="3"/>
          </w:tcPr>
          <w:p>
            <w:pPr>
              <w:jc w:val="center"/>
              <w:ind w:left="239"/>
              <w:spacing w:after="0"/>
              <w:rPr>
                <w:sz w:val="20"/>
                <w:szCs w:val="20"/>
                <w:color w:val="auto"/>
              </w:rPr>
            </w:pPr>
            <w:r>
              <w:rPr>
                <w:rFonts w:ascii="Arial" w:cs="Arial" w:eastAsia="Arial" w:hAnsi="Arial"/>
                <w:sz w:val="16"/>
                <w:szCs w:val="16"/>
                <w:b w:val="1"/>
                <w:bCs w:val="1"/>
                <w:color w:val="auto"/>
                <w:w w:val="88"/>
              </w:rPr>
              <w:t>Securities</w:t>
            </w: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340" w:type="dxa"/>
            <w:vAlign w:val="bottom"/>
            <w:gridSpan w:val="3"/>
          </w:tcPr>
          <w:p>
            <w:pPr>
              <w:jc w:val="center"/>
              <w:spacing w:after="0"/>
              <w:rPr>
                <w:sz w:val="20"/>
                <w:szCs w:val="20"/>
                <w:color w:val="auto"/>
              </w:rPr>
            </w:pPr>
            <w:r>
              <w:rPr>
                <w:rFonts w:ascii="Arial" w:cs="Arial" w:eastAsia="Arial" w:hAnsi="Arial"/>
                <w:sz w:val="16"/>
                <w:szCs w:val="16"/>
                <w:b w:val="1"/>
                <w:bCs w:val="1"/>
                <w:color w:val="auto"/>
                <w:w w:val="88"/>
              </w:rPr>
              <w:t>Securities</w:t>
            </w:r>
          </w:p>
        </w:tc>
        <w:tc>
          <w:tcPr>
            <w:tcW w:w="860" w:type="dxa"/>
            <w:vAlign w:val="bottom"/>
          </w:tcPr>
          <w:p>
            <w:pPr>
              <w:spacing w:after="0"/>
              <w:rPr>
                <w:sz w:val="18"/>
                <w:szCs w:val="18"/>
                <w:color w:val="auto"/>
              </w:rPr>
            </w:pPr>
          </w:p>
        </w:tc>
      </w:tr>
      <w:tr>
        <w:trPr>
          <w:trHeight w:val="33"/>
        </w:trPr>
        <w:tc>
          <w:tcPr>
            <w:tcW w:w="500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gridSpan w:val="3"/>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190"/>
        </w:trPr>
        <w:tc>
          <w:tcPr>
            <w:tcW w:w="50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760" w:type="dxa"/>
            <w:vAlign w:val="bottom"/>
            <w:gridSpan w:val="3"/>
          </w:tcPr>
          <w:p>
            <w:pPr>
              <w:jc w:val="right"/>
              <w:ind w:right="199"/>
              <w:spacing w:after="0"/>
              <w:rPr>
                <w:sz w:val="20"/>
                <w:szCs w:val="20"/>
                <w:color w:val="auto"/>
              </w:rPr>
            </w:pPr>
            <w:r>
              <w:rPr>
                <w:rFonts w:ascii="Arial" w:cs="Arial" w:eastAsia="Arial" w:hAnsi="Arial"/>
                <w:sz w:val="14"/>
                <w:szCs w:val="14"/>
                <w:b w:val="1"/>
                <w:bCs w:val="1"/>
                <w:color w:val="auto"/>
              </w:rPr>
              <w:t>(Dollars in millions)</w:t>
            </w: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60" w:type="dxa"/>
            <w:vAlign w:val="bottom"/>
          </w:tcPr>
          <w:p>
            <w:pPr>
              <w:spacing w:after="0"/>
              <w:rPr>
                <w:sz w:val="16"/>
                <w:szCs w:val="16"/>
                <w:color w:val="auto"/>
              </w:rPr>
            </w:pPr>
          </w:p>
        </w:tc>
      </w:tr>
      <w:tr>
        <w:trPr>
          <w:trHeight w:val="256"/>
        </w:trPr>
        <w:tc>
          <w:tcPr>
            <w:tcW w:w="5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Level 1</w:t>
            </w:r>
          </w:p>
        </w:tc>
        <w:tc>
          <w:tcPr>
            <w:tcW w:w="5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r>
      <w:tr>
        <w:trPr>
          <w:trHeight w:val="237"/>
        </w:trPr>
        <w:tc>
          <w:tcPr>
            <w:tcW w:w="5000" w:type="dxa"/>
            <w:vAlign w:val="bottom"/>
          </w:tcPr>
          <w:p>
            <w:pPr>
              <w:ind w:left="200"/>
              <w:spacing w:after="0"/>
              <w:rPr>
                <w:sz w:val="20"/>
                <w:szCs w:val="20"/>
                <w:color w:val="auto"/>
              </w:rPr>
            </w:pPr>
            <w:r>
              <w:rPr>
                <w:rFonts w:ascii="Arial" w:cs="Arial" w:eastAsia="Arial" w:hAnsi="Arial"/>
                <w:sz w:val="16"/>
                <w:szCs w:val="16"/>
                <w:color w:val="auto"/>
              </w:rPr>
              <w:t>Quoted prices in active markets for identical assets</w:t>
            </w:r>
          </w:p>
        </w:tc>
        <w:tc>
          <w:tcPr>
            <w:tcW w:w="500" w:type="dxa"/>
            <w:vAlign w:val="bottom"/>
          </w:tcPr>
          <w:p>
            <w:pPr>
              <w:jc w:val="right"/>
              <w:ind w:right="299"/>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8,398</w:t>
            </w:r>
          </w:p>
        </w:tc>
        <w:tc>
          <w:tcPr>
            <w:tcW w:w="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13.2%</w:t>
            </w:r>
          </w:p>
        </w:tc>
        <w:tc>
          <w:tcPr>
            <w:tcW w:w="100" w:type="dxa"/>
            <w:vAlign w:val="bottom"/>
          </w:tcPr>
          <w:p>
            <w:pPr>
              <w:spacing w:after="0"/>
              <w:rPr>
                <w:sz w:val="20"/>
                <w:szCs w:val="20"/>
                <w:color w:val="auto"/>
              </w:rPr>
            </w:pPr>
          </w:p>
        </w:tc>
        <w:tc>
          <w:tcPr>
            <w:tcW w:w="860" w:type="dxa"/>
            <w:vAlign w:val="bottom"/>
          </w:tcPr>
          <w:p>
            <w:pPr>
              <w:jc w:val="right"/>
              <w:ind w:right="659"/>
              <w:spacing w:after="0"/>
              <w:rPr>
                <w:sz w:val="20"/>
                <w:szCs w:val="20"/>
                <w:color w:val="auto"/>
              </w:rPr>
            </w:pPr>
            <w:r>
              <w:rPr>
                <w:rFonts w:ascii="Arial" w:cs="Arial" w:eastAsia="Arial" w:hAnsi="Arial"/>
                <w:sz w:val="16"/>
                <w:szCs w:val="16"/>
                <w:color w:val="auto"/>
              </w:rPr>
              <w:t>$</w:t>
            </w:r>
          </w:p>
        </w:tc>
        <w:tc>
          <w:tcPr>
            <w:tcW w:w="600" w:type="dxa"/>
            <w:vAlign w:val="bottom"/>
          </w:tcPr>
          <w:p>
            <w:pPr>
              <w:jc w:val="right"/>
              <w:ind w:right="39"/>
              <w:spacing w:after="0"/>
              <w:rPr>
                <w:sz w:val="20"/>
                <w:szCs w:val="20"/>
                <w:color w:val="auto"/>
              </w:rPr>
            </w:pPr>
            <w:r>
              <w:rPr>
                <w:rFonts w:ascii="Arial" w:cs="Arial" w:eastAsia="Arial" w:hAnsi="Arial"/>
                <w:sz w:val="16"/>
                <w:szCs w:val="16"/>
                <w:color w:val="auto"/>
              </w:rPr>
              <w:t>39</w:t>
            </w: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14.7%</w:t>
            </w:r>
          </w:p>
        </w:tc>
      </w:tr>
      <w:tr>
        <w:trPr>
          <w:trHeight w:val="33"/>
        </w:trPr>
        <w:tc>
          <w:tcPr>
            <w:tcW w:w="50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04"/>
        </w:trPr>
        <w:tc>
          <w:tcPr>
            <w:tcW w:w="500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Level 2</w:t>
            </w:r>
          </w:p>
        </w:tc>
        <w:tc>
          <w:tcPr>
            <w:tcW w:w="5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r>
      <w:tr>
        <w:trPr>
          <w:trHeight w:val="60"/>
        </w:trPr>
        <w:tc>
          <w:tcPr>
            <w:tcW w:w="5000" w:type="dxa"/>
            <w:vAlign w:val="bottom"/>
            <w:shd w:val="clear" w:color="auto" w:fill="CCEEFF"/>
          </w:tcPr>
          <w:p>
            <w:pPr>
              <w:spacing w:after="0"/>
              <w:rPr>
                <w:sz w:val="5"/>
                <w:szCs w:val="5"/>
                <w:color w:val="auto"/>
              </w:rPr>
            </w:pPr>
          </w:p>
        </w:tc>
        <w:tc>
          <w:tcPr>
            <w:tcW w:w="500" w:type="dxa"/>
            <w:vAlign w:val="bottom"/>
            <w:shd w:val="clear" w:color="auto" w:fill="CCEEFF"/>
          </w:tcPr>
          <w:p>
            <w:pPr>
              <w:spacing w:after="0"/>
              <w:rPr>
                <w:sz w:val="5"/>
                <w:szCs w:val="5"/>
                <w:color w:val="auto"/>
              </w:rPr>
            </w:pPr>
          </w:p>
        </w:tc>
        <w:tc>
          <w:tcPr>
            <w:tcW w:w="96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700" w:type="dxa"/>
            <w:vAlign w:val="bottom"/>
            <w:shd w:val="clear" w:color="auto" w:fill="CCEEFF"/>
          </w:tcPr>
          <w:p>
            <w:pPr>
              <w:spacing w:after="0"/>
              <w:rPr>
                <w:sz w:val="5"/>
                <w:szCs w:val="5"/>
                <w:color w:val="auto"/>
              </w:rPr>
            </w:pPr>
          </w:p>
        </w:tc>
        <w:tc>
          <w:tcPr>
            <w:tcW w:w="80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860" w:type="dxa"/>
            <w:vAlign w:val="bottom"/>
            <w:shd w:val="clear" w:color="auto" w:fill="CCEEFF"/>
          </w:tcPr>
          <w:p>
            <w:pPr>
              <w:spacing w:after="0"/>
              <w:rPr>
                <w:sz w:val="5"/>
                <w:szCs w:val="5"/>
                <w:color w:val="auto"/>
              </w:rPr>
            </w:pPr>
          </w:p>
        </w:tc>
        <w:tc>
          <w:tcPr>
            <w:tcW w:w="60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640" w:type="dxa"/>
            <w:vAlign w:val="bottom"/>
            <w:shd w:val="clear" w:color="auto" w:fill="CCEEFF"/>
          </w:tcPr>
          <w:p>
            <w:pPr>
              <w:spacing w:after="0"/>
              <w:rPr>
                <w:sz w:val="5"/>
                <w:szCs w:val="5"/>
                <w:color w:val="auto"/>
              </w:rPr>
            </w:pPr>
          </w:p>
        </w:tc>
        <w:tc>
          <w:tcPr>
            <w:tcW w:w="860" w:type="dxa"/>
            <w:vAlign w:val="bottom"/>
            <w:shd w:val="clear" w:color="auto" w:fill="CCEEFF"/>
          </w:tcPr>
          <w:p>
            <w:pPr>
              <w:spacing w:after="0"/>
              <w:rPr>
                <w:sz w:val="5"/>
                <w:szCs w:val="5"/>
                <w:color w:val="auto"/>
              </w:rPr>
            </w:pPr>
          </w:p>
        </w:tc>
      </w:tr>
      <w:tr>
        <w:trPr>
          <w:trHeight w:val="237"/>
        </w:trPr>
        <w:tc>
          <w:tcPr>
            <w:tcW w:w="5000" w:type="dxa"/>
            <w:vAlign w:val="bottom"/>
          </w:tcPr>
          <w:p>
            <w:pPr>
              <w:ind w:left="200"/>
              <w:spacing w:after="0"/>
              <w:rPr>
                <w:sz w:val="20"/>
                <w:szCs w:val="20"/>
                <w:color w:val="auto"/>
              </w:rPr>
            </w:pPr>
            <w:r>
              <w:rPr>
                <w:rFonts w:ascii="Arial" w:cs="Arial" w:eastAsia="Arial" w:hAnsi="Arial"/>
                <w:sz w:val="16"/>
                <w:szCs w:val="16"/>
                <w:color w:val="auto"/>
              </w:rPr>
              <w:t>Independent pricing sources</w:t>
            </w:r>
          </w:p>
        </w:tc>
        <w:tc>
          <w:tcPr>
            <w:tcW w:w="500" w:type="dxa"/>
            <w:vAlign w:val="bottom"/>
          </w:tcPr>
          <w:p>
            <w:pPr>
              <w:spacing w:after="0"/>
              <w:rPr>
                <w:sz w:val="20"/>
                <w:szCs w:val="20"/>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50,572</w:t>
            </w:r>
          </w:p>
        </w:tc>
        <w:tc>
          <w:tcPr>
            <w:tcW w:w="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00" w:type="dxa"/>
            <w:vAlign w:val="bottom"/>
          </w:tcPr>
          <w:p>
            <w:pPr>
              <w:jc w:val="right"/>
              <w:ind w:right="80"/>
              <w:spacing w:after="0"/>
              <w:rPr>
                <w:sz w:val="20"/>
                <w:szCs w:val="20"/>
                <w:color w:val="auto"/>
              </w:rPr>
            </w:pPr>
            <w:r>
              <w:rPr>
                <w:rFonts w:ascii="Arial" w:cs="Arial" w:eastAsia="Arial" w:hAnsi="Arial"/>
                <w:sz w:val="16"/>
                <w:szCs w:val="16"/>
                <w:color w:val="auto"/>
              </w:rPr>
              <w:t>79.6</w:t>
            </w: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600" w:type="dxa"/>
            <w:vAlign w:val="bottom"/>
          </w:tcPr>
          <w:p>
            <w:pPr>
              <w:jc w:val="right"/>
              <w:ind w:right="39"/>
              <w:spacing w:after="0"/>
              <w:rPr>
                <w:sz w:val="20"/>
                <w:szCs w:val="20"/>
                <w:color w:val="auto"/>
              </w:rPr>
            </w:pPr>
            <w:r>
              <w:rPr>
                <w:rFonts w:ascii="Arial" w:cs="Arial" w:eastAsia="Arial" w:hAnsi="Arial"/>
                <w:sz w:val="16"/>
                <w:szCs w:val="16"/>
                <w:color w:val="auto"/>
              </w:rPr>
              <w:t>96</w:t>
            </w: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60" w:type="dxa"/>
            <w:vAlign w:val="bottom"/>
          </w:tcPr>
          <w:p>
            <w:pPr>
              <w:jc w:val="right"/>
              <w:ind w:right="79"/>
              <w:spacing w:after="0"/>
              <w:rPr>
                <w:sz w:val="20"/>
                <w:szCs w:val="20"/>
                <w:color w:val="auto"/>
              </w:rPr>
            </w:pPr>
            <w:r>
              <w:rPr>
                <w:rFonts w:ascii="Arial" w:cs="Arial" w:eastAsia="Arial" w:hAnsi="Arial"/>
                <w:sz w:val="16"/>
                <w:szCs w:val="16"/>
                <w:color w:val="auto"/>
              </w:rPr>
              <w:t>36.2</w:t>
            </w:r>
          </w:p>
        </w:tc>
      </w:tr>
      <w:tr>
        <w:trPr>
          <w:trHeight w:val="33"/>
        </w:trPr>
        <w:tc>
          <w:tcPr>
            <w:tcW w:w="50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0"/>
        </w:trPr>
        <w:tc>
          <w:tcPr>
            <w:tcW w:w="50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Internal matrix pricing or discounted cash flow techniques</w:t>
            </w:r>
          </w:p>
        </w:tc>
        <w:tc>
          <w:tcPr>
            <w:tcW w:w="5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575</w:t>
            </w:r>
          </w:p>
        </w:tc>
        <w:tc>
          <w:tcPr>
            <w:tcW w:w="10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0.9</w:t>
            </w:r>
          </w:p>
        </w:tc>
        <w:tc>
          <w:tcPr>
            <w:tcW w:w="10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3"/>
            <w:shd w:val="clear" w:color="auto" w:fill="CCEEFF"/>
          </w:tcPr>
          <w:p>
            <w:pPr>
              <w:jc w:val="right"/>
              <w:ind w:right="860"/>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r>
      <w:tr>
        <w:trPr>
          <w:trHeight w:val="217"/>
        </w:trPr>
        <w:tc>
          <w:tcPr>
            <w:tcW w:w="5000" w:type="dxa"/>
            <w:vAlign w:val="bottom"/>
          </w:tcPr>
          <w:p>
            <w:pPr>
              <w:ind w:left="360"/>
              <w:spacing w:after="0"/>
              <w:rPr>
                <w:sz w:val="20"/>
                <w:szCs w:val="20"/>
                <w:color w:val="auto"/>
              </w:rPr>
            </w:pPr>
            <w:r>
              <w:rPr>
                <w:rFonts w:ascii="Arial" w:cs="Arial" w:eastAsia="Arial" w:hAnsi="Arial"/>
                <w:sz w:val="16"/>
                <w:szCs w:val="16"/>
                <w:color w:val="auto"/>
              </w:rPr>
              <w:t>Significant other observable inputs</w:t>
            </w:r>
          </w:p>
        </w:tc>
        <w:tc>
          <w:tcPr>
            <w:tcW w:w="5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51,147</w:t>
            </w:r>
          </w:p>
        </w:tc>
        <w:tc>
          <w:tcPr>
            <w:tcW w:w="100" w:type="dxa"/>
            <w:vAlign w:val="bottom"/>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ind w:right="80"/>
              <w:spacing w:after="0"/>
              <w:rPr>
                <w:sz w:val="20"/>
                <w:szCs w:val="20"/>
                <w:color w:val="auto"/>
              </w:rPr>
            </w:pPr>
            <w:r>
              <w:rPr>
                <w:rFonts w:ascii="Arial" w:cs="Arial" w:eastAsia="Arial" w:hAnsi="Arial"/>
                <w:sz w:val="16"/>
                <w:szCs w:val="16"/>
                <w:color w:val="auto"/>
              </w:rPr>
              <w:t>80.5</w:t>
            </w:r>
          </w:p>
        </w:tc>
        <w:tc>
          <w:tcPr>
            <w:tcW w:w="100" w:type="dxa"/>
            <w:vAlign w:val="bottom"/>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96</w:t>
            </w:r>
          </w:p>
        </w:tc>
        <w:tc>
          <w:tcPr>
            <w:tcW w:w="100" w:type="dxa"/>
            <w:vAlign w:val="bottom"/>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36.2</w:t>
            </w:r>
          </w:p>
        </w:tc>
      </w:tr>
      <w:tr>
        <w:trPr>
          <w:trHeight w:val="33"/>
        </w:trPr>
        <w:tc>
          <w:tcPr>
            <w:tcW w:w="50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04"/>
        </w:trPr>
        <w:tc>
          <w:tcPr>
            <w:tcW w:w="500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Level 3</w:t>
            </w:r>
          </w:p>
        </w:tc>
        <w:tc>
          <w:tcPr>
            <w:tcW w:w="5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r>
      <w:tr>
        <w:trPr>
          <w:trHeight w:val="60"/>
        </w:trPr>
        <w:tc>
          <w:tcPr>
            <w:tcW w:w="5000" w:type="dxa"/>
            <w:vAlign w:val="bottom"/>
            <w:shd w:val="clear" w:color="auto" w:fill="CCEEFF"/>
          </w:tcPr>
          <w:p>
            <w:pPr>
              <w:spacing w:after="0"/>
              <w:rPr>
                <w:sz w:val="5"/>
                <w:szCs w:val="5"/>
                <w:color w:val="auto"/>
              </w:rPr>
            </w:pPr>
          </w:p>
        </w:tc>
        <w:tc>
          <w:tcPr>
            <w:tcW w:w="500" w:type="dxa"/>
            <w:vAlign w:val="bottom"/>
            <w:shd w:val="clear" w:color="auto" w:fill="CCEEFF"/>
          </w:tcPr>
          <w:p>
            <w:pPr>
              <w:spacing w:after="0"/>
              <w:rPr>
                <w:sz w:val="5"/>
                <w:szCs w:val="5"/>
                <w:color w:val="auto"/>
              </w:rPr>
            </w:pPr>
          </w:p>
        </w:tc>
        <w:tc>
          <w:tcPr>
            <w:tcW w:w="96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700" w:type="dxa"/>
            <w:vAlign w:val="bottom"/>
            <w:shd w:val="clear" w:color="auto" w:fill="CCEEFF"/>
          </w:tcPr>
          <w:p>
            <w:pPr>
              <w:spacing w:after="0"/>
              <w:rPr>
                <w:sz w:val="5"/>
                <w:szCs w:val="5"/>
                <w:color w:val="auto"/>
              </w:rPr>
            </w:pPr>
          </w:p>
        </w:tc>
        <w:tc>
          <w:tcPr>
            <w:tcW w:w="80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860" w:type="dxa"/>
            <w:vAlign w:val="bottom"/>
            <w:shd w:val="clear" w:color="auto" w:fill="CCEEFF"/>
          </w:tcPr>
          <w:p>
            <w:pPr>
              <w:spacing w:after="0"/>
              <w:rPr>
                <w:sz w:val="5"/>
                <w:szCs w:val="5"/>
                <w:color w:val="auto"/>
              </w:rPr>
            </w:pPr>
          </w:p>
        </w:tc>
        <w:tc>
          <w:tcPr>
            <w:tcW w:w="60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640" w:type="dxa"/>
            <w:vAlign w:val="bottom"/>
            <w:shd w:val="clear" w:color="auto" w:fill="CCEEFF"/>
          </w:tcPr>
          <w:p>
            <w:pPr>
              <w:spacing w:after="0"/>
              <w:rPr>
                <w:sz w:val="5"/>
                <w:szCs w:val="5"/>
                <w:color w:val="auto"/>
              </w:rPr>
            </w:pPr>
          </w:p>
        </w:tc>
        <w:tc>
          <w:tcPr>
            <w:tcW w:w="860" w:type="dxa"/>
            <w:vAlign w:val="bottom"/>
            <w:shd w:val="clear" w:color="auto" w:fill="CCEEFF"/>
          </w:tcPr>
          <w:p>
            <w:pPr>
              <w:spacing w:after="0"/>
              <w:rPr>
                <w:sz w:val="5"/>
                <w:szCs w:val="5"/>
                <w:color w:val="auto"/>
              </w:rPr>
            </w:pPr>
          </w:p>
        </w:tc>
      </w:tr>
      <w:tr>
        <w:trPr>
          <w:trHeight w:val="237"/>
        </w:trPr>
        <w:tc>
          <w:tcPr>
            <w:tcW w:w="5000" w:type="dxa"/>
            <w:vAlign w:val="bottom"/>
          </w:tcPr>
          <w:p>
            <w:pPr>
              <w:ind w:left="200"/>
              <w:spacing w:after="0"/>
              <w:rPr>
                <w:sz w:val="20"/>
                <w:szCs w:val="20"/>
                <w:color w:val="auto"/>
              </w:rPr>
            </w:pPr>
            <w:r>
              <w:rPr>
                <w:rFonts w:ascii="Arial" w:cs="Arial" w:eastAsia="Arial" w:hAnsi="Arial"/>
                <w:sz w:val="16"/>
                <w:szCs w:val="16"/>
                <w:color w:val="auto"/>
              </w:rPr>
              <w:t>Independent pricing sources</w:t>
            </w:r>
          </w:p>
        </w:tc>
        <w:tc>
          <w:tcPr>
            <w:tcW w:w="500" w:type="dxa"/>
            <w:vAlign w:val="bottom"/>
          </w:tcPr>
          <w:p>
            <w:pPr>
              <w:spacing w:after="0"/>
              <w:rPr>
                <w:sz w:val="20"/>
                <w:szCs w:val="20"/>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3,448</w:t>
            </w:r>
          </w:p>
        </w:tc>
        <w:tc>
          <w:tcPr>
            <w:tcW w:w="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00" w:type="dxa"/>
            <w:vAlign w:val="bottom"/>
          </w:tcPr>
          <w:p>
            <w:pPr>
              <w:jc w:val="right"/>
              <w:ind w:right="80"/>
              <w:spacing w:after="0"/>
              <w:rPr>
                <w:sz w:val="20"/>
                <w:szCs w:val="20"/>
                <w:color w:val="auto"/>
              </w:rPr>
            </w:pPr>
            <w:r>
              <w:rPr>
                <w:rFonts w:ascii="Arial" w:cs="Arial" w:eastAsia="Arial" w:hAnsi="Arial"/>
                <w:sz w:val="16"/>
                <w:szCs w:val="16"/>
                <w:color w:val="auto"/>
              </w:rPr>
              <w:t>5.4</w:t>
            </w: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600" w:type="dxa"/>
            <w:vAlign w:val="bottom"/>
          </w:tcPr>
          <w:p>
            <w:pPr>
              <w:jc w:val="right"/>
              <w:ind w:right="39"/>
              <w:spacing w:after="0"/>
              <w:rPr>
                <w:sz w:val="20"/>
                <w:szCs w:val="20"/>
                <w:color w:val="auto"/>
              </w:rPr>
            </w:pPr>
            <w:r>
              <w:rPr>
                <w:rFonts w:ascii="Arial" w:cs="Arial" w:eastAsia="Arial" w:hAnsi="Arial"/>
                <w:sz w:val="16"/>
                <w:szCs w:val="16"/>
                <w:color w:val="auto"/>
              </w:rPr>
              <w:t>120</w:t>
            </w: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60" w:type="dxa"/>
            <w:vAlign w:val="bottom"/>
          </w:tcPr>
          <w:p>
            <w:pPr>
              <w:jc w:val="right"/>
              <w:ind w:right="79"/>
              <w:spacing w:after="0"/>
              <w:rPr>
                <w:sz w:val="20"/>
                <w:szCs w:val="20"/>
                <w:color w:val="auto"/>
              </w:rPr>
            </w:pPr>
            <w:r>
              <w:rPr>
                <w:rFonts w:ascii="Arial" w:cs="Arial" w:eastAsia="Arial" w:hAnsi="Arial"/>
                <w:sz w:val="16"/>
                <w:szCs w:val="16"/>
                <w:color w:val="auto"/>
              </w:rPr>
              <w:t>45.3</w:t>
            </w:r>
          </w:p>
        </w:tc>
      </w:tr>
      <w:tr>
        <w:trPr>
          <w:trHeight w:val="33"/>
        </w:trPr>
        <w:tc>
          <w:tcPr>
            <w:tcW w:w="50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50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Internal matrix pricing or discounted cash flow techniques</w:t>
            </w:r>
          </w:p>
        </w:tc>
        <w:tc>
          <w:tcPr>
            <w:tcW w:w="5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389</w:t>
            </w:r>
          </w:p>
        </w:tc>
        <w:tc>
          <w:tcPr>
            <w:tcW w:w="1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0.6</w:t>
            </w:r>
          </w:p>
        </w:tc>
        <w:tc>
          <w:tcPr>
            <w:tcW w:w="1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3.8</w:t>
            </w:r>
          </w:p>
        </w:tc>
      </w:tr>
      <w:tr>
        <w:trPr>
          <w:trHeight w:val="237"/>
        </w:trPr>
        <w:tc>
          <w:tcPr>
            <w:tcW w:w="5000" w:type="dxa"/>
            <w:vAlign w:val="bottom"/>
          </w:tcPr>
          <w:p>
            <w:pPr>
              <w:ind w:left="200"/>
              <w:spacing w:after="0"/>
              <w:rPr>
                <w:sz w:val="20"/>
                <w:szCs w:val="20"/>
                <w:color w:val="auto"/>
              </w:rPr>
            </w:pPr>
            <w:r>
              <w:rPr>
                <w:rFonts w:ascii="Arial" w:cs="Arial" w:eastAsia="Arial" w:hAnsi="Arial"/>
                <w:sz w:val="16"/>
                <w:szCs w:val="16"/>
                <w:color w:val="auto"/>
              </w:rPr>
              <w:t>Independent broker quotations</w:t>
            </w:r>
          </w:p>
        </w:tc>
        <w:tc>
          <w:tcPr>
            <w:tcW w:w="500" w:type="dxa"/>
            <w:vAlign w:val="bottom"/>
          </w:tcPr>
          <w:p>
            <w:pPr>
              <w:spacing w:after="0"/>
              <w:rPr>
                <w:sz w:val="20"/>
                <w:szCs w:val="20"/>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183</w:t>
            </w:r>
          </w:p>
        </w:tc>
        <w:tc>
          <w:tcPr>
            <w:tcW w:w="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00" w:type="dxa"/>
            <w:vAlign w:val="bottom"/>
          </w:tcPr>
          <w:p>
            <w:pPr>
              <w:jc w:val="right"/>
              <w:ind w:right="80"/>
              <w:spacing w:after="0"/>
              <w:rPr>
                <w:sz w:val="20"/>
                <w:szCs w:val="20"/>
                <w:color w:val="auto"/>
              </w:rPr>
            </w:pPr>
            <w:r>
              <w:rPr>
                <w:rFonts w:ascii="Arial" w:cs="Arial" w:eastAsia="Arial" w:hAnsi="Arial"/>
                <w:sz w:val="16"/>
                <w:szCs w:val="16"/>
                <w:color w:val="auto"/>
              </w:rPr>
              <w:t>0.3</w:t>
            </w: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340" w:type="dxa"/>
            <w:vAlign w:val="bottom"/>
            <w:gridSpan w:val="3"/>
          </w:tcPr>
          <w:p>
            <w:pPr>
              <w:jc w:val="right"/>
              <w:ind w:right="860"/>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79"/>
              <w:spacing w:after="0"/>
              <w:rPr>
                <w:sz w:val="20"/>
                <w:szCs w:val="20"/>
                <w:color w:val="auto"/>
              </w:rPr>
            </w:pPr>
            <w:r>
              <w:rPr>
                <w:rFonts w:ascii="Arial" w:cs="Arial" w:eastAsia="Arial" w:hAnsi="Arial"/>
                <w:sz w:val="16"/>
                <w:szCs w:val="16"/>
                <w:color w:val="auto"/>
              </w:rPr>
              <w:t>—</w:t>
            </w:r>
          </w:p>
        </w:tc>
      </w:tr>
      <w:tr>
        <w:trPr>
          <w:trHeight w:val="33"/>
        </w:trPr>
        <w:tc>
          <w:tcPr>
            <w:tcW w:w="50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50"/>
        </w:trPr>
        <w:tc>
          <w:tcPr>
            <w:tcW w:w="50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Significant unobservable inputs</w:t>
            </w:r>
          </w:p>
        </w:tc>
        <w:tc>
          <w:tcPr>
            <w:tcW w:w="5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4,020</w:t>
            </w:r>
          </w:p>
        </w:tc>
        <w:tc>
          <w:tcPr>
            <w:tcW w:w="1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6.3</w:t>
            </w:r>
          </w:p>
        </w:tc>
        <w:tc>
          <w:tcPr>
            <w:tcW w:w="1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130</w:t>
            </w:r>
          </w:p>
        </w:tc>
        <w:tc>
          <w:tcPr>
            <w:tcW w:w="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49.1</w:t>
            </w:r>
          </w:p>
        </w:tc>
      </w:tr>
      <w:tr>
        <w:trPr>
          <w:trHeight w:val="217"/>
        </w:trPr>
        <w:tc>
          <w:tcPr>
            <w:tcW w:w="5000" w:type="dxa"/>
            <w:vAlign w:val="bottom"/>
          </w:tcPr>
          <w:p>
            <w:pPr>
              <w:ind w:left="40"/>
              <w:spacing w:after="0"/>
              <w:rPr>
                <w:sz w:val="20"/>
                <w:szCs w:val="20"/>
                <w:color w:val="auto"/>
              </w:rPr>
            </w:pPr>
            <w:r>
              <w:rPr>
                <w:rFonts w:ascii="Arial" w:cs="Arial" w:eastAsia="Arial" w:hAnsi="Arial"/>
                <w:sz w:val="16"/>
                <w:szCs w:val="16"/>
                <w:color w:val="auto"/>
              </w:rPr>
              <w:t>Total estimated fair value</w:t>
            </w:r>
          </w:p>
        </w:tc>
        <w:tc>
          <w:tcPr>
            <w:tcW w:w="500" w:type="dxa"/>
            <w:vAlign w:val="bottom"/>
            <w:tcBorders>
              <w:top w:val="single" w:sz="8" w:color="auto"/>
            </w:tcBorders>
          </w:tcPr>
          <w:p>
            <w:pPr>
              <w:jc w:val="right"/>
              <w:ind w:right="299"/>
              <w:spacing w:after="0"/>
              <w:rPr>
                <w:sz w:val="20"/>
                <w:szCs w:val="20"/>
                <w:color w:val="auto"/>
              </w:rPr>
            </w:pPr>
            <w:r>
              <w:rPr>
                <w:rFonts w:ascii="Arial" w:cs="Arial" w:eastAsia="Arial" w:hAnsi="Arial"/>
                <w:sz w:val="16"/>
                <w:szCs w:val="16"/>
                <w:color w:val="auto"/>
              </w:rPr>
              <w:t>$</w:t>
            </w:r>
          </w:p>
        </w:tc>
        <w:tc>
          <w:tcPr>
            <w:tcW w:w="9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63,565</w:t>
            </w:r>
          </w:p>
        </w:tc>
        <w:tc>
          <w:tcPr>
            <w:tcW w:w="100" w:type="dxa"/>
            <w:vAlign w:val="bottom"/>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100.0%</w:t>
            </w:r>
          </w:p>
        </w:tc>
        <w:tc>
          <w:tcPr>
            <w:tcW w:w="100" w:type="dxa"/>
            <w:vAlign w:val="bottom"/>
          </w:tcPr>
          <w:p>
            <w:pPr>
              <w:spacing w:after="0"/>
              <w:rPr>
                <w:sz w:val="18"/>
                <w:szCs w:val="18"/>
                <w:color w:val="auto"/>
              </w:rPr>
            </w:pPr>
          </w:p>
        </w:tc>
        <w:tc>
          <w:tcPr>
            <w:tcW w:w="860" w:type="dxa"/>
            <w:vAlign w:val="bottom"/>
            <w:tcBorders>
              <w:top w:val="single" w:sz="8" w:color="auto"/>
            </w:tcBorders>
          </w:tcPr>
          <w:p>
            <w:pPr>
              <w:jc w:val="right"/>
              <w:ind w:right="659"/>
              <w:spacing w:after="0"/>
              <w:rPr>
                <w:sz w:val="20"/>
                <w:szCs w:val="20"/>
                <w:color w:val="auto"/>
              </w:rPr>
            </w:pPr>
            <w:r>
              <w:rPr>
                <w:rFonts w:ascii="Arial" w:cs="Arial" w:eastAsia="Arial" w:hAnsi="Arial"/>
                <w:sz w:val="16"/>
                <w:szCs w:val="16"/>
                <w:color w:val="auto"/>
              </w:rPr>
              <w:t>$</w:t>
            </w:r>
          </w:p>
        </w:tc>
        <w:tc>
          <w:tcPr>
            <w:tcW w:w="6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265</w:t>
            </w:r>
          </w:p>
        </w:tc>
        <w:tc>
          <w:tcPr>
            <w:tcW w:w="100" w:type="dxa"/>
            <w:vAlign w:val="bottom"/>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100.0%</w:t>
            </w:r>
          </w:p>
        </w:tc>
      </w:tr>
      <w:tr>
        <w:trPr>
          <w:trHeight w:val="33"/>
        </w:trPr>
        <w:tc>
          <w:tcPr>
            <w:tcW w:w="500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0"/>
        </w:trPr>
        <w:tc>
          <w:tcPr>
            <w:tcW w:w="50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left="180" w:firstLine="324"/>
        <w:spacing w:after="0" w:line="277" w:lineRule="auto"/>
        <w:rPr>
          <w:sz w:val="20"/>
          <w:szCs w:val="20"/>
          <w:color w:val="auto"/>
        </w:rPr>
      </w:pPr>
      <w:r>
        <w:rPr>
          <w:rFonts w:ascii="Arial" w:cs="Arial" w:eastAsia="Arial" w:hAnsi="Arial"/>
          <w:sz w:val="18"/>
          <w:szCs w:val="18"/>
          <w:color w:val="auto"/>
        </w:rPr>
        <w:t>See Note 6 of the Notes to the Interim Condensed Consolidated and Combined Financial Statements for the fixed maturity securities and equity securities AFS fair value hierarchy.</w:t>
      </w:r>
    </w:p>
    <w:p>
      <w:pPr>
        <w:spacing w:after="0" w:line="6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composition of fair value pricing sources for and significant changes in Level 3 securities at September 30, 2017, are as follows:</w:t>
      </w:r>
    </w:p>
    <w:p>
      <w:pPr>
        <w:spacing w:after="0" w:line="117" w:lineRule="exact"/>
        <w:rPr>
          <w:sz w:val="20"/>
          <w:szCs w:val="20"/>
          <w:color w:val="auto"/>
        </w:rPr>
      </w:pPr>
    </w:p>
    <w:p>
      <w:pPr>
        <w:ind w:left="660" w:hanging="328"/>
        <w:spacing w:after="0" w:line="277" w:lineRule="auto"/>
        <w:tabs>
          <w:tab w:leader="none" w:pos="660"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The majority of the Level 3 fixed maturity and equity securities AFS were concentrated in three sectors: U.S. and foreign corporate securities and residential mortgage-backed securities (“RMBS”).</w:t>
      </w:r>
    </w:p>
    <w:p>
      <w:pPr>
        <w:spacing w:after="0" w:line="62" w:lineRule="exact"/>
        <w:rPr>
          <w:rFonts w:ascii="Arial" w:cs="Arial" w:eastAsia="Arial" w:hAnsi="Arial"/>
          <w:sz w:val="18"/>
          <w:szCs w:val="18"/>
          <w:color w:val="auto"/>
        </w:rPr>
      </w:pPr>
    </w:p>
    <w:p>
      <w:pPr>
        <w:jc w:val="both"/>
        <w:ind w:left="660" w:hanging="328"/>
        <w:spacing w:after="0" w:line="255" w:lineRule="auto"/>
        <w:tabs>
          <w:tab w:leader="none" w:pos="660" w:val="left"/>
        </w:tabs>
        <w:numPr>
          <w:ilvl w:val="0"/>
          <w:numId w:val="78"/>
        </w:numPr>
        <w:rPr>
          <w:rFonts w:ascii="Arial" w:cs="Arial" w:eastAsia="Arial" w:hAnsi="Arial"/>
          <w:sz w:val="18"/>
          <w:szCs w:val="18"/>
          <w:color w:val="auto"/>
        </w:rPr>
      </w:pPr>
      <w:r>
        <w:rPr>
          <w:rFonts w:ascii="Arial" w:cs="Arial" w:eastAsia="Arial" w:hAnsi="Arial"/>
          <w:sz w:val="18"/>
          <w:szCs w:val="18"/>
          <w:color w:val="auto"/>
        </w:rPr>
        <w:t>Level 3 fixed maturity securities are priced principally through market standard valuation methodologies, independent pricing services and, to a much lesser extent, independent non-binding broker quotations using inputs that are not market observable or cannot be derived principally from or corroborated by observable market data. Level 3 fixed maturity securities consist of less liquid securities with very limited trading activity or where less price transparency exists around the inputs to the valuation methodologies. Level 3 fixed maturity securities include: sub-prime RMBS; certain below investment grade private securities and less liquid investment grade corporate securities (included in U.S. and foreign corporate securities) and less liquid asset-backed securities (“ABS”).</w:t>
      </w:r>
    </w:p>
    <w:p>
      <w:pPr>
        <w:spacing w:after="0" w:line="85"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78"/>
        </w:numPr>
        <w:rPr>
          <w:rFonts w:ascii="Arial" w:cs="Arial" w:eastAsia="Arial" w:hAnsi="Arial"/>
          <w:sz w:val="18"/>
          <w:szCs w:val="18"/>
          <w:color w:val="auto"/>
        </w:rPr>
      </w:pPr>
      <w:r>
        <w:rPr>
          <w:rFonts w:ascii="Arial" w:cs="Arial" w:eastAsia="Arial" w:hAnsi="Arial"/>
          <w:sz w:val="18"/>
          <w:szCs w:val="18"/>
          <w:color w:val="auto"/>
        </w:rPr>
        <w:t>During the three months ended September 30, 2017, Level 3 fixed maturity securities increased by $175 million, or 5%. The increase was driven by net transfers into Level 3 and an increase in estimated fair value recognized in other comprehensive income (“OCI”), partially offset by sales in excess of purchases.</w:t>
      </w:r>
    </w:p>
    <w:p>
      <w:pPr>
        <w:spacing w:after="0" w:line="73"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78"/>
        </w:numPr>
        <w:rPr>
          <w:rFonts w:ascii="Arial" w:cs="Arial" w:eastAsia="Arial" w:hAnsi="Arial"/>
          <w:sz w:val="17"/>
          <w:szCs w:val="17"/>
          <w:color w:val="auto"/>
        </w:rPr>
      </w:pPr>
      <w:r>
        <w:rPr>
          <w:rFonts w:ascii="Arial" w:cs="Arial" w:eastAsia="Arial" w:hAnsi="Arial"/>
          <w:sz w:val="17"/>
          <w:szCs w:val="17"/>
          <w:color w:val="auto"/>
        </w:rPr>
        <w:t>During the nine months ended September 30, 2017, Level 3 fixed maturity securities decreased by $99 million, or 2%. The decrease was driven by sales in excess of purchases and net transfers out of Level 3, partially offset by an increase in estimated fair value recognized in OCI.</w:t>
      </w:r>
    </w:p>
    <w:p>
      <w:pPr>
        <w:spacing w:after="0" w:line="3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See Note 6 of the Notes to the Interim Condensed Consolidated and Combined Financial Statements for a rollforward of the fair value measurements for fixed maturity securities and equity securities AFS measured at estimated fair value on a recurring basis using significant unobservable (Level 3) inputs; transfers into and/or out of Level 3; and further information about the valuation approaches and inputs by level by major classes of invested assets that affect the amounts reported above.</w:t>
      </w:r>
    </w:p>
    <w:p>
      <w:pPr>
        <w:spacing w:after="0" w:line="79"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Fixed Maturity Securities AFS</w:t>
      </w:r>
    </w:p>
    <w:p>
      <w:pPr>
        <w:spacing w:after="0" w:line="117" w:lineRule="exact"/>
        <w:rPr>
          <w:sz w:val="20"/>
          <w:szCs w:val="20"/>
          <w:color w:val="auto"/>
        </w:rPr>
      </w:pPr>
    </w:p>
    <w:p>
      <w:pPr>
        <w:ind w:left="180" w:right="20" w:firstLine="324"/>
        <w:spacing w:after="0" w:line="277" w:lineRule="auto"/>
        <w:rPr>
          <w:sz w:val="20"/>
          <w:szCs w:val="20"/>
          <w:color w:val="auto"/>
        </w:rPr>
      </w:pPr>
      <w:r>
        <w:rPr>
          <w:rFonts w:ascii="Arial" w:cs="Arial" w:eastAsia="Arial" w:hAnsi="Arial"/>
          <w:sz w:val="18"/>
          <w:szCs w:val="18"/>
          <w:color w:val="auto"/>
        </w:rPr>
        <w:t>See Note 4 of the Notes to the Interim Condensed Consolidated and Combined Financial Statements for information about fixed maturity securities AFS by sector, contractual maturities and continuous gross unrealized losses.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108</w:t>
      </w:r>
    </w:p>
    <w:p>
      <w:pPr>
        <w:sectPr>
          <w:pgSz w:w="11900" w:h="16838" w:orient="portrait"/>
          <w:cols w:equalWidth="0" w:num="1">
            <w:col w:w="11420"/>
          </w:cols>
          <w:pgMar w:left="240" w:top="126" w:right="239" w:bottom="1440" w:gutter="0" w:footer="0" w:header="0"/>
        </w:sectPr>
      </w:pPr>
    </w:p>
    <w:bookmarkStart w:id="110" w:name="page111"/>
    <w:bookmarkEnd w:id="110"/>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Fixed Maturity Securities Credit Quality — Ratings</w:t>
      </w:r>
    </w:p>
    <w:p>
      <w:pPr>
        <w:spacing w:after="0" w:line="117" w:lineRule="exact"/>
        <w:rPr>
          <w:sz w:val="20"/>
          <w:szCs w:val="20"/>
          <w:color w:val="auto"/>
        </w:rPr>
      </w:pPr>
    </w:p>
    <w:p>
      <w:pPr>
        <w:jc w:val="both"/>
        <w:ind w:left="180" w:firstLine="324"/>
        <w:spacing w:after="0" w:line="257" w:lineRule="auto"/>
        <w:rPr>
          <w:sz w:val="20"/>
          <w:szCs w:val="20"/>
          <w:color w:val="auto"/>
        </w:rPr>
      </w:pPr>
      <w:r>
        <w:rPr>
          <w:rFonts w:ascii="Arial" w:cs="Arial" w:eastAsia="Arial" w:hAnsi="Arial"/>
          <w:sz w:val="18"/>
          <w:szCs w:val="18"/>
          <w:color w:val="auto"/>
        </w:rPr>
        <w:t>See “Management’s Discussion and Analysis of Financial Condition and Results of Operations — Investments — Fixed Maturity and Equity Securities AFS — Fixed Maturity Securities Credit Quality — Ratings” included in the Form 10 for a discussion of the credit quality ratings assigned by Nationally Recognized Statistical Rating Organizations (“NRSRO”), credit quality designations assigned by and methodologies used by the Securities Valuation Office of the National Association of Insurance Commissioners (“NAIC”) for fixed maturity securities and the revised methodologies adopted by the NAIC for certain structured securities.</w:t>
      </w:r>
    </w:p>
    <w:p>
      <w:pPr>
        <w:spacing w:after="0" w:line="80" w:lineRule="exact"/>
        <w:rPr>
          <w:sz w:val="20"/>
          <w:szCs w:val="20"/>
          <w:color w:val="auto"/>
        </w:rPr>
      </w:pPr>
    </w:p>
    <w:p>
      <w:pPr>
        <w:jc w:val="both"/>
        <w:ind w:left="180" w:firstLine="324"/>
        <w:spacing w:after="0" w:line="264" w:lineRule="auto"/>
        <w:rPr>
          <w:sz w:val="20"/>
          <w:szCs w:val="20"/>
          <w:color w:val="auto"/>
        </w:rPr>
      </w:pPr>
      <w:r>
        <w:rPr>
          <w:rFonts w:ascii="Arial" w:cs="Arial" w:eastAsia="Arial" w:hAnsi="Arial"/>
          <w:sz w:val="18"/>
          <w:szCs w:val="18"/>
          <w:color w:val="auto"/>
        </w:rPr>
        <w:t>The following table presents total fixed maturity securities by NRSRO rating and the applicable NAIC designation from the NAIC published comparison of NRSRO ratings to NAIC designations, except for certain structured securities, which are presented using the revised NAIC methodologies, as well as the percentage, based on estimated fair value that each NAIC designation is comprised of at:</w:t>
      </w:r>
    </w:p>
    <w:p>
      <w:pPr>
        <w:spacing w:after="0" w:line="366" w:lineRule="exact"/>
        <w:rPr>
          <w:sz w:val="20"/>
          <w:szCs w:val="20"/>
          <w:color w:val="auto"/>
        </w:rPr>
      </w:pPr>
    </w:p>
    <w:tbl>
      <w:tblPr>
        <w:tblLayout w:type="fixed"/>
        <w:tblInd w:w="140" w:type="dxa"/>
        <w:tblCellMar>
          <w:top w:w="0" w:type="dxa"/>
          <w:left w:w="0" w:type="dxa"/>
          <w:bottom w:w="0" w:type="dxa"/>
          <w:right w:w="0" w:type="dxa"/>
        </w:tblCellMar>
      </w:tblPr>
      <w:tr>
        <w:trPr>
          <w:trHeight w:val="174"/>
        </w:trPr>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920" w:type="dxa"/>
            <w:vAlign w:val="bottom"/>
            <w:tcBorders>
              <w:bottom w:val="single" w:sz="8" w:color="auto"/>
            </w:tcBorders>
            <w:gridSpan w:val="5"/>
          </w:tcPr>
          <w:p>
            <w:pPr>
              <w:ind w:left="200"/>
              <w:spacing w:after="0"/>
              <w:rPr>
                <w:sz w:val="20"/>
                <w:szCs w:val="20"/>
                <w:color w:val="auto"/>
              </w:rPr>
            </w:pPr>
            <w:r>
              <w:rPr>
                <w:rFonts w:ascii="Arial" w:cs="Arial" w:eastAsia="Arial" w:hAnsi="Arial"/>
                <w:sz w:val="13"/>
                <w:szCs w:val="13"/>
                <w:b w:val="1"/>
                <w:bCs w:val="1"/>
                <w:color w:val="auto"/>
              </w:rPr>
              <w:t>September 30, 2017</w:t>
            </w:r>
          </w:p>
        </w:tc>
        <w:tc>
          <w:tcPr>
            <w:tcW w:w="660" w:type="dxa"/>
            <w:vAlign w:val="bottom"/>
            <w:tcBorders>
              <w:bottom w:val="single" w:sz="8" w:color="auto"/>
            </w:tcBorders>
          </w:tcPr>
          <w:p>
            <w:pPr>
              <w:spacing w:after="0"/>
              <w:rPr>
                <w:sz w:val="15"/>
                <w:szCs w:val="15"/>
                <w:color w:val="auto"/>
              </w:rPr>
            </w:pPr>
          </w:p>
        </w:tc>
        <w:tc>
          <w:tcPr>
            <w:tcW w:w="3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gridSpan w:val="3"/>
          </w:tcPr>
          <w:p>
            <w:pPr>
              <w:jc w:val="right"/>
              <w:spacing w:after="0"/>
              <w:rPr>
                <w:sz w:val="20"/>
                <w:szCs w:val="20"/>
                <w:color w:val="auto"/>
              </w:rPr>
            </w:pPr>
            <w:r>
              <w:rPr>
                <w:rFonts w:ascii="Arial" w:cs="Arial" w:eastAsia="Arial" w:hAnsi="Arial"/>
                <w:sz w:val="13"/>
                <w:szCs w:val="13"/>
                <w:b w:val="1"/>
                <w:bCs w:val="1"/>
                <w:color w:val="auto"/>
              </w:rPr>
              <w:t>December 31, 2016</w:t>
            </w:r>
          </w:p>
        </w:tc>
        <w:tc>
          <w:tcPr>
            <w:tcW w:w="6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4"/>
        </w:trPr>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2"/>
          </w:tcPr>
          <w:p>
            <w:pPr>
              <w:jc w:val="center"/>
              <w:ind w:right="240"/>
              <w:spacing w:after="0" w:line="144" w:lineRule="exact"/>
              <w:rPr>
                <w:sz w:val="20"/>
                <w:szCs w:val="20"/>
                <w:color w:val="auto"/>
              </w:rPr>
            </w:pPr>
            <w:r>
              <w:rPr>
                <w:rFonts w:ascii="Arial" w:cs="Arial" w:eastAsia="Arial" w:hAnsi="Arial"/>
                <w:sz w:val="13"/>
                <w:szCs w:val="13"/>
                <w:b w:val="1"/>
                <w:bCs w:val="1"/>
                <w:color w:val="auto"/>
                <w:w w:val="86"/>
              </w:rPr>
              <w:t>Estimated</w:t>
            </w:r>
          </w:p>
        </w:tc>
        <w:tc>
          <w:tcPr>
            <w:tcW w:w="6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3"/>
          </w:tcPr>
          <w:p>
            <w:pPr>
              <w:jc w:val="center"/>
              <w:ind w:right="120"/>
              <w:spacing w:after="0" w:line="144" w:lineRule="exact"/>
              <w:rPr>
                <w:sz w:val="20"/>
                <w:szCs w:val="20"/>
                <w:color w:val="auto"/>
              </w:rPr>
            </w:pPr>
            <w:r>
              <w:rPr>
                <w:rFonts w:ascii="Arial" w:cs="Arial" w:eastAsia="Arial" w:hAnsi="Arial"/>
                <w:sz w:val="13"/>
                <w:szCs w:val="13"/>
                <w:b w:val="1"/>
                <w:bCs w:val="1"/>
                <w:color w:val="auto"/>
                <w:w w:val="86"/>
              </w:rPr>
              <w:t>Estimated</w:t>
            </w: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900" w:type="dxa"/>
            <w:vAlign w:val="bottom"/>
            <w:gridSpan w:val="2"/>
          </w:tcPr>
          <w:p>
            <w:pPr>
              <w:jc w:val="center"/>
              <w:ind w:right="140"/>
              <w:spacing w:after="0" w:line="135" w:lineRule="exact"/>
              <w:rPr>
                <w:sz w:val="20"/>
                <w:szCs w:val="20"/>
                <w:color w:val="auto"/>
              </w:rPr>
            </w:pPr>
            <w:r>
              <w:rPr>
                <w:rFonts w:ascii="Arial" w:cs="Arial" w:eastAsia="Arial" w:hAnsi="Arial"/>
                <w:sz w:val="13"/>
                <w:szCs w:val="13"/>
                <w:b w:val="1"/>
                <w:bCs w:val="1"/>
                <w:color w:val="auto"/>
              </w:rPr>
              <w:t>NAIC</w:t>
            </w:r>
          </w:p>
        </w:tc>
        <w:tc>
          <w:tcPr>
            <w:tcW w:w="2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gridSpan w:val="2"/>
          </w:tcPr>
          <w:p>
            <w:pPr>
              <w:jc w:val="center"/>
              <w:ind w:right="260"/>
              <w:spacing w:after="0" w:line="135" w:lineRule="exact"/>
              <w:rPr>
                <w:sz w:val="20"/>
                <w:szCs w:val="20"/>
                <w:color w:val="auto"/>
              </w:rPr>
            </w:pPr>
            <w:r>
              <w:rPr>
                <w:rFonts w:ascii="Arial" w:cs="Arial" w:eastAsia="Arial" w:hAnsi="Arial"/>
                <w:sz w:val="13"/>
                <w:szCs w:val="13"/>
                <w:b w:val="1"/>
                <w:bCs w:val="1"/>
                <w:color w:val="auto"/>
                <w:w w:val="91"/>
              </w:rPr>
              <w:t>Amortized</w:t>
            </w:r>
          </w:p>
        </w:tc>
        <w:tc>
          <w:tcPr>
            <w:tcW w:w="100" w:type="dxa"/>
            <w:vAlign w:val="bottom"/>
          </w:tcPr>
          <w:p>
            <w:pPr>
              <w:spacing w:after="0"/>
              <w:rPr>
                <w:sz w:val="11"/>
                <w:szCs w:val="11"/>
                <w:color w:val="auto"/>
              </w:rPr>
            </w:pPr>
          </w:p>
        </w:tc>
        <w:tc>
          <w:tcPr>
            <w:tcW w:w="94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88"/>
              </w:rPr>
              <w:t>Unrealized</w:t>
            </w:r>
          </w:p>
        </w:tc>
        <w:tc>
          <w:tcPr>
            <w:tcW w:w="120" w:type="dxa"/>
            <w:vAlign w:val="bottom"/>
          </w:tcPr>
          <w:p>
            <w:pPr>
              <w:spacing w:after="0"/>
              <w:rPr>
                <w:sz w:val="11"/>
                <w:szCs w:val="11"/>
                <w:color w:val="auto"/>
              </w:rPr>
            </w:pPr>
          </w:p>
        </w:tc>
        <w:tc>
          <w:tcPr>
            <w:tcW w:w="860" w:type="dxa"/>
            <w:vAlign w:val="bottom"/>
            <w:gridSpan w:val="2"/>
          </w:tcPr>
          <w:p>
            <w:pPr>
              <w:jc w:val="center"/>
              <w:ind w:right="260"/>
              <w:spacing w:after="0" w:line="135" w:lineRule="exact"/>
              <w:rPr>
                <w:sz w:val="20"/>
                <w:szCs w:val="20"/>
                <w:color w:val="auto"/>
              </w:rPr>
            </w:pPr>
            <w:r>
              <w:rPr>
                <w:rFonts w:ascii="Arial" w:cs="Arial" w:eastAsia="Arial" w:hAnsi="Arial"/>
                <w:sz w:val="13"/>
                <w:szCs w:val="13"/>
                <w:b w:val="1"/>
                <w:bCs w:val="1"/>
                <w:color w:val="auto"/>
              </w:rPr>
              <w:t>Fair</w:t>
            </w:r>
          </w:p>
        </w:tc>
        <w:tc>
          <w:tcPr>
            <w:tcW w:w="660" w:type="dxa"/>
            <w:vAlign w:val="bottom"/>
          </w:tcPr>
          <w:p>
            <w:pPr>
              <w:jc w:val="right"/>
              <w:ind w:right="130"/>
              <w:spacing w:after="0" w:line="135" w:lineRule="exact"/>
              <w:rPr>
                <w:sz w:val="20"/>
                <w:szCs w:val="20"/>
                <w:color w:val="auto"/>
              </w:rPr>
            </w:pPr>
            <w:r>
              <w:rPr>
                <w:rFonts w:ascii="Arial" w:cs="Arial" w:eastAsia="Arial" w:hAnsi="Arial"/>
                <w:sz w:val="13"/>
                <w:szCs w:val="13"/>
                <w:b w:val="1"/>
                <w:bCs w:val="1"/>
                <w:color w:val="auto"/>
              </w:rPr>
              <w:t>% of</w:t>
            </w: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91"/>
              </w:rPr>
              <w:t>Amortized</w:t>
            </w:r>
          </w:p>
        </w:tc>
        <w:tc>
          <w:tcPr>
            <w:tcW w:w="140" w:type="dxa"/>
            <w:vAlign w:val="bottom"/>
          </w:tcPr>
          <w:p>
            <w:pPr>
              <w:spacing w:after="0"/>
              <w:rPr>
                <w:sz w:val="11"/>
                <w:szCs w:val="11"/>
                <w:color w:val="auto"/>
              </w:rPr>
            </w:pPr>
          </w:p>
        </w:tc>
        <w:tc>
          <w:tcPr>
            <w:tcW w:w="960" w:type="dxa"/>
            <w:vAlign w:val="bottom"/>
            <w:gridSpan w:val="2"/>
          </w:tcPr>
          <w:p>
            <w:pPr>
              <w:jc w:val="center"/>
              <w:ind w:right="260"/>
              <w:spacing w:after="0" w:line="135" w:lineRule="exact"/>
              <w:rPr>
                <w:sz w:val="20"/>
                <w:szCs w:val="20"/>
                <w:color w:val="auto"/>
              </w:rPr>
            </w:pPr>
            <w:r>
              <w:rPr>
                <w:rFonts w:ascii="Arial" w:cs="Arial" w:eastAsia="Arial" w:hAnsi="Arial"/>
                <w:sz w:val="13"/>
                <w:szCs w:val="13"/>
                <w:b w:val="1"/>
                <w:bCs w:val="1"/>
                <w:color w:val="auto"/>
                <w:w w:val="88"/>
              </w:rPr>
              <w:t>Unrealized</w:t>
            </w:r>
          </w:p>
        </w:tc>
        <w:tc>
          <w:tcPr>
            <w:tcW w:w="280" w:type="dxa"/>
            <w:vAlign w:val="bottom"/>
          </w:tcPr>
          <w:p>
            <w:pPr>
              <w:spacing w:after="0"/>
              <w:rPr>
                <w:sz w:val="11"/>
                <w:szCs w:val="11"/>
                <w:color w:val="auto"/>
              </w:rPr>
            </w:pPr>
          </w:p>
        </w:tc>
        <w:tc>
          <w:tcPr>
            <w:tcW w:w="700" w:type="dxa"/>
            <w:vAlign w:val="bottom"/>
            <w:gridSpan w:val="2"/>
          </w:tcPr>
          <w:p>
            <w:pPr>
              <w:jc w:val="center"/>
              <w:ind w:right="380"/>
              <w:spacing w:after="0" w:line="135" w:lineRule="exact"/>
              <w:rPr>
                <w:sz w:val="20"/>
                <w:szCs w:val="20"/>
                <w:color w:val="auto"/>
              </w:rPr>
            </w:pPr>
            <w:r>
              <w:rPr>
                <w:rFonts w:ascii="Arial" w:cs="Arial" w:eastAsia="Arial" w:hAnsi="Arial"/>
                <w:sz w:val="13"/>
                <w:szCs w:val="13"/>
                <w:b w:val="1"/>
                <w:bCs w:val="1"/>
                <w:color w:val="auto"/>
              </w:rPr>
              <w:t>Fair</w:t>
            </w:r>
          </w:p>
        </w:tc>
        <w:tc>
          <w:tcPr>
            <w:tcW w:w="560" w:type="dxa"/>
            <w:vAlign w:val="bottom"/>
          </w:tcPr>
          <w:p>
            <w:pPr>
              <w:jc w:val="right"/>
              <w:ind w:right="90"/>
              <w:spacing w:after="0" w:line="135" w:lineRule="exact"/>
              <w:rPr>
                <w:sz w:val="20"/>
                <w:szCs w:val="20"/>
                <w:color w:val="auto"/>
              </w:rPr>
            </w:pPr>
            <w:r>
              <w:rPr>
                <w:rFonts w:ascii="Arial" w:cs="Arial" w:eastAsia="Arial" w:hAnsi="Arial"/>
                <w:sz w:val="13"/>
                <w:szCs w:val="13"/>
                <w:b w:val="1"/>
                <w:bCs w:val="1"/>
                <w:color w:val="auto"/>
              </w:rPr>
              <w:t>% of</w:t>
            </w: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4"/>
        </w:trPr>
        <w:tc>
          <w:tcPr>
            <w:tcW w:w="90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85"/>
              </w:rPr>
              <w:t>Designation</w:t>
            </w:r>
          </w:p>
        </w:tc>
        <w:tc>
          <w:tcPr>
            <w:tcW w:w="2380" w:type="dxa"/>
            <w:vAlign w:val="bottom"/>
            <w:gridSpan w:val="2"/>
          </w:tcPr>
          <w:p>
            <w:pPr>
              <w:ind w:left="700"/>
              <w:spacing w:after="0"/>
              <w:rPr>
                <w:sz w:val="20"/>
                <w:szCs w:val="20"/>
                <w:color w:val="auto"/>
              </w:rPr>
            </w:pPr>
            <w:r>
              <w:rPr>
                <w:rFonts w:ascii="Arial" w:cs="Arial" w:eastAsia="Arial" w:hAnsi="Arial"/>
                <w:sz w:val="13"/>
                <w:szCs w:val="13"/>
                <w:b w:val="1"/>
                <w:bCs w:val="1"/>
                <w:color w:val="auto"/>
              </w:rPr>
              <w:t>NRSRO Rating</w:t>
            </w:r>
          </w:p>
        </w:tc>
        <w:tc>
          <w:tcPr>
            <w:tcW w:w="120" w:type="dxa"/>
            <w:vAlign w:val="bottom"/>
          </w:tcPr>
          <w:p>
            <w:pPr>
              <w:spacing w:after="0"/>
              <w:rPr>
                <w:sz w:val="15"/>
                <w:szCs w:val="15"/>
                <w:color w:val="auto"/>
              </w:rPr>
            </w:pPr>
          </w:p>
        </w:tc>
        <w:tc>
          <w:tcPr>
            <w:tcW w:w="92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82"/>
              </w:rPr>
              <w:t>Cost</w:t>
            </w:r>
          </w:p>
        </w:tc>
        <w:tc>
          <w:tcPr>
            <w:tcW w:w="100" w:type="dxa"/>
            <w:vAlign w:val="bottom"/>
          </w:tcPr>
          <w:p>
            <w:pPr>
              <w:spacing w:after="0"/>
              <w:rPr>
                <w:sz w:val="15"/>
                <w:szCs w:val="15"/>
                <w:color w:val="auto"/>
              </w:rPr>
            </w:pPr>
          </w:p>
        </w:tc>
        <w:tc>
          <w:tcPr>
            <w:tcW w:w="94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6"/>
              </w:rPr>
              <w:t>Gain (Loss)</w:t>
            </w:r>
          </w:p>
        </w:tc>
        <w:tc>
          <w:tcPr>
            <w:tcW w:w="120" w:type="dxa"/>
            <w:vAlign w:val="bottom"/>
          </w:tcPr>
          <w:p>
            <w:pPr>
              <w:spacing w:after="0"/>
              <w:rPr>
                <w:sz w:val="15"/>
                <w:szCs w:val="15"/>
                <w:color w:val="auto"/>
              </w:rPr>
            </w:pPr>
          </w:p>
        </w:tc>
        <w:tc>
          <w:tcPr>
            <w:tcW w:w="86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6"/>
              </w:rPr>
              <w:t>Value</w:t>
            </w:r>
          </w:p>
        </w:tc>
        <w:tc>
          <w:tcPr>
            <w:tcW w:w="660" w:type="dxa"/>
            <w:vAlign w:val="bottom"/>
          </w:tcPr>
          <w:p>
            <w:pPr>
              <w:jc w:val="right"/>
              <w:ind w:right="130"/>
              <w:spacing w:after="0"/>
              <w:rPr>
                <w:sz w:val="20"/>
                <w:szCs w:val="20"/>
                <w:color w:val="auto"/>
              </w:rPr>
            </w:pPr>
            <w:r>
              <w:rPr>
                <w:rFonts w:ascii="Arial" w:cs="Arial" w:eastAsia="Arial" w:hAnsi="Arial"/>
                <w:sz w:val="13"/>
                <w:szCs w:val="13"/>
                <w:b w:val="1"/>
                <w:bCs w:val="1"/>
                <w:color w:val="auto"/>
              </w:rPr>
              <w:t>Total</w:t>
            </w:r>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2"/>
              </w:rPr>
              <w:t>Cost</w:t>
            </w:r>
          </w:p>
        </w:tc>
        <w:tc>
          <w:tcPr>
            <w:tcW w:w="140" w:type="dxa"/>
            <w:vAlign w:val="bottom"/>
          </w:tcPr>
          <w:p>
            <w:pPr>
              <w:spacing w:after="0"/>
              <w:rPr>
                <w:sz w:val="15"/>
                <w:szCs w:val="15"/>
                <w:color w:val="auto"/>
              </w:rPr>
            </w:pPr>
          </w:p>
        </w:tc>
        <w:tc>
          <w:tcPr>
            <w:tcW w:w="96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86"/>
              </w:rPr>
              <w:t>Gain (Loss)</w:t>
            </w:r>
          </w:p>
        </w:tc>
        <w:tc>
          <w:tcPr>
            <w:tcW w:w="280" w:type="dxa"/>
            <w:vAlign w:val="bottom"/>
          </w:tcPr>
          <w:p>
            <w:pPr>
              <w:spacing w:after="0"/>
              <w:rPr>
                <w:sz w:val="15"/>
                <w:szCs w:val="15"/>
                <w:color w:val="auto"/>
              </w:rPr>
            </w:pPr>
          </w:p>
        </w:tc>
        <w:tc>
          <w:tcPr>
            <w:tcW w:w="700" w:type="dxa"/>
            <w:vAlign w:val="bottom"/>
            <w:gridSpan w:val="2"/>
          </w:tcPr>
          <w:p>
            <w:pPr>
              <w:jc w:val="center"/>
              <w:ind w:right="400"/>
              <w:spacing w:after="0"/>
              <w:rPr>
                <w:sz w:val="20"/>
                <w:szCs w:val="20"/>
                <w:color w:val="auto"/>
              </w:rPr>
            </w:pPr>
            <w:r>
              <w:rPr>
                <w:rFonts w:ascii="Arial" w:cs="Arial" w:eastAsia="Arial" w:hAnsi="Arial"/>
                <w:sz w:val="13"/>
                <w:szCs w:val="13"/>
                <w:b w:val="1"/>
                <w:bCs w:val="1"/>
                <w:color w:val="auto"/>
                <w:w w:val="86"/>
              </w:rPr>
              <w:t>Value</w:t>
            </w:r>
          </w:p>
        </w:tc>
        <w:tc>
          <w:tcPr>
            <w:tcW w:w="560" w:type="dxa"/>
            <w:vAlign w:val="bottom"/>
          </w:tcPr>
          <w:p>
            <w:pPr>
              <w:jc w:val="right"/>
              <w:ind w:right="70"/>
              <w:spacing w:after="0"/>
              <w:rPr>
                <w:sz w:val="20"/>
                <w:szCs w:val="20"/>
                <w:color w:val="auto"/>
              </w:rPr>
            </w:pPr>
            <w:r>
              <w:rPr>
                <w:rFonts w:ascii="Arial" w:cs="Arial" w:eastAsia="Arial" w:hAnsi="Arial"/>
                <w:sz w:val="13"/>
                <w:szCs w:val="13"/>
                <w:b w:val="1"/>
                <w:bCs w:val="1"/>
                <w:color w:val="auto"/>
              </w:rPr>
              <w:t>Total</w:t>
            </w: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9"/>
        </w:trPr>
        <w:tc>
          <w:tcPr>
            <w:tcW w:w="78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240" w:type="dxa"/>
            <w:vAlign w:val="bottom"/>
            <w:tcBorders>
              <w:top w:val="single" w:sz="8" w:color="auto"/>
            </w:tcBorders>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780" w:type="dxa"/>
            <w:vAlign w:val="bottom"/>
            <w:tcBorders>
              <w:top w:val="single" w:sz="8" w:color="auto"/>
            </w:tcBorders>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1920" w:type="dxa"/>
            <w:vAlign w:val="bottom"/>
            <w:tcBorders>
              <w:top w:val="single" w:sz="8" w:color="auto"/>
            </w:tcBorders>
            <w:gridSpan w:val="5"/>
          </w:tcPr>
          <w:p>
            <w:pPr>
              <w:ind w:left="180"/>
              <w:spacing w:after="0"/>
              <w:rPr>
                <w:sz w:val="20"/>
                <w:szCs w:val="20"/>
                <w:color w:val="auto"/>
              </w:rPr>
            </w:pPr>
            <w:r>
              <w:rPr>
                <w:rFonts w:ascii="Arial" w:cs="Arial" w:eastAsia="Arial" w:hAnsi="Arial"/>
                <w:sz w:val="13"/>
                <w:szCs w:val="13"/>
                <w:b w:val="1"/>
                <w:bCs w:val="1"/>
                <w:color w:val="auto"/>
              </w:rPr>
              <w:t>(Dollars in millions)</w:t>
            </w:r>
          </w:p>
        </w:tc>
        <w:tc>
          <w:tcPr>
            <w:tcW w:w="660" w:type="dxa"/>
            <w:vAlign w:val="bottom"/>
            <w:tcBorders>
              <w:top w:val="single" w:sz="8" w:color="auto"/>
            </w:tcBorders>
          </w:tcPr>
          <w:p>
            <w:pPr>
              <w:spacing w:after="0"/>
              <w:rPr>
                <w:sz w:val="21"/>
                <w:szCs w:val="21"/>
                <w:color w:val="auto"/>
              </w:rPr>
            </w:pPr>
          </w:p>
        </w:tc>
        <w:tc>
          <w:tcPr>
            <w:tcW w:w="32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76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1240" w:type="dxa"/>
            <w:vAlign w:val="bottom"/>
            <w:tcBorders>
              <w:top w:val="single" w:sz="8" w:color="auto"/>
            </w:tcBorders>
            <w:gridSpan w:val="3"/>
          </w:tcPr>
          <w:p>
            <w:pPr>
              <w:jc w:val="right"/>
              <w:spacing w:after="0"/>
              <w:rPr>
                <w:sz w:val="20"/>
                <w:szCs w:val="20"/>
                <w:color w:val="auto"/>
              </w:rPr>
            </w:pPr>
            <w:r>
              <w:rPr>
                <w:rFonts w:ascii="Arial" w:cs="Arial" w:eastAsia="Arial" w:hAnsi="Arial"/>
                <w:sz w:val="13"/>
                <w:szCs w:val="13"/>
                <w:b w:val="1"/>
                <w:bCs w:val="1"/>
                <w:color w:val="auto"/>
              </w:rPr>
              <w:t>(Dollars in millions)</w:t>
            </w:r>
          </w:p>
        </w:tc>
        <w:tc>
          <w:tcPr>
            <w:tcW w:w="60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560" w:type="dxa"/>
            <w:vAlign w:val="bottom"/>
            <w:tcBorders>
              <w:top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9"/>
        </w:trPr>
        <w:tc>
          <w:tcPr>
            <w:tcW w:w="7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76"/>
              </w:rPr>
              <w:t>1</w:t>
            </w:r>
          </w:p>
        </w:tc>
        <w:tc>
          <w:tcPr>
            <w:tcW w:w="120" w:type="dxa"/>
            <w:vAlign w:val="bottom"/>
            <w:shd w:val="clear" w:color="auto" w:fill="CCEEFF"/>
          </w:tcPr>
          <w:p>
            <w:pPr>
              <w:spacing w:after="0"/>
              <w:rPr>
                <w:sz w:val="17"/>
                <w:szCs w:val="17"/>
                <w:color w:val="auto"/>
              </w:rPr>
            </w:pPr>
          </w:p>
        </w:tc>
        <w:tc>
          <w:tcPr>
            <w:tcW w:w="2380" w:type="dxa"/>
            <w:vAlign w:val="bottom"/>
            <w:gridSpan w:val="2"/>
            <w:vMerge w:val="restart"/>
            <w:shd w:val="clear" w:color="auto" w:fill="CCEEFF"/>
          </w:tcPr>
          <w:p>
            <w:pPr>
              <w:ind w:left="20"/>
              <w:spacing w:after="0"/>
              <w:rPr>
                <w:sz w:val="20"/>
                <w:szCs w:val="20"/>
                <w:color w:val="auto"/>
              </w:rPr>
            </w:pPr>
            <w:r>
              <w:rPr>
                <w:rFonts w:ascii="Arial" w:cs="Arial" w:eastAsia="Arial" w:hAnsi="Arial"/>
                <w:sz w:val="14"/>
                <w:szCs w:val="14"/>
                <w:color w:val="auto"/>
              </w:rPr>
              <w:t>Aaa/Aa/A</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vMerge w:val="restart"/>
            <w:shd w:val="clear" w:color="auto" w:fill="CCEEFF"/>
          </w:tcPr>
          <w:p>
            <w:pPr>
              <w:jc w:val="right"/>
              <w:ind w:right="50"/>
              <w:spacing w:after="0"/>
              <w:rPr>
                <w:sz w:val="20"/>
                <w:szCs w:val="20"/>
                <w:color w:val="auto"/>
              </w:rPr>
            </w:pPr>
            <w:r>
              <w:rPr>
                <w:rFonts w:ascii="Arial" w:cs="Arial" w:eastAsia="Arial" w:hAnsi="Arial"/>
                <w:sz w:val="14"/>
                <w:szCs w:val="14"/>
                <w:color w:val="auto"/>
              </w:rPr>
              <w:t>41,461</w:t>
            </w:r>
          </w:p>
        </w:tc>
        <w:tc>
          <w:tcPr>
            <w:tcW w:w="140" w:type="dxa"/>
            <w:vAlign w:val="bottom"/>
            <w:shd w:val="clear" w:color="auto" w:fill="CCEEFF"/>
          </w:tcPr>
          <w:p>
            <w:pPr>
              <w:spacing w:after="0"/>
              <w:rPr>
                <w:sz w:val="17"/>
                <w:szCs w:val="17"/>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vMerge w:val="restart"/>
            <w:shd w:val="clear" w:color="auto" w:fill="CCEEFF"/>
          </w:tcPr>
          <w:p>
            <w:pPr>
              <w:jc w:val="right"/>
              <w:ind w:right="51"/>
              <w:spacing w:after="0"/>
              <w:rPr>
                <w:sz w:val="20"/>
                <w:szCs w:val="20"/>
                <w:color w:val="auto"/>
              </w:rPr>
            </w:pPr>
            <w:r>
              <w:rPr>
                <w:rFonts w:ascii="Arial" w:cs="Arial" w:eastAsia="Arial" w:hAnsi="Arial"/>
                <w:sz w:val="14"/>
                <w:szCs w:val="14"/>
                <w:color w:val="auto"/>
              </w:rPr>
              <w:t>3,287</w:t>
            </w:r>
          </w:p>
        </w:tc>
        <w:tc>
          <w:tcPr>
            <w:tcW w:w="140" w:type="dxa"/>
            <w:vAlign w:val="bottom"/>
            <w:shd w:val="clear" w:color="auto" w:fill="CCEEFF"/>
          </w:tcPr>
          <w:p>
            <w:pPr>
              <w:spacing w:after="0"/>
              <w:rPr>
                <w:sz w:val="17"/>
                <w:szCs w:val="17"/>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vMerge w:val="restart"/>
            <w:shd w:val="clear" w:color="auto" w:fill="CCEEFF"/>
          </w:tcPr>
          <w:p>
            <w:pPr>
              <w:jc w:val="right"/>
              <w:ind w:right="30"/>
              <w:spacing w:after="0"/>
              <w:rPr>
                <w:sz w:val="20"/>
                <w:szCs w:val="20"/>
                <w:color w:val="auto"/>
              </w:rPr>
            </w:pPr>
            <w:r>
              <w:rPr>
                <w:rFonts w:ascii="Arial" w:cs="Arial" w:eastAsia="Arial" w:hAnsi="Arial"/>
                <w:sz w:val="14"/>
                <w:szCs w:val="14"/>
                <w:color w:val="auto"/>
              </w:rPr>
              <w:t>44,748</w:t>
            </w:r>
          </w:p>
        </w:tc>
        <w:tc>
          <w:tcPr>
            <w:tcW w:w="120" w:type="dxa"/>
            <w:vAlign w:val="bottom"/>
            <w:shd w:val="clear" w:color="auto" w:fill="CCEEFF"/>
          </w:tcPr>
          <w:p>
            <w:pPr>
              <w:spacing w:after="0"/>
              <w:rPr>
                <w:sz w:val="17"/>
                <w:szCs w:val="17"/>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70.4</w:t>
            </w:r>
          </w:p>
        </w:tc>
        <w:tc>
          <w:tcPr>
            <w:tcW w:w="320" w:type="dxa"/>
            <w:vAlign w:val="bottom"/>
            <w:vMerge w:val="restart"/>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vMerge w:val="restart"/>
            <w:shd w:val="clear" w:color="auto" w:fill="CCEEFF"/>
          </w:tcPr>
          <w:p>
            <w:pPr>
              <w:jc w:val="right"/>
              <w:ind w:right="50"/>
              <w:spacing w:after="0"/>
              <w:rPr>
                <w:sz w:val="20"/>
                <w:szCs w:val="20"/>
                <w:color w:val="auto"/>
              </w:rPr>
            </w:pPr>
            <w:r>
              <w:rPr>
                <w:rFonts w:ascii="Arial" w:cs="Arial" w:eastAsia="Arial" w:hAnsi="Arial"/>
                <w:sz w:val="14"/>
                <w:szCs w:val="14"/>
                <w:color w:val="auto"/>
              </w:rPr>
              <w:t>41,070</w:t>
            </w:r>
          </w:p>
        </w:tc>
        <w:tc>
          <w:tcPr>
            <w:tcW w:w="100" w:type="dxa"/>
            <w:vAlign w:val="bottom"/>
            <w:shd w:val="clear" w:color="auto" w:fill="CCEEFF"/>
          </w:tcPr>
          <w:p>
            <w:pPr>
              <w:spacing w:after="0"/>
              <w:rPr>
                <w:sz w:val="17"/>
                <w:szCs w:val="17"/>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vMerge w:val="restart"/>
            <w:shd w:val="clear" w:color="auto" w:fill="CCEEFF"/>
          </w:tcPr>
          <w:p>
            <w:pPr>
              <w:jc w:val="right"/>
              <w:ind w:right="51"/>
              <w:spacing w:after="0"/>
              <w:rPr>
                <w:sz w:val="20"/>
                <w:szCs w:val="20"/>
                <w:color w:val="auto"/>
              </w:rPr>
            </w:pPr>
            <w:r>
              <w:rPr>
                <w:rFonts w:ascii="Arial" w:cs="Arial" w:eastAsia="Arial" w:hAnsi="Arial"/>
                <w:sz w:val="14"/>
                <w:szCs w:val="14"/>
                <w:color w:val="auto"/>
              </w:rPr>
              <w:t>2,112</w:t>
            </w:r>
          </w:p>
        </w:tc>
        <w:tc>
          <w:tcPr>
            <w:tcW w:w="100" w:type="dxa"/>
            <w:vAlign w:val="bottom"/>
            <w:shd w:val="clear" w:color="auto" w:fill="CCEEFF"/>
          </w:tcPr>
          <w:p>
            <w:pPr>
              <w:spacing w:after="0"/>
              <w:rPr>
                <w:sz w:val="17"/>
                <w:szCs w:val="17"/>
                <w:color w:val="auto"/>
              </w:rPr>
            </w:pPr>
          </w:p>
        </w:tc>
        <w:tc>
          <w:tcPr>
            <w:tcW w:w="280" w:type="dxa"/>
            <w:vAlign w:val="bottom"/>
            <w:vMerge w:val="restart"/>
            <w:shd w:val="clear" w:color="auto" w:fill="CCEEFF"/>
          </w:tcPr>
          <w:p>
            <w:pPr>
              <w:jc w:val="right"/>
              <w:ind w:right="111"/>
              <w:spacing w:after="0"/>
              <w:rPr>
                <w:sz w:val="20"/>
                <w:szCs w:val="20"/>
                <w:color w:val="auto"/>
              </w:rPr>
            </w:pPr>
            <w:r>
              <w:rPr>
                <w:rFonts w:ascii="Arial" w:cs="Arial" w:eastAsia="Arial" w:hAnsi="Arial"/>
                <w:sz w:val="14"/>
                <w:szCs w:val="14"/>
                <w:color w:val="auto"/>
              </w:rPr>
              <w:t>$</w:t>
            </w:r>
          </w:p>
        </w:tc>
        <w:tc>
          <w:tcPr>
            <w:tcW w:w="600" w:type="dxa"/>
            <w:vAlign w:val="bottom"/>
            <w:vMerge w:val="restart"/>
            <w:shd w:val="clear" w:color="auto" w:fill="CCEEFF"/>
          </w:tcPr>
          <w:p>
            <w:pPr>
              <w:jc w:val="right"/>
              <w:ind w:right="50"/>
              <w:spacing w:after="0"/>
              <w:rPr>
                <w:sz w:val="20"/>
                <w:szCs w:val="20"/>
                <w:color w:val="auto"/>
              </w:rPr>
            </w:pPr>
            <w:r>
              <w:rPr>
                <w:rFonts w:ascii="Arial" w:cs="Arial" w:eastAsia="Arial" w:hAnsi="Arial"/>
                <w:sz w:val="14"/>
                <w:szCs w:val="14"/>
                <w:color w:val="auto"/>
              </w:rPr>
              <w:t>43,182</w:t>
            </w:r>
          </w:p>
        </w:tc>
        <w:tc>
          <w:tcPr>
            <w:tcW w:w="100" w:type="dxa"/>
            <w:vAlign w:val="bottom"/>
            <w:shd w:val="clear" w:color="auto" w:fill="CCEEFF"/>
          </w:tcPr>
          <w:p>
            <w:pPr>
              <w:spacing w:after="0"/>
              <w:rPr>
                <w:sz w:val="17"/>
                <w:szCs w:val="17"/>
                <w:color w:val="auto"/>
              </w:rPr>
            </w:pP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70.3</w:t>
            </w:r>
          </w:p>
        </w:tc>
        <w:tc>
          <w:tcPr>
            <w:tcW w:w="2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80"/>
        </w:trPr>
        <w:tc>
          <w:tcPr>
            <w:tcW w:w="78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380" w:type="dxa"/>
            <w:vAlign w:val="bottom"/>
            <w:gridSpan w:val="2"/>
            <w:vMerge w:val="continue"/>
            <w:shd w:val="clear" w:color="auto" w:fill="CCEEFF"/>
          </w:tcPr>
          <w:p>
            <w:pPr>
              <w:spacing w:after="0"/>
              <w:rPr>
                <w:sz w:val="6"/>
                <w:szCs w:val="6"/>
                <w:color w:val="auto"/>
              </w:rPr>
            </w:pPr>
          </w:p>
        </w:tc>
        <w:tc>
          <w:tcPr>
            <w:tcW w:w="120" w:type="dxa"/>
            <w:vAlign w:val="bottom"/>
            <w:vMerge w:val="continue"/>
            <w:shd w:val="clear" w:color="auto" w:fill="CCEEFF"/>
          </w:tcPr>
          <w:p>
            <w:pPr>
              <w:spacing w:after="0"/>
              <w:rPr>
                <w:sz w:val="6"/>
                <w:szCs w:val="6"/>
                <w:color w:val="auto"/>
              </w:rPr>
            </w:pPr>
          </w:p>
        </w:tc>
        <w:tc>
          <w:tcPr>
            <w:tcW w:w="780" w:type="dxa"/>
            <w:vAlign w:val="bottom"/>
            <w:vMerge w:val="continue"/>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00" w:type="dxa"/>
            <w:vAlign w:val="bottom"/>
            <w:vMerge w:val="continue"/>
            <w:shd w:val="clear" w:color="auto" w:fill="CCEEFF"/>
          </w:tcPr>
          <w:p>
            <w:pPr>
              <w:spacing w:after="0"/>
              <w:rPr>
                <w:sz w:val="6"/>
                <w:szCs w:val="6"/>
                <w:color w:val="auto"/>
              </w:rPr>
            </w:pPr>
          </w:p>
        </w:tc>
        <w:tc>
          <w:tcPr>
            <w:tcW w:w="800" w:type="dxa"/>
            <w:vAlign w:val="bottom"/>
            <w:vMerge w:val="continue"/>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20" w:type="dxa"/>
            <w:vAlign w:val="bottom"/>
            <w:vMerge w:val="continue"/>
            <w:shd w:val="clear" w:color="auto" w:fill="CCEEFF"/>
          </w:tcPr>
          <w:p>
            <w:pPr>
              <w:spacing w:after="0"/>
              <w:rPr>
                <w:sz w:val="6"/>
                <w:szCs w:val="6"/>
                <w:color w:val="auto"/>
              </w:rPr>
            </w:pPr>
          </w:p>
        </w:tc>
        <w:tc>
          <w:tcPr>
            <w:tcW w:w="74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660" w:type="dxa"/>
            <w:vAlign w:val="bottom"/>
            <w:vMerge w:val="continue"/>
            <w:shd w:val="clear" w:color="auto" w:fill="CCEEFF"/>
          </w:tcPr>
          <w:p>
            <w:pPr>
              <w:spacing w:after="0"/>
              <w:rPr>
                <w:sz w:val="6"/>
                <w:szCs w:val="6"/>
                <w:color w:val="auto"/>
              </w:rPr>
            </w:pPr>
          </w:p>
        </w:tc>
        <w:tc>
          <w:tcPr>
            <w:tcW w:w="320" w:type="dxa"/>
            <w:vAlign w:val="bottom"/>
            <w:vMerge w:val="continue"/>
            <w:shd w:val="clear" w:color="auto" w:fill="CCEEFF"/>
          </w:tcPr>
          <w:p>
            <w:pPr>
              <w:spacing w:after="0"/>
              <w:rPr>
                <w:sz w:val="6"/>
                <w:szCs w:val="6"/>
                <w:color w:val="auto"/>
              </w:rPr>
            </w:pPr>
          </w:p>
        </w:tc>
        <w:tc>
          <w:tcPr>
            <w:tcW w:w="120" w:type="dxa"/>
            <w:vAlign w:val="bottom"/>
            <w:vMerge w:val="continue"/>
            <w:shd w:val="clear" w:color="auto" w:fill="CCEEFF"/>
          </w:tcPr>
          <w:p>
            <w:pPr>
              <w:spacing w:after="0"/>
              <w:rPr>
                <w:sz w:val="6"/>
                <w:szCs w:val="6"/>
                <w:color w:val="auto"/>
              </w:rPr>
            </w:pPr>
          </w:p>
        </w:tc>
        <w:tc>
          <w:tcPr>
            <w:tcW w:w="76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 w:type="dxa"/>
            <w:vAlign w:val="bottom"/>
            <w:vMerge w:val="continue"/>
            <w:shd w:val="clear" w:color="auto" w:fill="CCEEFF"/>
          </w:tcPr>
          <w:p>
            <w:pPr>
              <w:spacing w:after="0"/>
              <w:rPr>
                <w:sz w:val="6"/>
                <w:szCs w:val="6"/>
                <w:color w:val="auto"/>
              </w:rPr>
            </w:pPr>
          </w:p>
        </w:tc>
        <w:tc>
          <w:tcPr>
            <w:tcW w:w="86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80" w:type="dxa"/>
            <w:vAlign w:val="bottom"/>
            <w:vMerge w:val="continue"/>
            <w:shd w:val="clear" w:color="auto" w:fill="CCEEFF"/>
          </w:tcPr>
          <w:p>
            <w:pPr>
              <w:spacing w:after="0"/>
              <w:rPr>
                <w:sz w:val="6"/>
                <w:szCs w:val="6"/>
                <w:color w:val="auto"/>
              </w:rPr>
            </w:pPr>
          </w:p>
        </w:tc>
        <w:tc>
          <w:tcPr>
            <w:tcW w:w="60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560" w:type="dxa"/>
            <w:vAlign w:val="bottom"/>
            <w:vMerge w:val="continue"/>
            <w:shd w:val="clear" w:color="auto" w:fill="CCEEFF"/>
          </w:tcPr>
          <w:p>
            <w:pPr>
              <w:spacing w:after="0"/>
              <w:rPr>
                <w:sz w:val="6"/>
                <w:szCs w:val="6"/>
                <w:color w:val="auto"/>
              </w:rPr>
            </w:pPr>
          </w:p>
        </w:tc>
        <w:tc>
          <w:tcPr>
            <w:tcW w:w="22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780" w:type="dxa"/>
            <w:vAlign w:val="bottom"/>
          </w:tcPr>
          <w:p>
            <w:pPr>
              <w:jc w:val="center"/>
              <w:spacing w:after="0"/>
              <w:rPr>
                <w:sz w:val="20"/>
                <w:szCs w:val="20"/>
                <w:color w:val="auto"/>
              </w:rPr>
            </w:pPr>
            <w:r>
              <w:rPr>
                <w:rFonts w:ascii="Arial" w:cs="Arial" w:eastAsia="Arial" w:hAnsi="Arial"/>
                <w:sz w:val="14"/>
                <w:szCs w:val="14"/>
                <w:color w:val="auto"/>
                <w:w w:val="76"/>
              </w:rPr>
              <w:t>2</w:t>
            </w:r>
          </w:p>
        </w:tc>
        <w:tc>
          <w:tcPr>
            <w:tcW w:w="120" w:type="dxa"/>
            <w:vAlign w:val="bottom"/>
          </w:tcPr>
          <w:p>
            <w:pPr>
              <w:spacing w:after="0"/>
              <w:rPr>
                <w:sz w:val="16"/>
                <w:szCs w:val="16"/>
                <w:color w:val="auto"/>
              </w:rPr>
            </w:pPr>
          </w:p>
        </w:tc>
        <w:tc>
          <w:tcPr>
            <w:tcW w:w="2380" w:type="dxa"/>
            <w:vAlign w:val="bottom"/>
            <w:gridSpan w:val="2"/>
            <w:vMerge w:val="restart"/>
          </w:tcPr>
          <w:p>
            <w:pPr>
              <w:ind w:left="20"/>
              <w:spacing w:after="0"/>
              <w:rPr>
                <w:sz w:val="20"/>
                <w:szCs w:val="20"/>
                <w:color w:val="auto"/>
              </w:rPr>
            </w:pPr>
            <w:r>
              <w:rPr>
                <w:rFonts w:ascii="Arial" w:cs="Arial" w:eastAsia="Arial" w:hAnsi="Arial"/>
                <w:sz w:val="14"/>
                <w:szCs w:val="14"/>
                <w:color w:val="auto"/>
              </w:rPr>
              <w:t>Baa</w:t>
            </w:r>
          </w:p>
        </w:tc>
        <w:tc>
          <w:tcPr>
            <w:tcW w:w="120" w:type="dxa"/>
            <w:vAlign w:val="bottom"/>
          </w:tcPr>
          <w:p>
            <w:pPr>
              <w:spacing w:after="0"/>
              <w:rPr>
                <w:sz w:val="16"/>
                <w:szCs w:val="16"/>
                <w:color w:val="auto"/>
              </w:rPr>
            </w:pPr>
          </w:p>
        </w:tc>
        <w:tc>
          <w:tcPr>
            <w:tcW w:w="780" w:type="dxa"/>
            <w:vAlign w:val="bottom"/>
            <w:vMerge w:val="restart"/>
          </w:tcPr>
          <w:p>
            <w:pPr>
              <w:jc w:val="right"/>
              <w:ind w:right="50"/>
              <w:spacing w:after="0"/>
              <w:rPr>
                <w:sz w:val="20"/>
                <w:szCs w:val="20"/>
                <w:color w:val="auto"/>
              </w:rPr>
            </w:pPr>
            <w:r>
              <w:rPr>
                <w:rFonts w:ascii="Arial" w:cs="Arial" w:eastAsia="Arial" w:hAnsi="Arial"/>
                <w:sz w:val="14"/>
                <w:szCs w:val="14"/>
                <w:color w:val="auto"/>
              </w:rPr>
              <w:t>14,921</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vMerge w:val="restart"/>
          </w:tcPr>
          <w:p>
            <w:pPr>
              <w:jc w:val="right"/>
              <w:ind w:right="51"/>
              <w:spacing w:after="0"/>
              <w:rPr>
                <w:sz w:val="20"/>
                <w:szCs w:val="20"/>
                <w:color w:val="auto"/>
              </w:rPr>
            </w:pPr>
            <w:r>
              <w:rPr>
                <w:rFonts w:ascii="Arial" w:cs="Arial" w:eastAsia="Arial" w:hAnsi="Arial"/>
                <w:sz w:val="14"/>
                <w:szCs w:val="14"/>
                <w:color w:val="auto"/>
              </w:rPr>
              <w:t>1,062</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vMerge w:val="restart"/>
          </w:tcPr>
          <w:p>
            <w:pPr>
              <w:jc w:val="right"/>
              <w:ind w:right="30"/>
              <w:spacing w:after="0"/>
              <w:rPr>
                <w:sz w:val="20"/>
                <w:szCs w:val="20"/>
                <w:color w:val="auto"/>
              </w:rPr>
            </w:pPr>
            <w:r>
              <w:rPr>
                <w:rFonts w:ascii="Arial" w:cs="Arial" w:eastAsia="Arial" w:hAnsi="Arial"/>
                <w:sz w:val="14"/>
                <w:szCs w:val="14"/>
                <w:color w:val="auto"/>
              </w:rPr>
              <w:t>15,983</w:t>
            </w:r>
          </w:p>
        </w:tc>
        <w:tc>
          <w:tcPr>
            <w:tcW w:w="120" w:type="dxa"/>
            <w:vAlign w:val="bottom"/>
          </w:tcPr>
          <w:p>
            <w:pPr>
              <w:spacing w:after="0"/>
              <w:rPr>
                <w:sz w:val="16"/>
                <w:szCs w:val="16"/>
                <w:color w:val="auto"/>
              </w:rPr>
            </w:pPr>
          </w:p>
        </w:tc>
        <w:tc>
          <w:tcPr>
            <w:tcW w:w="660" w:type="dxa"/>
            <w:vAlign w:val="bottom"/>
            <w:vMerge w:val="restart"/>
          </w:tcPr>
          <w:p>
            <w:pPr>
              <w:jc w:val="right"/>
              <w:spacing w:after="0"/>
              <w:rPr>
                <w:sz w:val="20"/>
                <w:szCs w:val="20"/>
                <w:color w:val="auto"/>
              </w:rPr>
            </w:pPr>
            <w:r>
              <w:rPr>
                <w:rFonts w:ascii="Arial" w:cs="Arial" w:eastAsia="Arial" w:hAnsi="Arial"/>
                <w:sz w:val="14"/>
                <w:szCs w:val="14"/>
                <w:color w:val="auto"/>
              </w:rPr>
              <w:t>25.1</w:t>
            </w: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vMerge w:val="restart"/>
          </w:tcPr>
          <w:p>
            <w:pPr>
              <w:jc w:val="right"/>
              <w:ind w:right="50"/>
              <w:spacing w:after="0"/>
              <w:rPr>
                <w:sz w:val="20"/>
                <w:szCs w:val="20"/>
                <w:color w:val="auto"/>
              </w:rPr>
            </w:pPr>
            <w:r>
              <w:rPr>
                <w:rFonts w:ascii="Arial" w:cs="Arial" w:eastAsia="Arial" w:hAnsi="Arial"/>
                <w:sz w:val="14"/>
                <w:szCs w:val="14"/>
                <w:color w:val="auto"/>
              </w:rPr>
              <w:t>14,730</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vMerge w:val="restart"/>
          </w:tcPr>
          <w:p>
            <w:pPr>
              <w:jc w:val="right"/>
              <w:ind w:right="51"/>
              <w:spacing w:after="0"/>
              <w:rPr>
                <w:sz w:val="20"/>
                <w:szCs w:val="20"/>
                <w:color w:val="auto"/>
              </w:rPr>
            </w:pPr>
            <w:r>
              <w:rPr>
                <w:rFonts w:ascii="Arial" w:cs="Arial" w:eastAsia="Arial" w:hAnsi="Arial"/>
                <w:sz w:val="14"/>
                <w:szCs w:val="14"/>
                <w:color w:val="auto"/>
              </w:rPr>
              <w:t>547</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00" w:type="dxa"/>
            <w:vAlign w:val="bottom"/>
            <w:vMerge w:val="restart"/>
          </w:tcPr>
          <w:p>
            <w:pPr>
              <w:jc w:val="right"/>
              <w:ind w:right="50"/>
              <w:spacing w:after="0"/>
              <w:rPr>
                <w:sz w:val="20"/>
                <w:szCs w:val="20"/>
                <w:color w:val="auto"/>
              </w:rPr>
            </w:pPr>
            <w:r>
              <w:rPr>
                <w:rFonts w:ascii="Arial" w:cs="Arial" w:eastAsia="Arial" w:hAnsi="Arial"/>
                <w:sz w:val="14"/>
                <w:szCs w:val="14"/>
                <w:color w:val="auto"/>
              </w:rPr>
              <w:t>15,277</w:t>
            </w:r>
          </w:p>
        </w:tc>
        <w:tc>
          <w:tcPr>
            <w:tcW w:w="100" w:type="dxa"/>
            <w:vAlign w:val="bottom"/>
          </w:tcPr>
          <w:p>
            <w:pPr>
              <w:spacing w:after="0"/>
              <w:rPr>
                <w:sz w:val="16"/>
                <w:szCs w:val="16"/>
                <w:color w:val="auto"/>
              </w:rPr>
            </w:pPr>
          </w:p>
        </w:tc>
        <w:tc>
          <w:tcPr>
            <w:tcW w:w="560" w:type="dxa"/>
            <w:vAlign w:val="bottom"/>
            <w:vMerge w:val="restart"/>
          </w:tcPr>
          <w:p>
            <w:pPr>
              <w:jc w:val="right"/>
              <w:spacing w:after="0"/>
              <w:rPr>
                <w:sz w:val="20"/>
                <w:szCs w:val="20"/>
                <w:color w:val="auto"/>
              </w:rPr>
            </w:pPr>
            <w:r>
              <w:rPr>
                <w:rFonts w:ascii="Arial" w:cs="Arial" w:eastAsia="Arial" w:hAnsi="Arial"/>
                <w:sz w:val="14"/>
                <w:szCs w:val="14"/>
                <w:color w:val="auto"/>
              </w:rPr>
              <w:t>24.9</w:t>
            </w: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4"/>
        </w:trPr>
        <w:tc>
          <w:tcPr>
            <w:tcW w:w="780" w:type="dxa"/>
            <w:vAlign w:val="bottom"/>
            <w:tcBorders>
              <w:bottom w:val="single" w:sz="8" w:color="CCEEFF"/>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2380" w:type="dxa"/>
            <w:vAlign w:val="bottom"/>
            <w:tcBorders>
              <w:bottom w:val="single" w:sz="8" w:color="CCEEFF"/>
            </w:tcBorders>
            <w:gridSpan w:val="2"/>
            <w:vMerge w:val="continue"/>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780" w:type="dxa"/>
            <w:vAlign w:val="bottom"/>
            <w:tcBorders>
              <w:bottom w:val="single" w:sz="8" w:color="auto"/>
            </w:tcBorders>
            <w:vMerge w:val="continue"/>
          </w:tcPr>
          <w:p>
            <w:pPr>
              <w:spacing w:after="0"/>
              <w:rPr>
                <w:sz w:val="6"/>
                <w:szCs w:val="6"/>
                <w:color w:val="auto"/>
              </w:rPr>
            </w:pPr>
          </w:p>
        </w:tc>
        <w:tc>
          <w:tcPr>
            <w:tcW w:w="140" w:type="dxa"/>
            <w:vAlign w:val="bottom"/>
            <w:tcBorders>
              <w:bottom w:val="single" w:sz="8" w:color="CCEEFF"/>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800" w:type="dxa"/>
            <w:vAlign w:val="bottom"/>
            <w:tcBorders>
              <w:bottom w:val="single" w:sz="8" w:color="auto"/>
            </w:tcBorders>
            <w:vMerge w:val="continue"/>
          </w:tcPr>
          <w:p>
            <w:pPr>
              <w:spacing w:after="0"/>
              <w:rPr>
                <w:sz w:val="6"/>
                <w:szCs w:val="6"/>
                <w:color w:val="auto"/>
              </w:rPr>
            </w:pPr>
          </w:p>
        </w:tc>
        <w:tc>
          <w:tcPr>
            <w:tcW w:w="140" w:type="dxa"/>
            <w:vAlign w:val="bottom"/>
            <w:tcBorders>
              <w:bottom w:val="single" w:sz="8" w:color="CCEEFF"/>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74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660" w:type="dxa"/>
            <w:vAlign w:val="bottom"/>
            <w:tcBorders>
              <w:bottom w:val="single" w:sz="8" w:color="auto"/>
            </w:tcBorders>
            <w:vMerge w:val="continue"/>
          </w:tcPr>
          <w:p>
            <w:pPr>
              <w:spacing w:after="0"/>
              <w:rPr>
                <w:sz w:val="6"/>
                <w:szCs w:val="6"/>
                <w:color w:val="auto"/>
              </w:rPr>
            </w:pPr>
          </w:p>
        </w:tc>
        <w:tc>
          <w:tcPr>
            <w:tcW w:w="320" w:type="dxa"/>
            <w:vAlign w:val="bottom"/>
            <w:tcBorders>
              <w:bottom w:val="single" w:sz="8" w:color="CCEEFF"/>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76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86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60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560" w:type="dxa"/>
            <w:vAlign w:val="bottom"/>
            <w:tcBorders>
              <w:bottom w:val="single" w:sz="8" w:color="auto"/>
            </w:tcBorders>
            <w:vMerge w:val="continue"/>
          </w:tcPr>
          <w:p>
            <w:pPr>
              <w:spacing w:after="0"/>
              <w:rPr>
                <w:sz w:val="6"/>
                <w:szCs w:val="6"/>
                <w:color w:val="auto"/>
              </w:rPr>
            </w:pPr>
          </w:p>
        </w:tc>
        <w:tc>
          <w:tcPr>
            <w:tcW w:w="220" w:type="dxa"/>
            <w:vAlign w:val="bottom"/>
            <w:tcBorders>
              <w:bottom w:val="single" w:sz="8" w:color="CCEEFF"/>
            </w:tcBorders>
          </w:tcPr>
          <w:p>
            <w:pPr>
              <w:spacing w:after="0"/>
              <w:rPr>
                <w:sz w:val="6"/>
                <w:szCs w:val="6"/>
                <w:color w:val="auto"/>
              </w:rPr>
            </w:pPr>
          </w:p>
        </w:tc>
        <w:tc>
          <w:tcPr>
            <w:tcW w:w="0" w:type="dxa"/>
            <w:vAlign w:val="bottom"/>
          </w:tcPr>
          <w:p>
            <w:pPr>
              <w:spacing w:after="0"/>
              <w:rPr>
                <w:sz w:val="1"/>
                <w:szCs w:val="1"/>
                <w:color w:val="auto"/>
              </w:rPr>
            </w:pPr>
          </w:p>
        </w:tc>
      </w:tr>
      <w:tr>
        <w:trPr>
          <w:trHeight w:val="256"/>
        </w:trPr>
        <w:tc>
          <w:tcPr>
            <w:tcW w:w="3280" w:type="dxa"/>
            <w:vAlign w:val="bottom"/>
            <w:gridSpan w:val="4"/>
            <w:shd w:val="clear" w:color="auto" w:fill="CCEEFF"/>
          </w:tcPr>
          <w:p>
            <w:pPr>
              <w:ind w:left="180"/>
              <w:spacing w:after="0"/>
              <w:rPr>
                <w:sz w:val="20"/>
                <w:szCs w:val="20"/>
                <w:color w:val="auto"/>
              </w:rPr>
            </w:pPr>
            <w:r>
              <w:rPr>
                <w:rFonts w:ascii="Arial" w:cs="Arial" w:eastAsia="Arial" w:hAnsi="Arial"/>
                <w:sz w:val="14"/>
                <w:szCs w:val="14"/>
                <w:color w:val="auto"/>
              </w:rPr>
              <w:t>Subtotal investment grade</w:t>
            </w:r>
          </w:p>
        </w:tc>
        <w:tc>
          <w:tcPr>
            <w:tcW w:w="120" w:type="dxa"/>
            <w:vAlign w:val="bottom"/>
            <w:shd w:val="clear" w:color="auto" w:fill="CCEEFF"/>
          </w:tcPr>
          <w:p>
            <w:pPr>
              <w:spacing w:after="0"/>
              <w:rPr>
                <w:sz w:val="22"/>
                <w:szCs w:val="22"/>
                <w:color w:val="auto"/>
              </w:rPr>
            </w:pPr>
          </w:p>
        </w:tc>
        <w:tc>
          <w:tcPr>
            <w:tcW w:w="78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56,382</w:t>
            </w:r>
          </w:p>
        </w:tc>
        <w:tc>
          <w:tcPr>
            <w:tcW w:w="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80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rPr>
              <w:t>4,349</w:t>
            </w:r>
          </w:p>
        </w:tc>
        <w:tc>
          <w:tcPr>
            <w:tcW w:w="1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74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60,731</w:t>
            </w:r>
          </w:p>
        </w:tc>
        <w:tc>
          <w:tcPr>
            <w:tcW w:w="120" w:type="dxa"/>
            <w:vAlign w:val="bottom"/>
            <w:shd w:val="clear" w:color="auto" w:fill="CCEEFF"/>
          </w:tcPr>
          <w:p>
            <w:pPr>
              <w:spacing w:after="0"/>
              <w:rPr>
                <w:sz w:val="22"/>
                <w:szCs w:val="2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95.5</w:t>
            </w:r>
          </w:p>
        </w:tc>
        <w:tc>
          <w:tcPr>
            <w:tcW w:w="3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76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55,800</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86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rPr>
              <w:t>2,659</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60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58,459</w:t>
            </w:r>
          </w:p>
        </w:tc>
        <w:tc>
          <w:tcPr>
            <w:tcW w:w="100" w:type="dxa"/>
            <w:vAlign w:val="bottom"/>
            <w:shd w:val="clear" w:color="auto" w:fill="CCEEFF"/>
          </w:tcPr>
          <w:p>
            <w:pPr>
              <w:spacing w:after="0"/>
              <w:rPr>
                <w:sz w:val="22"/>
                <w:szCs w:val="22"/>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95.2</w:t>
            </w:r>
          </w:p>
        </w:tc>
        <w:tc>
          <w:tcPr>
            <w:tcW w:w="2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91"/>
        </w:trPr>
        <w:tc>
          <w:tcPr>
            <w:tcW w:w="780" w:type="dxa"/>
            <w:vAlign w:val="bottom"/>
          </w:tcPr>
          <w:p>
            <w:pPr>
              <w:jc w:val="center"/>
              <w:spacing w:after="0"/>
              <w:rPr>
                <w:sz w:val="20"/>
                <w:szCs w:val="20"/>
                <w:color w:val="auto"/>
              </w:rPr>
            </w:pPr>
            <w:r>
              <w:rPr>
                <w:rFonts w:ascii="Arial" w:cs="Arial" w:eastAsia="Arial" w:hAnsi="Arial"/>
                <w:sz w:val="14"/>
                <w:szCs w:val="14"/>
                <w:color w:val="auto"/>
                <w:w w:val="76"/>
              </w:rPr>
              <w:t>3</w:t>
            </w:r>
          </w:p>
        </w:tc>
        <w:tc>
          <w:tcPr>
            <w:tcW w:w="120" w:type="dxa"/>
            <w:vAlign w:val="bottom"/>
          </w:tcPr>
          <w:p>
            <w:pPr>
              <w:spacing w:after="0"/>
              <w:rPr>
                <w:sz w:val="16"/>
                <w:szCs w:val="16"/>
                <w:color w:val="auto"/>
              </w:rPr>
            </w:pPr>
          </w:p>
        </w:tc>
        <w:tc>
          <w:tcPr>
            <w:tcW w:w="2380" w:type="dxa"/>
            <w:vAlign w:val="bottom"/>
            <w:gridSpan w:val="2"/>
            <w:vMerge w:val="restart"/>
          </w:tcPr>
          <w:p>
            <w:pPr>
              <w:ind w:left="20"/>
              <w:spacing w:after="0"/>
              <w:rPr>
                <w:sz w:val="20"/>
                <w:szCs w:val="20"/>
                <w:color w:val="auto"/>
              </w:rPr>
            </w:pPr>
            <w:r>
              <w:rPr>
                <w:rFonts w:ascii="Arial" w:cs="Arial" w:eastAsia="Arial" w:hAnsi="Arial"/>
                <w:sz w:val="14"/>
                <w:szCs w:val="14"/>
                <w:color w:val="auto"/>
              </w:rPr>
              <w:t>Ba</w:t>
            </w:r>
          </w:p>
        </w:tc>
        <w:tc>
          <w:tcPr>
            <w:tcW w:w="120" w:type="dxa"/>
            <w:vAlign w:val="bottom"/>
          </w:tcPr>
          <w:p>
            <w:pPr>
              <w:spacing w:after="0"/>
              <w:rPr>
                <w:sz w:val="16"/>
                <w:szCs w:val="16"/>
                <w:color w:val="auto"/>
              </w:rPr>
            </w:pPr>
          </w:p>
        </w:tc>
        <w:tc>
          <w:tcPr>
            <w:tcW w:w="780" w:type="dxa"/>
            <w:vAlign w:val="bottom"/>
            <w:vMerge w:val="restart"/>
          </w:tcPr>
          <w:p>
            <w:pPr>
              <w:jc w:val="right"/>
              <w:ind w:right="50"/>
              <w:spacing w:after="0"/>
              <w:rPr>
                <w:sz w:val="20"/>
                <w:szCs w:val="20"/>
                <w:color w:val="auto"/>
              </w:rPr>
            </w:pPr>
            <w:r>
              <w:rPr>
                <w:rFonts w:ascii="Arial" w:cs="Arial" w:eastAsia="Arial" w:hAnsi="Arial"/>
                <w:sz w:val="14"/>
                <w:szCs w:val="14"/>
                <w:color w:val="auto"/>
              </w:rPr>
              <w:t>1,985</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vMerge w:val="restart"/>
          </w:tcPr>
          <w:p>
            <w:pPr>
              <w:jc w:val="right"/>
              <w:ind w:right="51"/>
              <w:spacing w:after="0"/>
              <w:rPr>
                <w:sz w:val="20"/>
                <w:szCs w:val="20"/>
                <w:color w:val="auto"/>
              </w:rPr>
            </w:pPr>
            <w:r>
              <w:rPr>
                <w:rFonts w:ascii="Arial" w:cs="Arial" w:eastAsia="Arial" w:hAnsi="Arial"/>
                <w:sz w:val="14"/>
                <w:szCs w:val="14"/>
                <w:color w:val="auto"/>
              </w:rPr>
              <w:t>73</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vMerge w:val="restart"/>
          </w:tcPr>
          <w:p>
            <w:pPr>
              <w:jc w:val="right"/>
              <w:ind w:right="30"/>
              <w:spacing w:after="0"/>
              <w:rPr>
                <w:sz w:val="20"/>
                <w:szCs w:val="20"/>
                <w:color w:val="auto"/>
              </w:rPr>
            </w:pPr>
            <w:r>
              <w:rPr>
                <w:rFonts w:ascii="Arial" w:cs="Arial" w:eastAsia="Arial" w:hAnsi="Arial"/>
                <w:sz w:val="14"/>
                <w:szCs w:val="14"/>
                <w:color w:val="auto"/>
              </w:rPr>
              <w:t>2,058</w:t>
            </w:r>
          </w:p>
        </w:tc>
        <w:tc>
          <w:tcPr>
            <w:tcW w:w="120" w:type="dxa"/>
            <w:vAlign w:val="bottom"/>
          </w:tcPr>
          <w:p>
            <w:pPr>
              <w:spacing w:after="0"/>
              <w:rPr>
                <w:sz w:val="16"/>
                <w:szCs w:val="16"/>
                <w:color w:val="auto"/>
              </w:rPr>
            </w:pPr>
          </w:p>
        </w:tc>
        <w:tc>
          <w:tcPr>
            <w:tcW w:w="660" w:type="dxa"/>
            <w:vAlign w:val="bottom"/>
            <w:vMerge w:val="restart"/>
          </w:tcPr>
          <w:p>
            <w:pPr>
              <w:jc w:val="right"/>
              <w:spacing w:after="0"/>
              <w:rPr>
                <w:sz w:val="20"/>
                <w:szCs w:val="20"/>
                <w:color w:val="auto"/>
              </w:rPr>
            </w:pPr>
            <w:r>
              <w:rPr>
                <w:rFonts w:ascii="Arial" w:cs="Arial" w:eastAsia="Arial" w:hAnsi="Arial"/>
                <w:sz w:val="14"/>
                <w:szCs w:val="14"/>
                <w:color w:val="auto"/>
              </w:rPr>
              <w:t>3.2</w:t>
            </w: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vMerge w:val="restart"/>
          </w:tcPr>
          <w:p>
            <w:pPr>
              <w:jc w:val="right"/>
              <w:ind w:right="50"/>
              <w:spacing w:after="0"/>
              <w:rPr>
                <w:sz w:val="20"/>
                <w:szCs w:val="20"/>
                <w:color w:val="auto"/>
              </w:rPr>
            </w:pPr>
            <w:r>
              <w:rPr>
                <w:rFonts w:ascii="Arial" w:cs="Arial" w:eastAsia="Arial" w:hAnsi="Arial"/>
                <w:sz w:val="14"/>
                <w:szCs w:val="14"/>
                <w:color w:val="auto"/>
              </w:rPr>
              <w:t>2,156</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vMerge w:val="restart"/>
          </w:tcPr>
          <w:p>
            <w:pPr>
              <w:jc w:val="right"/>
              <w:ind w:right="51"/>
              <w:spacing w:after="0"/>
              <w:rPr>
                <w:sz w:val="20"/>
                <w:szCs w:val="20"/>
                <w:color w:val="auto"/>
              </w:rPr>
            </w:pPr>
            <w:r>
              <w:rPr>
                <w:rFonts w:ascii="Arial" w:cs="Arial" w:eastAsia="Arial" w:hAnsi="Arial"/>
                <w:sz w:val="14"/>
                <w:szCs w:val="14"/>
                <w:color w:val="auto"/>
              </w:rPr>
              <w:t>10</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00" w:type="dxa"/>
            <w:vAlign w:val="bottom"/>
            <w:vMerge w:val="restart"/>
          </w:tcPr>
          <w:p>
            <w:pPr>
              <w:jc w:val="right"/>
              <w:ind w:right="50"/>
              <w:spacing w:after="0"/>
              <w:rPr>
                <w:sz w:val="20"/>
                <w:szCs w:val="20"/>
                <w:color w:val="auto"/>
              </w:rPr>
            </w:pPr>
            <w:r>
              <w:rPr>
                <w:rFonts w:ascii="Arial" w:cs="Arial" w:eastAsia="Arial" w:hAnsi="Arial"/>
                <w:sz w:val="14"/>
                <w:szCs w:val="14"/>
                <w:color w:val="auto"/>
              </w:rPr>
              <w:t>2,166</w:t>
            </w:r>
          </w:p>
        </w:tc>
        <w:tc>
          <w:tcPr>
            <w:tcW w:w="100" w:type="dxa"/>
            <w:vAlign w:val="bottom"/>
          </w:tcPr>
          <w:p>
            <w:pPr>
              <w:spacing w:after="0"/>
              <w:rPr>
                <w:sz w:val="16"/>
                <w:szCs w:val="16"/>
                <w:color w:val="auto"/>
              </w:rPr>
            </w:pPr>
          </w:p>
        </w:tc>
        <w:tc>
          <w:tcPr>
            <w:tcW w:w="560" w:type="dxa"/>
            <w:vAlign w:val="bottom"/>
            <w:vMerge w:val="restart"/>
          </w:tcPr>
          <w:p>
            <w:pPr>
              <w:jc w:val="right"/>
              <w:spacing w:after="0"/>
              <w:rPr>
                <w:sz w:val="20"/>
                <w:szCs w:val="20"/>
                <w:color w:val="auto"/>
              </w:rPr>
            </w:pPr>
            <w:r>
              <w:rPr>
                <w:rFonts w:ascii="Arial" w:cs="Arial" w:eastAsia="Arial" w:hAnsi="Arial"/>
                <w:sz w:val="14"/>
                <w:szCs w:val="14"/>
                <w:color w:val="auto"/>
              </w:rPr>
              <w:t>3.5</w:t>
            </w: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4"/>
        </w:trPr>
        <w:tc>
          <w:tcPr>
            <w:tcW w:w="780" w:type="dxa"/>
            <w:vAlign w:val="bottom"/>
          </w:tcPr>
          <w:p>
            <w:pPr>
              <w:spacing w:after="0"/>
              <w:rPr>
                <w:sz w:val="6"/>
                <w:szCs w:val="6"/>
                <w:color w:val="auto"/>
              </w:rPr>
            </w:pPr>
          </w:p>
        </w:tc>
        <w:tc>
          <w:tcPr>
            <w:tcW w:w="120" w:type="dxa"/>
            <w:vAlign w:val="bottom"/>
          </w:tcPr>
          <w:p>
            <w:pPr>
              <w:spacing w:after="0"/>
              <w:rPr>
                <w:sz w:val="6"/>
                <w:szCs w:val="6"/>
                <w:color w:val="auto"/>
              </w:rPr>
            </w:pPr>
          </w:p>
        </w:tc>
        <w:tc>
          <w:tcPr>
            <w:tcW w:w="238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120" w:type="dxa"/>
            <w:vAlign w:val="bottom"/>
          </w:tcPr>
          <w:p>
            <w:pPr>
              <w:spacing w:after="0"/>
              <w:rPr>
                <w:sz w:val="6"/>
                <w:szCs w:val="6"/>
                <w:color w:val="auto"/>
              </w:rPr>
            </w:pPr>
          </w:p>
        </w:tc>
        <w:tc>
          <w:tcPr>
            <w:tcW w:w="7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320" w:type="dxa"/>
            <w:vAlign w:val="bottom"/>
          </w:tcPr>
          <w:p>
            <w:pPr>
              <w:spacing w:after="0"/>
              <w:rPr>
                <w:sz w:val="6"/>
                <w:szCs w:val="6"/>
                <w:color w:val="auto"/>
              </w:rPr>
            </w:pPr>
          </w:p>
        </w:tc>
        <w:tc>
          <w:tcPr>
            <w:tcW w:w="120" w:type="dxa"/>
            <w:vAlign w:val="bottom"/>
          </w:tcPr>
          <w:p>
            <w:pPr>
              <w:spacing w:after="0"/>
              <w:rPr>
                <w:sz w:val="6"/>
                <w:szCs w:val="6"/>
                <w:color w:val="auto"/>
              </w:rPr>
            </w:pPr>
          </w:p>
        </w:tc>
        <w:tc>
          <w:tcPr>
            <w:tcW w:w="76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86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560" w:type="dxa"/>
            <w:vAlign w:val="bottom"/>
            <w:vMerge w:val="continue"/>
          </w:tcPr>
          <w:p>
            <w:pPr>
              <w:spacing w:after="0"/>
              <w:rPr>
                <w:sz w:val="6"/>
                <w:szCs w:val="6"/>
                <w:color w:val="auto"/>
              </w:rPr>
            </w:pPr>
          </w:p>
        </w:tc>
        <w:tc>
          <w:tcPr>
            <w:tcW w:w="2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7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76"/>
              </w:rPr>
              <w:t>4</w:t>
            </w:r>
          </w:p>
        </w:tc>
        <w:tc>
          <w:tcPr>
            <w:tcW w:w="120" w:type="dxa"/>
            <w:vAlign w:val="bottom"/>
            <w:shd w:val="clear" w:color="auto" w:fill="CCEEFF"/>
          </w:tcPr>
          <w:p>
            <w:pPr>
              <w:spacing w:after="0"/>
              <w:rPr>
                <w:sz w:val="17"/>
                <w:szCs w:val="17"/>
                <w:color w:val="auto"/>
              </w:rPr>
            </w:pPr>
          </w:p>
        </w:tc>
        <w:tc>
          <w:tcPr>
            <w:tcW w:w="2380" w:type="dxa"/>
            <w:vAlign w:val="bottom"/>
            <w:gridSpan w:val="2"/>
            <w:vMerge w:val="restart"/>
            <w:shd w:val="clear" w:color="auto" w:fill="CCEEFF"/>
          </w:tcPr>
          <w:p>
            <w:pPr>
              <w:ind w:left="20"/>
              <w:spacing w:after="0"/>
              <w:rPr>
                <w:sz w:val="20"/>
                <w:szCs w:val="20"/>
                <w:color w:val="auto"/>
              </w:rPr>
            </w:pPr>
            <w:r>
              <w:rPr>
                <w:rFonts w:ascii="Arial" w:cs="Arial" w:eastAsia="Arial" w:hAnsi="Arial"/>
                <w:sz w:val="14"/>
                <w:szCs w:val="14"/>
                <w:color w:val="auto"/>
              </w:rPr>
              <w:t>B</w:t>
            </w:r>
          </w:p>
        </w:tc>
        <w:tc>
          <w:tcPr>
            <w:tcW w:w="120" w:type="dxa"/>
            <w:vAlign w:val="bottom"/>
            <w:shd w:val="clear" w:color="auto" w:fill="CCEEFF"/>
          </w:tcPr>
          <w:p>
            <w:pPr>
              <w:spacing w:after="0"/>
              <w:rPr>
                <w:sz w:val="17"/>
                <w:szCs w:val="17"/>
                <w:color w:val="auto"/>
              </w:rPr>
            </w:pPr>
          </w:p>
        </w:tc>
        <w:tc>
          <w:tcPr>
            <w:tcW w:w="780" w:type="dxa"/>
            <w:vAlign w:val="bottom"/>
            <w:vMerge w:val="restart"/>
            <w:shd w:val="clear" w:color="auto" w:fill="CCEEFF"/>
          </w:tcPr>
          <w:p>
            <w:pPr>
              <w:jc w:val="right"/>
              <w:ind w:right="50"/>
              <w:spacing w:after="0"/>
              <w:rPr>
                <w:sz w:val="20"/>
                <w:szCs w:val="20"/>
                <w:color w:val="auto"/>
              </w:rPr>
            </w:pPr>
            <w:r>
              <w:rPr>
                <w:rFonts w:ascii="Arial" w:cs="Arial" w:eastAsia="Arial" w:hAnsi="Arial"/>
                <w:sz w:val="14"/>
                <w:szCs w:val="14"/>
                <w:color w:val="auto"/>
              </w:rPr>
              <w:t>721</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vMerge w:val="restart"/>
            <w:shd w:val="clear" w:color="auto" w:fill="CCEEFF"/>
          </w:tcPr>
          <w:p>
            <w:pPr>
              <w:jc w:val="right"/>
              <w:ind w:right="51"/>
              <w:spacing w:after="0"/>
              <w:rPr>
                <w:sz w:val="20"/>
                <w:szCs w:val="20"/>
                <w:color w:val="auto"/>
              </w:rPr>
            </w:pPr>
            <w:r>
              <w:rPr>
                <w:rFonts w:ascii="Arial" w:cs="Arial" w:eastAsia="Arial" w:hAnsi="Arial"/>
                <w:sz w:val="14"/>
                <w:szCs w:val="14"/>
                <w:color w:val="auto"/>
              </w:rPr>
              <w:t>18</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vMerge w:val="restart"/>
            <w:shd w:val="clear" w:color="auto" w:fill="CCEEFF"/>
          </w:tcPr>
          <w:p>
            <w:pPr>
              <w:jc w:val="right"/>
              <w:ind w:right="30"/>
              <w:spacing w:after="0"/>
              <w:rPr>
                <w:sz w:val="20"/>
                <w:szCs w:val="20"/>
                <w:color w:val="auto"/>
              </w:rPr>
            </w:pPr>
            <w:r>
              <w:rPr>
                <w:rFonts w:ascii="Arial" w:cs="Arial" w:eastAsia="Arial" w:hAnsi="Arial"/>
                <w:sz w:val="14"/>
                <w:szCs w:val="14"/>
                <w:color w:val="auto"/>
              </w:rPr>
              <w:t>739</w:t>
            </w:r>
          </w:p>
        </w:tc>
        <w:tc>
          <w:tcPr>
            <w:tcW w:w="120" w:type="dxa"/>
            <w:vAlign w:val="bottom"/>
            <w:shd w:val="clear" w:color="auto" w:fill="CCEEFF"/>
          </w:tcPr>
          <w:p>
            <w:pPr>
              <w:spacing w:after="0"/>
              <w:rPr>
                <w:sz w:val="17"/>
                <w:szCs w:val="17"/>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1.2</w:t>
            </w: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vMerge w:val="restart"/>
            <w:shd w:val="clear" w:color="auto" w:fill="CCEEFF"/>
          </w:tcPr>
          <w:p>
            <w:pPr>
              <w:jc w:val="right"/>
              <w:ind w:right="50"/>
              <w:spacing w:after="0"/>
              <w:rPr>
                <w:sz w:val="20"/>
                <w:szCs w:val="20"/>
                <w:color w:val="auto"/>
              </w:rPr>
            </w:pPr>
            <w:r>
              <w:rPr>
                <w:rFonts w:ascii="Arial" w:cs="Arial" w:eastAsia="Arial" w:hAnsi="Arial"/>
                <w:sz w:val="14"/>
                <w:szCs w:val="14"/>
                <w:color w:val="auto"/>
              </w:rPr>
              <w:t>700</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vMerge w:val="restart"/>
            <w:shd w:val="clear" w:color="auto" w:fill="CCEEFF"/>
          </w:tcPr>
          <w:p>
            <w:pPr>
              <w:jc w:val="right"/>
              <w:ind w:right="51"/>
              <w:spacing w:after="0"/>
              <w:rPr>
                <w:sz w:val="20"/>
                <w:szCs w:val="20"/>
                <w:color w:val="auto"/>
              </w:rPr>
            </w:pPr>
            <w:r>
              <w:rPr>
                <w:rFonts w:ascii="Arial" w:cs="Arial" w:eastAsia="Arial" w:hAnsi="Arial"/>
                <w:sz w:val="14"/>
                <w:szCs w:val="14"/>
                <w:color w:val="auto"/>
              </w:rPr>
              <w:t>6</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00" w:type="dxa"/>
            <w:vAlign w:val="bottom"/>
            <w:vMerge w:val="restart"/>
            <w:shd w:val="clear" w:color="auto" w:fill="CCEEFF"/>
          </w:tcPr>
          <w:p>
            <w:pPr>
              <w:jc w:val="right"/>
              <w:ind w:right="50"/>
              <w:spacing w:after="0"/>
              <w:rPr>
                <w:sz w:val="20"/>
                <w:szCs w:val="20"/>
                <w:color w:val="auto"/>
              </w:rPr>
            </w:pPr>
            <w:r>
              <w:rPr>
                <w:rFonts w:ascii="Arial" w:cs="Arial" w:eastAsia="Arial" w:hAnsi="Arial"/>
                <w:sz w:val="14"/>
                <w:szCs w:val="14"/>
                <w:color w:val="auto"/>
              </w:rPr>
              <w:t>706</w:t>
            </w:r>
          </w:p>
        </w:tc>
        <w:tc>
          <w:tcPr>
            <w:tcW w:w="100" w:type="dxa"/>
            <w:vAlign w:val="bottom"/>
            <w:shd w:val="clear" w:color="auto" w:fill="CCEEFF"/>
          </w:tcPr>
          <w:p>
            <w:pPr>
              <w:spacing w:after="0"/>
              <w:rPr>
                <w:sz w:val="17"/>
                <w:szCs w:val="17"/>
                <w:color w:val="auto"/>
              </w:rPr>
            </w:pP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1.2</w:t>
            </w: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80"/>
        </w:trPr>
        <w:tc>
          <w:tcPr>
            <w:tcW w:w="78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380" w:type="dxa"/>
            <w:vAlign w:val="bottom"/>
            <w:gridSpan w:val="2"/>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780" w:type="dxa"/>
            <w:vAlign w:val="bottom"/>
            <w:vMerge w:val="continue"/>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800" w:type="dxa"/>
            <w:vAlign w:val="bottom"/>
            <w:vMerge w:val="continue"/>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74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660" w:type="dxa"/>
            <w:vAlign w:val="bottom"/>
            <w:vMerge w:val="continue"/>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76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86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60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560" w:type="dxa"/>
            <w:vAlign w:val="bottom"/>
            <w:vMerge w:val="continue"/>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780" w:type="dxa"/>
            <w:vAlign w:val="bottom"/>
          </w:tcPr>
          <w:p>
            <w:pPr>
              <w:jc w:val="center"/>
              <w:spacing w:after="0"/>
              <w:rPr>
                <w:sz w:val="20"/>
                <w:szCs w:val="20"/>
                <w:color w:val="auto"/>
              </w:rPr>
            </w:pPr>
            <w:r>
              <w:rPr>
                <w:rFonts w:ascii="Arial" w:cs="Arial" w:eastAsia="Arial" w:hAnsi="Arial"/>
                <w:sz w:val="14"/>
                <w:szCs w:val="14"/>
                <w:color w:val="auto"/>
                <w:w w:val="76"/>
              </w:rPr>
              <w:t>5</w:t>
            </w:r>
          </w:p>
        </w:tc>
        <w:tc>
          <w:tcPr>
            <w:tcW w:w="120" w:type="dxa"/>
            <w:vAlign w:val="bottom"/>
          </w:tcPr>
          <w:p>
            <w:pPr>
              <w:spacing w:after="0"/>
              <w:rPr>
                <w:sz w:val="16"/>
                <w:szCs w:val="16"/>
                <w:color w:val="auto"/>
              </w:rPr>
            </w:pPr>
          </w:p>
        </w:tc>
        <w:tc>
          <w:tcPr>
            <w:tcW w:w="2380" w:type="dxa"/>
            <w:vAlign w:val="bottom"/>
            <w:gridSpan w:val="2"/>
            <w:vMerge w:val="restart"/>
          </w:tcPr>
          <w:p>
            <w:pPr>
              <w:ind w:left="20"/>
              <w:spacing w:after="0"/>
              <w:rPr>
                <w:sz w:val="20"/>
                <w:szCs w:val="20"/>
                <w:color w:val="auto"/>
              </w:rPr>
            </w:pPr>
            <w:r>
              <w:rPr>
                <w:rFonts w:ascii="Arial" w:cs="Arial" w:eastAsia="Arial" w:hAnsi="Arial"/>
                <w:sz w:val="14"/>
                <w:szCs w:val="14"/>
                <w:color w:val="auto"/>
              </w:rPr>
              <w:t>Caa and lower</w:t>
            </w:r>
          </w:p>
        </w:tc>
        <w:tc>
          <w:tcPr>
            <w:tcW w:w="120" w:type="dxa"/>
            <w:vAlign w:val="bottom"/>
          </w:tcPr>
          <w:p>
            <w:pPr>
              <w:spacing w:after="0"/>
              <w:rPr>
                <w:sz w:val="16"/>
                <w:szCs w:val="16"/>
                <w:color w:val="auto"/>
              </w:rPr>
            </w:pPr>
          </w:p>
        </w:tc>
        <w:tc>
          <w:tcPr>
            <w:tcW w:w="780" w:type="dxa"/>
            <w:vAlign w:val="bottom"/>
            <w:vMerge w:val="restart"/>
          </w:tcPr>
          <w:p>
            <w:pPr>
              <w:jc w:val="right"/>
              <w:ind w:right="50"/>
              <w:spacing w:after="0"/>
              <w:rPr>
                <w:sz w:val="20"/>
                <w:szCs w:val="20"/>
                <w:color w:val="auto"/>
              </w:rPr>
            </w:pPr>
            <w:r>
              <w:rPr>
                <w:rFonts w:ascii="Arial" w:cs="Arial" w:eastAsia="Arial" w:hAnsi="Arial"/>
                <w:sz w:val="14"/>
                <w:szCs w:val="14"/>
                <w:color w:val="auto"/>
              </w:rPr>
              <w:t>34</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gridSpan w:val="2"/>
            <w:vMerge w:val="restart"/>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740" w:type="dxa"/>
            <w:vAlign w:val="bottom"/>
            <w:vMerge w:val="restart"/>
          </w:tcPr>
          <w:p>
            <w:pPr>
              <w:jc w:val="right"/>
              <w:ind w:right="30"/>
              <w:spacing w:after="0"/>
              <w:rPr>
                <w:sz w:val="20"/>
                <w:szCs w:val="20"/>
                <w:color w:val="auto"/>
              </w:rPr>
            </w:pPr>
            <w:r>
              <w:rPr>
                <w:rFonts w:ascii="Arial" w:cs="Arial" w:eastAsia="Arial" w:hAnsi="Arial"/>
                <w:sz w:val="14"/>
                <w:szCs w:val="14"/>
                <w:color w:val="auto"/>
              </w:rPr>
              <w:t>34</w:t>
            </w:r>
          </w:p>
        </w:tc>
        <w:tc>
          <w:tcPr>
            <w:tcW w:w="120" w:type="dxa"/>
            <w:vAlign w:val="bottom"/>
          </w:tcPr>
          <w:p>
            <w:pPr>
              <w:spacing w:after="0"/>
              <w:rPr>
                <w:sz w:val="16"/>
                <w:szCs w:val="16"/>
                <w:color w:val="auto"/>
              </w:rPr>
            </w:pPr>
          </w:p>
        </w:tc>
        <w:tc>
          <w:tcPr>
            <w:tcW w:w="660" w:type="dxa"/>
            <w:vAlign w:val="bottom"/>
            <w:vMerge w:val="restart"/>
          </w:tcPr>
          <w:p>
            <w:pPr>
              <w:jc w:val="right"/>
              <w:spacing w:after="0"/>
              <w:rPr>
                <w:sz w:val="20"/>
                <w:szCs w:val="20"/>
                <w:color w:val="auto"/>
              </w:rPr>
            </w:pPr>
            <w:r>
              <w:rPr>
                <w:rFonts w:ascii="Arial" w:cs="Arial" w:eastAsia="Arial" w:hAnsi="Arial"/>
                <w:sz w:val="14"/>
                <w:szCs w:val="14"/>
                <w:color w:val="auto"/>
              </w:rPr>
              <w:t>0.1</w:t>
            </w: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vMerge w:val="restart"/>
          </w:tcPr>
          <w:p>
            <w:pPr>
              <w:jc w:val="right"/>
              <w:ind w:right="50"/>
              <w:spacing w:after="0"/>
              <w:rPr>
                <w:sz w:val="20"/>
                <w:szCs w:val="20"/>
                <w:color w:val="auto"/>
              </w:rPr>
            </w:pPr>
            <w:r>
              <w:rPr>
                <w:rFonts w:ascii="Arial" w:cs="Arial" w:eastAsia="Arial" w:hAnsi="Arial"/>
                <w:sz w:val="14"/>
                <w:szCs w:val="14"/>
                <w:color w:val="auto"/>
              </w:rPr>
              <w:t>54</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vMerge w:val="restart"/>
          </w:tcPr>
          <w:p>
            <w:pPr>
              <w:jc w:val="right"/>
              <w:ind w:right="11"/>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00" w:type="dxa"/>
            <w:vAlign w:val="bottom"/>
            <w:vMerge w:val="restart"/>
          </w:tcPr>
          <w:p>
            <w:pPr>
              <w:jc w:val="right"/>
              <w:ind w:right="50"/>
              <w:spacing w:after="0"/>
              <w:rPr>
                <w:sz w:val="20"/>
                <w:szCs w:val="20"/>
                <w:color w:val="auto"/>
              </w:rPr>
            </w:pPr>
            <w:r>
              <w:rPr>
                <w:rFonts w:ascii="Arial" w:cs="Arial" w:eastAsia="Arial" w:hAnsi="Arial"/>
                <w:sz w:val="14"/>
                <w:szCs w:val="14"/>
                <w:color w:val="auto"/>
              </w:rPr>
              <w:t>52</w:t>
            </w:r>
          </w:p>
        </w:tc>
        <w:tc>
          <w:tcPr>
            <w:tcW w:w="100" w:type="dxa"/>
            <w:vAlign w:val="bottom"/>
          </w:tcPr>
          <w:p>
            <w:pPr>
              <w:spacing w:after="0"/>
              <w:rPr>
                <w:sz w:val="16"/>
                <w:szCs w:val="16"/>
                <w:color w:val="auto"/>
              </w:rPr>
            </w:pPr>
          </w:p>
        </w:tc>
        <w:tc>
          <w:tcPr>
            <w:tcW w:w="560" w:type="dxa"/>
            <w:vAlign w:val="bottom"/>
            <w:vMerge w:val="restart"/>
          </w:tcPr>
          <w:p>
            <w:pPr>
              <w:jc w:val="right"/>
              <w:spacing w:after="0"/>
              <w:rPr>
                <w:sz w:val="20"/>
                <w:szCs w:val="20"/>
                <w:color w:val="auto"/>
              </w:rPr>
            </w:pPr>
            <w:r>
              <w:rPr>
                <w:rFonts w:ascii="Arial" w:cs="Arial" w:eastAsia="Arial" w:hAnsi="Arial"/>
                <w:sz w:val="14"/>
                <w:szCs w:val="14"/>
                <w:color w:val="auto"/>
              </w:rPr>
              <w:t>0.1</w:t>
            </w: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4"/>
        </w:trPr>
        <w:tc>
          <w:tcPr>
            <w:tcW w:w="780" w:type="dxa"/>
            <w:vAlign w:val="bottom"/>
          </w:tcPr>
          <w:p>
            <w:pPr>
              <w:spacing w:after="0"/>
              <w:rPr>
                <w:sz w:val="6"/>
                <w:szCs w:val="6"/>
                <w:color w:val="auto"/>
              </w:rPr>
            </w:pPr>
          </w:p>
        </w:tc>
        <w:tc>
          <w:tcPr>
            <w:tcW w:w="120" w:type="dxa"/>
            <w:vAlign w:val="bottom"/>
          </w:tcPr>
          <w:p>
            <w:pPr>
              <w:spacing w:after="0"/>
              <w:rPr>
                <w:sz w:val="6"/>
                <w:szCs w:val="6"/>
                <w:color w:val="auto"/>
              </w:rPr>
            </w:pPr>
          </w:p>
        </w:tc>
        <w:tc>
          <w:tcPr>
            <w:tcW w:w="238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94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7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320" w:type="dxa"/>
            <w:vAlign w:val="bottom"/>
          </w:tcPr>
          <w:p>
            <w:pPr>
              <w:spacing w:after="0"/>
              <w:rPr>
                <w:sz w:val="6"/>
                <w:szCs w:val="6"/>
                <w:color w:val="auto"/>
              </w:rPr>
            </w:pPr>
          </w:p>
        </w:tc>
        <w:tc>
          <w:tcPr>
            <w:tcW w:w="120" w:type="dxa"/>
            <w:vAlign w:val="bottom"/>
          </w:tcPr>
          <w:p>
            <w:pPr>
              <w:spacing w:after="0"/>
              <w:rPr>
                <w:sz w:val="6"/>
                <w:szCs w:val="6"/>
                <w:color w:val="auto"/>
              </w:rPr>
            </w:pPr>
          </w:p>
        </w:tc>
        <w:tc>
          <w:tcPr>
            <w:tcW w:w="76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86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560" w:type="dxa"/>
            <w:vAlign w:val="bottom"/>
            <w:vMerge w:val="continue"/>
          </w:tcPr>
          <w:p>
            <w:pPr>
              <w:spacing w:after="0"/>
              <w:rPr>
                <w:sz w:val="6"/>
                <w:szCs w:val="6"/>
                <w:color w:val="auto"/>
              </w:rPr>
            </w:pPr>
          </w:p>
        </w:tc>
        <w:tc>
          <w:tcPr>
            <w:tcW w:w="2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7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76"/>
              </w:rPr>
              <w:t>6</w:t>
            </w:r>
          </w:p>
        </w:tc>
        <w:tc>
          <w:tcPr>
            <w:tcW w:w="120" w:type="dxa"/>
            <w:vAlign w:val="bottom"/>
            <w:shd w:val="clear" w:color="auto" w:fill="CCEEFF"/>
          </w:tcPr>
          <w:p>
            <w:pPr>
              <w:spacing w:after="0"/>
              <w:rPr>
                <w:sz w:val="17"/>
                <w:szCs w:val="17"/>
                <w:color w:val="auto"/>
              </w:rPr>
            </w:pPr>
          </w:p>
        </w:tc>
        <w:tc>
          <w:tcPr>
            <w:tcW w:w="2380" w:type="dxa"/>
            <w:vAlign w:val="bottom"/>
            <w:gridSpan w:val="2"/>
            <w:vMerge w:val="restart"/>
            <w:shd w:val="clear" w:color="auto" w:fill="CCEEFF"/>
          </w:tcPr>
          <w:p>
            <w:pPr>
              <w:ind w:left="20"/>
              <w:spacing w:after="0"/>
              <w:rPr>
                <w:sz w:val="20"/>
                <w:szCs w:val="20"/>
                <w:color w:val="auto"/>
              </w:rPr>
            </w:pPr>
            <w:r>
              <w:rPr>
                <w:rFonts w:ascii="Arial" w:cs="Arial" w:eastAsia="Arial" w:hAnsi="Arial"/>
                <w:sz w:val="14"/>
                <w:szCs w:val="14"/>
                <w:color w:val="auto"/>
              </w:rPr>
              <w:t>In or near default</w:t>
            </w:r>
          </w:p>
        </w:tc>
        <w:tc>
          <w:tcPr>
            <w:tcW w:w="120" w:type="dxa"/>
            <w:vAlign w:val="bottom"/>
            <w:shd w:val="clear" w:color="auto" w:fill="CCEEFF"/>
          </w:tcPr>
          <w:p>
            <w:pPr>
              <w:spacing w:after="0"/>
              <w:rPr>
                <w:sz w:val="17"/>
                <w:szCs w:val="17"/>
                <w:color w:val="auto"/>
              </w:rPr>
            </w:pPr>
          </w:p>
        </w:tc>
        <w:tc>
          <w:tcPr>
            <w:tcW w:w="780" w:type="dxa"/>
            <w:vAlign w:val="bottom"/>
            <w:vMerge w:val="restart"/>
            <w:shd w:val="clear" w:color="auto" w:fill="CCEEFF"/>
          </w:tcPr>
          <w:p>
            <w:pPr>
              <w:jc w:val="right"/>
              <w:ind w:right="50"/>
              <w:spacing w:after="0"/>
              <w:rPr>
                <w:sz w:val="20"/>
                <w:szCs w:val="20"/>
                <w:color w:val="auto"/>
              </w:rPr>
            </w:pPr>
            <w:r>
              <w:rPr>
                <w:rFonts w:ascii="Arial" w:cs="Arial" w:eastAsia="Arial" w:hAnsi="Arial"/>
                <w:sz w:val="14"/>
                <w:szCs w:val="14"/>
                <w:color w:val="auto"/>
              </w:rPr>
              <w:t>4</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vMerge w:val="restart"/>
            <w:shd w:val="clear" w:color="auto" w:fill="CCEEFF"/>
          </w:tcPr>
          <w:p>
            <w:pPr>
              <w:jc w:val="right"/>
              <w:ind w:right="11"/>
              <w:spacing w:after="0"/>
              <w:rPr>
                <w:sz w:val="20"/>
                <w:szCs w:val="20"/>
                <w:color w:val="auto"/>
              </w:rPr>
            </w:pPr>
            <w:r>
              <w:rPr>
                <w:rFonts w:ascii="Arial" w:cs="Arial" w:eastAsia="Arial" w:hAnsi="Arial"/>
                <w:sz w:val="14"/>
                <w:szCs w:val="14"/>
                <w:color w:val="auto"/>
              </w:rPr>
              <w:t>(1)</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vMerge w:val="restart"/>
            <w:shd w:val="clear" w:color="auto" w:fill="CCEEFF"/>
          </w:tcPr>
          <w:p>
            <w:pPr>
              <w:jc w:val="right"/>
              <w:ind w:right="30"/>
              <w:spacing w:after="0"/>
              <w:rPr>
                <w:sz w:val="20"/>
                <w:szCs w:val="20"/>
                <w:color w:val="auto"/>
              </w:rPr>
            </w:pPr>
            <w:r>
              <w:rPr>
                <w:rFonts w:ascii="Arial" w:cs="Arial" w:eastAsia="Arial" w:hAnsi="Arial"/>
                <w:sz w:val="14"/>
                <w:szCs w:val="14"/>
                <w:color w:val="auto"/>
              </w:rPr>
              <w:t>3</w:t>
            </w:r>
          </w:p>
        </w:tc>
        <w:tc>
          <w:tcPr>
            <w:tcW w:w="120" w:type="dxa"/>
            <w:vAlign w:val="bottom"/>
            <w:shd w:val="clear" w:color="auto" w:fill="CCEEFF"/>
          </w:tcPr>
          <w:p>
            <w:pPr>
              <w:spacing w:after="0"/>
              <w:rPr>
                <w:sz w:val="17"/>
                <w:szCs w:val="17"/>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vMerge w:val="restart"/>
            <w:shd w:val="clear" w:color="auto" w:fill="CCEEFF"/>
          </w:tcPr>
          <w:p>
            <w:pPr>
              <w:jc w:val="right"/>
              <w:ind w:right="50"/>
              <w:spacing w:after="0"/>
              <w:rPr>
                <w:sz w:val="20"/>
                <w:szCs w:val="20"/>
                <w:color w:val="auto"/>
              </w:rPr>
            </w:pPr>
            <w:r>
              <w:rPr>
                <w:rFonts w:ascii="Arial" w:cs="Arial" w:eastAsia="Arial" w:hAnsi="Arial"/>
                <w:sz w:val="14"/>
                <w:szCs w:val="14"/>
                <w:color w:val="auto"/>
              </w:rPr>
              <w:t>5</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7"/>
                <w:szCs w:val="17"/>
                <w:color w:val="auto"/>
              </w:rPr>
            </w:pPr>
          </w:p>
        </w:tc>
        <w:tc>
          <w:tcPr>
            <w:tcW w:w="600" w:type="dxa"/>
            <w:vAlign w:val="bottom"/>
            <w:vMerge w:val="restart"/>
            <w:shd w:val="clear" w:color="auto" w:fill="CCEEFF"/>
          </w:tcPr>
          <w:p>
            <w:pPr>
              <w:jc w:val="right"/>
              <w:ind w:right="50"/>
              <w:spacing w:after="0"/>
              <w:rPr>
                <w:sz w:val="20"/>
                <w:szCs w:val="20"/>
                <w:color w:val="auto"/>
              </w:rPr>
            </w:pPr>
            <w:r>
              <w:rPr>
                <w:rFonts w:ascii="Arial" w:cs="Arial" w:eastAsia="Arial" w:hAnsi="Arial"/>
                <w:sz w:val="14"/>
                <w:szCs w:val="14"/>
                <w:color w:val="auto"/>
              </w:rPr>
              <w:t>5</w:t>
            </w:r>
          </w:p>
        </w:tc>
        <w:tc>
          <w:tcPr>
            <w:tcW w:w="100" w:type="dxa"/>
            <w:vAlign w:val="bottom"/>
            <w:shd w:val="clear" w:color="auto" w:fill="CCEEFF"/>
          </w:tcPr>
          <w:p>
            <w:pPr>
              <w:spacing w:after="0"/>
              <w:rPr>
                <w:sz w:val="17"/>
                <w:szCs w:val="17"/>
                <w:color w:val="auto"/>
              </w:rPr>
            </w:pP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74"/>
        </w:trPr>
        <w:tc>
          <w:tcPr>
            <w:tcW w:w="78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380" w:type="dxa"/>
            <w:vAlign w:val="bottom"/>
            <w:gridSpan w:val="2"/>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780" w:type="dxa"/>
            <w:vAlign w:val="bottom"/>
            <w:vMerge w:val="continue"/>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800" w:type="dxa"/>
            <w:vAlign w:val="bottom"/>
            <w:vMerge w:val="continue"/>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74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660" w:type="dxa"/>
            <w:vAlign w:val="bottom"/>
            <w:vMerge w:val="continue"/>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76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960" w:type="dxa"/>
            <w:vAlign w:val="bottom"/>
            <w:gridSpan w:val="2"/>
            <w:vMerge w:val="continue"/>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60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560" w:type="dxa"/>
            <w:vAlign w:val="bottom"/>
            <w:vMerge w:val="continue"/>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50"/>
        </w:trPr>
        <w:tc>
          <w:tcPr>
            <w:tcW w:w="3280" w:type="dxa"/>
            <w:vAlign w:val="bottom"/>
            <w:tcBorders>
              <w:bottom w:val="single" w:sz="8" w:color="CCEEFF"/>
            </w:tcBorders>
            <w:gridSpan w:val="4"/>
          </w:tcPr>
          <w:p>
            <w:pPr>
              <w:jc w:val="right"/>
              <w:ind w:right="1200"/>
              <w:spacing w:after="0"/>
              <w:rPr>
                <w:sz w:val="20"/>
                <w:szCs w:val="20"/>
                <w:color w:val="auto"/>
              </w:rPr>
            </w:pPr>
            <w:r>
              <w:rPr>
                <w:rFonts w:ascii="Arial" w:cs="Arial" w:eastAsia="Arial" w:hAnsi="Arial"/>
                <w:sz w:val="14"/>
                <w:szCs w:val="14"/>
                <w:color w:val="auto"/>
              </w:rPr>
              <w:t>Subtotal below investment grade</w:t>
            </w:r>
          </w:p>
        </w:tc>
        <w:tc>
          <w:tcPr>
            <w:tcW w:w="120" w:type="dxa"/>
            <w:vAlign w:val="bottom"/>
            <w:tcBorders>
              <w:top w:val="single" w:sz="8" w:color="auto"/>
              <w:bottom w:val="single" w:sz="8" w:color="auto"/>
            </w:tcBorders>
          </w:tcPr>
          <w:p>
            <w:pPr>
              <w:spacing w:after="0"/>
              <w:rPr>
                <w:sz w:val="21"/>
                <w:szCs w:val="21"/>
                <w:color w:val="auto"/>
              </w:rPr>
            </w:pPr>
          </w:p>
        </w:tc>
        <w:tc>
          <w:tcPr>
            <w:tcW w:w="78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4"/>
                <w:szCs w:val="14"/>
                <w:color w:val="auto"/>
              </w:rPr>
              <w:t>2,744</w:t>
            </w:r>
          </w:p>
        </w:tc>
        <w:tc>
          <w:tcPr>
            <w:tcW w:w="140" w:type="dxa"/>
            <w:vAlign w:val="bottom"/>
            <w:tcBorders>
              <w:bottom w:val="single" w:sz="8" w:color="CCEEFF"/>
            </w:tcBorders>
          </w:tcPr>
          <w:p>
            <w:pPr>
              <w:spacing w:after="0"/>
              <w:rPr>
                <w:sz w:val="21"/>
                <w:szCs w:val="21"/>
                <w:color w:val="auto"/>
              </w:rPr>
            </w:pPr>
          </w:p>
        </w:tc>
        <w:tc>
          <w:tcPr>
            <w:tcW w:w="100" w:type="dxa"/>
            <w:vAlign w:val="bottom"/>
            <w:tcBorders>
              <w:top w:val="single" w:sz="8" w:color="auto"/>
              <w:bottom w:val="single" w:sz="8" w:color="auto"/>
            </w:tcBorders>
          </w:tcPr>
          <w:p>
            <w:pPr>
              <w:spacing w:after="0"/>
              <w:rPr>
                <w:sz w:val="21"/>
                <w:szCs w:val="21"/>
                <w:color w:val="auto"/>
              </w:rPr>
            </w:pPr>
          </w:p>
        </w:tc>
        <w:tc>
          <w:tcPr>
            <w:tcW w:w="800" w:type="dxa"/>
            <w:vAlign w:val="bottom"/>
            <w:tcBorders>
              <w:top w:val="single" w:sz="8" w:color="auto"/>
              <w:bottom w:val="single" w:sz="8" w:color="auto"/>
            </w:tcBorders>
          </w:tcPr>
          <w:p>
            <w:pPr>
              <w:jc w:val="right"/>
              <w:ind w:right="51"/>
              <w:spacing w:after="0"/>
              <w:rPr>
                <w:sz w:val="20"/>
                <w:szCs w:val="20"/>
                <w:color w:val="auto"/>
              </w:rPr>
            </w:pPr>
            <w:r>
              <w:rPr>
                <w:rFonts w:ascii="Arial" w:cs="Arial" w:eastAsia="Arial" w:hAnsi="Arial"/>
                <w:sz w:val="14"/>
                <w:szCs w:val="14"/>
                <w:color w:val="auto"/>
              </w:rPr>
              <w:t>90</w:t>
            </w:r>
          </w:p>
        </w:tc>
        <w:tc>
          <w:tcPr>
            <w:tcW w:w="140" w:type="dxa"/>
            <w:vAlign w:val="bottom"/>
            <w:tcBorders>
              <w:bottom w:val="single" w:sz="8" w:color="CCEEFF"/>
            </w:tcBorders>
          </w:tcPr>
          <w:p>
            <w:pPr>
              <w:spacing w:after="0"/>
              <w:rPr>
                <w:sz w:val="21"/>
                <w:szCs w:val="21"/>
                <w:color w:val="auto"/>
              </w:rPr>
            </w:pPr>
          </w:p>
        </w:tc>
        <w:tc>
          <w:tcPr>
            <w:tcW w:w="120" w:type="dxa"/>
            <w:vAlign w:val="bottom"/>
            <w:tcBorders>
              <w:top w:val="single" w:sz="8" w:color="auto"/>
              <w:bottom w:val="single" w:sz="8" w:color="auto"/>
            </w:tcBorders>
          </w:tcPr>
          <w:p>
            <w:pPr>
              <w:spacing w:after="0"/>
              <w:rPr>
                <w:sz w:val="21"/>
                <w:szCs w:val="21"/>
                <w:color w:val="auto"/>
              </w:rPr>
            </w:pPr>
          </w:p>
        </w:tc>
        <w:tc>
          <w:tcPr>
            <w:tcW w:w="7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4"/>
                <w:szCs w:val="14"/>
                <w:color w:val="auto"/>
              </w:rPr>
              <w:t>2,834</w:t>
            </w:r>
          </w:p>
        </w:tc>
        <w:tc>
          <w:tcPr>
            <w:tcW w:w="120" w:type="dxa"/>
            <w:vAlign w:val="bottom"/>
            <w:tcBorders>
              <w:bottom w:val="single" w:sz="8" w:color="CCEEFF"/>
            </w:tcBorders>
          </w:tcPr>
          <w:p>
            <w:pPr>
              <w:spacing w:after="0"/>
              <w:rPr>
                <w:sz w:val="21"/>
                <w:szCs w:val="21"/>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4.5</w:t>
            </w:r>
          </w:p>
        </w:tc>
        <w:tc>
          <w:tcPr>
            <w:tcW w:w="320" w:type="dxa"/>
            <w:vAlign w:val="bottom"/>
            <w:tcBorders>
              <w:bottom w:val="single" w:sz="8" w:color="CCEEFF"/>
            </w:tcBorders>
          </w:tcPr>
          <w:p>
            <w:pPr>
              <w:spacing w:after="0"/>
              <w:rPr>
                <w:sz w:val="21"/>
                <w:szCs w:val="21"/>
                <w:color w:val="auto"/>
              </w:rPr>
            </w:pPr>
          </w:p>
        </w:tc>
        <w:tc>
          <w:tcPr>
            <w:tcW w:w="120" w:type="dxa"/>
            <w:vAlign w:val="bottom"/>
            <w:tcBorders>
              <w:top w:val="single" w:sz="8" w:color="auto"/>
              <w:bottom w:val="single" w:sz="8" w:color="auto"/>
            </w:tcBorders>
          </w:tcPr>
          <w:p>
            <w:pPr>
              <w:spacing w:after="0"/>
              <w:rPr>
                <w:sz w:val="21"/>
                <w:szCs w:val="21"/>
                <w:color w:val="auto"/>
              </w:rPr>
            </w:pPr>
          </w:p>
        </w:tc>
        <w:tc>
          <w:tcPr>
            <w:tcW w:w="7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4"/>
                <w:szCs w:val="14"/>
                <w:color w:val="auto"/>
              </w:rPr>
              <w:t>2,915</w:t>
            </w:r>
          </w:p>
        </w:tc>
        <w:tc>
          <w:tcPr>
            <w:tcW w:w="10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860" w:type="dxa"/>
            <w:vAlign w:val="bottom"/>
            <w:tcBorders>
              <w:top w:val="single" w:sz="8" w:color="auto"/>
              <w:bottom w:val="single" w:sz="8" w:color="auto"/>
            </w:tcBorders>
          </w:tcPr>
          <w:p>
            <w:pPr>
              <w:jc w:val="right"/>
              <w:ind w:right="51"/>
              <w:spacing w:after="0"/>
              <w:rPr>
                <w:sz w:val="20"/>
                <w:szCs w:val="20"/>
                <w:color w:val="auto"/>
              </w:rPr>
            </w:pPr>
            <w:r>
              <w:rPr>
                <w:rFonts w:ascii="Arial" w:cs="Arial" w:eastAsia="Arial" w:hAnsi="Arial"/>
                <w:sz w:val="14"/>
                <w:szCs w:val="14"/>
                <w:color w:val="auto"/>
              </w:rPr>
              <w:t>14</w:t>
            </w:r>
          </w:p>
        </w:tc>
        <w:tc>
          <w:tcPr>
            <w:tcW w:w="100" w:type="dxa"/>
            <w:vAlign w:val="bottom"/>
            <w:tcBorders>
              <w:bottom w:val="single" w:sz="8" w:color="CCEEFF"/>
            </w:tcBorders>
          </w:tcPr>
          <w:p>
            <w:pPr>
              <w:spacing w:after="0"/>
              <w:rPr>
                <w:sz w:val="21"/>
                <w:szCs w:val="21"/>
                <w:color w:val="auto"/>
              </w:rPr>
            </w:pPr>
          </w:p>
        </w:tc>
        <w:tc>
          <w:tcPr>
            <w:tcW w:w="280" w:type="dxa"/>
            <w:vAlign w:val="bottom"/>
            <w:tcBorders>
              <w:top w:val="single" w:sz="8" w:color="auto"/>
              <w:bottom w:val="single" w:sz="8" w:color="auto"/>
            </w:tcBorders>
          </w:tcPr>
          <w:p>
            <w:pPr>
              <w:spacing w:after="0"/>
              <w:rPr>
                <w:sz w:val="21"/>
                <w:szCs w:val="21"/>
                <w:color w:val="auto"/>
              </w:rPr>
            </w:pPr>
          </w:p>
        </w:tc>
        <w:tc>
          <w:tcPr>
            <w:tcW w:w="60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4"/>
                <w:szCs w:val="14"/>
                <w:color w:val="auto"/>
              </w:rPr>
              <w:t>2,929</w:t>
            </w:r>
          </w:p>
        </w:tc>
        <w:tc>
          <w:tcPr>
            <w:tcW w:w="100" w:type="dxa"/>
            <w:vAlign w:val="bottom"/>
            <w:tcBorders>
              <w:bottom w:val="single" w:sz="8" w:color="CCEEFF"/>
            </w:tcBorders>
          </w:tcPr>
          <w:p>
            <w:pPr>
              <w:spacing w:after="0"/>
              <w:rPr>
                <w:sz w:val="21"/>
                <w:szCs w:val="21"/>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4.8</w:t>
            </w:r>
          </w:p>
        </w:tc>
        <w:tc>
          <w:tcPr>
            <w:tcW w:w="22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280" w:type="dxa"/>
            <w:vAlign w:val="bottom"/>
            <w:tcBorders>
              <w:bottom w:val="single" w:sz="8" w:color="CCEEFF"/>
            </w:tcBorders>
            <w:gridSpan w:val="4"/>
            <w:shd w:val="clear" w:color="auto" w:fill="CCEEFF"/>
          </w:tcPr>
          <w:p>
            <w:pPr>
              <w:jc w:val="right"/>
              <w:ind w:right="1200"/>
              <w:spacing w:after="0"/>
              <w:rPr>
                <w:sz w:val="20"/>
                <w:szCs w:val="20"/>
                <w:color w:val="auto"/>
              </w:rPr>
            </w:pPr>
            <w:r>
              <w:rPr>
                <w:rFonts w:ascii="Arial" w:cs="Arial" w:eastAsia="Arial" w:hAnsi="Arial"/>
                <w:sz w:val="14"/>
                <w:szCs w:val="14"/>
                <w:color w:val="auto"/>
              </w:rPr>
              <w:t>Total fixed maturity securities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rPr>
              <w:t>59,126</w:t>
            </w: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4"/>
                <w:szCs w:val="14"/>
                <w:color w:val="auto"/>
              </w:rPr>
              <w:t>4,439</w:t>
            </w:r>
          </w:p>
        </w:tc>
        <w:tc>
          <w:tcPr>
            <w:tcW w:w="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63,565</w:t>
            </w: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100.0</w:t>
            </w:r>
          </w:p>
        </w:tc>
        <w:tc>
          <w:tcPr>
            <w:tcW w:w="320" w:type="dxa"/>
            <w:vAlign w:val="bottom"/>
            <w:tcBorders>
              <w:bottom w:val="single" w:sz="8" w:color="CCEEFF"/>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rPr>
              <w:t>58,715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4"/>
                <w:szCs w:val="14"/>
                <w:color w:val="auto"/>
              </w:rPr>
              <w:t>2,673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111"/>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rPr>
              <w:t>61,388</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100.0</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109</w:t>
      </w:r>
    </w:p>
    <w:p>
      <w:pPr>
        <w:sectPr>
          <w:pgSz w:w="11900" w:h="16838" w:orient="portrait"/>
          <w:cols w:equalWidth="0" w:num="1">
            <w:col w:w="11420"/>
          </w:cols>
          <w:pgMar w:left="240" w:top="126" w:right="239" w:bottom="1440" w:gutter="0" w:footer="0" w:header="0"/>
        </w:sectPr>
      </w:pPr>
    </w:p>
    <w:bookmarkStart w:id="111" w:name="page112"/>
    <w:bookmarkEnd w:id="111"/>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both"/>
        <w:ind w:left="180" w:firstLine="324"/>
        <w:spacing w:after="0" w:line="264" w:lineRule="auto"/>
        <w:rPr>
          <w:sz w:val="20"/>
          <w:szCs w:val="20"/>
          <w:color w:val="auto"/>
        </w:rPr>
      </w:pPr>
      <w:r>
        <w:rPr>
          <w:rFonts w:ascii="Arial" w:cs="Arial" w:eastAsia="Arial" w:hAnsi="Arial"/>
          <w:sz w:val="18"/>
          <w:szCs w:val="18"/>
          <w:color w:val="auto"/>
        </w:rPr>
        <w:t>The following tables present total fixed maturity securities, based on estimated fair value, by sector classification and by NRSRO rating and the applicable NAIC designations from the NAIC published comparison of NRSRO ratings to NAIC designations, except for certain structured securities, which are presented using the NAIC methodologies at:</w:t>
      </w:r>
    </w:p>
    <w:p>
      <w:pPr>
        <w:spacing w:after="0" w:line="348" w:lineRule="exact"/>
        <w:rPr>
          <w:sz w:val="20"/>
          <w:szCs w:val="20"/>
          <w:color w:val="auto"/>
        </w:rPr>
      </w:pPr>
    </w:p>
    <w:tbl>
      <w:tblPr>
        <w:tblLayout w:type="fixed"/>
        <w:tblInd w:w="580" w:type="dxa"/>
        <w:tblCellMar>
          <w:top w:w="0" w:type="dxa"/>
          <w:left w:w="0" w:type="dxa"/>
          <w:bottom w:w="0" w:type="dxa"/>
          <w:right w:w="0" w:type="dxa"/>
        </w:tblCellMar>
      </w:tblPr>
      <w:tr>
        <w:trPr>
          <w:trHeight w:val="192"/>
        </w:trPr>
        <w:tc>
          <w:tcPr>
            <w:tcW w:w="3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4820" w:type="dxa"/>
            <w:vAlign w:val="bottom"/>
            <w:tcBorders>
              <w:bottom w:val="single" w:sz="8" w:color="auto"/>
            </w:tcBorders>
            <w:gridSpan w:val="15"/>
          </w:tcPr>
          <w:p>
            <w:pPr>
              <w:jc w:val="center"/>
              <w:ind w:right="220"/>
              <w:spacing w:after="0"/>
              <w:rPr>
                <w:sz w:val="20"/>
                <w:szCs w:val="20"/>
                <w:color w:val="auto"/>
              </w:rPr>
            </w:pPr>
            <w:r>
              <w:rPr>
                <w:rFonts w:ascii="Arial" w:cs="Arial" w:eastAsia="Arial" w:hAnsi="Arial"/>
                <w:sz w:val="14"/>
                <w:szCs w:val="14"/>
                <w:b w:val="1"/>
                <w:bCs w:val="1"/>
                <w:color w:val="auto"/>
                <w:w w:val="95"/>
              </w:rPr>
              <w:t>Fixed Maturity Securities — by Sector &amp; Credit Quality Rating</w:t>
            </w:r>
          </w:p>
        </w:tc>
        <w:tc>
          <w:tcPr>
            <w:tcW w:w="1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3120" w:type="dxa"/>
            <w:vAlign w:val="bottom"/>
          </w:tcPr>
          <w:p>
            <w:pPr>
              <w:ind w:left="20"/>
              <w:spacing w:after="0"/>
              <w:rPr>
                <w:sz w:val="20"/>
                <w:szCs w:val="20"/>
                <w:color w:val="auto"/>
              </w:rPr>
            </w:pPr>
            <w:r>
              <w:rPr>
                <w:rFonts w:ascii="Arial" w:cs="Arial" w:eastAsia="Arial" w:hAnsi="Arial"/>
                <w:sz w:val="14"/>
                <w:szCs w:val="14"/>
                <w:b w:val="1"/>
                <w:bCs w:val="1"/>
                <w:color w:val="auto"/>
              </w:rPr>
              <w:t>NAIC Designation</w:t>
            </w:r>
          </w:p>
        </w:tc>
        <w:tc>
          <w:tcPr>
            <w:tcW w:w="14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380"/>
              <w:spacing w:after="0"/>
              <w:rPr>
                <w:sz w:val="20"/>
                <w:szCs w:val="20"/>
                <w:color w:val="auto"/>
              </w:rPr>
            </w:pPr>
            <w:r>
              <w:rPr>
                <w:rFonts w:ascii="Arial" w:cs="Arial" w:eastAsia="Arial" w:hAnsi="Arial"/>
                <w:sz w:val="14"/>
                <w:szCs w:val="14"/>
                <w:b w:val="1"/>
                <w:bCs w:val="1"/>
                <w:color w:val="auto"/>
              </w:rPr>
              <w:t>1</w:t>
            </w:r>
          </w:p>
        </w:tc>
        <w:tc>
          <w:tcPr>
            <w:tcW w:w="10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360"/>
              <w:spacing w:after="0"/>
              <w:rPr>
                <w:sz w:val="20"/>
                <w:szCs w:val="20"/>
                <w:color w:val="auto"/>
              </w:rPr>
            </w:pPr>
            <w:r>
              <w:rPr>
                <w:rFonts w:ascii="Arial" w:cs="Arial" w:eastAsia="Arial" w:hAnsi="Arial"/>
                <w:sz w:val="14"/>
                <w:szCs w:val="14"/>
                <w:b w:val="1"/>
                <w:bCs w:val="1"/>
                <w:color w:val="auto"/>
              </w:rPr>
              <w:t>2</w:t>
            </w:r>
          </w:p>
        </w:tc>
        <w:tc>
          <w:tcPr>
            <w:tcW w:w="10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ind w:right="280"/>
              <w:spacing w:after="0"/>
              <w:rPr>
                <w:sz w:val="20"/>
                <w:szCs w:val="20"/>
                <w:color w:val="auto"/>
              </w:rPr>
            </w:pPr>
            <w:r>
              <w:rPr>
                <w:rFonts w:ascii="Arial" w:cs="Arial" w:eastAsia="Arial" w:hAnsi="Arial"/>
                <w:sz w:val="14"/>
                <w:szCs w:val="14"/>
                <w:b w:val="1"/>
                <w:bCs w:val="1"/>
                <w:color w:val="auto"/>
              </w:rPr>
              <w:t>3</w:t>
            </w:r>
          </w:p>
        </w:tc>
        <w:tc>
          <w:tcPr>
            <w:tcW w:w="4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jc w:val="right"/>
              <w:ind w:right="280"/>
              <w:spacing w:after="0"/>
              <w:rPr>
                <w:sz w:val="20"/>
                <w:szCs w:val="20"/>
                <w:color w:val="auto"/>
              </w:rPr>
            </w:pPr>
            <w:r>
              <w:rPr>
                <w:rFonts w:ascii="Arial" w:cs="Arial" w:eastAsia="Arial" w:hAnsi="Arial"/>
                <w:sz w:val="14"/>
                <w:szCs w:val="14"/>
                <w:b w:val="1"/>
                <w:bCs w:val="1"/>
                <w:color w:val="auto"/>
              </w:rPr>
              <w:t>4</w:t>
            </w:r>
          </w:p>
        </w:tc>
        <w:tc>
          <w:tcPr>
            <w:tcW w:w="10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center"/>
              <w:ind w:right="80"/>
              <w:spacing w:after="0"/>
              <w:rPr>
                <w:sz w:val="20"/>
                <w:szCs w:val="20"/>
                <w:color w:val="auto"/>
              </w:rPr>
            </w:pPr>
            <w:r>
              <w:rPr>
                <w:rFonts w:ascii="Arial" w:cs="Arial" w:eastAsia="Arial" w:hAnsi="Arial"/>
                <w:sz w:val="14"/>
                <w:szCs w:val="14"/>
                <w:b w:val="1"/>
                <w:bCs w:val="1"/>
                <w:color w:val="auto"/>
              </w:rPr>
              <w:t>5</w:t>
            </w:r>
          </w:p>
        </w:tc>
        <w:tc>
          <w:tcPr>
            <w:tcW w:w="10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center"/>
              <w:ind w:right="100"/>
              <w:spacing w:after="0"/>
              <w:rPr>
                <w:sz w:val="20"/>
                <w:szCs w:val="20"/>
                <w:color w:val="auto"/>
              </w:rPr>
            </w:pPr>
            <w:r>
              <w:rPr>
                <w:rFonts w:ascii="Arial" w:cs="Arial" w:eastAsia="Arial" w:hAnsi="Arial"/>
                <w:sz w:val="14"/>
                <w:szCs w:val="14"/>
                <w:b w:val="1"/>
                <w:bCs w:val="1"/>
                <w:color w:val="auto"/>
                <w:w w:val="76"/>
              </w:rPr>
              <w:t>6</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20" w:type="dxa"/>
            <w:vAlign w:val="bottom"/>
          </w:tcPr>
          <w:p>
            <w:pPr>
              <w:jc w:val="center"/>
              <w:ind w:right="8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52"/>
        </w:trPr>
        <w:tc>
          <w:tcPr>
            <w:tcW w:w="31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NRSRO Rating</w:t>
            </w:r>
          </w:p>
        </w:tc>
        <w:tc>
          <w:tcPr>
            <w:tcW w:w="140" w:type="dxa"/>
            <w:vAlign w:val="bottom"/>
          </w:tcPr>
          <w:p>
            <w:pPr>
              <w:spacing w:after="0"/>
              <w:rPr>
                <w:sz w:val="13"/>
                <w:szCs w:val="13"/>
                <w:color w:val="auto"/>
              </w:rPr>
            </w:pPr>
          </w:p>
        </w:tc>
        <w:tc>
          <w:tcPr>
            <w:tcW w:w="9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Aaa/Aa/A</w:t>
            </w:r>
          </w:p>
        </w:tc>
        <w:tc>
          <w:tcPr>
            <w:tcW w:w="220" w:type="dxa"/>
            <w:vAlign w:val="bottom"/>
          </w:tcPr>
          <w:p>
            <w:pPr>
              <w:spacing w:after="0"/>
              <w:rPr>
                <w:sz w:val="13"/>
                <w:szCs w:val="13"/>
                <w:color w:val="auto"/>
              </w:rPr>
            </w:pPr>
          </w:p>
        </w:tc>
        <w:tc>
          <w:tcPr>
            <w:tcW w:w="84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Baa</w:t>
            </w:r>
          </w:p>
        </w:tc>
        <w:tc>
          <w:tcPr>
            <w:tcW w:w="220" w:type="dxa"/>
            <w:vAlign w:val="bottom"/>
          </w:tcPr>
          <w:p>
            <w:pPr>
              <w:spacing w:after="0"/>
              <w:rPr>
                <w:sz w:val="13"/>
                <w:szCs w:val="13"/>
                <w:color w:val="auto"/>
              </w:rPr>
            </w:pPr>
          </w:p>
        </w:tc>
        <w:tc>
          <w:tcPr>
            <w:tcW w:w="620" w:type="dxa"/>
            <w:vAlign w:val="bottom"/>
            <w:vMerge w:val="restart"/>
          </w:tcPr>
          <w:p>
            <w:pPr>
              <w:jc w:val="right"/>
              <w:ind w:right="240"/>
              <w:spacing w:after="0"/>
              <w:rPr>
                <w:sz w:val="20"/>
                <w:szCs w:val="20"/>
                <w:color w:val="auto"/>
              </w:rPr>
            </w:pPr>
            <w:r>
              <w:rPr>
                <w:rFonts w:ascii="Arial" w:cs="Arial" w:eastAsia="Arial" w:hAnsi="Arial"/>
                <w:sz w:val="14"/>
                <w:szCs w:val="14"/>
                <w:b w:val="1"/>
                <w:bCs w:val="1"/>
                <w:color w:val="auto"/>
              </w:rPr>
              <w:t>Ba</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4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B</w:t>
            </w:r>
          </w:p>
        </w:tc>
        <w:tc>
          <w:tcPr>
            <w:tcW w:w="140" w:type="dxa"/>
            <w:vAlign w:val="bottom"/>
          </w:tcPr>
          <w:p>
            <w:pPr>
              <w:spacing w:after="0"/>
              <w:rPr>
                <w:sz w:val="13"/>
                <w:szCs w:val="13"/>
                <w:color w:val="auto"/>
              </w:rPr>
            </w:pPr>
          </w:p>
        </w:tc>
        <w:tc>
          <w:tcPr>
            <w:tcW w:w="82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5"/>
              </w:rPr>
              <w:t>Caa and</w:t>
            </w:r>
          </w:p>
        </w:tc>
        <w:tc>
          <w:tcPr>
            <w:tcW w:w="160" w:type="dxa"/>
            <w:vAlign w:val="bottom"/>
          </w:tcPr>
          <w:p>
            <w:pPr>
              <w:spacing w:after="0"/>
              <w:rPr>
                <w:sz w:val="13"/>
                <w:szCs w:val="13"/>
                <w:color w:val="auto"/>
              </w:rPr>
            </w:pPr>
          </w:p>
        </w:tc>
        <w:tc>
          <w:tcPr>
            <w:tcW w:w="1020" w:type="dxa"/>
            <w:vAlign w:val="bottom"/>
            <w:gridSpan w:val="2"/>
          </w:tcPr>
          <w:p>
            <w:pPr>
              <w:jc w:val="center"/>
              <w:ind w:right="280"/>
              <w:spacing w:after="0" w:line="153" w:lineRule="exact"/>
              <w:rPr>
                <w:sz w:val="20"/>
                <w:szCs w:val="20"/>
                <w:color w:val="auto"/>
              </w:rPr>
            </w:pPr>
            <w:r>
              <w:rPr>
                <w:rFonts w:ascii="Arial" w:cs="Arial" w:eastAsia="Arial" w:hAnsi="Arial"/>
                <w:sz w:val="14"/>
                <w:szCs w:val="14"/>
                <w:b w:val="1"/>
                <w:bCs w:val="1"/>
                <w:color w:val="auto"/>
              </w:rPr>
              <w:t>In or Near</w:t>
            </w:r>
          </w:p>
        </w:tc>
        <w:tc>
          <w:tcPr>
            <w:tcW w:w="140" w:type="dxa"/>
            <w:vAlign w:val="bottom"/>
          </w:tcPr>
          <w:p>
            <w:pPr>
              <w:spacing w:after="0"/>
              <w:rPr>
                <w:sz w:val="13"/>
                <w:szCs w:val="13"/>
                <w:color w:val="auto"/>
              </w:rPr>
            </w:pPr>
          </w:p>
        </w:tc>
        <w:tc>
          <w:tcPr>
            <w:tcW w:w="920" w:type="dxa"/>
            <w:vAlign w:val="bottom"/>
          </w:tcPr>
          <w:p>
            <w:pPr>
              <w:jc w:val="center"/>
              <w:ind w:right="80"/>
              <w:spacing w:after="0" w:line="153" w:lineRule="exact"/>
              <w:rPr>
                <w:sz w:val="20"/>
                <w:szCs w:val="20"/>
                <w:color w:val="auto"/>
              </w:rPr>
            </w:pPr>
            <w:r>
              <w:rPr>
                <w:rFonts w:ascii="Arial" w:cs="Arial" w:eastAsia="Arial" w:hAnsi="Arial"/>
                <w:sz w:val="14"/>
                <w:szCs w:val="14"/>
                <w:b w:val="1"/>
                <w:bCs w:val="1"/>
                <w:color w:val="auto"/>
                <w:w w:val="95"/>
              </w:rPr>
              <w:t>Estimated</w:t>
            </w:r>
          </w:p>
        </w:tc>
        <w:tc>
          <w:tcPr>
            <w:tcW w:w="0" w:type="dxa"/>
            <w:vAlign w:val="bottom"/>
          </w:tcPr>
          <w:p>
            <w:pPr>
              <w:spacing w:after="0"/>
              <w:rPr>
                <w:sz w:val="1"/>
                <w:szCs w:val="1"/>
                <w:color w:val="auto"/>
              </w:rPr>
            </w:pPr>
          </w:p>
        </w:tc>
      </w:tr>
      <w:tr>
        <w:trPr>
          <w:trHeight w:val="192"/>
        </w:trPr>
        <w:tc>
          <w:tcPr>
            <w:tcW w:w="3120" w:type="dxa"/>
            <w:vAlign w:val="bottom"/>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gridSpan w:val="2"/>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gridSpan w:val="2"/>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vMerge w:val="continue"/>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gridSpan w:val="2"/>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6"/>
              </w:rPr>
              <w:t>Lower</w:t>
            </w:r>
          </w:p>
        </w:tc>
        <w:tc>
          <w:tcPr>
            <w:tcW w:w="1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96"/>
              </w:rPr>
              <w:t>Default</w:t>
            </w:r>
          </w:p>
        </w:tc>
        <w:tc>
          <w:tcPr>
            <w:tcW w:w="1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center"/>
              <w:ind w:right="80"/>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250"/>
        </w:trPr>
        <w:tc>
          <w:tcPr>
            <w:tcW w:w="3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960" w:type="dxa"/>
            <w:vAlign w:val="bottom"/>
            <w:gridSpan w:val="8"/>
          </w:tcPr>
          <w:p>
            <w:pPr>
              <w:jc w:val="center"/>
              <w:ind w:right="720"/>
              <w:spacing w:after="0"/>
              <w:rPr>
                <w:sz w:val="20"/>
                <w:szCs w:val="20"/>
                <w:color w:val="auto"/>
              </w:rPr>
            </w:pPr>
            <w:r>
              <w:rPr>
                <w:rFonts w:ascii="Arial" w:cs="Arial" w:eastAsia="Arial" w:hAnsi="Arial"/>
                <w:sz w:val="14"/>
                <w:szCs w:val="14"/>
                <w:b w:val="1"/>
                <w:bCs w:val="1"/>
                <w:color w:val="auto"/>
                <w:w w:val="95"/>
              </w:rPr>
              <w:t>(Dollars in millions)</w:t>
            </w:r>
          </w:p>
        </w:tc>
        <w:tc>
          <w:tcPr>
            <w:tcW w:w="1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3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September 30, 2017</w:t>
            </w:r>
          </w:p>
        </w:tc>
        <w:tc>
          <w:tcPr>
            <w:tcW w:w="14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3120" w:type="dxa"/>
            <w:vAlign w:val="bottom"/>
          </w:tcPr>
          <w:p>
            <w:pPr>
              <w:ind w:left="20"/>
              <w:spacing w:after="0"/>
              <w:rPr>
                <w:sz w:val="20"/>
                <w:szCs w:val="20"/>
                <w:color w:val="auto"/>
              </w:rPr>
            </w:pPr>
            <w:r>
              <w:rPr>
                <w:rFonts w:ascii="Arial" w:cs="Arial" w:eastAsia="Arial" w:hAnsi="Arial"/>
                <w:sz w:val="16"/>
                <w:szCs w:val="16"/>
                <w:color w:val="auto"/>
              </w:rPr>
              <w:t>U.S. corporate</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ind w:right="100"/>
              <w:spacing w:after="0"/>
              <w:rPr>
                <w:sz w:val="20"/>
                <w:szCs w:val="20"/>
                <w:color w:val="auto"/>
              </w:rPr>
            </w:pPr>
            <w:r>
              <w:rPr>
                <w:rFonts w:ascii="Arial" w:cs="Arial" w:eastAsia="Arial" w:hAnsi="Arial"/>
                <w:sz w:val="16"/>
                <w:szCs w:val="16"/>
                <w:color w:val="auto"/>
              </w:rPr>
              <w:t>9,914</w:t>
            </w:r>
          </w:p>
        </w:tc>
        <w:tc>
          <w:tcPr>
            <w:tcW w:w="100" w:type="dxa"/>
            <w:vAlign w:val="bottom"/>
          </w:tcPr>
          <w:p>
            <w:pPr>
              <w:spacing w:after="0"/>
              <w:rPr>
                <w:sz w:val="20"/>
                <w:szCs w:val="20"/>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740" w:type="dxa"/>
            <w:vAlign w:val="bottom"/>
          </w:tcPr>
          <w:p>
            <w:pPr>
              <w:jc w:val="right"/>
              <w:ind w:right="80"/>
              <w:spacing w:after="0"/>
              <w:rPr>
                <w:sz w:val="20"/>
                <w:szCs w:val="20"/>
                <w:color w:val="auto"/>
              </w:rPr>
            </w:pPr>
            <w:r>
              <w:rPr>
                <w:rFonts w:ascii="Arial" w:cs="Arial" w:eastAsia="Arial" w:hAnsi="Arial"/>
                <w:sz w:val="16"/>
                <w:szCs w:val="16"/>
                <w:color w:val="auto"/>
              </w:rPr>
              <w:t>10,505</w:t>
            </w:r>
          </w:p>
        </w:tc>
        <w:tc>
          <w:tcPr>
            <w:tcW w:w="100" w:type="dxa"/>
            <w:vAlign w:val="bottom"/>
          </w:tcPr>
          <w:p>
            <w:pPr>
              <w:spacing w:after="0"/>
              <w:rPr>
                <w:sz w:val="20"/>
                <w:szCs w:val="20"/>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620" w:type="dxa"/>
            <w:vAlign w:val="bottom"/>
          </w:tcPr>
          <w:p>
            <w:pPr>
              <w:jc w:val="right"/>
              <w:ind w:right="60"/>
              <w:spacing w:after="0"/>
              <w:rPr>
                <w:sz w:val="20"/>
                <w:szCs w:val="20"/>
                <w:color w:val="auto"/>
              </w:rPr>
            </w:pPr>
            <w:r>
              <w:rPr>
                <w:rFonts w:ascii="Arial" w:cs="Arial" w:eastAsia="Arial" w:hAnsi="Arial"/>
                <w:sz w:val="16"/>
                <w:szCs w:val="16"/>
                <w:color w:val="auto"/>
              </w:rPr>
              <w:t>1,344</w:t>
            </w:r>
          </w:p>
        </w:tc>
        <w:tc>
          <w:tcPr>
            <w:tcW w:w="360" w:type="dxa"/>
            <w:vAlign w:val="bottom"/>
            <w:gridSpan w:val="3"/>
          </w:tcPr>
          <w:p>
            <w:pPr>
              <w:jc w:val="right"/>
              <w:ind w:right="39"/>
              <w:spacing w:after="0"/>
              <w:rPr>
                <w:sz w:val="20"/>
                <w:szCs w:val="20"/>
                <w:color w:val="auto"/>
              </w:rPr>
            </w:pPr>
            <w:r>
              <w:rPr>
                <w:rFonts w:ascii="Arial" w:cs="Arial" w:eastAsia="Arial" w:hAnsi="Arial"/>
                <w:sz w:val="16"/>
                <w:szCs w:val="16"/>
                <w:color w:val="auto"/>
              </w:rPr>
              <w:t>$</w:t>
            </w:r>
          </w:p>
        </w:tc>
        <w:tc>
          <w:tcPr>
            <w:tcW w:w="540" w:type="dxa"/>
            <w:vAlign w:val="bottom"/>
          </w:tcPr>
          <w:p>
            <w:pPr>
              <w:jc w:val="right"/>
              <w:ind w:right="100"/>
              <w:spacing w:after="0"/>
              <w:rPr>
                <w:sz w:val="20"/>
                <w:szCs w:val="20"/>
                <w:color w:val="auto"/>
              </w:rPr>
            </w:pPr>
            <w:r>
              <w:rPr>
                <w:rFonts w:ascii="Arial" w:cs="Arial" w:eastAsia="Arial" w:hAnsi="Arial"/>
                <w:sz w:val="16"/>
                <w:szCs w:val="16"/>
                <w:color w:val="auto"/>
              </w:rPr>
              <w:t>660</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20" w:type="dxa"/>
            <w:vAlign w:val="bottom"/>
          </w:tcPr>
          <w:p>
            <w:pPr>
              <w:jc w:val="right"/>
              <w:ind w:right="100"/>
              <w:spacing w:after="0"/>
              <w:rPr>
                <w:sz w:val="20"/>
                <w:szCs w:val="20"/>
                <w:color w:val="auto"/>
              </w:rPr>
            </w:pPr>
            <w:r>
              <w:rPr>
                <w:rFonts w:ascii="Arial" w:cs="Arial" w:eastAsia="Arial" w:hAnsi="Arial"/>
                <w:sz w:val="16"/>
                <w:szCs w:val="16"/>
                <w:color w:val="auto"/>
              </w:rPr>
              <w:t>23</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ind w:right="100"/>
              <w:spacing w:after="0"/>
              <w:rPr>
                <w:sz w:val="20"/>
                <w:szCs w:val="20"/>
                <w:color w:val="auto"/>
              </w:rPr>
            </w:pPr>
            <w:r>
              <w:rPr>
                <w:rFonts w:ascii="Arial" w:cs="Arial" w:eastAsia="Arial" w:hAnsi="Arial"/>
                <w:sz w:val="16"/>
                <w:szCs w:val="16"/>
                <w:color w:val="auto"/>
              </w:rPr>
              <w:t>22,446</w:t>
            </w:r>
          </w:p>
        </w:tc>
        <w:tc>
          <w:tcPr>
            <w:tcW w:w="0" w:type="dxa"/>
            <w:vAlign w:val="bottom"/>
          </w:tcPr>
          <w:p>
            <w:pPr>
              <w:spacing w:after="0"/>
              <w:rPr>
                <w:sz w:val="1"/>
                <w:szCs w:val="1"/>
                <w:color w:val="auto"/>
              </w:rPr>
            </w:pPr>
          </w:p>
        </w:tc>
      </w:tr>
      <w:tr>
        <w:trPr>
          <w:trHeight w:val="33"/>
        </w:trPr>
        <w:tc>
          <w:tcPr>
            <w:tcW w:w="3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U.S. government and agency</w:t>
            </w:r>
          </w:p>
        </w:tc>
        <w:tc>
          <w:tcPr>
            <w:tcW w:w="1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00"/>
              <w:spacing w:after="0"/>
              <w:rPr>
                <w:sz w:val="20"/>
                <w:szCs w:val="20"/>
                <w:color w:val="auto"/>
              </w:rPr>
            </w:pPr>
            <w:r>
              <w:rPr>
                <w:rFonts w:ascii="Arial" w:cs="Arial" w:eastAsia="Arial" w:hAnsi="Arial"/>
                <w:sz w:val="16"/>
                <w:szCs w:val="16"/>
                <w:color w:val="auto"/>
              </w:rPr>
              <w:t>15,673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170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0"/>
              <w:spacing w:after="0"/>
              <w:rPr>
                <w:sz w:val="20"/>
                <w:szCs w:val="20"/>
                <w:color w:val="auto"/>
              </w:rPr>
            </w:pPr>
            <w:r>
              <w:rPr>
                <w:rFonts w:ascii="Arial" w:cs="Arial" w:eastAsia="Arial" w:hAnsi="Arial"/>
                <w:sz w:val="16"/>
                <w:szCs w:val="16"/>
                <w:color w:val="auto"/>
              </w:rPr>
              <w:t>15,843</w:t>
            </w:r>
          </w:p>
        </w:tc>
        <w:tc>
          <w:tcPr>
            <w:tcW w:w="0" w:type="dxa"/>
            <w:vAlign w:val="bottom"/>
          </w:tcPr>
          <w:p>
            <w:pPr>
              <w:spacing w:after="0"/>
              <w:rPr>
                <w:sz w:val="1"/>
                <w:szCs w:val="1"/>
                <w:color w:val="auto"/>
              </w:rPr>
            </w:pPr>
          </w:p>
        </w:tc>
      </w:tr>
      <w:tr>
        <w:trPr>
          <w:trHeight w:val="237"/>
        </w:trPr>
        <w:tc>
          <w:tcPr>
            <w:tcW w:w="3120" w:type="dxa"/>
            <w:vAlign w:val="bottom"/>
          </w:tcPr>
          <w:p>
            <w:pPr>
              <w:ind w:left="20"/>
              <w:spacing w:after="0"/>
              <w:rPr>
                <w:sz w:val="20"/>
                <w:szCs w:val="20"/>
                <w:color w:val="auto"/>
              </w:rPr>
            </w:pPr>
            <w:r>
              <w:rPr>
                <w:rFonts w:ascii="Arial" w:cs="Arial" w:eastAsia="Arial" w:hAnsi="Arial"/>
                <w:sz w:val="16"/>
                <w:szCs w:val="16"/>
                <w:color w:val="auto"/>
              </w:rPr>
              <w:t>RMBS</w:t>
            </w:r>
          </w:p>
        </w:tc>
        <w:tc>
          <w:tcPr>
            <w:tcW w:w="140" w:type="dxa"/>
            <w:vAlign w:val="bottom"/>
          </w:tcPr>
          <w:p>
            <w:pPr>
              <w:spacing w:after="0"/>
              <w:rPr>
                <w:sz w:val="20"/>
                <w:szCs w:val="20"/>
                <w:color w:val="auto"/>
              </w:rPr>
            </w:pPr>
          </w:p>
        </w:tc>
        <w:tc>
          <w:tcPr>
            <w:tcW w:w="820" w:type="dxa"/>
            <w:vAlign w:val="bottom"/>
          </w:tcPr>
          <w:p>
            <w:pPr>
              <w:jc w:val="right"/>
              <w:ind w:right="100"/>
              <w:spacing w:after="0"/>
              <w:rPr>
                <w:sz w:val="20"/>
                <w:szCs w:val="20"/>
                <w:color w:val="auto"/>
              </w:rPr>
            </w:pPr>
            <w:r>
              <w:rPr>
                <w:rFonts w:ascii="Arial" w:cs="Arial" w:eastAsia="Arial" w:hAnsi="Arial"/>
                <w:sz w:val="16"/>
                <w:szCs w:val="16"/>
                <w:color w:val="auto"/>
              </w:rPr>
              <w:t>7,880</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jc w:val="right"/>
              <w:ind w:right="80"/>
              <w:spacing w:after="0"/>
              <w:rPr>
                <w:sz w:val="20"/>
                <w:szCs w:val="20"/>
                <w:color w:val="auto"/>
              </w:rPr>
            </w:pPr>
            <w:r>
              <w:rPr>
                <w:rFonts w:ascii="Arial" w:cs="Arial" w:eastAsia="Arial" w:hAnsi="Arial"/>
                <w:sz w:val="16"/>
                <w:szCs w:val="16"/>
                <w:color w:val="auto"/>
              </w:rPr>
              <w:t>43</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20" w:type="dxa"/>
            <w:vAlign w:val="bottom"/>
          </w:tcPr>
          <w:p>
            <w:pPr>
              <w:jc w:val="right"/>
              <w:ind w:right="60"/>
              <w:spacing w:after="0"/>
              <w:rPr>
                <w:sz w:val="20"/>
                <w:szCs w:val="20"/>
                <w:color w:val="auto"/>
              </w:rPr>
            </w:pPr>
            <w:r>
              <w:rPr>
                <w:rFonts w:ascii="Arial" w:cs="Arial" w:eastAsia="Arial" w:hAnsi="Arial"/>
                <w:sz w:val="16"/>
                <w:szCs w:val="16"/>
                <w:color w:val="auto"/>
              </w:rPr>
              <w:t>80</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40" w:type="dxa"/>
            <w:vAlign w:val="bottom"/>
          </w:tcPr>
          <w:p>
            <w:pPr>
              <w:jc w:val="right"/>
              <w:ind w:right="100"/>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tcPr>
          <w:p>
            <w:pPr>
              <w:jc w:val="right"/>
              <w:ind w:right="100"/>
              <w:spacing w:after="0"/>
              <w:rPr>
                <w:sz w:val="20"/>
                <w:szCs w:val="20"/>
                <w:color w:val="auto"/>
              </w:rPr>
            </w:pPr>
            <w:r>
              <w:rPr>
                <w:rFonts w:ascii="Arial" w:cs="Arial" w:eastAsia="Arial" w:hAnsi="Arial"/>
                <w:sz w:val="16"/>
                <w:szCs w:val="16"/>
                <w:color w:val="auto"/>
              </w:rPr>
              <w:t>7</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920" w:type="dxa"/>
            <w:vAlign w:val="bottom"/>
          </w:tcPr>
          <w:p>
            <w:pPr>
              <w:jc w:val="right"/>
              <w:ind w:right="100"/>
              <w:spacing w:after="0"/>
              <w:rPr>
                <w:sz w:val="20"/>
                <w:szCs w:val="20"/>
                <w:color w:val="auto"/>
              </w:rPr>
            </w:pPr>
            <w:r>
              <w:rPr>
                <w:rFonts w:ascii="Arial" w:cs="Arial" w:eastAsia="Arial" w:hAnsi="Arial"/>
                <w:sz w:val="16"/>
                <w:szCs w:val="16"/>
                <w:color w:val="auto"/>
              </w:rPr>
              <w:t>8,012</w:t>
            </w:r>
          </w:p>
        </w:tc>
        <w:tc>
          <w:tcPr>
            <w:tcW w:w="0" w:type="dxa"/>
            <w:vAlign w:val="bottom"/>
          </w:tcPr>
          <w:p>
            <w:pPr>
              <w:spacing w:after="0"/>
              <w:rPr>
                <w:sz w:val="1"/>
                <w:szCs w:val="1"/>
                <w:color w:val="auto"/>
              </w:rPr>
            </w:pPr>
          </w:p>
        </w:tc>
      </w:tr>
      <w:tr>
        <w:trPr>
          <w:trHeight w:val="33"/>
        </w:trPr>
        <w:tc>
          <w:tcPr>
            <w:tcW w:w="3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Foreign corporate</w:t>
            </w:r>
          </w:p>
        </w:tc>
        <w:tc>
          <w:tcPr>
            <w:tcW w:w="1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00"/>
              <w:spacing w:after="0"/>
              <w:rPr>
                <w:sz w:val="20"/>
                <w:szCs w:val="20"/>
                <w:color w:val="auto"/>
              </w:rPr>
            </w:pPr>
            <w:r>
              <w:rPr>
                <w:rFonts w:ascii="Arial" w:cs="Arial" w:eastAsia="Arial" w:hAnsi="Arial"/>
                <w:sz w:val="16"/>
                <w:szCs w:val="16"/>
                <w:color w:val="auto"/>
              </w:rPr>
              <w:t>1,792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4,461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463</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100"/>
              <w:spacing w:after="0"/>
              <w:rPr>
                <w:sz w:val="20"/>
                <w:szCs w:val="20"/>
                <w:color w:val="auto"/>
              </w:rPr>
            </w:pPr>
            <w:r>
              <w:rPr>
                <w:rFonts w:ascii="Arial" w:cs="Arial" w:eastAsia="Arial" w:hAnsi="Arial"/>
                <w:sz w:val="16"/>
                <w:szCs w:val="16"/>
                <w:color w:val="auto"/>
              </w:rPr>
              <w:t>44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00"/>
              <w:spacing w:after="0"/>
              <w:rPr>
                <w:sz w:val="20"/>
                <w:szCs w:val="20"/>
                <w:color w:val="auto"/>
              </w:rPr>
            </w:pPr>
            <w:r>
              <w:rPr>
                <w:rFonts w:ascii="Arial" w:cs="Arial" w:eastAsia="Arial" w:hAnsi="Arial"/>
                <w:sz w:val="16"/>
                <w:szCs w:val="16"/>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0"/>
              <w:spacing w:after="0"/>
              <w:rPr>
                <w:sz w:val="20"/>
                <w:szCs w:val="20"/>
                <w:color w:val="auto"/>
              </w:rPr>
            </w:pPr>
            <w:r>
              <w:rPr>
                <w:rFonts w:ascii="Arial" w:cs="Arial" w:eastAsia="Arial" w:hAnsi="Arial"/>
                <w:sz w:val="16"/>
                <w:szCs w:val="16"/>
                <w:color w:val="auto"/>
              </w:rPr>
              <w:t>6,764</w:t>
            </w:r>
          </w:p>
        </w:tc>
        <w:tc>
          <w:tcPr>
            <w:tcW w:w="0" w:type="dxa"/>
            <w:vAlign w:val="bottom"/>
          </w:tcPr>
          <w:p>
            <w:pPr>
              <w:spacing w:after="0"/>
              <w:rPr>
                <w:sz w:val="1"/>
                <w:szCs w:val="1"/>
                <w:color w:val="auto"/>
              </w:rPr>
            </w:pPr>
          </w:p>
        </w:tc>
      </w:tr>
      <w:tr>
        <w:trPr>
          <w:trHeight w:val="237"/>
        </w:trPr>
        <w:tc>
          <w:tcPr>
            <w:tcW w:w="3120" w:type="dxa"/>
            <w:vAlign w:val="bottom"/>
          </w:tcPr>
          <w:p>
            <w:pPr>
              <w:ind w:left="20"/>
              <w:spacing w:after="0"/>
              <w:rPr>
                <w:sz w:val="20"/>
                <w:szCs w:val="20"/>
                <w:color w:val="auto"/>
              </w:rPr>
            </w:pPr>
            <w:r>
              <w:rPr>
                <w:rFonts w:ascii="Arial" w:cs="Arial" w:eastAsia="Arial" w:hAnsi="Arial"/>
                <w:sz w:val="16"/>
                <w:szCs w:val="16"/>
                <w:color w:val="auto"/>
              </w:rPr>
              <w:t>State and political subdivision</w:t>
            </w:r>
          </w:p>
        </w:tc>
        <w:tc>
          <w:tcPr>
            <w:tcW w:w="140" w:type="dxa"/>
            <w:vAlign w:val="bottom"/>
          </w:tcPr>
          <w:p>
            <w:pPr>
              <w:spacing w:after="0"/>
              <w:rPr>
                <w:sz w:val="20"/>
                <w:szCs w:val="20"/>
                <w:color w:val="auto"/>
              </w:rPr>
            </w:pPr>
          </w:p>
        </w:tc>
        <w:tc>
          <w:tcPr>
            <w:tcW w:w="820" w:type="dxa"/>
            <w:vAlign w:val="bottom"/>
          </w:tcPr>
          <w:p>
            <w:pPr>
              <w:jc w:val="right"/>
              <w:ind w:right="100"/>
              <w:spacing w:after="0"/>
              <w:rPr>
                <w:sz w:val="20"/>
                <w:szCs w:val="20"/>
                <w:color w:val="auto"/>
              </w:rPr>
            </w:pPr>
            <w:r>
              <w:rPr>
                <w:rFonts w:ascii="Arial" w:cs="Arial" w:eastAsia="Arial" w:hAnsi="Arial"/>
                <w:sz w:val="16"/>
                <w:szCs w:val="16"/>
                <w:color w:val="auto"/>
              </w:rPr>
              <w:t>4,052</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jc w:val="right"/>
              <w:ind w:right="80"/>
              <w:spacing w:after="0"/>
              <w:rPr>
                <w:sz w:val="20"/>
                <w:szCs w:val="20"/>
                <w:color w:val="auto"/>
              </w:rPr>
            </w:pPr>
            <w:r>
              <w:rPr>
                <w:rFonts w:ascii="Arial" w:cs="Arial" w:eastAsia="Arial" w:hAnsi="Arial"/>
                <w:sz w:val="16"/>
                <w:szCs w:val="16"/>
                <w:color w:val="auto"/>
              </w:rPr>
              <w:t>59</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20" w:type="dxa"/>
            <w:vAlign w:val="bottom"/>
          </w:tcPr>
          <w:p>
            <w:pPr>
              <w:jc w:val="right"/>
              <w:ind w:right="60"/>
              <w:spacing w:after="0"/>
              <w:rPr>
                <w:sz w:val="20"/>
                <w:szCs w:val="20"/>
                <w:color w:val="auto"/>
              </w:rPr>
            </w:pPr>
            <w:r>
              <w:rPr>
                <w:rFonts w:ascii="Arial" w:cs="Arial" w:eastAsia="Arial" w:hAnsi="Arial"/>
                <w:sz w:val="16"/>
                <w:szCs w:val="16"/>
                <w:color w:val="auto"/>
              </w:rPr>
              <w:t>4</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4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920" w:type="dxa"/>
            <w:vAlign w:val="bottom"/>
          </w:tcPr>
          <w:p>
            <w:pPr>
              <w:jc w:val="right"/>
              <w:ind w:right="100"/>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Pr>
          <w:p>
            <w:pPr>
              <w:jc w:val="right"/>
              <w:ind w:right="100"/>
              <w:spacing w:after="0"/>
              <w:rPr>
                <w:sz w:val="20"/>
                <w:szCs w:val="20"/>
                <w:color w:val="auto"/>
              </w:rPr>
            </w:pPr>
            <w:r>
              <w:rPr>
                <w:rFonts w:ascii="Arial" w:cs="Arial" w:eastAsia="Arial" w:hAnsi="Arial"/>
                <w:sz w:val="16"/>
                <w:szCs w:val="16"/>
                <w:color w:val="auto"/>
              </w:rPr>
              <w:t>4,118</w:t>
            </w:r>
          </w:p>
        </w:tc>
        <w:tc>
          <w:tcPr>
            <w:tcW w:w="0" w:type="dxa"/>
            <w:vAlign w:val="bottom"/>
          </w:tcPr>
          <w:p>
            <w:pPr>
              <w:spacing w:after="0"/>
              <w:rPr>
                <w:sz w:val="1"/>
                <w:szCs w:val="1"/>
                <w:color w:val="auto"/>
              </w:rPr>
            </w:pPr>
          </w:p>
        </w:tc>
      </w:tr>
      <w:tr>
        <w:trPr>
          <w:trHeight w:val="33"/>
        </w:trPr>
        <w:tc>
          <w:tcPr>
            <w:tcW w:w="3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CMBS</w:t>
            </w:r>
          </w:p>
        </w:tc>
        <w:tc>
          <w:tcPr>
            <w:tcW w:w="1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00"/>
              <w:spacing w:after="0"/>
              <w:rPr>
                <w:sz w:val="20"/>
                <w:szCs w:val="20"/>
                <w:color w:val="auto"/>
              </w:rPr>
            </w:pPr>
            <w:r>
              <w:rPr>
                <w:rFonts w:ascii="Arial" w:cs="Arial" w:eastAsia="Arial" w:hAnsi="Arial"/>
                <w:sz w:val="16"/>
                <w:szCs w:val="16"/>
                <w:color w:val="auto"/>
              </w:rPr>
              <w:t>3,377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0"/>
              <w:spacing w:after="0"/>
              <w:rPr>
                <w:sz w:val="20"/>
                <w:szCs w:val="20"/>
                <w:color w:val="auto"/>
              </w:rPr>
            </w:pPr>
            <w:r>
              <w:rPr>
                <w:rFonts w:ascii="Arial" w:cs="Arial" w:eastAsia="Arial" w:hAnsi="Arial"/>
                <w:sz w:val="16"/>
                <w:szCs w:val="16"/>
                <w:color w:val="auto"/>
              </w:rPr>
              <w:t>3,377</w:t>
            </w:r>
          </w:p>
        </w:tc>
        <w:tc>
          <w:tcPr>
            <w:tcW w:w="0" w:type="dxa"/>
            <w:vAlign w:val="bottom"/>
          </w:tcPr>
          <w:p>
            <w:pPr>
              <w:spacing w:after="0"/>
              <w:rPr>
                <w:sz w:val="1"/>
                <w:szCs w:val="1"/>
                <w:color w:val="auto"/>
              </w:rPr>
            </w:pPr>
          </w:p>
        </w:tc>
      </w:tr>
      <w:tr>
        <w:trPr>
          <w:trHeight w:val="237"/>
        </w:trPr>
        <w:tc>
          <w:tcPr>
            <w:tcW w:w="3120" w:type="dxa"/>
            <w:vAlign w:val="bottom"/>
          </w:tcPr>
          <w:p>
            <w:pPr>
              <w:ind w:left="20"/>
              <w:spacing w:after="0"/>
              <w:rPr>
                <w:sz w:val="20"/>
                <w:szCs w:val="20"/>
                <w:color w:val="auto"/>
              </w:rPr>
            </w:pPr>
            <w:r>
              <w:rPr>
                <w:rFonts w:ascii="Arial" w:cs="Arial" w:eastAsia="Arial" w:hAnsi="Arial"/>
                <w:sz w:val="16"/>
                <w:szCs w:val="16"/>
                <w:color w:val="auto"/>
              </w:rPr>
              <w:t>ABS</w:t>
            </w:r>
          </w:p>
        </w:tc>
        <w:tc>
          <w:tcPr>
            <w:tcW w:w="140" w:type="dxa"/>
            <w:vAlign w:val="bottom"/>
          </w:tcPr>
          <w:p>
            <w:pPr>
              <w:spacing w:after="0"/>
              <w:rPr>
                <w:sz w:val="20"/>
                <w:szCs w:val="20"/>
                <w:color w:val="auto"/>
              </w:rPr>
            </w:pPr>
          </w:p>
        </w:tc>
        <w:tc>
          <w:tcPr>
            <w:tcW w:w="820" w:type="dxa"/>
            <w:vAlign w:val="bottom"/>
          </w:tcPr>
          <w:p>
            <w:pPr>
              <w:jc w:val="right"/>
              <w:ind w:right="100"/>
              <w:spacing w:after="0"/>
              <w:rPr>
                <w:sz w:val="20"/>
                <w:szCs w:val="20"/>
                <w:color w:val="auto"/>
              </w:rPr>
            </w:pPr>
            <w:r>
              <w:rPr>
                <w:rFonts w:ascii="Arial" w:cs="Arial" w:eastAsia="Arial" w:hAnsi="Arial"/>
                <w:sz w:val="16"/>
                <w:szCs w:val="16"/>
                <w:color w:val="auto"/>
              </w:rPr>
              <w:t>1,481</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jc w:val="right"/>
              <w:ind w:right="80"/>
              <w:spacing w:after="0"/>
              <w:rPr>
                <w:sz w:val="20"/>
                <w:szCs w:val="20"/>
                <w:color w:val="auto"/>
              </w:rPr>
            </w:pPr>
            <w:r>
              <w:rPr>
                <w:rFonts w:ascii="Arial" w:cs="Arial" w:eastAsia="Arial" w:hAnsi="Arial"/>
                <w:sz w:val="16"/>
                <w:szCs w:val="16"/>
                <w:color w:val="auto"/>
              </w:rPr>
              <w:t>235</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20" w:type="dxa"/>
            <w:vAlign w:val="bottom"/>
          </w:tcPr>
          <w:p>
            <w:pPr>
              <w:jc w:val="right"/>
              <w:ind w:right="60"/>
              <w:spacing w:after="0"/>
              <w:rPr>
                <w:sz w:val="20"/>
                <w:szCs w:val="20"/>
                <w:color w:val="auto"/>
              </w:rPr>
            </w:pPr>
            <w:r>
              <w:rPr>
                <w:rFonts w:ascii="Arial" w:cs="Arial" w:eastAsia="Arial" w:hAnsi="Arial"/>
                <w:sz w:val="16"/>
                <w:szCs w:val="16"/>
                <w:color w:val="auto"/>
              </w:rPr>
              <w:t>34</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4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02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920" w:type="dxa"/>
            <w:vAlign w:val="bottom"/>
          </w:tcPr>
          <w:p>
            <w:pPr>
              <w:jc w:val="right"/>
              <w:ind w:right="100"/>
              <w:spacing w:after="0"/>
              <w:rPr>
                <w:sz w:val="20"/>
                <w:szCs w:val="20"/>
                <w:color w:val="auto"/>
              </w:rPr>
            </w:pPr>
            <w:r>
              <w:rPr>
                <w:rFonts w:ascii="Arial" w:cs="Arial" w:eastAsia="Arial" w:hAnsi="Arial"/>
                <w:sz w:val="16"/>
                <w:szCs w:val="16"/>
                <w:color w:val="auto"/>
              </w:rPr>
              <w:t>1,750</w:t>
            </w:r>
          </w:p>
        </w:tc>
        <w:tc>
          <w:tcPr>
            <w:tcW w:w="0" w:type="dxa"/>
            <w:vAlign w:val="bottom"/>
          </w:tcPr>
          <w:p>
            <w:pPr>
              <w:spacing w:after="0"/>
              <w:rPr>
                <w:sz w:val="1"/>
                <w:szCs w:val="1"/>
                <w:color w:val="auto"/>
              </w:rPr>
            </w:pPr>
          </w:p>
        </w:tc>
      </w:tr>
      <w:tr>
        <w:trPr>
          <w:trHeight w:val="33"/>
        </w:trPr>
        <w:tc>
          <w:tcPr>
            <w:tcW w:w="3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Foreign government</w:t>
            </w:r>
          </w:p>
        </w:tc>
        <w:tc>
          <w:tcPr>
            <w:tcW w:w="14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100"/>
              <w:spacing w:after="0"/>
              <w:rPr>
                <w:sz w:val="20"/>
                <w:szCs w:val="20"/>
                <w:color w:val="auto"/>
              </w:rPr>
            </w:pPr>
            <w:r>
              <w:rPr>
                <w:rFonts w:ascii="Arial" w:cs="Arial" w:eastAsia="Arial" w:hAnsi="Arial"/>
                <w:sz w:val="16"/>
                <w:szCs w:val="16"/>
                <w:color w:val="auto"/>
              </w:rPr>
              <w:t>579</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510</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133</w:t>
            </w:r>
          </w:p>
        </w:tc>
        <w:tc>
          <w:tcPr>
            <w:tcW w:w="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jc w:val="right"/>
              <w:ind w:right="100"/>
              <w:spacing w:after="0"/>
              <w:rPr>
                <w:sz w:val="20"/>
                <w:szCs w:val="20"/>
                <w:color w:val="auto"/>
              </w:rPr>
            </w:pPr>
            <w:r>
              <w:rPr>
                <w:rFonts w:ascii="Arial" w:cs="Arial" w:eastAsia="Arial" w:hAnsi="Arial"/>
                <w:sz w:val="16"/>
                <w:szCs w:val="16"/>
                <w:color w:val="auto"/>
              </w:rPr>
              <w:t>33</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00"/>
              <w:spacing w:after="0"/>
              <w:rPr>
                <w:sz w:val="20"/>
                <w:szCs w:val="20"/>
                <w:color w:val="auto"/>
              </w:rPr>
            </w:pPr>
            <w:r>
              <w:rPr>
                <w:rFonts w:ascii="Arial" w:cs="Arial" w:eastAsia="Arial" w:hAnsi="Arial"/>
                <w:sz w:val="16"/>
                <w:szCs w:val="16"/>
                <w:color w:val="auto"/>
              </w:rPr>
              <w:t>1,255</w:t>
            </w:r>
          </w:p>
        </w:tc>
        <w:tc>
          <w:tcPr>
            <w:tcW w:w="0" w:type="dxa"/>
            <w:vAlign w:val="bottom"/>
          </w:tcPr>
          <w:p>
            <w:pPr>
              <w:spacing w:after="0"/>
              <w:rPr>
                <w:sz w:val="1"/>
                <w:szCs w:val="1"/>
                <w:color w:val="auto"/>
              </w:rPr>
            </w:pPr>
          </w:p>
        </w:tc>
      </w:tr>
      <w:tr>
        <w:trPr>
          <w:trHeight w:val="217"/>
        </w:trPr>
        <w:tc>
          <w:tcPr>
            <w:tcW w:w="3120" w:type="dxa"/>
            <w:vAlign w:val="bottom"/>
          </w:tcPr>
          <w:p>
            <w:pPr>
              <w:ind w:left="200"/>
              <w:spacing w:after="0"/>
              <w:rPr>
                <w:sz w:val="20"/>
                <w:szCs w:val="20"/>
                <w:color w:val="auto"/>
              </w:rPr>
            </w:pPr>
            <w:r>
              <w:rPr>
                <w:rFonts w:ascii="Arial" w:cs="Arial" w:eastAsia="Arial" w:hAnsi="Arial"/>
                <w:sz w:val="16"/>
                <w:szCs w:val="16"/>
                <w:color w:val="auto"/>
              </w:rPr>
              <w:t>Total fixed maturity securities</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Borders>
              <w:top w:val="single" w:sz="8" w:color="auto"/>
            </w:tcBorders>
          </w:tcPr>
          <w:p>
            <w:pPr>
              <w:jc w:val="right"/>
              <w:ind w:right="100"/>
              <w:spacing w:after="0"/>
              <w:rPr>
                <w:sz w:val="20"/>
                <w:szCs w:val="20"/>
                <w:color w:val="auto"/>
              </w:rPr>
            </w:pPr>
            <w:r>
              <w:rPr>
                <w:rFonts w:ascii="Arial" w:cs="Arial" w:eastAsia="Arial" w:hAnsi="Arial"/>
                <w:sz w:val="16"/>
                <w:szCs w:val="16"/>
                <w:color w:val="auto"/>
              </w:rPr>
              <w:t>44,748</w:t>
            </w:r>
          </w:p>
        </w:tc>
        <w:tc>
          <w:tcPr>
            <w:tcW w:w="100" w:type="dxa"/>
            <w:vAlign w:val="bottom"/>
          </w:tcPr>
          <w:p>
            <w:pPr>
              <w:spacing w:after="0"/>
              <w:rPr>
                <w:sz w:val="18"/>
                <w:szCs w:val="18"/>
                <w:color w:val="auto"/>
              </w:rPr>
            </w:pPr>
          </w:p>
        </w:tc>
        <w:tc>
          <w:tcPr>
            <w:tcW w:w="2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740" w:type="dxa"/>
            <w:vAlign w:val="bottom"/>
            <w:tcBorders>
              <w:top w:val="single" w:sz="8" w:color="auto"/>
            </w:tcBorders>
          </w:tcPr>
          <w:p>
            <w:pPr>
              <w:jc w:val="right"/>
              <w:ind w:right="80"/>
              <w:spacing w:after="0"/>
              <w:rPr>
                <w:sz w:val="20"/>
                <w:szCs w:val="20"/>
                <w:color w:val="auto"/>
              </w:rPr>
            </w:pPr>
            <w:r>
              <w:rPr>
                <w:rFonts w:ascii="Arial" w:cs="Arial" w:eastAsia="Arial" w:hAnsi="Arial"/>
                <w:sz w:val="16"/>
                <w:szCs w:val="16"/>
                <w:color w:val="auto"/>
              </w:rPr>
              <w:t>15,983</w:t>
            </w:r>
          </w:p>
        </w:tc>
        <w:tc>
          <w:tcPr>
            <w:tcW w:w="100" w:type="dxa"/>
            <w:vAlign w:val="bottom"/>
          </w:tcPr>
          <w:p>
            <w:pPr>
              <w:spacing w:after="0"/>
              <w:rPr>
                <w:sz w:val="18"/>
                <w:szCs w:val="18"/>
                <w:color w:val="auto"/>
              </w:rPr>
            </w:pPr>
          </w:p>
        </w:tc>
        <w:tc>
          <w:tcPr>
            <w:tcW w:w="2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620" w:type="dxa"/>
            <w:vAlign w:val="bottom"/>
            <w:tcBorders>
              <w:top w:val="single" w:sz="8" w:color="auto"/>
            </w:tcBorders>
          </w:tcPr>
          <w:p>
            <w:pPr>
              <w:jc w:val="right"/>
              <w:ind w:right="60"/>
              <w:spacing w:after="0"/>
              <w:rPr>
                <w:sz w:val="20"/>
                <w:szCs w:val="20"/>
                <w:color w:val="auto"/>
              </w:rPr>
            </w:pPr>
            <w:r>
              <w:rPr>
                <w:rFonts w:ascii="Arial" w:cs="Arial" w:eastAsia="Arial" w:hAnsi="Arial"/>
                <w:sz w:val="16"/>
                <w:szCs w:val="16"/>
                <w:color w:val="auto"/>
              </w:rPr>
              <w:t>2,058</w:t>
            </w:r>
          </w:p>
        </w:tc>
        <w:tc>
          <w:tcPr>
            <w:tcW w:w="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540" w:type="dxa"/>
            <w:vAlign w:val="bottom"/>
            <w:tcBorders>
              <w:top w:val="single" w:sz="8" w:color="auto"/>
            </w:tcBorders>
          </w:tcPr>
          <w:p>
            <w:pPr>
              <w:jc w:val="right"/>
              <w:ind w:right="100"/>
              <w:spacing w:after="0"/>
              <w:rPr>
                <w:sz w:val="20"/>
                <w:szCs w:val="20"/>
                <w:color w:val="auto"/>
              </w:rPr>
            </w:pPr>
            <w:r>
              <w:rPr>
                <w:rFonts w:ascii="Arial" w:cs="Arial" w:eastAsia="Arial" w:hAnsi="Arial"/>
                <w:sz w:val="16"/>
                <w:szCs w:val="16"/>
                <w:color w:val="auto"/>
              </w:rPr>
              <w:t>739</w:t>
            </w:r>
          </w:p>
        </w:tc>
        <w:tc>
          <w:tcPr>
            <w:tcW w:w="10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20" w:type="dxa"/>
            <w:vAlign w:val="bottom"/>
            <w:tcBorders>
              <w:top w:val="single" w:sz="8" w:color="auto"/>
            </w:tcBorders>
          </w:tcPr>
          <w:p>
            <w:pPr>
              <w:jc w:val="right"/>
              <w:ind w:right="100"/>
              <w:spacing w:after="0"/>
              <w:rPr>
                <w:sz w:val="20"/>
                <w:szCs w:val="20"/>
                <w:color w:val="auto"/>
              </w:rPr>
            </w:pPr>
            <w:r>
              <w:rPr>
                <w:rFonts w:ascii="Arial" w:cs="Arial" w:eastAsia="Arial" w:hAnsi="Arial"/>
                <w:sz w:val="16"/>
                <w:szCs w:val="16"/>
                <w:color w:val="auto"/>
              </w:rPr>
              <w:t>34</w:t>
            </w:r>
          </w:p>
        </w:tc>
        <w:tc>
          <w:tcPr>
            <w:tcW w:w="10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Borders>
              <w:top w:val="single" w:sz="8" w:color="auto"/>
            </w:tcBorders>
          </w:tcPr>
          <w:p>
            <w:pPr>
              <w:jc w:val="right"/>
              <w:ind w:right="100"/>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Borders>
              <w:top w:val="single" w:sz="8" w:color="auto"/>
            </w:tcBorders>
          </w:tcPr>
          <w:p>
            <w:pPr>
              <w:jc w:val="right"/>
              <w:ind w:right="100"/>
              <w:spacing w:after="0"/>
              <w:rPr>
                <w:sz w:val="20"/>
                <w:szCs w:val="20"/>
                <w:color w:val="auto"/>
              </w:rPr>
            </w:pPr>
            <w:r>
              <w:rPr>
                <w:rFonts w:ascii="Arial" w:cs="Arial" w:eastAsia="Arial" w:hAnsi="Arial"/>
                <w:sz w:val="16"/>
                <w:szCs w:val="16"/>
                <w:color w:val="auto"/>
              </w:rPr>
              <w:t>63,565</w:t>
            </w:r>
          </w:p>
        </w:tc>
        <w:tc>
          <w:tcPr>
            <w:tcW w:w="0" w:type="dxa"/>
            <w:vAlign w:val="bottom"/>
          </w:tcPr>
          <w:p>
            <w:pPr>
              <w:spacing w:after="0"/>
              <w:rPr>
                <w:sz w:val="1"/>
                <w:szCs w:val="1"/>
                <w:color w:val="auto"/>
              </w:rPr>
            </w:pPr>
          </w:p>
        </w:tc>
      </w:tr>
      <w:tr>
        <w:trPr>
          <w:trHeight w:val="73"/>
        </w:trPr>
        <w:tc>
          <w:tcPr>
            <w:tcW w:w="3120" w:type="dxa"/>
            <w:vAlign w:val="bottom"/>
            <w:tcBorders>
              <w:bottom w:val="single" w:sz="8" w:color="CCEEFF"/>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82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74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62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54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72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92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92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7"/>
        </w:trPr>
        <w:tc>
          <w:tcPr>
            <w:tcW w:w="3120" w:type="dxa"/>
            <w:vAlign w:val="bottom"/>
            <w:tcBorders>
              <w:bottom w:val="single" w:sz="8" w:color="CCEEFF"/>
            </w:tcBorders>
            <w:shd w:val="clear" w:color="auto" w:fill="CCEEFF"/>
          </w:tcPr>
          <w:p>
            <w:pPr>
              <w:ind w:left="200"/>
              <w:spacing w:after="0" w:line="177" w:lineRule="exact"/>
              <w:rPr>
                <w:sz w:val="20"/>
                <w:szCs w:val="20"/>
                <w:color w:val="auto"/>
              </w:rPr>
            </w:pPr>
            <w:r>
              <w:rPr>
                <w:rFonts w:ascii="Arial" w:cs="Arial" w:eastAsia="Arial" w:hAnsi="Arial"/>
                <w:sz w:val="16"/>
                <w:szCs w:val="16"/>
                <w:color w:val="auto"/>
              </w:rPr>
              <w:t>Percentage of total</w:t>
            </w:r>
          </w:p>
        </w:tc>
        <w:tc>
          <w:tcPr>
            <w:tcW w:w="14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70.4%</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25.1%</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3.2%</w:t>
            </w:r>
          </w:p>
        </w:tc>
        <w:tc>
          <w:tcPr>
            <w:tcW w:w="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gridSpan w:val="2"/>
            <w:shd w:val="clear" w:color="auto" w:fill="CCEEFF"/>
          </w:tcPr>
          <w:p>
            <w:pPr>
              <w:ind w:left="58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0" w:type="dxa"/>
            <w:vAlign w:val="bottom"/>
          </w:tcPr>
          <w:p>
            <w:pPr>
              <w:spacing w:after="0"/>
              <w:rPr>
                <w:sz w:val="1"/>
                <w:szCs w:val="1"/>
                <w:color w:val="auto"/>
              </w:rPr>
            </w:pPr>
          </w:p>
        </w:tc>
      </w:tr>
      <w:tr>
        <w:trPr>
          <w:trHeight w:val="224"/>
        </w:trPr>
        <w:tc>
          <w:tcPr>
            <w:tcW w:w="3120" w:type="dxa"/>
            <w:vAlign w:val="bottom"/>
          </w:tcPr>
          <w:p>
            <w:pPr>
              <w:ind w:left="20"/>
              <w:spacing w:after="0"/>
              <w:rPr>
                <w:sz w:val="20"/>
                <w:szCs w:val="20"/>
                <w:color w:val="auto"/>
              </w:rPr>
            </w:pPr>
            <w:r>
              <w:rPr>
                <w:rFonts w:ascii="Arial" w:cs="Arial" w:eastAsia="Arial" w:hAnsi="Arial"/>
                <w:sz w:val="16"/>
                <w:szCs w:val="16"/>
                <w:b w:val="1"/>
                <w:bCs w:val="1"/>
                <w:color w:val="auto"/>
              </w:rPr>
              <w:t>December 31, 2016</w:t>
            </w:r>
          </w:p>
        </w:tc>
        <w:tc>
          <w:tcPr>
            <w:tcW w:w="1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3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7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62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5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7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9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9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3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U.S. corporate</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CCEEFF"/>
            </w:tcBorders>
            <w:shd w:val="clear" w:color="auto" w:fill="CCEEFF"/>
          </w:tcPr>
          <w:p>
            <w:pPr>
              <w:jc w:val="right"/>
              <w:ind w:right="100"/>
              <w:spacing w:after="0"/>
              <w:rPr>
                <w:sz w:val="20"/>
                <w:szCs w:val="20"/>
                <w:color w:val="auto"/>
              </w:rPr>
            </w:pPr>
            <w:r>
              <w:rPr>
                <w:rFonts w:ascii="Arial" w:cs="Arial" w:eastAsia="Arial" w:hAnsi="Arial"/>
                <w:sz w:val="16"/>
                <w:szCs w:val="16"/>
                <w:color w:val="auto"/>
              </w:rPr>
              <w:t>9,978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10,241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62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1,466</w:t>
            </w:r>
          </w:p>
        </w:tc>
        <w:tc>
          <w:tcPr>
            <w:tcW w:w="360" w:type="dxa"/>
            <w:vAlign w:val="bottom"/>
            <w:tcBorders>
              <w:bottom w:val="single" w:sz="8" w:color="CCEEFF"/>
            </w:tcBorders>
            <w:gridSpan w:val="3"/>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540" w:type="dxa"/>
            <w:vAlign w:val="bottom"/>
            <w:tcBorders>
              <w:bottom w:val="single" w:sz="8" w:color="CCEEFF"/>
            </w:tcBorders>
            <w:shd w:val="clear" w:color="auto" w:fill="CCEEFF"/>
          </w:tcPr>
          <w:p>
            <w:pPr>
              <w:jc w:val="right"/>
              <w:ind w:right="100"/>
              <w:spacing w:after="0"/>
              <w:rPr>
                <w:sz w:val="20"/>
                <w:szCs w:val="20"/>
                <w:color w:val="auto"/>
              </w:rPr>
            </w:pPr>
            <w:r>
              <w:rPr>
                <w:rFonts w:ascii="Arial" w:cs="Arial" w:eastAsia="Arial" w:hAnsi="Arial"/>
                <w:sz w:val="16"/>
                <w:szCs w:val="16"/>
                <w:color w:val="auto"/>
              </w:rPr>
              <w:t>595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20" w:type="dxa"/>
            <w:vAlign w:val="bottom"/>
            <w:tcBorders>
              <w:bottom w:val="single" w:sz="8" w:color="CCEEFF"/>
            </w:tcBorders>
            <w:shd w:val="clear" w:color="auto" w:fill="CCEEFF"/>
          </w:tcPr>
          <w:p>
            <w:pPr>
              <w:jc w:val="right"/>
              <w:ind w:right="100"/>
              <w:spacing w:after="0"/>
              <w:rPr>
                <w:sz w:val="20"/>
                <w:szCs w:val="20"/>
                <w:color w:val="auto"/>
              </w:rPr>
            </w:pPr>
            <w:r>
              <w:rPr>
                <w:rFonts w:ascii="Arial" w:cs="Arial" w:eastAsia="Arial" w:hAnsi="Arial"/>
                <w:sz w:val="16"/>
                <w:szCs w:val="16"/>
                <w:color w:val="auto"/>
              </w:rPr>
              <w:t>31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CCEEFF"/>
            </w:tcBorders>
            <w:shd w:val="clear" w:color="auto" w:fill="CCEEFF"/>
          </w:tcPr>
          <w:p>
            <w:pPr>
              <w:jc w:val="right"/>
              <w:ind w:right="100"/>
              <w:spacing w:after="0"/>
              <w:rPr>
                <w:sz w:val="20"/>
                <w:szCs w:val="20"/>
                <w:color w:val="auto"/>
              </w:rPr>
            </w:pPr>
            <w:r>
              <w:rPr>
                <w:rFonts w:ascii="Arial" w:cs="Arial" w:eastAsia="Arial" w:hAnsi="Arial"/>
                <w:sz w:val="16"/>
                <w:szCs w:val="16"/>
                <w:color w:val="auto"/>
              </w:rPr>
              <w:t>22,311</w:t>
            </w:r>
          </w:p>
        </w:tc>
        <w:tc>
          <w:tcPr>
            <w:tcW w:w="0" w:type="dxa"/>
            <w:vAlign w:val="bottom"/>
          </w:tcPr>
          <w:p>
            <w:pPr>
              <w:spacing w:after="0"/>
              <w:rPr>
                <w:sz w:val="1"/>
                <w:szCs w:val="1"/>
                <w:color w:val="auto"/>
              </w:rPr>
            </w:pPr>
          </w:p>
        </w:tc>
      </w:tr>
      <w:tr>
        <w:trPr>
          <w:trHeight w:val="237"/>
        </w:trPr>
        <w:tc>
          <w:tcPr>
            <w:tcW w:w="3120" w:type="dxa"/>
            <w:vAlign w:val="bottom"/>
          </w:tcPr>
          <w:p>
            <w:pPr>
              <w:ind w:left="20"/>
              <w:spacing w:after="0"/>
              <w:rPr>
                <w:sz w:val="20"/>
                <w:szCs w:val="20"/>
                <w:color w:val="auto"/>
              </w:rPr>
            </w:pPr>
            <w:r>
              <w:rPr>
                <w:rFonts w:ascii="Arial" w:cs="Arial" w:eastAsia="Arial" w:hAnsi="Arial"/>
                <w:sz w:val="16"/>
                <w:szCs w:val="16"/>
                <w:color w:val="auto"/>
              </w:rPr>
              <w:t>U.S. government and agency</w:t>
            </w:r>
          </w:p>
        </w:tc>
        <w:tc>
          <w:tcPr>
            <w:tcW w:w="140" w:type="dxa"/>
            <w:vAlign w:val="bottom"/>
          </w:tcPr>
          <w:p>
            <w:pPr>
              <w:spacing w:after="0"/>
              <w:rPr>
                <w:sz w:val="20"/>
                <w:szCs w:val="20"/>
                <w:color w:val="auto"/>
              </w:rPr>
            </w:pPr>
          </w:p>
        </w:tc>
        <w:tc>
          <w:tcPr>
            <w:tcW w:w="820" w:type="dxa"/>
            <w:vAlign w:val="bottom"/>
          </w:tcPr>
          <w:p>
            <w:pPr>
              <w:jc w:val="right"/>
              <w:ind w:right="100"/>
              <w:spacing w:after="0"/>
              <w:rPr>
                <w:sz w:val="20"/>
                <w:szCs w:val="20"/>
                <w:color w:val="auto"/>
              </w:rPr>
            </w:pPr>
            <w:r>
              <w:rPr>
                <w:rFonts w:ascii="Arial" w:cs="Arial" w:eastAsia="Arial" w:hAnsi="Arial"/>
                <w:sz w:val="16"/>
                <w:szCs w:val="16"/>
                <w:color w:val="auto"/>
              </w:rPr>
              <w:t>12,920</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jc w:val="right"/>
              <w:ind w:right="80"/>
              <w:spacing w:after="0"/>
              <w:rPr>
                <w:sz w:val="20"/>
                <w:szCs w:val="20"/>
                <w:color w:val="auto"/>
              </w:rPr>
            </w:pPr>
            <w:r>
              <w:rPr>
                <w:rFonts w:ascii="Arial" w:cs="Arial" w:eastAsia="Arial" w:hAnsi="Arial"/>
                <w:sz w:val="16"/>
                <w:szCs w:val="16"/>
                <w:color w:val="auto"/>
              </w:rPr>
              <w:t>170</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2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4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02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920" w:type="dxa"/>
            <w:vAlign w:val="bottom"/>
          </w:tcPr>
          <w:p>
            <w:pPr>
              <w:jc w:val="right"/>
              <w:ind w:right="100"/>
              <w:spacing w:after="0"/>
              <w:rPr>
                <w:sz w:val="20"/>
                <w:szCs w:val="20"/>
                <w:color w:val="auto"/>
              </w:rPr>
            </w:pPr>
            <w:r>
              <w:rPr>
                <w:rFonts w:ascii="Arial" w:cs="Arial" w:eastAsia="Arial" w:hAnsi="Arial"/>
                <w:sz w:val="16"/>
                <w:szCs w:val="16"/>
                <w:color w:val="auto"/>
              </w:rPr>
              <w:t>13,090</w:t>
            </w:r>
          </w:p>
        </w:tc>
        <w:tc>
          <w:tcPr>
            <w:tcW w:w="0" w:type="dxa"/>
            <w:vAlign w:val="bottom"/>
          </w:tcPr>
          <w:p>
            <w:pPr>
              <w:spacing w:after="0"/>
              <w:rPr>
                <w:sz w:val="1"/>
                <w:szCs w:val="1"/>
                <w:color w:val="auto"/>
              </w:rPr>
            </w:pPr>
          </w:p>
        </w:tc>
      </w:tr>
      <w:tr>
        <w:trPr>
          <w:trHeight w:val="33"/>
        </w:trPr>
        <w:tc>
          <w:tcPr>
            <w:tcW w:w="3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RMBS</w:t>
            </w:r>
          </w:p>
        </w:tc>
        <w:tc>
          <w:tcPr>
            <w:tcW w:w="1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00"/>
              <w:spacing w:after="0"/>
              <w:rPr>
                <w:sz w:val="20"/>
                <w:szCs w:val="20"/>
                <w:color w:val="auto"/>
              </w:rPr>
            </w:pPr>
            <w:r>
              <w:rPr>
                <w:rFonts w:ascii="Arial" w:cs="Arial" w:eastAsia="Arial" w:hAnsi="Arial"/>
                <w:sz w:val="16"/>
                <w:szCs w:val="16"/>
                <w:color w:val="auto"/>
              </w:rPr>
              <w:t>7,726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202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78</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100"/>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00"/>
              <w:spacing w:after="0"/>
              <w:rPr>
                <w:sz w:val="20"/>
                <w:szCs w:val="20"/>
                <w:color w:val="auto"/>
              </w:rPr>
            </w:pPr>
            <w:r>
              <w:rPr>
                <w:rFonts w:ascii="Arial" w:cs="Arial" w:eastAsia="Arial" w:hAnsi="Arial"/>
                <w:sz w:val="16"/>
                <w:szCs w:val="16"/>
                <w:color w:val="auto"/>
              </w:rPr>
              <w:t>11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0"/>
              <w:spacing w:after="0"/>
              <w:rPr>
                <w:sz w:val="20"/>
                <w:szCs w:val="20"/>
                <w:color w:val="auto"/>
              </w:rPr>
            </w:pPr>
            <w:r>
              <w:rPr>
                <w:rFonts w:ascii="Arial" w:cs="Arial" w:eastAsia="Arial" w:hAnsi="Arial"/>
                <w:sz w:val="16"/>
                <w:szCs w:val="16"/>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0"/>
              <w:spacing w:after="0"/>
              <w:rPr>
                <w:sz w:val="20"/>
                <w:szCs w:val="20"/>
                <w:color w:val="auto"/>
              </w:rPr>
            </w:pPr>
            <w:r>
              <w:rPr>
                <w:rFonts w:ascii="Arial" w:cs="Arial" w:eastAsia="Arial" w:hAnsi="Arial"/>
                <w:sz w:val="16"/>
                <w:szCs w:val="16"/>
                <w:color w:val="auto"/>
              </w:rPr>
              <w:t>8,023</w:t>
            </w:r>
          </w:p>
        </w:tc>
        <w:tc>
          <w:tcPr>
            <w:tcW w:w="0" w:type="dxa"/>
            <w:vAlign w:val="bottom"/>
          </w:tcPr>
          <w:p>
            <w:pPr>
              <w:spacing w:after="0"/>
              <w:rPr>
                <w:sz w:val="1"/>
                <w:szCs w:val="1"/>
                <w:color w:val="auto"/>
              </w:rPr>
            </w:pPr>
          </w:p>
        </w:tc>
      </w:tr>
      <w:tr>
        <w:trPr>
          <w:trHeight w:val="237"/>
        </w:trPr>
        <w:tc>
          <w:tcPr>
            <w:tcW w:w="3120" w:type="dxa"/>
            <w:vAlign w:val="bottom"/>
          </w:tcPr>
          <w:p>
            <w:pPr>
              <w:ind w:left="20"/>
              <w:spacing w:after="0"/>
              <w:rPr>
                <w:sz w:val="20"/>
                <w:szCs w:val="20"/>
                <w:color w:val="auto"/>
              </w:rPr>
            </w:pPr>
            <w:r>
              <w:rPr>
                <w:rFonts w:ascii="Arial" w:cs="Arial" w:eastAsia="Arial" w:hAnsi="Arial"/>
                <w:sz w:val="16"/>
                <w:szCs w:val="16"/>
                <w:color w:val="auto"/>
              </w:rPr>
              <w:t>Foreign corporate</w:t>
            </w:r>
          </w:p>
        </w:tc>
        <w:tc>
          <w:tcPr>
            <w:tcW w:w="140" w:type="dxa"/>
            <w:vAlign w:val="bottom"/>
          </w:tcPr>
          <w:p>
            <w:pPr>
              <w:spacing w:after="0"/>
              <w:rPr>
                <w:sz w:val="20"/>
                <w:szCs w:val="20"/>
                <w:color w:val="auto"/>
              </w:rPr>
            </w:pPr>
          </w:p>
        </w:tc>
        <w:tc>
          <w:tcPr>
            <w:tcW w:w="820" w:type="dxa"/>
            <w:vAlign w:val="bottom"/>
          </w:tcPr>
          <w:p>
            <w:pPr>
              <w:jc w:val="right"/>
              <w:ind w:right="100"/>
              <w:spacing w:after="0"/>
              <w:rPr>
                <w:sz w:val="20"/>
                <w:szCs w:val="20"/>
                <w:color w:val="auto"/>
              </w:rPr>
            </w:pPr>
            <w:r>
              <w:rPr>
                <w:rFonts w:ascii="Arial" w:cs="Arial" w:eastAsia="Arial" w:hAnsi="Arial"/>
                <w:sz w:val="16"/>
                <w:szCs w:val="16"/>
                <w:color w:val="auto"/>
              </w:rPr>
              <w:t>1,918</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jc w:val="right"/>
              <w:ind w:right="80"/>
              <w:spacing w:after="0"/>
              <w:rPr>
                <w:sz w:val="20"/>
                <w:szCs w:val="20"/>
                <w:color w:val="auto"/>
              </w:rPr>
            </w:pPr>
            <w:r>
              <w:rPr>
                <w:rFonts w:ascii="Arial" w:cs="Arial" w:eastAsia="Arial" w:hAnsi="Arial"/>
                <w:sz w:val="16"/>
                <w:szCs w:val="16"/>
                <w:color w:val="auto"/>
              </w:rPr>
              <w:t>3,898</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20" w:type="dxa"/>
            <w:vAlign w:val="bottom"/>
          </w:tcPr>
          <w:p>
            <w:pPr>
              <w:jc w:val="right"/>
              <w:ind w:right="60"/>
              <w:spacing w:after="0"/>
              <w:rPr>
                <w:sz w:val="20"/>
                <w:szCs w:val="20"/>
                <w:color w:val="auto"/>
              </w:rPr>
            </w:pPr>
            <w:r>
              <w:rPr>
                <w:rFonts w:ascii="Arial" w:cs="Arial" w:eastAsia="Arial" w:hAnsi="Arial"/>
                <w:sz w:val="16"/>
                <w:szCs w:val="16"/>
                <w:color w:val="auto"/>
              </w:rPr>
              <w:t>502</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40" w:type="dxa"/>
            <w:vAlign w:val="bottom"/>
          </w:tcPr>
          <w:p>
            <w:pPr>
              <w:jc w:val="right"/>
              <w:ind w:right="100"/>
              <w:spacing w:after="0"/>
              <w:rPr>
                <w:sz w:val="20"/>
                <w:szCs w:val="20"/>
                <w:color w:val="auto"/>
              </w:rPr>
            </w:pPr>
            <w:r>
              <w:rPr>
                <w:rFonts w:ascii="Arial" w:cs="Arial" w:eastAsia="Arial" w:hAnsi="Arial"/>
                <w:sz w:val="16"/>
                <w:szCs w:val="16"/>
                <w:color w:val="auto"/>
              </w:rPr>
              <w:t>70</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tcPr>
          <w:p>
            <w:pPr>
              <w:jc w:val="right"/>
              <w:ind w:right="100"/>
              <w:spacing w:after="0"/>
              <w:rPr>
                <w:sz w:val="20"/>
                <w:szCs w:val="20"/>
                <w:color w:val="auto"/>
              </w:rPr>
            </w:pPr>
            <w:r>
              <w:rPr>
                <w:rFonts w:ascii="Arial" w:cs="Arial" w:eastAsia="Arial" w:hAnsi="Arial"/>
                <w:sz w:val="16"/>
                <w:szCs w:val="16"/>
                <w:color w:val="auto"/>
              </w:rPr>
              <w:t>5</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920" w:type="dxa"/>
            <w:vAlign w:val="bottom"/>
          </w:tcPr>
          <w:p>
            <w:pPr>
              <w:jc w:val="right"/>
              <w:ind w:right="100"/>
              <w:spacing w:after="0"/>
              <w:rPr>
                <w:sz w:val="20"/>
                <w:szCs w:val="20"/>
                <w:color w:val="auto"/>
              </w:rPr>
            </w:pPr>
            <w:r>
              <w:rPr>
                <w:rFonts w:ascii="Arial" w:cs="Arial" w:eastAsia="Arial" w:hAnsi="Arial"/>
                <w:sz w:val="16"/>
                <w:szCs w:val="16"/>
                <w:color w:val="auto"/>
              </w:rPr>
              <w:t>6,393</w:t>
            </w:r>
          </w:p>
        </w:tc>
        <w:tc>
          <w:tcPr>
            <w:tcW w:w="0" w:type="dxa"/>
            <w:vAlign w:val="bottom"/>
          </w:tcPr>
          <w:p>
            <w:pPr>
              <w:spacing w:after="0"/>
              <w:rPr>
                <w:sz w:val="1"/>
                <w:szCs w:val="1"/>
                <w:color w:val="auto"/>
              </w:rPr>
            </w:pPr>
          </w:p>
        </w:tc>
      </w:tr>
      <w:tr>
        <w:trPr>
          <w:trHeight w:val="33"/>
        </w:trPr>
        <w:tc>
          <w:tcPr>
            <w:tcW w:w="3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State and political subdivision</w:t>
            </w:r>
          </w:p>
        </w:tc>
        <w:tc>
          <w:tcPr>
            <w:tcW w:w="1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00"/>
              <w:spacing w:after="0"/>
              <w:rPr>
                <w:sz w:val="20"/>
                <w:szCs w:val="20"/>
                <w:color w:val="auto"/>
              </w:rPr>
            </w:pPr>
            <w:r>
              <w:rPr>
                <w:rFonts w:ascii="Arial" w:cs="Arial" w:eastAsia="Arial" w:hAnsi="Arial"/>
                <w:sz w:val="16"/>
                <w:szCs w:val="16"/>
                <w:color w:val="auto"/>
              </w:rPr>
              <w:t>3,905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31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4</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00"/>
              <w:spacing w:after="0"/>
              <w:rPr>
                <w:sz w:val="20"/>
                <w:szCs w:val="20"/>
                <w:color w:val="auto"/>
              </w:rPr>
            </w:pPr>
            <w:r>
              <w:rPr>
                <w:rFonts w:ascii="Arial" w:cs="Arial" w:eastAsia="Arial" w:hAnsi="Arial"/>
                <w:sz w:val="16"/>
                <w:szCs w:val="16"/>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0"/>
              <w:spacing w:after="0"/>
              <w:rPr>
                <w:sz w:val="20"/>
                <w:szCs w:val="20"/>
                <w:color w:val="auto"/>
              </w:rPr>
            </w:pPr>
            <w:r>
              <w:rPr>
                <w:rFonts w:ascii="Arial" w:cs="Arial" w:eastAsia="Arial" w:hAnsi="Arial"/>
                <w:sz w:val="16"/>
                <w:szCs w:val="16"/>
                <w:color w:val="auto"/>
              </w:rPr>
              <w:t>3,945</w:t>
            </w:r>
          </w:p>
        </w:tc>
        <w:tc>
          <w:tcPr>
            <w:tcW w:w="0" w:type="dxa"/>
            <w:vAlign w:val="bottom"/>
          </w:tcPr>
          <w:p>
            <w:pPr>
              <w:spacing w:after="0"/>
              <w:rPr>
                <w:sz w:val="1"/>
                <w:szCs w:val="1"/>
                <w:color w:val="auto"/>
              </w:rPr>
            </w:pPr>
          </w:p>
        </w:tc>
      </w:tr>
      <w:tr>
        <w:trPr>
          <w:trHeight w:val="237"/>
        </w:trPr>
        <w:tc>
          <w:tcPr>
            <w:tcW w:w="3120" w:type="dxa"/>
            <w:vAlign w:val="bottom"/>
          </w:tcPr>
          <w:p>
            <w:pPr>
              <w:ind w:left="20"/>
              <w:spacing w:after="0"/>
              <w:rPr>
                <w:sz w:val="20"/>
                <w:szCs w:val="20"/>
                <w:color w:val="auto"/>
              </w:rPr>
            </w:pPr>
            <w:r>
              <w:rPr>
                <w:rFonts w:ascii="Arial" w:cs="Arial" w:eastAsia="Arial" w:hAnsi="Arial"/>
                <w:sz w:val="16"/>
                <w:szCs w:val="16"/>
                <w:color w:val="auto"/>
              </w:rPr>
              <w:t>CMBS</w:t>
            </w:r>
          </w:p>
        </w:tc>
        <w:tc>
          <w:tcPr>
            <w:tcW w:w="140" w:type="dxa"/>
            <w:vAlign w:val="bottom"/>
          </w:tcPr>
          <w:p>
            <w:pPr>
              <w:spacing w:after="0"/>
              <w:rPr>
                <w:sz w:val="20"/>
                <w:szCs w:val="20"/>
                <w:color w:val="auto"/>
              </w:rPr>
            </w:pPr>
          </w:p>
        </w:tc>
        <w:tc>
          <w:tcPr>
            <w:tcW w:w="820" w:type="dxa"/>
            <w:vAlign w:val="bottom"/>
          </w:tcPr>
          <w:p>
            <w:pPr>
              <w:jc w:val="right"/>
              <w:ind w:right="100"/>
              <w:spacing w:after="0"/>
              <w:rPr>
                <w:sz w:val="20"/>
                <w:szCs w:val="20"/>
                <w:color w:val="auto"/>
              </w:rPr>
            </w:pPr>
            <w:r>
              <w:rPr>
                <w:rFonts w:ascii="Arial" w:cs="Arial" w:eastAsia="Arial" w:hAnsi="Arial"/>
                <w:sz w:val="16"/>
                <w:szCs w:val="16"/>
                <w:color w:val="auto"/>
              </w:rPr>
              <w:t>3,812</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62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4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02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920" w:type="dxa"/>
            <w:vAlign w:val="bottom"/>
          </w:tcPr>
          <w:p>
            <w:pPr>
              <w:jc w:val="right"/>
              <w:ind w:right="100"/>
              <w:spacing w:after="0"/>
              <w:rPr>
                <w:sz w:val="20"/>
                <w:szCs w:val="20"/>
                <w:color w:val="auto"/>
              </w:rPr>
            </w:pPr>
            <w:r>
              <w:rPr>
                <w:rFonts w:ascii="Arial" w:cs="Arial" w:eastAsia="Arial" w:hAnsi="Arial"/>
                <w:sz w:val="16"/>
                <w:szCs w:val="16"/>
                <w:color w:val="auto"/>
              </w:rPr>
              <w:t>3,812</w:t>
            </w:r>
          </w:p>
        </w:tc>
        <w:tc>
          <w:tcPr>
            <w:tcW w:w="0" w:type="dxa"/>
            <w:vAlign w:val="bottom"/>
          </w:tcPr>
          <w:p>
            <w:pPr>
              <w:spacing w:after="0"/>
              <w:rPr>
                <w:sz w:val="1"/>
                <w:szCs w:val="1"/>
                <w:color w:val="auto"/>
              </w:rPr>
            </w:pPr>
          </w:p>
        </w:tc>
      </w:tr>
      <w:tr>
        <w:trPr>
          <w:trHeight w:val="33"/>
        </w:trPr>
        <w:tc>
          <w:tcPr>
            <w:tcW w:w="3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ABS</w:t>
            </w:r>
          </w:p>
        </w:tc>
        <w:tc>
          <w:tcPr>
            <w:tcW w:w="1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00"/>
              <w:spacing w:after="0"/>
              <w:rPr>
                <w:sz w:val="20"/>
                <w:szCs w:val="20"/>
                <w:color w:val="auto"/>
              </w:rPr>
            </w:pPr>
            <w:r>
              <w:rPr>
                <w:rFonts w:ascii="Arial" w:cs="Arial" w:eastAsia="Arial" w:hAnsi="Arial"/>
                <w:sz w:val="16"/>
                <w:szCs w:val="16"/>
                <w:color w:val="auto"/>
              </w:rPr>
              <w:t>2,343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278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31</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0"/>
              <w:spacing w:after="0"/>
              <w:rPr>
                <w:sz w:val="20"/>
                <w:szCs w:val="20"/>
                <w:color w:val="auto"/>
              </w:rPr>
            </w:pPr>
            <w:r>
              <w:rPr>
                <w:rFonts w:ascii="Arial" w:cs="Arial" w:eastAsia="Arial" w:hAnsi="Arial"/>
                <w:sz w:val="16"/>
                <w:szCs w:val="16"/>
                <w:color w:val="auto"/>
              </w:rPr>
              <w:t>2,652</w:t>
            </w:r>
          </w:p>
        </w:tc>
        <w:tc>
          <w:tcPr>
            <w:tcW w:w="0" w:type="dxa"/>
            <w:vAlign w:val="bottom"/>
          </w:tcPr>
          <w:p>
            <w:pPr>
              <w:spacing w:after="0"/>
              <w:rPr>
                <w:sz w:val="1"/>
                <w:szCs w:val="1"/>
                <w:color w:val="auto"/>
              </w:rPr>
            </w:pPr>
          </w:p>
        </w:tc>
      </w:tr>
      <w:tr>
        <w:trPr>
          <w:trHeight w:val="237"/>
        </w:trPr>
        <w:tc>
          <w:tcPr>
            <w:tcW w:w="3120" w:type="dxa"/>
            <w:vAlign w:val="bottom"/>
          </w:tcPr>
          <w:p>
            <w:pPr>
              <w:ind w:left="20"/>
              <w:spacing w:after="0"/>
              <w:rPr>
                <w:sz w:val="20"/>
                <w:szCs w:val="20"/>
                <w:color w:val="auto"/>
              </w:rPr>
            </w:pPr>
            <w:r>
              <w:rPr>
                <w:rFonts w:ascii="Arial" w:cs="Arial" w:eastAsia="Arial" w:hAnsi="Arial"/>
                <w:sz w:val="16"/>
                <w:szCs w:val="16"/>
                <w:color w:val="auto"/>
              </w:rPr>
              <w:t>Foreign government</w:t>
            </w:r>
          </w:p>
        </w:tc>
        <w:tc>
          <w:tcPr>
            <w:tcW w:w="140" w:type="dxa"/>
            <w:vAlign w:val="bottom"/>
          </w:tcPr>
          <w:p>
            <w:pPr>
              <w:spacing w:after="0"/>
              <w:rPr>
                <w:sz w:val="20"/>
                <w:szCs w:val="20"/>
                <w:color w:val="auto"/>
              </w:rPr>
            </w:pPr>
          </w:p>
        </w:tc>
        <w:tc>
          <w:tcPr>
            <w:tcW w:w="820" w:type="dxa"/>
            <w:vAlign w:val="bottom"/>
          </w:tcPr>
          <w:p>
            <w:pPr>
              <w:jc w:val="right"/>
              <w:ind w:right="100"/>
              <w:spacing w:after="0"/>
              <w:rPr>
                <w:sz w:val="20"/>
                <w:szCs w:val="20"/>
                <w:color w:val="auto"/>
              </w:rPr>
            </w:pPr>
            <w:r>
              <w:rPr>
                <w:rFonts w:ascii="Arial" w:cs="Arial" w:eastAsia="Arial" w:hAnsi="Arial"/>
                <w:sz w:val="16"/>
                <w:szCs w:val="16"/>
                <w:color w:val="auto"/>
              </w:rPr>
              <w:t>580</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jc w:val="right"/>
              <w:ind w:right="80"/>
              <w:spacing w:after="0"/>
              <w:rPr>
                <w:sz w:val="20"/>
                <w:szCs w:val="20"/>
                <w:color w:val="auto"/>
              </w:rPr>
            </w:pPr>
            <w:r>
              <w:rPr>
                <w:rFonts w:ascii="Arial" w:cs="Arial" w:eastAsia="Arial" w:hAnsi="Arial"/>
                <w:sz w:val="16"/>
                <w:szCs w:val="16"/>
                <w:color w:val="auto"/>
              </w:rPr>
              <w:t>457</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20" w:type="dxa"/>
            <w:vAlign w:val="bottom"/>
          </w:tcPr>
          <w:p>
            <w:pPr>
              <w:jc w:val="right"/>
              <w:ind w:right="60"/>
              <w:spacing w:after="0"/>
              <w:rPr>
                <w:sz w:val="20"/>
                <w:szCs w:val="20"/>
                <w:color w:val="auto"/>
              </w:rPr>
            </w:pPr>
            <w:r>
              <w:rPr>
                <w:rFonts w:ascii="Arial" w:cs="Arial" w:eastAsia="Arial" w:hAnsi="Arial"/>
                <w:sz w:val="16"/>
                <w:szCs w:val="16"/>
                <w:color w:val="auto"/>
              </w:rPr>
              <w:t>85</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40" w:type="dxa"/>
            <w:vAlign w:val="bottom"/>
          </w:tcPr>
          <w:p>
            <w:pPr>
              <w:jc w:val="right"/>
              <w:ind w:right="100"/>
              <w:spacing w:after="0"/>
              <w:rPr>
                <w:sz w:val="20"/>
                <w:szCs w:val="20"/>
                <w:color w:val="auto"/>
              </w:rPr>
            </w:pPr>
            <w:r>
              <w:rPr>
                <w:rFonts w:ascii="Arial" w:cs="Arial" w:eastAsia="Arial" w:hAnsi="Arial"/>
                <w:sz w:val="16"/>
                <w:szCs w:val="16"/>
                <w:color w:val="auto"/>
              </w:rPr>
              <w:t>40</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02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920" w:type="dxa"/>
            <w:vAlign w:val="bottom"/>
          </w:tcPr>
          <w:p>
            <w:pPr>
              <w:jc w:val="right"/>
              <w:ind w:right="100"/>
              <w:spacing w:after="0"/>
              <w:rPr>
                <w:sz w:val="20"/>
                <w:szCs w:val="20"/>
                <w:color w:val="auto"/>
              </w:rPr>
            </w:pPr>
            <w:r>
              <w:rPr>
                <w:rFonts w:ascii="Arial" w:cs="Arial" w:eastAsia="Arial" w:hAnsi="Arial"/>
                <w:sz w:val="16"/>
                <w:szCs w:val="16"/>
                <w:color w:val="auto"/>
              </w:rPr>
              <w:t>1,162</w:t>
            </w:r>
          </w:p>
        </w:tc>
        <w:tc>
          <w:tcPr>
            <w:tcW w:w="0" w:type="dxa"/>
            <w:vAlign w:val="bottom"/>
          </w:tcPr>
          <w:p>
            <w:pPr>
              <w:spacing w:after="0"/>
              <w:rPr>
                <w:sz w:val="1"/>
                <w:szCs w:val="1"/>
                <w:color w:val="auto"/>
              </w:rPr>
            </w:pPr>
          </w:p>
        </w:tc>
      </w:tr>
      <w:tr>
        <w:trPr>
          <w:trHeight w:val="33"/>
        </w:trPr>
        <w:tc>
          <w:tcPr>
            <w:tcW w:w="3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31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Total fixed maturity securities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CCEEFF"/>
            </w:tcBorders>
            <w:shd w:val="clear" w:color="auto" w:fill="CCEEFF"/>
          </w:tcPr>
          <w:p>
            <w:pPr>
              <w:jc w:val="right"/>
              <w:ind w:right="100"/>
              <w:spacing w:after="0"/>
              <w:rPr>
                <w:sz w:val="20"/>
                <w:szCs w:val="20"/>
                <w:color w:val="auto"/>
              </w:rPr>
            </w:pPr>
            <w:r>
              <w:rPr>
                <w:rFonts w:ascii="Arial" w:cs="Arial" w:eastAsia="Arial" w:hAnsi="Arial"/>
                <w:sz w:val="16"/>
                <w:szCs w:val="16"/>
                <w:color w:val="auto"/>
              </w:rPr>
              <w:t>43,182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15,277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62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2,166</w:t>
            </w:r>
          </w:p>
        </w:tc>
        <w:tc>
          <w:tcPr>
            <w:tcW w:w="360" w:type="dxa"/>
            <w:vAlign w:val="bottom"/>
            <w:tcBorders>
              <w:bottom w:val="single" w:sz="8" w:color="CCEEFF"/>
            </w:tcBorders>
            <w:gridSpan w:val="3"/>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540" w:type="dxa"/>
            <w:vAlign w:val="bottom"/>
            <w:tcBorders>
              <w:bottom w:val="single" w:sz="8" w:color="CCEEFF"/>
            </w:tcBorders>
            <w:shd w:val="clear" w:color="auto" w:fill="CCEEFF"/>
          </w:tcPr>
          <w:p>
            <w:pPr>
              <w:jc w:val="right"/>
              <w:ind w:right="100"/>
              <w:spacing w:after="0"/>
              <w:rPr>
                <w:sz w:val="20"/>
                <w:szCs w:val="20"/>
                <w:color w:val="auto"/>
              </w:rPr>
            </w:pPr>
            <w:r>
              <w:rPr>
                <w:rFonts w:ascii="Arial" w:cs="Arial" w:eastAsia="Arial" w:hAnsi="Arial"/>
                <w:sz w:val="16"/>
                <w:szCs w:val="16"/>
                <w:color w:val="auto"/>
              </w:rPr>
              <w:t>706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20" w:type="dxa"/>
            <w:vAlign w:val="bottom"/>
            <w:tcBorders>
              <w:bottom w:val="single" w:sz="8" w:color="CCEEFF"/>
            </w:tcBorders>
            <w:shd w:val="clear" w:color="auto" w:fill="CCEEFF"/>
          </w:tcPr>
          <w:p>
            <w:pPr>
              <w:jc w:val="right"/>
              <w:ind w:right="100"/>
              <w:spacing w:after="0"/>
              <w:rPr>
                <w:sz w:val="20"/>
                <w:szCs w:val="20"/>
                <w:color w:val="auto"/>
              </w:rPr>
            </w:pPr>
            <w:r>
              <w:rPr>
                <w:rFonts w:ascii="Arial" w:cs="Arial" w:eastAsia="Arial" w:hAnsi="Arial"/>
                <w:sz w:val="16"/>
                <w:szCs w:val="16"/>
                <w:color w:val="auto"/>
              </w:rPr>
              <w:t>52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CCEEFF"/>
            </w:tcBorders>
            <w:shd w:val="clear" w:color="auto" w:fill="CCEEFF"/>
          </w:tcPr>
          <w:p>
            <w:pPr>
              <w:jc w:val="right"/>
              <w:ind w:right="100"/>
              <w:spacing w:after="0"/>
              <w:rPr>
                <w:sz w:val="20"/>
                <w:szCs w:val="20"/>
                <w:color w:val="auto"/>
              </w:rPr>
            </w:pPr>
            <w:r>
              <w:rPr>
                <w:rFonts w:ascii="Arial" w:cs="Arial" w:eastAsia="Arial" w:hAnsi="Arial"/>
                <w:sz w:val="16"/>
                <w:szCs w:val="16"/>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CCEEFF"/>
            </w:tcBorders>
            <w:shd w:val="clear" w:color="auto" w:fill="CCEEFF"/>
          </w:tcPr>
          <w:p>
            <w:pPr>
              <w:jc w:val="right"/>
              <w:ind w:right="100"/>
              <w:spacing w:after="0"/>
              <w:rPr>
                <w:sz w:val="20"/>
                <w:szCs w:val="20"/>
                <w:color w:val="auto"/>
              </w:rPr>
            </w:pPr>
            <w:r>
              <w:rPr>
                <w:rFonts w:ascii="Arial" w:cs="Arial" w:eastAsia="Arial" w:hAnsi="Arial"/>
                <w:sz w:val="16"/>
                <w:szCs w:val="16"/>
                <w:color w:val="auto"/>
              </w:rPr>
              <w:t>61,388</w:t>
            </w:r>
          </w:p>
        </w:tc>
        <w:tc>
          <w:tcPr>
            <w:tcW w:w="0" w:type="dxa"/>
            <w:vAlign w:val="bottom"/>
          </w:tcPr>
          <w:p>
            <w:pPr>
              <w:spacing w:after="0"/>
              <w:rPr>
                <w:sz w:val="1"/>
                <w:szCs w:val="1"/>
                <w:color w:val="auto"/>
              </w:rPr>
            </w:pPr>
          </w:p>
        </w:tc>
      </w:tr>
      <w:tr>
        <w:trPr>
          <w:trHeight w:val="20"/>
        </w:trPr>
        <w:tc>
          <w:tcPr>
            <w:tcW w:w="3120" w:type="dxa"/>
            <w:vAlign w:val="bottom"/>
            <w:tcBorders>
              <w:top w:val="single" w:sz="8" w:color="CCEEFF"/>
              <w:bottom w:val="single" w:sz="8" w:color="CCEEFF"/>
            </w:tcBorders>
            <w:vMerge w:val="restart"/>
          </w:tcPr>
          <w:p>
            <w:pPr>
              <w:ind w:left="200"/>
              <w:spacing w:after="0"/>
              <w:rPr>
                <w:sz w:val="20"/>
                <w:szCs w:val="20"/>
                <w:color w:val="auto"/>
              </w:rPr>
            </w:pPr>
            <w:r>
              <w:rPr>
                <w:rFonts w:ascii="Arial" w:cs="Arial" w:eastAsia="Arial" w:hAnsi="Arial"/>
                <w:sz w:val="16"/>
                <w:szCs w:val="16"/>
                <w:color w:val="auto"/>
              </w:rPr>
              <w:t>Percentage of total</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312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70.3%</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24.9%</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3.5%</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1.2%</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0.1%</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gridSpan w:val="2"/>
          </w:tcPr>
          <w:p>
            <w:pPr>
              <w:ind w:left="5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100.0%</w:t>
            </w:r>
          </w:p>
        </w:tc>
        <w:tc>
          <w:tcPr>
            <w:tcW w:w="0" w:type="dxa"/>
            <w:vAlign w:val="bottom"/>
          </w:tcPr>
          <w:p>
            <w:pPr>
              <w:spacing w:after="0"/>
              <w:rPr>
                <w:sz w:val="1"/>
                <w:szCs w:val="1"/>
                <w:color w:val="auto"/>
              </w:rPr>
            </w:pPr>
          </w:p>
        </w:tc>
      </w:tr>
    </w:tbl>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110</w:t>
      </w:r>
    </w:p>
    <w:p>
      <w:pPr>
        <w:sectPr>
          <w:pgSz w:w="11900" w:h="16838" w:orient="portrait"/>
          <w:cols w:equalWidth="0" w:num="1">
            <w:col w:w="11420"/>
          </w:cols>
          <w:pgMar w:left="240" w:top="126" w:right="239" w:bottom="1440" w:gutter="0" w:footer="0" w:header="0"/>
        </w:sectPr>
      </w:pPr>
    </w:p>
    <w:bookmarkStart w:id="112" w:name="page113"/>
    <w:bookmarkEnd w:id="112"/>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U.S. and Foreign Corporate Fixed Maturity Securities</w:t>
      </w:r>
    </w:p>
    <w:p>
      <w:pPr>
        <w:spacing w:after="0" w:line="117" w:lineRule="exact"/>
        <w:rPr>
          <w:sz w:val="20"/>
          <w:szCs w:val="20"/>
          <w:color w:val="auto"/>
        </w:rPr>
      </w:pPr>
    </w:p>
    <w:p>
      <w:pPr>
        <w:jc w:val="both"/>
        <w:ind w:left="180" w:firstLine="324"/>
        <w:spacing w:after="0" w:line="286" w:lineRule="auto"/>
        <w:rPr>
          <w:sz w:val="20"/>
          <w:szCs w:val="20"/>
          <w:color w:val="auto"/>
        </w:rPr>
      </w:pPr>
      <w:r>
        <w:rPr>
          <w:rFonts w:ascii="Arial" w:cs="Arial" w:eastAsia="Arial" w:hAnsi="Arial"/>
          <w:sz w:val="17"/>
          <w:szCs w:val="17"/>
          <w:color w:val="auto"/>
        </w:rPr>
        <w:t>We maintain a diversified portfolio of corporate fixed maturity securities across industries and issuers. This portfolio does not have any exposure to any single issuer in excess of 1% of total investments and the top ten holdings in aggregate comprise 2% of total investments at both September 30, 2017 and December 31, 2016. The tables below present our U.S. and foreign corporate securities holdings by industry at:</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660" w:type="dxa"/>
            <w:vAlign w:val="bottom"/>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3"/>
          </w:tcPr>
          <w:p>
            <w:pPr>
              <w:ind w:left="80"/>
              <w:spacing w:after="0"/>
              <w:rPr>
                <w:sz w:val="20"/>
                <w:szCs w:val="20"/>
                <w:color w:val="auto"/>
              </w:rPr>
            </w:pPr>
            <w:r>
              <w:rPr>
                <w:rFonts w:ascii="Arial" w:cs="Arial" w:eastAsia="Arial" w:hAnsi="Arial"/>
                <w:sz w:val="14"/>
                <w:szCs w:val="14"/>
                <w:b w:val="1"/>
                <w:bCs w:val="1"/>
                <w:color w:val="auto"/>
              </w:rPr>
              <w:t>September 30, 2017</w:t>
            </w:r>
          </w:p>
        </w:tc>
        <w:tc>
          <w:tcPr>
            <w:tcW w:w="6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000" w:type="dxa"/>
            <w:vAlign w:val="bottom"/>
            <w:tcBorders>
              <w:bottom w:val="single" w:sz="8" w:color="auto"/>
            </w:tcBorders>
            <w:gridSpan w:val="3"/>
          </w:tcPr>
          <w:p>
            <w:pPr>
              <w:ind w:left="800"/>
              <w:spacing w:after="0"/>
              <w:rPr>
                <w:sz w:val="20"/>
                <w:szCs w:val="20"/>
                <w:color w:val="auto"/>
              </w:rPr>
            </w:pPr>
            <w:r>
              <w:rPr>
                <w:rFonts w:ascii="Arial" w:cs="Arial" w:eastAsia="Arial" w:hAnsi="Arial"/>
                <w:sz w:val="14"/>
                <w:szCs w:val="14"/>
                <w:b w:val="1"/>
                <w:bCs w:val="1"/>
                <w:color w:val="auto"/>
                <w:w w:val="93"/>
              </w:rPr>
              <w:t>December 31, 2016</w:t>
            </w:r>
          </w:p>
        </w:tc>
        <w:tc>
          <w:tcPr>
            <w:tcW w:w="10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660" w:type="dxa"/>
            <w:vAlign w:val="bottom"/>
          </w:tcPr>
          <w:p>
            <w:pPr>
              <w:spacing w:after="0"/>
              <w:rPr>
                <w:sz w:val="13"/>
                <w:szCs w:val="13"/>
                <w:color w:val="auto"/>
              </w:rPr>
            </w:pPr>
          </w:p>
        </w:tc>
        <w:tc>
          <w:tcPr>
            <w:tcW w:w="2720" w:type="dxa"/>
            <w:vAlign w:val="bottom"/>
            <w:gridSpan w:val="4"/>
          </w:tcPr>
          <w:p>
            <w:pPr>
              <w:jc w:val="center"/>
              <w:ind w:right="1088"/>
              <w:spacing w:after="0" w:line="153" w:lineRule="exact"/>
              <w:rPr>
                <w:sz w:val="20"/>
                <w:szCs w:val="20"/>
                <w:color w:val="auto"/>
              </w:rPr>
            </w:pPr>
            <w:r>
              <w:rPr>
                <w:rFonts w:ascii="Arial" w:cs="Arial" w:eastAsia="Arial" w:hAnsi="Arial"/>
                <w:sz w:val="14"/>
                <w:szCs w:val="14"/>
                <w:b w:val="1"/>
                <w:bCs w:val="1"/>
                <w:color w:val="auto"/>
                <w:w w:val="95"/>
              </w:rPr>
              <w:t>Estimated</w:t>
            </w: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00" w:type="dxa"/>
            <w:vAlign w:val="bottom"/>
            <w:gridSpan w:val="3"/>
          </w:tcPr>
          <w:p>
            <w:pPr>
              <w:jc w:val="center"/>
              <w:ind w:right="1020"/>
              <w:spacing w:after="0" w:line="153" w:lineRule="exact"/>
              <w:rPr>
                <w:sz w:val="20"/>
                <w:szCs w:val="20"/>
                <w:color w:val="auto"/>
              </w:rPr>
            </w:pPr>
            <w:r>
              <w:rPr>
                <w:rFonts w:ascii="Arial" w:cs="Arial" w:eastAsia="Arial" w:hAnsi="Arial"/>
                <w:sz w:val="14"/>
                <w:szCs w:val="14"/>
                <w:b w:val="1"/>
                <w:bCs w:val="1"/>
                <w:color w:val="auto"/>
                <w:w w:val="92"/>
              </w:rPr>
              <w:t>Estimated</w:t>
            </w:r>
          </w:p>
        </w:tc>
        <w:tc>
          <w:tcPr>
            <w:tcW w:w="1020" w:type="dxa"/>
            <w:vAlign w:val="bottom"/>
            <w:vMerge w:val="restart"/>
          </w:tcPr>
          <w:p>
            <w:pPr>
              <w:jc w:val="right"/>
              <w:ind w:right="581"/>
              <w:spacing w:after="0"/>
              <w:rPr>
                <w:sz w:val="20"/>
                <w:szCs w:val="20"/>
                <w:color w:val="auto"/>
              </w:rPr>
            </w:pPr>
            <w:r>
              <w:rPr>
                <w:rFonts w:ascii="Arial" w:cs="Arial" w:eastAsia="Arial" w:hAnsi="Arial"/>
                <w:sz w:val="14"/>
                <w:szCs w:val="14"/>
                <w:b w:val="1"/>
                <w:bCs w:val="1"/>
                <w:color w:val="auto"/>
              </w:rPr>
              <w:t>% of</w:t>
            </w:r>
          </w:p>
        </w:tc>
        <w:tc>
          <w:tcPr>
            <w:tcW w:w="0" w:type="dxa"/>
            <w:vAlign w:val="bottom"/>
          </w:tcPr>
          <w:p>
            <w:pPr>
              <w:spacing w:after="0"/>
              <w:rPr>
                <w:sz w:val="1"/>
                <w:szCs w:val="1"/>
                <w:color w:val="auto"/>
              </w:rPr>
            </w:pPr>
          </w:p>
        </w:tc>
      </w:tr>
      <w:tr>
        <w:trPr>
          <w:trHeight w:val="149"/>
        </w:trPr>
        <w:tc>
          <w:tcPr>
            <w:tcW w:w="4660" w:type="dxa"/>
            <w:vAlign w:val="bottom"/>
          </w:tcPr>
          <w:p>
            <w:pPr>
              <w:spacing w:after="0"/>
              <w:rPr>
                <w:sz w:val="12"/>
                <w:szCs w:val="12"/>
                <w:color w:val="auto"/>
              </w:rPr>
            </w:pPr>
          </w:p>
        </w:tc>
        <w:tc>
          <w:tcPr>
            <w:tcW w:w="1000" w:type="dxa"/>
            <w:vAlign w:val="bottom"/>
          </w:tcPr>
          <w:p>
            <w:pPr>
              <w:jc w:val="center"/>
              <w:ind w:left="484"/>
              <w:spacing w:after="0" w:line="149" w:lineRule="exact"/>
              <w:rPr>
                <w:sz w:val="20"/>
                <w:szCs w:val="20"/>
                <w:color w:val="auto"/>
              </w:rPr>
            </w:pPr>
            <w:r>
              <w:rPr>
                <w:rFonts w:ascii="Arial" w:cs="Arial" w:eastAsia="Arial" w:hAnsi="Arial"/>
                <w:sz w:val="14"/>
                <w:szCs w:val="14"/>
                <w:b w:val="1"/>
                <w:bCs w:val="1"/>
                <w:color w:val="auto"/>
              </w:rPr>
              <w:t>Fair</w:t>
            </w: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ind w:left="660"/>
              <w:spacing w:after="0" w:line="149" w:lineRule="exact"/>
              <w:rPr>
                <w:sz w:val="20"/>
                <w:szCs w:val="20"/>
                <w:color w:val="auto"/>
              </w:rPr>
            </w:pPr>
            <w:r>
              <w:rPr>
                <w:rFonts w:ascii="Arial" w:cs="Arial" w:eastAsia="Arial" w:hAnsi="Arial"/>
                <w:sz w:val="14"/>
                <w:szCs w:val="14"/>
                <w:b w:val="1"/>
                <w:bCs w:val="1"/>
                <w:color w:val="auto"/>
              </w:rPr>
              <w:t>% of</w:t>
            </w: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00" w:type="dxa"/>
            <w:vAlign w:val="bottom"/>
            <w:gridSpan w:val="3"/>
          </w:tcPr>
          <w:p>
            <w:pPr>
              <w:jc w:val="center"/>
              <w:ind w:right="1020"/>
              <w:spacing w:after="0" w:line="149" w:lineRule="exact"/>
              <w:rPr>
                <w:sz w:val="20"/>
                <w:szCs w:val="20"/>
                <w:color w:val="auto"/>
              </w:rPr>
            </w:pPr>
            <w:r>
              <w:rPr>
                <w:rFonts w:ascii="Arial" w:cs="Arial" w:eastAsia="Arial" w:hAnsi="Arial"/>
                <w:sz w:val="14"/>
                <w:szCs w:val="14"/>
                <w:b w:val="1"/>
                <w:bCs w:val="1"/>
                <w:color w:val="auto"/>
              </w:rPr>
              <w:t>Fair</w:t>
            </w:r>
          </w:p>
        </w:tc>
        <w:tc>
          <w:tcPr>
            <w:tcW w:w="10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4660" w:type="dxa"/>
            <w:vAlign w:val="bottom"/>
          </w:tcPr>
          <w:p>
            <w:pPr>
              <w:spacing w:after="0"/>
              <w:rPr>
                <w:sz w:val="16"/>
                <w:szCs w:val="16"/>
                <w:color w:val="auto"/>
              </w:rPr>
            </w:pPr>
          </w:p>
        </w:tc>
        <w:tc>
          <w:tcPr>
            <w:tcW w:w="1000" w:type="dxa"/>
            <w:vAlign w:val="bottom"/>
            <w:tcBorders>
              <w:bottom w:val="single" w:sz="8" w:color="auto"/>
            </w:tcBorders>
          </w:tcPr>
          <w:p>
            <w:pPr>
              <w:jc w:val="center"/>
              <w:ind w:left="524"/>
              <w:spacing w:after="0"/>
              <w:rPr>
                <w:sz w:val="20"/>
                <w:szCs w:val="20"/>
                <w:color w:val="auto"/>
              </w:rPr>
            </w:pPr>
            <w:r>
              <w:rPr>
                <w:rFonts w:ascii="Arial" w:cs="Arial" w:eastAsia="Arial" w:hAnsi="Arial"/>
                <w:sz w:val="14"/>
                <w:szCs w:val="14"/>
                <w:b w:val="1"/>
                <w:bCs w:val="1"/>
                <w:color w:val="auto"/>
                <w:w w:val="96"/>
              </w:rPr>
              <w:t>Value</w:t>
            </w:r>
          </w:p>
        </w:tc>
        <w:tc>
          <w:tcPr>
            <w:tcW w:w="5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ind w:left="660"/>
              <w:spacing w:after="0"/>
              <w:rPr>
                <w:sz w:val="20"/>
                <w:szCs w:val="20"/>
                <w:color w:val="auto"/>
              </w:rPr>
            </w:pPr>
            <w:r>
              <w:rPr>
                <w:rFonts w:ascii="Arial" w:cs="Arial" w:eastAsia="Arial" w:hAnsi="Arial"/>
                <w:sz w:val="14"/>
                <w:szCs w:val="14"/>
                <w:b w:val="1"/>
                <w:bCs w:val="1"/>
                <w:color w:val="auto"/>
              </w:rPr>
              <w:t>Total</w:t>
            </w:r>
          </w:p>
        </w:tc>
        <w:tc>
          <w:tcPr>
            <w:tcW w:w="6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000" w:type="dxa"/>
            <w:vAlign w:val="bottom"/>
            <w:tcBorders>
              <w:bottom w:val="single" w:sz="8" w:color="auto"/>
            </w:tcBorders>
            <w:gridSpan w:val="3"/>
          </w:tcPr>
          <w:p>
            <w:pPr>
              <w:jc w:val="center"/>
              <w:ind w:right="1020"/>
              <w:spacing w:after="0"/>
              <w:rPr>
                <w:sz w:val="20"/>
                <w:szCs w:val="20"/>
                <w:color w:val="auto"/>
              </w:rPr>
            </w:pPr>
            <w:r>
              <w:rPr>
                <w:rFonts w:ascii="Arial" w:cs="Arial" w:eastAsia="Arial" w:hAnsi="Arial"/>
                <w:sz w:val="14"/>
                <w:szCs w:val="14"/>
                <w:b w:val="1"/>
                <w:bCs w:val="1"/>
                <w:color w:val="auto"/>
                <w:w w:val="90"/>
              </w:rPr>
              <w:t>Value</w:t>
            </w:r>
          </w:p>
        </w:tc>
        <w:tc>
          <w:tcPr>
            <w:tcW w:w="1020" w:type="dxa"/>
            <w:vAlign w:val="bottom"/>
            <w:tcBorders>
              <w:bottom w:val="single" w:sz="8" w:color="auto"/>
            </w:tcBorders>
          </w:tcPr>
          <w:p>
            <w:pPr>
              <w:jc w:val="right"/>
              <w:ind w:right="58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44"/>
        </w:trPr>
        <w:tc>
          <w:tcPr>
            <w:tcW w:w="46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3020" w:type="dxa"/>
            <w:vAlign w:val="bottom"/>
            <w:gridSpan w:val="6"/>
          </w:tcPr>
          <w:p>
            <w:pPr>
              <w:ind w:left="60"/>
              <w:spacing w:after="0"/>
              <w:rPr>
                <w:sz w:val="20"/>
                <w:szCs w:val="20"/>
                <w:color w:val="auto"/>
              </w:rPr>
            </w:pPr>
            <w:r>
              <w:rPr>
                <w:rFonts w:ascii="Arial" w:cs="Arial" w:eastAsia="Arial" w:hAnsi="Arial"/>
                <w:sz w:val="14"/>
                <w:szCs w:val="14"/>
                <w:b w:val="1"/>
                <w:bCs w:val="1"/>
                <w:color w:val="auto"/>
              </w:rPr>
              <w:t>(Dollars in millions)</w:t>
            </w: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9"/>
        </w:trPr>
        <w:tc>
          <w:tcPr>
            <w:tcW w:w="4660" w:type="dxa"/>
            <w:vAlign w:val="bottom"/>
          </w:tcPr>
          <w:p>
            <w:pPr>
              <w:ind w:left="200"/>
              <w:spacing w:after="0"/>
              <w:rPr>
                <w:sz w:val="20"/>
                <w:szCs w:val="20"/>
                <w:color w:val="auto"/>
              </w:rPr>
            </w:pPr>
            <w:r>
              <w:rPr>
                <w:rFonts w:ascii="Arial" w:cs="Arial" w:eastAsia="Arial" w:hAnsi="Arial"/>
                <w:sz w:val="16"/>
                <w:szCs w:val="16"/>
                <w:color w:val="auto"/>
              </w:rPr>
              <w:t>Industrial</w:t>
            </w:r>
          </w:p>
        </w:tc>
        <w:tc>
          <w:tcPr>
            <w:tcW w:w="1000" w:type="dxa"/>
            <w:vAlign w:val="bottom"/>
          </w:tcPr>
          <w:p>
            <w:pPr>
              <w:jc w:val="right"/>
              <w:ind w:right="804"/>
              <w:spacing w:after="0"/>
              <w:rPr>
                <w:sz w:val="20"/>
                <w:szCs w:val="20"/>
                <w:color w:val="auto"/>
              </w:rPr>
            </w:pPr>
            <w:r>
              <w:rPr>
                <w:rFonts w:ascii="Arial" w:cs="Arial" w:eastAsia="Arial" w:hAnsi="Arial"/>
                <w:sz w:val="16"/>
                <w:szCs w:val="16"/>
                <w:color w:val="auto"/>
              </w:rPr>
              <w:t>$</w:t>
            </w:r>
          </w:p>
        </w:tc>
        <w:tc>
          <w:tcPr>
            <w:tcW w:w="580" w:type="dxa"/>
            <w:vAlign w:val="bottom"/>
          </w:tcPr>
          <w:p>
            <w:pPr>
              <w:jc w:val="right"/>
              <w:ind w:right="20"/>
              <w:spacing w:after="0"/>
              <w:rPr>
                <w:sz w:val="20"/>
                <w:szCs w:val="20"/>
                <w:color w:val="auto"/>
              </w:rPr>
            </w:pPr>
            <w:r>
              <w:rPr>
                <w:rFonts w:ascii="Arial" w:cs="Arial" w:eastAsia="Arial" w:hAnsi="Arial"/>
                <w:sz w:val="16"/>
                <w:szCs w:val="16"/>
                <w:color w:val="auto"/>
              </w:rPr>
              <w:t>9,201</w:t>
            </w:r>
          </w:p>
        </w:tc>
        <w:tc>
          <w:tcPr>
            <w:tcW w:w="1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31.5%</w:t>
            </w:r>
          </w:p>
        </w:tc>
        <w:tc>
          <w:tcPr>
            <w:tcW w:w="120" w:type="dxa"/>
            <w:vAlign w:val="bottom"/>
          </w:tcPr>
          <w:p>
            <w:pPr>
              <w:spacing w:after="0"/>
              <w:rPr>
                <w:sz w:val="21"/>
                <w:szCs w:val="21"/>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ind w:right="42"/>
              <w:spacing w:after="0"/>
              <w:rPr>
                <w:sz w:val="20"/>
                <w:szCs w:val="20"/>
                <w:color w:val="auto"/>
              </w:rPr>
            </w:pPr>
            <w:r>
              <w:rPr>
                <w:rFonts w:ascii="Arial" w:cs="Arial" w:eastAsia="Arial" w:hAnsi="Arial"/>
                <w:sz w:val="16"/>
                <w:szCs w:val="16"/>
                <w:color w:val="auto"/>
              </w:rPr>
              <w:t>8,790</w:t>
            </w: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30.6%</w:t>
            </w:r>
          </w:p>
        </w:tc>
        <w:tc>
          <w:tcPr>
            <w:tcW w:w="0" w:type="dxa"/>
            <w:vAlign w:val="bottom"/>
          </w:tcPr>
          <w:p>
            <w:pPr>
              <w:spacing w:after="0"/>
              <w:rPr>
                <w:sz w:val="1"/>
                <w:szCs w:val="1"/>
                <w:color w:val="auto"/>
              </w:rPr>
            </w:pPr>
          </w:p>
        </w:tc>
      </w:tr>
      <w:tr>
        <w:trPr>
          <w:trHeight w:val="33"/>
        </w:trPr>
        <w:tc>
          <w:tcPr>
            <w:tcW w:w="46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Consumer</w:t>
            </w:r>
          </w:p>
        </w:tc>
        <w:tc>
          <w:tcPr>
            <w:tcW w:w="10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7,048</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24.1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7,168</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rPr>
              <w:t>25.0</w:t>
            </w:r>
          </w:p>
        </w:tc>
        <w:tc>
          <w:tcPr>
            <w:tcW w:w="0" w:type="dxa"/>
            <w:vAlign w:val="bottom"/>
          </w:tcPr>
          <w:p>
            <w:pPr>
              <w:spacing w:after="0"/>
              <w:rPr>
                <w:sz w:val="1"/>
                <w:szCs w:val="1"/>
                <w:color w:val="auto"/>
              </w:rPr>
            </w:pPr>
          </w:p>
        </w:tc>
      </w:tr>
      <w:tr>
        <w:trPr>
          <w:trHeight w:val="237"/>
        </w:trPr>
        <w:tc>
          <w:tcPr>
            <w:tcW w:w="4660" w:type="dxa"/>
            <w:vAlign w:val="bottom"/>
          </w:tcPr>
          <w:p>
            <w:pPr>
              <w:ind w:left="200"/>
              <w:spacing w:after="0"/>
              <w:rPr>
                <w:sz w:val="20"/>
                <w:szCs w:val="20"/>
                <w:color w:val="auto"/>
              </w:rPr>
            </w:pPr>
            <w:r>
              <w:rPr>
                <w:rFonts w:ascii="Arial" w:cs="Arial" w:eastAsia="Arial" w:hAnsi="Arial"/>
                <w:sz w:val="16"/>
                <w:szCs w:val="16"/>
                <w:color w:val="auto"/>
              </w:rPr>
              <w:t>Finance</w:t>
            </w:r>
          </w:p>
        </w:tc>
        <w:tc>
          <w:tcPr>
            <w:tcW w:w="1000" w:type="dxa"/>
            <w:vAlign w:val="bottom"/>
          </w:tcPr>
          <w:p>
            <w:pPr>
              <w:spacing w:after="0"/>
              <w:rPr>
                <w:sz w:val="20"/>
                <w:szCs w:val="20"/>
                <w:color w:val="auto"/>
              </w:rPr>
            </w:pPr>
          </w:p>
        </w:tc>
        <w:tc>
          <w:tcPr>
            <w:tcW w:w="580" w:type="dxa"/>
            <w:vAlign w:val="bottom"/>
          </w:tcPr>
          <w:p>
            <w:pPr>
              <w:jc w:val="right"/>
              <w:ind w:right="20"/>
              <w:spacing w:after="0"/>
              <w:rPr>
                <w:sz w:val="20"/>
                <w:szCs w:val="20"/>
                <w:color w:val="auto"/>
              </w:rPr>
            </w:pPr>
            <w:r>
              <w:rPr>
                <w:rFonts w:ascii="Arial" w:cs="Arial" w:eastAsia="Arial" w:hAnsi="Arial"/>
                <w:sz w:val="16"/>
                <w:szCs w:val="16"/>
                <w:color w:val="auto"/>
              </w:rPr>
              <w:t>5,631</w:t>
            </w: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600" w:type="dxa"/>
            <w:vAlign w:val="bottom"/>
          </w:tcPr>
          <w:p>
            <w:pPr>
              <w:jc w:val="right"/>
              <w:ind w:right="80"/>
              <w:spacing w:after="0"/>
              <w:rPr>
                <w:sz w:val="20"/>
                <w:szCs w:val="20"/>
                <w:color w:val="auto"/>
              </w:rPr>
            </w:pPr>
            <w:r>
              <w:rPr>
                <w:rFonts w:ascii="Arial" w:cs="Arial" w:eastAsia="Arial" w:hAnsi="Arial"/>
                <w:sz w:val="16"/>
                <w:szCs w:val="16"/>
                <w:color w:val="auto"/>
              </w:rPr>
              <w:t>19.3</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80" w:type="dxa"/>
            <w:vAlign w:val="bottom"/>
          </w:tcPr>
          <w:p>
            <w:pPr>
              <w:jc w:val="right"/>
              <w:ind w:right="42"/>
              <w:spacing w:after="0"/>
              <w:rPr>
                <w:sz w:val="20"/>
                <w:szCs w:val="20"/>
                <w:color w:val="auto"/>
              </w:rPr>
            </w:pPr>
            <w:r>
              <w:rPr>
                <w:rFonts w:ascii="Arial" w:cs="Arial" w:eastAsia="Arial" w:hAnsi="Arial"/>
                <w:sz w:val="16"/>
                <w:szCs w:val="16"/>
                <w:color w:val="auto"/>
              </w:rPr>
              <w:t>5,644</w:t>
            </w: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20" w:type="dxa"/>
            <w:vAlign w:val="bottom"/>
          </w:tcPr>
          <w:p>
            <w:pPr>
              <w:jc w:val="right"/>
              <w:ind w:right="81"/>
              <w:spacing w:after="0"/>
              <w:rPr>
                <w:sz w:val="20"/>
                <w:szCs w:val="20"/>
                <w:color w:val="auto"/>
              </w:rPr>
            </w:pPr>
            <w:r>
              <w:rPr>
                <w:rFonts w:ascii="Arial" w:cs="Arial" w:eastAsia="Arial" w:hAnsi="Arial"/>
                <w:sz w:val="16"/>
                <w:szCs w:val="16"/>
                <w:color w:val="auto"/>
              </w:rPr>
              <w:t>19.6</w:t>
            </w:r>
          </w:p>
        </w:tc>
        <w:tc>
          <w:tcPr>
            <w:tcW w:w="0" w:type="dxa"/>
            <w:vAlign w:val="bottom"/>
          </w:tcPr>
          <w:p>
            <w:pPr>
              <w:spacing w:after="0"/>
              <w:rPr>
                <w:sz w:val="1"/>
                <w:szCs w:val="1"/>
                <w:color w:val="auto"/>
              </w:rPr>
            </w:pPr>
          </w:p>
        </w:tc>
      </w:tr>
      <w:tr>
        <w:trPr>
          <w:trHeight w:val="33"/>
        </w:trPr>
        <w:tc>
          <w:tcPr>
            <w:tcW w:w="46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Utility</w:t>
            </w:r>
          </w:p>
        </w:tc>
        <w:tc>
          <w:tcPr>
            <w:tcW w:w="10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4,185</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14.3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4,018</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rPr>
              <w:t>14.0</w:t>
            </w:r>
          </w:p>
        </w:tc>
        <w:tc>
          <w:tcPr>
            <w:tcW w:w="0" w:type="dxa"/>
            <w:vAlign w:val="bottom"/>
          </w:tcPr>
          <w:p>
            <w:pPr>
              <w:spacing w:after="0"/>
              <w:rPr>
                <w:sz w:val="1"/>
                <w:szCs w:val="1"/>
                <w:color w:val="auto"/>
              </w:rPr>
            </w:pPr>
          </w:p>
        </w:tc>
      </w:tr>
      <w:tr>
        <w:trPr>
          <w:trHeight w:val="237"/>
        </w:trPr>
        <w:tc>
          <w:tcPr>
            <w:tcW w:w="4660" w:type="dxa"/>
            <w:vAlign w:val="bottom"/>
          </w:tcPr>
          <w:p>
            <w:pPr>
              <w:ind w:left="200"/>
              <w:spacing w:after="0"/>
              <w:rPr>
                <w:sz w:val="20"/>
                <w:szCs w:val="20"/>
                <w:color w:val="auto"/>
              </w:rPr>
            </w:pPr>
            <w:r>
              <w:rPr>
                <w:rFonts w:ascii="Arial" w:cs="Arial" w:eastAsia="Arial" w:hAnsi="Arial"/>
                <w:sz w:val="16"/>
                <w:szCs w:val="16"/>
                <w:color w:val="auto"/>
              </w:rPr>
              <w:t>Communications</w:t>
            </w:r>
          </w:p>
        </w:tc>
        <w:tc>
          <w:tcPr>
            <w:tcW w:w="1000" w:type="dxa"/>
            <w:vAlign w:val="bottom"/>
          </w:tcPr>
          <w:p>
            <w:pPr>
              <w:spacing w:after="0"/>
              <w:rPr>
                <w:sz w:val="20"/>
                <w:szCs w:val="20"/>
                <w:color w:val="auto"/>
              </w:rPr>
            </w:pPr>
          </w:p>
        </w:tc>
        <w:tc>
          <w:tcPr>
            <w:tcW w:w="580" w:type="dxa"/>
            <w:vAlign w:val="bottom"/>
          </w:tcPr>
          <w:p>
            <w:pPr>
              <w:jc w:val="right"/>
              <w:ind w:right="20"/>
              <w:spacing w:after="0"/>
              <w:rPr>
                <w:sz w:val="20"/>
                <w:szCs w:val="20"/>
                <w:color w:val="auto"/>
              </w:rPr>
            </w:pPr>
            <w:r>
              <w:rPr>
                <w:rFonts w:ascii="Arial" w:cs="Arial" w:eastAsia="Arial" w:hAnsi="Arial"/>
                <w:sz w:val="16"/>
                <w:szCs w:val="16"/>
                <w:color w:val="auto"/>
              </w:rPr>
              <w:t>2,336</w:t>
            </w: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600" w:type="dxa"/>
            <w:vAlign w:val="bottom"/>
          </w:tcPr>
          <w:p>
            <w:pPr>
              <w:jc w:val="right"/>
              <w:ind w:right="80"/>
              <w:spacing w:after="0"/>
              <w:rPr>
                <w:sz w:val="20"/>
                <w:szCs w:val="20"/>
                <w:color w:val="auto"/>
              </w:rPr>
            </w:pPr>
            <w:r>
              <w:rPr>
                <w:rFonts w:ascii="Arial" w:cs="Arial" w:eastAsia="Arial" w:hAnsi="Arial"/>
                <w:sz w:val="16"/>
                <w:szCs w:val="16"/>
                <w:color w:val="auto"/>
              </w:rPr>
              <w:t>8.0</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80" w:type="dxa"/>
            <w:vAlign w:val="bottom"/>
          </w:tcPr>
          <w:p>
            <w:pPr>
              <w:jc w:val="right"/>
              <w:ind w:right="42"/>
              <w:spacing w:after="0"/>
              <w:rPr>
                <w:sz w:val="20"/>
                <w:szCs w:val="20"/>
                <w:color w:val="auto"/>
              </w:rPr>
            </w:pPr>
            <w:r>
              <w:rPr>
                <w:rFonts w:ascii="Arial" w:cs="Arial" w:eastAsia="Arial" w:hAnsi="Arial"/>
                <w:sz w:val="16"/>
                <w:szCs w:val="16"/>
                <w:color w:val="auto"/>
              </w:rPr>
              <w:t>2,319</w:t>
            </w: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20" w:type="dxa"/>
            <w:vAlign w:val="bottom"/>
          </w:tcPr>
          <w:p>
            <w:pPr>
              <w:jc w:val="right"/>
              <w:ind w:right="81"/>
              <w:spacing w:after="0"/>
              <w:rPr>
                <w:sz w:val="20"/>
                <w:szCs w:val="20"/>
                <w:color w:val="auto"/>
              </w:rPr>
            </w:pPr>
            <w:r>
              <w:rPr>
                <w:rFonts w:ascii="Arial" w:cs="Arial" w:eastAsia="Arial" w:hAnsi="Arial"/>
                <w:sz w:val="16"/>
                <w:szCs w:val="16"/>
                <w:color w:val="auto"/>
              </w:rPr>
              <w:t>8.1</w:t>
            </w:r>
          </w:p>
        </w:tc>
        <w:tc>
          <w:tcPr>
            <w:tcW w:w="0" w:type="dxa"/>
            <w:vAlign w:val="bottom"/>
          </w:tcPr>
          <w:p>
            <w:pPr>
              <w:spacing w:after="0"/>
              <w:rPr>
                <w:sz w:val="1"/>
                <w:szCs w:val="1"/>
                <w:color w:val="auto"/>
              </w:rPr>
            </w:pPr>
          </w:p>
        </w:tc>
      </w:tr>
      <w:tr>
        <w:trPr>
          <w:trHeight w:val="33"/>
        </w:trPr>
        <w:tc>
          <w:tcPr>
            <w:tcW w:w="46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6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Other</w:t>
            </w:r>
          </w:p>
        </w:tc>
        <w:tc>
          <w:tcPr>
            <w:tcW w:w="100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809</w:t>
            </w:r>
          </w:p>
        </w:tc>
        <w:tc>
          <w:tcPr>
            <w:tcW w:w="1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2.8</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765</w:t>
            </w:r>
          </w:p>
        </w:tc>
        <w:tc>
          <w:tcPr>
            <w:tcW w:w="10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rPr>
              <w:t>2.7</w:t>
            </w:r>
          </w:p>
        </w:tc>
        <w:tc>
          <w:tcPr>
            <w:tcW w:w="0" w:type="dxa"/>
            <w:vAlign w:val="bottom"/>
          </w:tcPr>
          <w:p>
            <w:pPr>
              <w:spacing w:after="0"/>
              <w:rPr>
                <w:sz w:val="1"/>
                <w:szCs w:val="1"/>
                <w:color w:val="auto"/>
              </w:rPr>
            </w:pPr>
          </w:p>
        </w:tc>
      </w:tr>
      <w:tr>
        <w:trPr>
          <w:trHeight w:val="217"/>
        </w:trPr>
        <w:tc>
          <w:tcPr>
            <w:tcW w:w="4660" w:type="dxa"/>
            <w:vAlign w:val="bottom"/>
          </w:tcPr>
          <w:p>
            <w:pPr>
              <w:ind w:left="360"/>
              <w:spacing w:after="0"/>
              <w:rPr>
                <w:sz w:val="20"/>
                <w:szCs w:val="20"/>
                <w:color w:val="auto"/>
              </w:rPr>
            </w:pPr>
            <w:r>
              <w:rPr>
                <w:rFonts w:ascii="Arial" w:cs="Arial" w:eastAsia="Arial" w:hAnsi="Arial"/>
                <w:sz w:val="16"/>
                <w:szCs w:val="16"/>
                <w:color w:val="auto"/>
              </w:rPr>
              <w:t>Total</w:t>
            </w:r>
          </w:p>
        </w:tc>
        <w:tc>
          <w:tcPr>
            <w:tcW w:w="1000" w:type="dxa"/>
            <w:vAlign w:val="bottom"/>
            <w:tcBorders>
              <w:top w:val="single" w:sz="8" w:color="auto"/>
            </w:tcBorders>
          </w:tcPr>
          <w:p>
            <w:pPr>
              <w:jc w:val="right"/>
              <w:ind w:right="804"/>
              <w:spacing w:after="0"/>
              <w:rPr>
                <w:sz w:val="20"/>
                <w:szCs w:val="20"/>
                <w:color w:val="auto"/>
              </w:rPr>
            </w:pPr>
            <w:r>
              <w:rPr>
                <w:rFonts w:ascii="Arial" w:cs="Arial" w:eastAsia="Arial" w:hAnsi="Arial"/>
                <w:sz w:val="16"/>
                <w:szCs w:val="16"/>
                <w:color w:val="auto"/>
              </w:rPr>
              <w:t>$</w:t>
            </w:r>
          </w:p>
        </w:tc>
        <w:tc>
          <w:tcPr>
            <w:tcW w:w="58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w w:val="93"/>
              </w:rPr>
              <w:t>29,210</w:t>
            </w:r>
          </w:p>
        </w:tc>
        <w:tc>
          <w:tcPr>
            <w:tcW w:w="120" w:type="dxa"/>
            <w:vAlign w:val="bottom"/>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100.0%</w:t>
            </w:r>
          </w:p>
        </w:tc>
        <w:tc>
          <w:tcPr>
            <w:tcW w:w="120" w:type="dxa"/>
            <w:vAlign w:val="bottom"/>
          </w:tcPr>
          <w:p>
            <w:pPr>
              <w:spacing w:after="0"/>
              <w:rPr>
                <w:sz w:val="18"/>
                <w:szCs w:val="18"/>
                <w:color w:val="auto"/>
              </w:rPr>
            </w:pPr>
          </w:p>
        </w:tc>
        <w:tc>
          <w:tcPr>
            <w:tcW w:w="30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280" w:type="dxa"/>
            <w:vAlign w:val="bottom"/>
            <w:tcBorders>
              <w:top w:val="single" w:sz="8" w:color="auto"/>
            </w:tcBorders>
          </w:tcPr>
          <w:p>
            <w:pPr>
              <w:jc w:val="right"/>
              <w:ind w:right="42"/>
              <w:spacing w:after="0"/>
              <w:rPr>
                <w:sz w:val="20"/>
                <w:szCs w:val="20"/>
                <w:color w:val="auto"/>
              </w:rPr>
            </w:pPr>
            <w:r>
              <w:rPr>
                <w:rFonts w:ascii="Arial" w:cs="Arial" w:eastAsia="Arial" w:hAnsi="Arial"/>
                <w:sz w:val="16"/>
                <w:szCs w:val="16"/>
                <w:color w:val="auto"/>
              </w:rPr>
              <w:t>28,704</w:t>
            </w:r>
          </w:p>
        </w:tc>
        <w:tc>
          <w:tcPr>
            <w:tcW w:w="100" w:type="dxa"/>
            <w:vAlign w:val="bottom"/>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100.0%</w:t>
            </w:r>
          </w:p>
        </w:tc>
        <w:tc>
          <w:tcPr>
            <w:tcW w:w="0" w:type="dxa"/>
            <w:vAlign w:val="bottom"/>
          </w:tcPr>
          <w:p>
            <w:pPr>
              <w:spacing w:after="0"/>
              <w:rPr>
                <w:sz w:val="1"/>
                <w:szCs w:val="1"/>
                <w:color w:val="auto"/>
              </w:rPr>
            </w:pPr>
          </w:p>
        </w:tc>
      </w:tr>
      <w:tr>
        <w:trPr>
          <w:trHeight w:val="33"/>
        </w:trPr>
        <w:tc>
          <w:tcPr>
            <w:tcW w:w="466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66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Structured Securities</w:t>
      </w:r>
    </w:p>
    <w:p>
      <w:pPr>
        <w:spacing w:after="0" w:line="117" w:lineRule="exact"/>
        <w:rPr>
          <w:sz w:val="20"/>
          <w:szCs w:val="20"/>
          <w:color w:val="auto"/>
        </w:rPr>
      </w:pPr>
    </w:p>
    <w:p>
      <w:pPr>
        <w:jc w:val="both"/>
        <w:ind w:left="180" w:firstLine="324"/>
        <w:spacing w:after="0" w:line="277" w:lineRule="auto"/>
        <w:rPr>
          <w:sz w:val="20"/>
          <w:szCs w:val="20"/>
          <w:color w:val="auto"/>
        </w:rPr>
      </w:pPr>
      <w:r>
        <w:rPr>
          <w:rFonts w:ascii="Arial" w:cs="Arial" w:eastAsia="Arial" w:hAnsi="Arial"/>
          <w:sz w:val="18"/>
          <w:szCs w:val="18"/>
          <w:color w:val="auto"/>
        </w:rPr>
        <w:t>We held $13.1 billion and $14.5 billion of structured securities, at estimated fair value, at September 30, 2017 and December 31, 2016, respectively, as presented in the RMBS, commercial mortgage-backed securities (“CMBS”) and ABS sections below.</w:t>
      </w:r>
    </w:p>
    <w:p>
      <w:pPr>
        <w:spacing w:after="0" w:line="62"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RMBS</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table below presents our RMBS holdings at:</w:t>
      </w:r>
    </w:p>
    <w:p>
      <w:pPr>
        <w:spacing w:after="0" w:line="392" w:lineRule="exact"/>
        <w:rPr>
          <w:sz w:val="20"/>
          <w:szCs w:val="20"/>
          <w:color w:val="auto"/>
        </w:rPr>
      </w:pPr>
    </w:p>
    <w:tbl>
      <w:tblPr>
        <w:tblLayout w:type="fixed"/>
        <w:tblInd w:w="140" w:type="dxa"/>
        <w:tblCellMar>
          <w:top w:w="0" w:type="dxa"/>
          <w:left w:w="0" w:type="dxa"/>
          <w:bottom w:w="0" w:type="dxa"/>
          <w:right w:w="0" w:type="dxa"/>
        </w:tblCellMar>
      </w:tblPr>
      <w:tr>
        <w:trPr>
          <w:trHeight w:val="192"/>
        </w:trPr>
        <w:tc>
          <w:tcPr>
            <w:tcW w:w="36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w w:val="93"/>
              </w:rPr>
              <w:t>September 30, 2017</w:t>
            </w: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w w:val="93"/>
              </w:rPr>
              <w:t>December 31, 2016</w:t>
            </w:r>
          </w:p>
        </w:tc>
        <w:tc>
          <w:tcPr>
            <w:tcW w:w="1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3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20" w:type="dxa"/>
            <w:vAlign w:val="bottom"/>
            <w:gridSpan w:val="2"/>
          </w:tcPr>
          <w:p>
            <w:pPr>
              <w:jc w:val="center"/>
              <w:ind w:right="320"/>
              <w:spacing w:after="0" w:line="144" w:lineRule="exact"/>
              <w:rPr>
                <w:sz w:val="20"/>
                <w:szCs w:val="20"/>
                <w:color w:val="auto"/>
              </w:rPr>
            </w:pPr>
            <w:r>
              <w:rPr>
                <w:rFonts w:ascii="Arial" w:cs="Arial" w:eastAsia="Arial" w:hAnsi="Arial"/>
                <w:sz w:val="13"/>
                <w:szCs w:val="13"/>
                <w:b w:val="1"/>
                <w:bCs w:val="1"/>
                <w:color w:val="auto"/>
                <w:w w:val="86"/>
              </w:rPr>
              <w:t>Estimated</w:t>
            </w: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gridSpan w:val="2"/>
          </w:tcPr>
          <w:p>
            <w:pPr>
              <w:jc w:val="center"/>
              <w:ind w:right="300"/>
              <w:spacing w:after="0" w:line="144" w:lineRule="exact"/>
              <w:rPr>
                <w:sz w:val="20"/>
                <w:szCs w:val="20"/>
                <w:color w:val="auto"/>
              </w:rPr>
            </w:pPr>
            <w:r>
              <w:rPr>
                <w:rFonts w:ascii="Arial" w:cs="Arial" w:eastAsia="Arial" w:hAnsi="Arial"/>
                <w:sz w:val="13"/>
                <w:szCs w:val="13"/>
                <w:b w:val="1"/>
                <w:bCs w:val="1"/>
                <w:color w:val="auto"/>
                <w:w w:val="86"/>
              </w:rPr>
              <w:t>Estimated</w:t>
            </w: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20" w:type="dxa"/>
            <w:vAlign w:val="bottom"/>
            <w:gridSpan w:val="2"/>
          </w:tcPr>
          <w:p>
            <w:pPr>
              <w:jc w:val="center"/>
              <w:ind w:right="300"/>
              <w:spacing w:after="0" w:line="135" w:lineRule="exact"/>
              <w:rPr>
                <w:sz w:val="20"/>
                <w:szCs w:val="20"/>
                <w:color w:val="auto"/>
              </w:rPr>
            </w:pPr>
            <w:r>
              <w:rPr>
                <w:rFonts w:ascii="Arial" w:cs="Arial" w:eastAsia="Arial" w:hAnsi="Arial"/>
                <w:sz w:val="13"/>
                <w:szCs w:val="13"/>
                <w:b w:val="1"/>
                <w:bCs w:val="1"/>
                <w:color w:val="auto"/>
              </w:rPr>
              <w:t>Fair</w:t>
            </w:r>
          </w:p>
        </w:tc>
        <w:tc>
          <w:tcPr>
            <w:tcW w:w="1280" w:type="dxa"/>
            <w:vAlign w:val="bottom"/>
            <w:gridSpan w:val="2"/>
          </w:tcPr>
          <w:p>
            <w:pPr>
              <w:ind w:left="440"/>
              <w:spacing w:after="0" w:line="135" w:lineRule="exact"/>
              <w:rPr>
                <w:sz w:val="20"/>
                <w:szCs w:val="20"/>
                <w:color w:val="auto"/>
              </w:rPr>
            </w:pPr>
            <w:r>
              <w:rPr>
                <w:rFonts w:ascii="Arial" w:cs="Arial" w:eastAsia="Arial" w:hAnsi="Arial"/>
                <w:sz w:val="13"/>
                <w:szCs w:val="13"/>
                <w:b w:val="1"/>
                <w:bCs w:val="1"/>
                <w:color w:val="auto"/>
              </w:rPr>
              <w:t>% of</w:t>
            </w:r>
          </w:p>
        </w:tc>
        <w:tc>
          <w:tcPr>
            <w:tcW w:w="140" w:type="dxa"/>
            <w:vAlign w:val="bottom"/>
          </w:tcPr>
          <w:p>
            <w:pPr>
              <w:spacing w:after="0"/>
              <w:rPr>
                <w:sz w:val="11"/>
                <w:szCs w:val="11"/>
                <w:color w:val="auto"/>
              </w:rPr>
            </w:pPr>
          </w:p>
        </w:tc>
        <w:tc>
          <w:tcPr>
            <w:tcW w:w="1180" w:type="dxa"/>
            <w:vAlign w:val="bottom"/>
            <w:gridSpan w:val="2"/>
          </w:tcPr>
          <w:p>
            <w:pPr>
              <w:ind w:left="60"/>
              <w:spacing w:after="0" w:line="135" w:lineRule="exact"/>
              <w:rPr>
                <w:sz w:val="20"/>
                <w:szCs w:val="20"/>
                <w:color w:val="auto"/>
              </w:rPr>
            </w:pPr>
            <w:r>
              <w:rPr>
                <w:rFonts w:ascii="Arial" w:cs="Arial" w:eastAsia="Arial" w:hAnsi="Arial"/>
                <w:sz w:val="13"/>
                <w:szCs w:val="13"/>
                <w:b w:val="1"/>
                <w:bCs w:val="1"/>
                <w:color w:val="auto"/>
              </w:rPr>
              <w:t>Net Unrealized</w:t>
            </w:r>
          </w:p>
        </w:tc>
        <w:tc>
          <w:tcPr>
            <w:tcW w:w="180" w:type="dxa"/>
            <w:vAlign w:val="bottom"/>
          </w:tcPr>
          <w:p>
            <w:pPr>
              <w:spacing w:after="0"/>
              <w:rPr>
                <w:sz w:val="11"/>
                <w:szCs w:val="11"/>
                <w:color w:val="auto"/>
              </w:rPr>
            </w:pPr>
          </w:p>
        </w:tc>
        <w:tc>
          <w:tcPr>
            <w:tcW w:w="1040" w:type="dxa"/>
            <w:vAlign w:val="bottom"/>
            <w:gridSpan w:val="2"/>
          </w:tcPr>
          <w:p>
            <w:pPr>
              <w:jc w:val="center"/>
              <w:ind w:right="320"/>
              <w:spacing w:after="0" w:line="135" w:lineRule="exact"/>
              <w:rPr>
                <w:sz w:val="20"/>
                <w:szCs w:val="20"/>
                <w:color w:val="auto"/>
              </w:rPr>
            </w:pPr>
            <w:r>
              <w:rPr>
                <w:rFonts w:ascii="Arial" w:cs="Arial" w:eastAsia="Arial" w:hAnsi="Arial"/>
                <w:sz w:val="13"/>
                <w:szCs w:val="13"/>
                <w:b w:val="1"/>
                <w:bCs w:val="1"/>
                <w:color w:val="auto"/>
              </w:rPr>
              <w:t>Fair</w:t>
            </w:r>
          </w:p>
        </w:tc>
        <w:tc>
          <w:tcPr>
            <w:tcW w:w="1260" w:type="dxa"/>
            <w:vAlign w:val="bottom"/>
            <w:gridSpan w:val="2"/>
          </w:tcPr>
          <w:p>
            <w:pPr>
              <w:ind w:left="440"/>
              <w:spacing w:after="0" w:line="135" w:lineRule="exact"/>
              <w:rPr>
                <w:sz w:val="20"/>
                <w:szCs w:val="20"/>
                <w:color w:val="auto"/>
              </w:rPr>
            </w:pPr>
            <w:r>
              <w:rPr>
                <w:rFonts w:ascii="Arial" w:cs="Arial" w:eastAsia="Arial" w:hAnsi="Arial"/>
                <w:sz w:val="13"/>
                <w:szCs w:val="13"/>
                <w:b w:val="1"/>
                <w:bCs w:val="1"/>
                <w:color w:val="auto"/>
              </w:rPr>
              <w:t>% of</w:t>
            </w:r>
          </w:p>
        </w:tc>
        <w:tc>
          <w:tcPr>
            <w:tcW w:w="160" w:type="dxa"/>
            <w:vAlign w:val="bottom"/>
          </w:tcPr>
          <w:p>
            <w:pPr>
              <w:spacing w:after="0"/>
              <w:rPr>
                <w:sz w:val="11"/>
                <w:szCs w:val="11"/>
                <w:color w:val="auto"/>
              </w:rPr>
            </w:pPr>
          </w:p>
        </w:tc>
        <w:tc>
          <w:tcPr>
            <w:tcW w:w="1060" w:type="dxa"/>
            <w:vAlign w:val="bottom"/>
          </w:tcPr>
          <w:p>
            <w:pPr>
              <w:jc w:val="right"/>
              <w:ind w:right="143"/>
              <w:spacing w:after="0" w:line="135" w:lineRule="exact"/>
              <w:rPr>
                <w:sz w:val="20"/>
                <w:szCs w:val="20"/>
                <w:color w:val="auto"/>
              </w:rPr>
            </w:pPr>
            <w:r>
              <w:rPr>
                <w:rFonts w:ascii="Arial" w:cs="Arial" w:eastAsia="Arial" w:hAnsi="Arial"/>
                <w:sz w:val="13"/>
                <w:szCs w:val="13"/>
                <w:b w:val="1"/>
                <w:bCs w:val="1"/>
                <w:color w:val="auto"/>
                <w:w w:val="90"/>
              </w:rPr>
              <w:t>Net Unrealized</w:t>
            </w:r>
          </w:p>
        </w:tc>
        <w:tc>
          <w:tcPr>
            <w:tcW w:w="0" w:type="dxa"/>
            <w:vAlign w:val="bottom"/>
          </w:tcPr>
          <w:p>
            <w:pPr>
              <w:spacing w:after="0"/>
              <w:rPr>
                <w:sz w:val="1"/>
                <w:szCs w:val="1"/>
                <w:color w:val="auto"/>
              </w:rPr>
            </w:pPr>
          </w:p>
        </w:tc>
      </w:tr>
      <w:tr>
        <w:trPr>
          <w:trHeight w:val="174"/>
        </w:trPr>
        <w:tc>
          <w:tcPr>
            <w:tcW w:w="364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3"/>
                <w:szCs w:val="13"/>
                <w:b w:val="1"/>
                <w:bCs w:val="1"/>
                <w:color w:val="auto"/>
                <w:w w:val="86"/>
              </w:rPr>
              <w:t>Value</w:t>
            </w:r>
          </w:p>
        </w:tc>
        <w:tc>
          <w:tcPr>
            <w:tcW w:w="1280" w:type="dxa"/>
            <w:vAlign w:val="bottom"/>
            <w:tcBorders>
              <w:bottom w:val="single" w:sz="8" w:color="auto"/>
            </w:tcBorders>
            <w:gridSpan w:val="2"/>
          </w:tcPr>
          <w:p>
            <w:pPr>
              <w:ind w:left="440"/>
              <w:spacing w:after="0"/>
              <w:rPr>
                <w:sz w:val="20"/>
                <w:szCs w:val="20"/>
                <w:color w:val="auto"/>
              </w:rPr>
            </w:pPr>
            <w:r>
              <w:rPr>
                <w:rFonts w:ascii="Arial" w:cs="Arial" w:eastAsia="Arial" w:hAnsi="Arial"/>
                <w:sz w:val="13"/>
                <w:szCs w:val="13"/>
                <w:b w:val="1"/>
                <w:bCs w:val="1"/>
                <w:color w:val="auto"/>
              </w:rPr>
              <w:t>Total</w:t>
            </w:r>
          </w:p>
        </w:tc>
        <w:tc>
          <w:tcPr>
            <w:tcW w:w="14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gridSpan w:val="2"/>
          </w:tcPr>
          <w:p>
            <w:pPr>
              <w:ind w:left="60"/>
              <w:spacing w:after="0"/>
              <w:rPr>
                <w:sz w:val="20"/>
                <w:szCs w:val="20"/>
                <w:color w:val="auto"/>
              </w:rPr>
            </w:pPr>
            <w:r>
              <w:rPr>
                <w:rFonts w:ascii="Arial" w:cs="Arial" w:eastAsia="Arial" w:hAnsi="Arial"/>
                <w:sz w:val="13"/>
                <w:szCs w:val="13"/>
                <w:b w:val="1"/>
                <w:bCs w:val="1"/>
                <w:color w:val="auto"/>
              </w:rPr>
              <w:t>Gains (Losses)</w:t>
            </w:r>
          </w:p>
        </w:tc>
        <w:tc>
          <w:tcPr>
            <w:tcW w:w="18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3"/>
                <w:szCs w:val="13"/>
                <w:b w:val="1"/>
                <w:bCs w:val="1"/>
                <w:color w:val="auto"/>
                <w:w w:val="86"/>
              </w:rPr>
              <w:t>Value</w:t>
            </w:r>
          </w:p>
        </w:tc>
        <w:tc>
          <w:tcPr>
            <w:tcW w:w="1260" w:type="dxa"/>
            <w:vAlign w:val="bottom"/>
            <w:tcBorders>
              <w:bottom w:val="single" w:sz="8" w:color="auto"/>
            </w:tcBorders>
            <w:gridSpan w:val="2"/>
          </w:tcPr>
          <w:p>
            <w:pPr>
              <w:ind w:left="420"/>
              <w:spacing w:after="0"/>
              <w:rPr>
                <w:sz w:val="20"/>
                <w:szCs w:val="20"/>
                <w:color w:val="auto"/>
              </w:rPr>
            </w:pPr>
            <w:r>
              <w:rPr>
                <w:rFonts w:ascii="Arial" w:cs="Arial" w:eastAsia="Arial" w:hAnsi="Arial"/>
                <w:sz w:val="13"/>
                <w:szCs w:val="13"/>
                <w:b w:val="1"/>
                <w:bCs w:val="1"/>
                <w:color w:val="auto"/>
              </w:rPr>
              <w:t>Total</w:t>
            </w:r>
          </w:p>
        </w:tc>
        <w:tc>
          <w:tcPr>
            <w:tcW w:w="16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143"/>
              <w:spacing w:after="0"/>
              <w:rPr>
                <w:sz w:val="20"/>
                <w:szCs w:val="20"/>
                <w:color w:val="auto"/>
              </w:rPr>
            </w:pPr>
            <w:r>
              <w:rPr>
                <w:rFonts w:ascii="Arial" w:cs="Arial" w:eastAsia="Arial" w:hAnsi="Arial"/>
                <w:sz w:val="13"/>
                <w:szCs w:val="13"/>
                <w:b w:val="1"/>
                <w:bCs w:val="1"/>
                <w:color w:val="auto"/>
                <w:w w:val="87"/>
              </w:rPr>
              <w:t>Gains (Losses)</w:t>
            </w:r>
          </w:p>
        </w:tc>
        <w:tc>
          <w:tcPr>
            <w:tcW w:w="0" w:type="dxa"/>
            <w:vAlign w:val="bottom"/>
          </w:tcPr>
          <w:p>
            <w:pPr>
              <w:spacing w:after="0"/>
              <w:rPr>
                <w:sz w:val="1"/>
                <w:szCs w:val="1"/>
                <w:color w:val="auto"/>
              </w:rPr>
            </w:pPr>
          </w:p>
        </w:tc>
      </w:tr>
      <w:tr>
        <w:trPr>
          <w:trHeight w:val="173"/>
        </w:trPr>
        <w:tc>
          <w:tcPr>
            <w:tcW w:w="3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400" w:type="dxa"/>
            <w:vAlign w:val="bottom"/>
            <w:gridSpan w:val="5"/>
          </w:tcPr>
          <w:p>
            <w:pPr>
              <w:ind w:left="600"/>
              <w:spacing w:after="0"/>
              <w:rPr>
                <w:sz w:val="20"/>
                <w:szCs w:val="20"/>
                <w:color w:val="auto"/>
              </w:rPr>
            </w:pPr>
            <w:r>
              <w:rPr>
                <w:rFonts w:ascii="Arial" w:cs="Arial" w:eastAsia="Arial" w:hAnsi="Arial"/>
                <w:sz w:val="13"/>
                <w:szCs w:val="13"/>
                <w:b w:val="1"/>
                <w:bCs w:val="1"/>
                <w:color w:val="auto"/>
              </w:rPr>
              <w:t>(Dollars in millions)</w:t>
            </w: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0"/>
        </w:trPr>
        <w:tc>
          <w:tcPr>
            <w:tcW w:w="3640" w:type="dxa"/>
            <w:vAlign w:val="bottom"/>
          </w:tcPr>
          <w:p>
            <w:pPr>
              <w:ind w:left="20"/>
              <w:spacing w:after="0"/>
              <w:rPr>
                <w:sz w:val="20"/>
                <w:szCs w:val="20"/>
                <w:color w:val="auto"/>
              </w:rPr>
            </w:pPr>
            <w:r>
              <w:rPr>
                <w:rFonts w:ascii="Arial" w:cs="Arial" w:eastAsia="Arial" w:hAnsi="Arial"/>
                <w:sz w:val="16"/>
                <w:szCs w:val="16"/>
                <w:color w:val="auto"/>
              </w:rPr>
              <w:t>By security type:</w:t>
            </w: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
        </w:trPr>
        <w:tc>
          <w:tcPr>
            <w:tcW w:w="3640" w:type="dxa"/>
            <w:vAlign w:val="bottom"/>
          </w:tcPr>
          <w:p>
            <w:pPr>
              <w:spacing w:after="0"/>
              <w:rPr>
                <w:sz w:val="4"/>
                <w:szCs w:val="4"/>
                <w:color w:val="auto"/>
              </w:rPr>
            </w:pPr>
          </w:p>
        </w:tc>
        <w:tc>
          <w:tcPr>
            <w:tcW w:w="200" w:type="dxa"/>
            <w:vAlign w:val="bottom"/>
          </w:tcPr>
          <w:p>
            <w:pPr>
              <w:spacing w:after="0"/>
              <w:rPr>
                <w:sz w:val="4"/>
                <w:szCs w:val="4"/>
                <w:color w:val="auto"/>
              </w:rPr>
            </w:pPr>
          </w:p>
        </w:tc>
        <w:tc>
          <w:tcPr>
            <w:tcW w:w="9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9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36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Collateralized mortgage obligations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4,769</w:t>
            </w:r>
          </w:p>
        </w:tc>
        <w:tc>
          <w:tcPr>
            <w:tcW w:w="1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59.5%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CCEEFF"/>
            </w:tcBorders>
            <w:shd w:val="clear" w:color="auto" w:fill="CCEEFF"/>
          </w:tcPr>
          <w:p>
            <w:pPr>
              <w:jc w:val="right"/>
              <w:ind w:right="24"/>
              <w:spacing w:after="0"/>
              <w:rPr>
                <w:sz w:val="20"/>
                <w:szCs w:val="20"/>
                <w:color w:val="auto"/>
              </w:rPr>
            </w:pPr>
            <w:r>
              <w:rPr>
                <w:rFonts w:ascii="Arial" w:cs="Arial" w:eastAsia="Arial" w:hAnsi="Arial"/>
                <w:sz w:val="16"/>
                <w:szCs w:val="16"/>
                <w:color w:val="auto"/>
              </w:rPr>
              <w:t>201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5,505</w:t>
            </w: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68.6%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49</w:t>
            </w:r>
          </w:p>
        </w:tc>
        <w:tc>
          <w:tcPr>
            <w:tcW w:w="0" w:type="dxa"/>
            <w:vAlign w:val="bottom"/>
          </w:tcPr>
          <w:p>
            <w:pPr>
              <w:spacing w:after="0"/>
              <w:rPr>
                <w:sz w:val="1"/>
                <w:szCs w:val="1"/>
                <w:color w:val="auto"/>
              </w:rPr>
            </w:pPr>
          </w:p>
        </w:tc>
      </w:tr>
      <w:tr>
        <w:trPr>
          <w:trHeight w:val="237"/>
        </w:trPr>
        <w:tc>
          <w:tcPr>
            <w:tcW w:w="3640" w:type="dxa"/>
            <w:vAlign w:val="bottom"/>
          </w:tcPr>
          <w:p>
            <w:pPr>
              <w:ind w:left="180"/>
              <w:spacing w:after="0"/>
              <w:rPr>
                <w:sz w:val="20"/>
                <w:szCs w:val="20"/>
                <w:color w:val="auto"/>
              </w:rPr>
            </w:pPr>
            <w:r>
              <w:rPr>
                <w:rFonts w:ascii="Arial" w:cs="Arial" w:eastAsia="Arial" w:hAnsi="Arial"/>
                <w:sz w:val="16"/>
                <w:szCs w:val="16"/>
                <w:color w:val="auto"/>
              </w:rPr>
              <w:t>Pass-through securities</w:t>
            </w:r>
          </w:p>
        </w:tc>
        <w:tc>
          <w:tcPr>
            <w:tcW w:w="200" w:type="dxa"/>
            <w:vAlign w:val="bottom"/>
          </w:tcPr>
          <w:p>
            <w:pPr>
              <w:spacing w:after="0"/>
              <w:rPr>
                <w:sz w:val="20"/>
                <w:szCs w:val="20"/>
                <w:color w:val="auto"/>
              </w:rPr>
            </w:pPr>
          </w:p>
        </w:tc>
        <w:tc>
          <w:tcPr>
            <w:tcW w:w="920" w:type="dxa"/>
            <w:vAlign w:val="bottom"/>
          </w:tcPr>
          <w:p>
            <w:pPr>
              <w:jc w:val="right"/>
              <w:ind w:right="43"/>
              <w:spacing w:after="0"/>
              <w:rPr>
                <w:sz w:val="20"/>
                <w:szCs w:val="20"/>
                <w:color w:val="auto"/>
              </w:rPr>
            </w:pPr>
            <w:r>
              <w:rPr>
                <w:rFonts w:ascii="Arial" w:cs="Arial" w:eastAsia="Arial" w:hAnsi="Arial"/>
                <w:sz w:val="16"/>
                <w:szCs w:val="16"/>
                <w:color w:val="auto"/>
              </w:rPr>
              <w:t>3,243</w:t>
            </w:r>
          </w:p>
        </w:tc>
        <w:tc>
          <w:tcPr>
            <w:tcW w:w="100" w:type="dxa"/>
            <w:vAlign w:val="bottom"/>
          </w:tcPr>
          <w:p>
            <w:pPr>
              <w:spacing w:after="0"/>
              <w:rPr>
                <w:sz w:val="20"/>
                <w:szCs w:val="20"/>
                <w:color w:val="auto"/>
              </w:rPr>
            </w:pPr>
          </w:p>
        </w:tc>
        <w:tc>
          <w:tcPr>
            <w:tcW w:w="1160" w:type="dxa"/>
            <w:vAlign w:val="bottom"/>
          </w:tcPr>
          <w:p>
            <w:pPr>
              <w:jc w:val="right"/>
              <w:ind w:right="82"/>
              <w:spacing w:after="0"/>
              <w:rPr>
                <w:sz w:val="20"/>
                <w:szCs w:val="20"/>
                <w:color w:val="auto"/>
              </w:rPr>
            </w:pPr>
            <w:r>
              <w:rPr>
                <w:rFonts w:ascii="Arial" w:cs="Arial" w:eastAsia="Arial" w:hAnsi="Arial"/>
                <w:sz w:val="16"/>
                <w:szCs w:val="16"/>
                <w:color w:val="auto"/>
              </w:rPr>
              <w:t>40.5</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tcPr>
          <w:p>
            <w:pPr>
              <w:jc w:val="right"/>
              <w:ind w:right="24"/>
              <w:spacing w:after="0"/>
              <w:rPr>
                <w:sz w:val="20"/>
                <w:szCs w:val="20"/>
                <w:color w:val="auto"/>
              </w:rPr>
            </w:pPr>
            <w:r>
              <w:rPr>
                <w:rFonts w:ascii="Arial" w:cs="Arial" w:eastAsia="Arial" w:hAnsi="Arial"/>
                <w:sz w:val="16"/>
                <w:szCs w:val="16"/>
                <w:color w:val="auto"/>
              </w:rPr>
              <w:t>25</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jc w:val="right"/>
              <w:ind w:right="23"/>
              <w:spacing w:after="0"/>
              <w:rPr>
                <w:sz w:val="20"/>
                <w:szCs w:val="20"/>
                <w:color w:val="auto"/>
              </w:rPr>
            </w:pPr>
            <w:r>
              <w:rPr>
                <w:rFonts w:ascii="Arial" w:cs="Arial" w:eastAsia="Arial" w:hAnsi="Arial"/>
                <w:sz w:val="16"/>
                <w:szCs w:val="16"/>
                <w:color w:val="auto"/>
              </w:rPr>
              <w:t>2,518</w:t>
            </w:r>
          </w:p>
        </w:tc>
        <w:tc>
          <w:tcPr>
            <w:tcW w:w="120" w:type="dxa"/>
            <w:vAlign w:val="bottom"/>
          </w:tcPr>
          <w:p>
            <w:pPr>
              <w:spacing w:after="0"/>
              <w:rPr>
                <w:sz w:val="20"/>
                <w:szCs w:val="20"/>
                <w:color w:val="auto"/>
              </w:rPr>
            </w:pPr>
          </w:p>
        </w:tc>
        <w:tc>
          <w:tcPr>
            <w:tcW w:w="1160" w:type="dxa"/>
            <w:vAlign w:val="bottom"/>
          </w:tcPr>
          <w:p>
            <w:pPr>
              <w:jc w:val="right"/>
              <w:ind w:right="102"/>
              <w:spacing w:after="0"/>
              <w:rPr>
                <w:sz w:val="20"/>
                <w:szCs w:val="20"/>
                <w:color w:val="auto"/>
              </w:rPr>
            </w:pPr>
            <w:r>
              <w:rPr>
                <w:rFonts w:ascii="Arial" w:cs="Arial" w:eastAsia="Arial" w:hAnsi="Arial"/>
                <w:sz w:val="16"/>
                <w:szCs w:val="16"/>
                <w:color w:val="auto"/>
              </w:rPr>
              <w:t>31.4</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jc w:val="right"/>
              <w:ind w:right="43"/>
              <w:spacing w:after="0"/>
              <w:rPr>
                <w:sz w:val="20"/>
                <w:szCs w:val="20"/>
                <w:color w:val="auto"/>
              </w:rPr>
            </w:pPr>
            <w:r>
              <w:rPr>
                <w:rFonts w:ascii="Arial" w:cs="Arial" w:eastAsia="Arial" w:hAnsi="Arial"/>
                <w:sz w:val="16"/>
                <w:szCs w:val="16"/>
                <w:color w:val="auto"/>
              </w:rPr>
              <w:t>13</w:t>
            </w:r>
          </w:p>
        </w:tc>
        <w:tc>
          <w:tcPr>
            <w:tcW w:w="0" w:type="dxa"/>
            <w:vAlign w:val="bottom"/>
          </w:tcPr>
          <w:p>
            <w:pPr>
              <w:spacing w:after="0"/>
              <w:rPr>
                <w:sz w:val="1"/>
                <w:szCs w:val="1"/>
                <w:color w:val="auto"/>
              </w:rPr>
            </w:pPr>
          </w:p>
        </w:tc>
      </w:tr>
      <w:tr>
        <w:trPr>
          <w:trHeight w:val="33"/>
        </w:trPr>
        <w:tc>
          <w:tcPr>
            <w:tcW w:w="36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36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Total RMBS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8,012</w:t>
            </w:r>
          </w:p>
        </w:tc>
        <w:tc>
          <w:tcPr>
            <w:tcW w:w="1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CCEEFF"/>
            </w:tcBorders>
            <w:shd w:val="clear" w:color="auto" w:fill="CCEEFF"/>
          </w:tcPr>
          <w:p>
            <w:pPr>
              <w:jc w:val="right"/>
              <w:ind w:right="24"/>
              <w:spacing w:after="0"/>
              <w:rPr>
                <w:sz w:val="20"/>
                <w:szCs w:val="20"/>
                <w:color w:val="auto"/>
              </w:rPr>
            </w:pPr>
            <w:r>
              <w:rPr>
                <w:rFonts w:ascii="Arial" w:cs="Arial" w:eastAsia="Arial" w:hAnsi="Arial"/>
                <w:sz w:val="16"/>
                <w:szCs w:val="16"/>
                <w:color w:val="auto"/>
              </w:rPr>
              <w:t>226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8,023</w:t>
            </w: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62</w:t>
            </w:r>
          </w:p>
        </w:tc>
        <w:tc>
          <w:tcPr>
            <w:tcW w:w="0" w:type="dxa"/>
            <w:vAlign w:val="bottom"/>
          </w:tcPr>
          <w:p>
            <w:pPr>
              <w:spacing w:after="0"/>
              <w:rPr>
                <w:sz w:val="1"/>
                <w:szCs w:val="1"/>
                <w:color w:val="auto"/>
              </w:rPr>
            </w:pPr>
          </w:p>
        </w:tc>
      </w:tr>
      <w:tr>
        <w:trPr>
          <w:trHeight w:val="20"/>
        </w:trPr>
        <w:tc>
          <w:tcPr>
            <w:tcW w:w="36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color w:val="auto"/>
              </w:rPr>
              <w:t>By risk profile:</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364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4"/>
        </w:trPr>
        <w:tc>
          <w:tcPr>
            <w:tcW w:w="3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9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1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80" w:type="dxa"/>
            <w:vAlign w:val="bottom"/>
          </w:tcPr>
          <w:p>
            <w:pPr>
              <w:spacing w:after="0"/>
              <w:rPr>
                <w:sz w:val="6"/>
                <w:szCs w:val="6"/>
                <w:color w:val="auto"/>
              </w:rPr>
            </w:pPr>
          </w:p>
        </w:tc>
        <w:tc>
          <w:tcPr>
            <w:tcW w:w="9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1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50"/>
        </w:trPr>
        <w:tc>
          <w:tcPr>
            <w:tcW w:w="36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Agency</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5,348</w:t>
            </w:r>
          </w:p>
        </w:tc>
        <w:tc>
          <w:tcPr>
            <w:tcW w:w="1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66.8%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CCEEFF"/>
            </w:tcBorders>
            <w:shd w:val="clear" w:color="auto" w:fill="CCEEFF"/>
          </w:tcPr>
          <w:p>
            <w:pPr>
              <w:jc w:val="right"/>
              <w:ind w:right="24"/>
              <w:spacing w:after="0"/>
              <w:rPr>
                <w:sz w:val="20"/>
                <w:szCs w:val="20"/>
                <w:color w:val="auto"/>
              </w:rPr>
            </w:pPr>
            <w:r>
              <w:rPr>
                <w:rFonts w:ascii="Arial" w:cs="Arial" w:eastAsia="Arial" w:hAnsi="Arial"/>
                <w:sz w:val="16"/>
                <w:szCs w:val="16"/>
                <w:color w:val="auto"/>
              </w:rPr>
              <w:t>63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4,771</w:t>
            </w: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59.5%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237"/>
        </w:trPr>
        <w:tc>
          <w:tcPr>
            <w:tcW w:w="3640" w:type="dxa"/>
            <w:vAlign w:val="bottom"/>
          </w:tcPr>
          <w:p>
            <w:pPr>
              <w:ind w:left="180"/>
              <w:spacing w:after="0"/>
              <w:rPr>
                <w:sz w:val="20"/>
                <w:szCs w:val="20"/>
                <w:color w:val="auto"/>
              </w:rPr>
            </w:pPr>
            <w:r>
              <w:rPr>
                <w:rFonts w:ascii="Arial" w:cs="Arial" w:eastAsia="Arial" w:hAnsi="Arial"/>
                <w:sz w:val="16"/>
                <w:szCs w:val="16"/>
                <w:color w:val="auto"/>
              </w:rPr>
              <w:t>Prime</w:t>
            </w:r>
          </w:p>
        </w:tc>
        <w:tc>
          <w:tcPr>
            <w:tcW w:w="200" w:type="dxa"/>
            <w:vAlign w:val="bottom"/>
          </w:tcPr>
          <w:p>
            <w:pPr>
              <w:spacing w:after="0"/>
              <w:rPr>
                <w:sz w:val="20"/>
                <w:szCs w:val="20"/>
                <w:color w:val="auto"/>
              </w:rPr>
            </w:pPr>
          </w:p>
        </w:tc>
        <w:tc>
          <w:tcPr>
            <w:tcW w:w="920" w:type="dxa"/>
            <w:vAlign w:val="bottom"/>
          </w:tcPr>
          <w:p>
            <w:pPr>
              <w:jc w:val="right"/>
              <w:ind w:right="43"/>
              <w:spacing w:after="0"/>
              <w:rPr>
                <w:sz w:val="20"/>
                <w:szCs w:val="20"/>
                <w:color w:val="auto"/>
              </w:rPr>
            </w:pPr>
            <w:r>
              <w:rPr>
                <w:rFonts w:ascii="Arial" w:cs="Arial" w:eastAsia="Arial" w:hAnsi="Arial"/>
                <w:sz w:val="16"/>
                <w:szCs w:val="16"/>
                <w:color w:val="auto"/>
              </w:rPr>
              <w:t>355</w:t>
            </w:r>
          </w:p>
        </w:tc>
        <w:tc>
          <w:tcPr>
            <w:tcW w:w="100" w:type="dxa"/>
            <w:vAlign w:val="bottom"/>
          </w:tcPr>
          <w:p>
            <w:pPr>
              <w:spacing w:after="0"/>
              <w:rPr>
                <w:sz w:val="20"/>
                <w:szCs w:val="20"/>
                <w:color w:val="auto"/>
              </w:rPr>
            </w:pPr>
          </w:p>
        </w:tc>
        <w:tc>
          <w:tcPr>
            <w:tcW w:w="1160" w:type="dxa"/>
            <w:vAlign w:val="bottom"/>
          </w:tcPr>
          <w:p>
            <w:pPr>
              <w:jc w:val="right"/>
              <w:ind w:right="82"/>
              <w:spacing w:after="0"/>
              <w:rPr>
                <w:sz w:val="20"/>
                <w:szCs w:val="20"/>
                <w:color w:val="auto"/>
              </w:rPr>
            </w:pPr>
            <w:r>
              <w:rPr>
                <w:rFonts w:ascii="Arial" w:cs="Arial" w:eastAsia="Arial" w:hAnsi="Arial"/>
                <w:sz w:val="16"/>
                <w:szCs w:val="16"/>
                <w:color w:val="auto"/>
              </w:rPr>
              <w:t>4.4</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tcPr>
          <w:p>
            <w:pPr>
              <w:jc w:val="right"/>
              <w:ind w:right="24"/>
              <w:spacing w:after="0"/>
              <w:rPr>
                <w:sz w:val="20"/>
                <w:szCs w:val="20"/>
                <w:color w:val="auto"/>
              </w:rPr>
            </w:pPr>
            <w:r>
              <w:rPr>
                <w:rFonts w:ascii="Arial" w:cs="Arial" w:eastAsia="Arial" w:hAnsi="Arial"/>
                <w:sz w:val="16"/>
                <w:szCs w:val="16"/>
                <w:color w:val="auto"/>
              </w:rPr>
              <w:t>21</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jc w:val="right"/>
              <w:ind w:right="23"/>
              <w:spacing w:after="0"/>
              <w:rPr>
                <w:sz w:val="20"/>
                <w:szCs w:val="20"/>
                <w:color w:val="auto"/>
              </w:rPr>
            </w:pPr>
            <w:r>
              <w:rPr>
                <w:rFonts w:ascii="Arial" w:cs="Arial" w:eastAsia="Arial" w:hAnsi="Arial"/>
                <w:sz w:val="16"/>
                <w:szCs w:val="16"/>
                <w:color w:val="auto"/>
              </w:rPr>
              <w:t>389</w:t>
            </w:r>
          </w:p>
        </w:tc>
        <w:tc>
          <w:tcPr>
            <w:tcW w:w="120" w:type="dxa"/>
            <w:vAlign w:val="bottom"/>
          </w:tcPr>
          <w:p>
            <w:pPr>
              <w:spacing w:after="0"/>
              <w:rPr>
                <w:sz w:val="20"/>
                <w:szCs w:val="20"/>
                <w:color w:val="auto"/>
              </w:rPr>
            </w:pPr>
          </w:p>
        </w:tc>
        <w:tc>
          <w:tcPr>
            <w:tcW w:w="1160" w:type="dxa"/>
            <w:vAlign w:val="bottom"/>
          </w:tcPr>
          <w:p>
            <w:pPr>
              <w:jc w:val="right"/>
              <w:ind w:right="102"/>
              <w:spacing w:after="0"/>
              <w:rPr>
                <w:sz w:val="20"/>
                <w:szCs w:val="20"/>
                <w:color w:val="auto"/>
              </w:rPr>
            </w:pPr>
            <w:r>
              <w:rPr>
                <w:rFonts w:ascii="Arial" w:cs="Arial" w:eastAsia="Arial" w:hAnsi="Arial"/>
                <w:sz w:val="16"/>
                <w:szCs w:val="16"/>
                <w:color w:val="auto"/>
              </w:rPr>
              <w:t>4.8</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jc w:val="right"/>
              <w:ind w:right="43"/>
              <w:spacing w:after="0"/>
              <w:rPr>
                <w:sz w:val="20"/>
                <w:szCs w:val="20"/>
                <w:color w:val="auto"/>
              </w:rPr>
            </w:pPr>
            <w:r>
              <w:rPr>
                <w:rFonts w:ascii="Arial" w:cs="Arial" w:eastAsia="Arial" w:hAnsi="Arial"/>
                <w:sz w:val="16"/>
                <w:szCs w:val="16"/>
                <w:color w:val="auto"/>
              </w:rPr>
              <w:t>16</w:t>
            </w:r>
          </w:p>
        </w:tc>
        <w:tc>
          <w:tcPr>
            <w:tcW w:w="0" w:type="dxa"/>
            <w:vAlign w:val="bottom"/>
          </w:tcPr>
          <w:p>
            <w:pPr>
              <w:spacing w:after="0"/>
              <w:rPr>
                <w:sz w:val="1"/>
                <w:szCs w:val="1"/>
                <w:color w:val="auto"/>
              </w:rPr>
            </w:pPr>
          </w:p>
        </w:tc>
      </w:tr>
      <w:tr>
        <w:trPr>
          <w:trHeight w:val="33"/>
        </w:trPr>
        <w:tc>
          <w:tcPr>
            <w:tcW w:w="364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Alt-A</w:t>
            </w: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1,243</w:t>
            </w:r>
          </w:p>
        </w:tc>
        <w:tc>
          <w:tcPr>
            <w:tcW w:w="1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82"/>
              <w:spacing w:after="0"/>
              <w:rPr>
                <w:sz w:val="20"/>
                <w:szCs w:val="20"/>
                <w:color w:val="auto"/>
              </w:rPr>
            </w:pPr>
            <w:r>
              <w:rPr>
                <w:rFonts w:ascii="Arial" w:cs="Arial" w:eastAsia="Arial" w:hAnsi="Arial"/>
                <w:sz w:val="16"/>
                <w:szCs w:val="16"/>
                <w:color w:val="auto"/>
              </w:rPr>
              <w:t>15.5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24"/>
              <w:spacing w:after="0"/>
              <w:rPr>
                <w:sz w:val="20"/>
                <w:szCs w:val="20"/>
                <w:color w:val="auto"/>
              </w:rPr>
            </w:pPr>
            <w:r>
              <w:rPr>
                <w:rFonts w:ascii="Arial" w:cs="Arial" w:eastAsia="Arial" w:hAnsi="Arial"/>
                <w:sz w:val="16"/>
                <w:szCs w:val="16"/>
                <w:color w:val="auto"/>
              </w:rPr>
              <w:t>85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1,585</w:t>
            </w: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2"/>
              <w:spacing w:after="0"/>
              <w:rPr>
                <w:sz w:val="20"/>
                <w:szCs w:val="20"/>
                <w:color w:val="auto"/>
              </w:rPr>
            </w:pPr>
            <w:r>
              <w:rPr>
                <w:rFonts w:ascii="Arial" w:cs="Arial" w:eastAsia="Arial" w:hAnsi="Arial"/>
                <w:sz w:val="16"/>
                <w:szCs w:val="16"/>
                <w:color w:val="auto"/>
              </w:rPr>
              <w:t>19.8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21</w:t>
            </w:r>
          </w:p>
        </w:tc>
        <w:tc>
          <w:tcPr>
            <w:tcW w:w="0" w:type="dxa"/>
            <w:vAlign w:val="bottom"/>
          </w:tcPr>
          <w:p>
            <w:pPr>
              <w:spacing w:after="0"/>
              <w:rPr>
                <w:sz w:val="1"/>
                <w:szCs w:val="1"/>
                <w:color w:val="auto"/>
              </w:rPr>
            </w:pPr>
          </w:p>
        </w:tc>
      </w:tr>
      <w:tr>
        <w:trPr>
          <w:trHeight w:val="237"/>
        </w:trPr>
        <w:tc>
          <w:tcPr>
            <w:tcW w:w="3640" w:type="dxa"/>
            <w:vAlign w:val="bottom"/>
          </w:tcPr>
          <w:p>
            <w:pPr>
              <w:ind w:left="180"/>
              <w:spacing w:after="0"/>
              <w:rPr>
                <w:sz w:val="20"/>
                <w:szCs w:val="20"/>
                <w:color w:val="auto"/>
              </w:rPr>
            </w:pPr>
            <w:r>
              <w:rPr>
                <w:rFonts w:ascii="Arial" w:cs="Arial" w:eastAsia="Arial" w:hAnsi="Arial"/>
                <w:sz w:val="16"/>
                <w:szCs w:val="16"/>
                <w:color w:val="auto"/>
              </w:rPr>
              <w:t>Sub-prime</w:t>
            </w:r>
          </w:p>
        </w:tc>
        <w:tc>
          <w:tcPr>
            <w:tcW w:w="200" w:type="dxa"/>
            <w:vAlign w:val="bottom"/>
          </w:tcPr>
          <w:p>
            <w:pPr>
              <w:spacing w:after="0"/>
              <w:rPr>
                <w:sz w:val="20"/>
                <w:szCs w:val="20"/>
                <w:color w:val="auto"/>
              </w:rPr>
            </w:pPr>
          </w:p>
        </w:tc>
        <w:tc>
          <w:tcPr>
            <w:tcW w:w="920" w:type="dxa"/>
            <w:vAlign w:val="bottom"/>
          </w:tcPr>
          <w:p>
            <w:pPr>
              <w:jc w:val="right"/>
              <w:ind w:right="43"/>
              <w:spacing w:after="0"/>
              <w:rPr>
                <w:sz w:val="20"/>
                <w:szCs w:val="20"/>
                <w:color w:val="auto"/>
              </w:rPr>
            </w:pPr>
            <w:r>
              <w:rPr>
                <w:rFonts w:ascii="Arial" w:cs="Arial" w:eastAsia="Arial" w:hAnsi="Arial"/>
                <w:sz w:val="16"/>
                <w:szCs w:val="16"/>
                <w:color w:val="auto"/>
              </w:rPr>
              <w:t>1,066</w:t>
            </w:r>
          </w:p>
        </w:tc>
        <w:tc>
          <w:tcPr>
            <w:tcW w:w="100" w:type="dxa"/>
            <w:vAlign w:val="bottom"/>
          </w:tcPr>
          <w:p>
            <w:pPr>
              <w:spacing w:after="0"/>
              <w:rPr>
                <w:sz w:val="20"/>
                <w:szCs w:val="20"/>
                <w:color w:val="auto"/>
              </w:rPr>
            </w:pPr>
          </w:p>
        </w:tc>
        <w:tc>
          <w:tcPr>
            <w:tcW w:w="1160" w:type="dxa"/>
            <w:vAlign w:val="bottom"/>
          </w:tcPr>
          <w:p>
            <w:pPr>
              <w:jc w:val="right"/>
              <w:ind w:right="82"/>
              <w:spacing w:after="0"/>
              <w:rPr>
                <w:sz w:val="20"/>
                <w:szCs w:val="20"/>
                <w:color w:val="auto"/>
              </w:rPr>
            </w:pPr>
            <w:r>
              <w:rPr>
                <w:rFonts w:ascii="Arial" w:cs="Arial" w:eastAsia="Arial" w:hAnsi="Arial"/>
                <w:sz w:val="16"/>
                <w:szCs w:val="16"/>
                <w:color w:val="auto"/>
              </w:rPr>
              <w:t>13.3</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tcPr>
          <w:p>
            <w:pPr>
              <w:jc w:val="right"/>
              <w:ind w:right="24"/>
              <w:spacing w:after="0"/>
              <w:rPr>
                <w:sz w:val="20"/>
                <w:szCs w:val="20"/>
                <w:color w:val="auto"/>
              </w:rPr>
            </w:pPr>
            <w:r>
              <w:rPr>
                <w:rFonts w:ascii="Arial" w:cs="Arial" w:eastAsia="Arial" w:hAnsi="Arial"/>
                <w:sz w:val="16"/>
                <w:szCs w:val="16"/>
                <w:color w:val="auto"/>
              </w:rPr>
              <w:t>57</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jc w:val="right"/>
              <w:ind w:right="23"/>
              <w:spacing w:after="0"/>
              <w:rPr>
                <w:sz w:val="20"/>
                <w:szCs w:val="20"/>
                <w:color w:val="auto"/>
              </w:rPr>
            </w:pPr>
            <w:r>
              <w:rPr>
                <w:rFonts w:ascii="Arial" w:cs="Arial" w:eastAsia="Arial" w:hAnsi="Arial"/>
                <w:sz w:val="16"/>
                <w:szCs w:val="16"/>
                <w:color w:val="auto"/>
              </w:rPr>
              <w:t>1,278</w:t>
            </w:r>
          </w:p>
        </w:tc>
        <w:tc>
          <w:tcPr>
            <w:tcW w:w="120" w:type="dxa"/>
            <w:vAlign w:val="bottom"/>
          </w:tcPr>
          <w:p>
            <w:pPr>
              <w:spacing w:after="0"/>
              <w:rPr>
                <w:sz w:val="20"/>
                <w:szCs w:val="20"/>
                <w:color w:val="auto"/>
              </w:rPr>
            </w:pPr>
          </w:p>
        </w:tc>
        <w:tc>
          <w:tcPr>
            <w:tcW w:w="1160" w:type="dxa"/>
            <w:vAlign w:val="bottom"/>
          </w:tcPr>
          <w:p>
            <w:pPr>
              <w:jc w:val="right"/>
              <w:ind w:right="102"/>
              <w:spacing w:after="0"/>
              <w:rPr>
                <w:sz w:val="20"/>
                <w:szCs w:val="20"/>
                <w:color w:val="auto"/>
              </w:rPr>
            </w:pPr>
            <w:r>
              <w:rPr>
                <w:rFonts w:ascii="Arial" w:cs="Arial" w:eastAsia="Arial" w:hAnsi="Arial"/>
                <w:sz w:val="16"/>
                <w:szCs w:val="16"/>
                <w:color w:val="auto"/>
              </w:rPr>
              <w:t>15.9</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jc w:val="right"/>
              <w:ind w:right="43"/>
              <w:spacing w:after="0"/>
              <w:rPr>
                <w:sz w:val="20"/>
                <w:szCs w:val="20"/>
                <w:color w:val="auto"/>
              </w:rPr>
            </w:pPr>
            <w:r>
              <w:rPr>
                <w:rFonts w:ascii="Arial" w:cs="Arial" w:eastAsia="Arial" w:hAnsi="Arial"/>
                <w:sz w:val="16"/>
                <w:szCs w:val="16"/>
                <w:color w:val="auto"/>
              </w:rPr>
              <w:t>17</w:t>
            </w:r>
          </w:p>
        </w:tc>
        <w:tc>
          <w:tcPr>
            <w:tcW w:w="0" w:type="dxa"/>
            <w:vAlign w:val="bottom"/>
          </w:tcPr>
          <w:p>
            <w:pPr>
              <w:spacing w:after="0"/>
              <w:rPr>
                <w:sz w:val="1"/>
                <w:szCs w:val="1"/>
                <w:color w:val="auto"/>
              </w:rPr>
            </w:pPr>
          </w:p>
        </w:tc>
      </w:tr>
      <w:tr>
        <w:trPr>
          <w:trHeight w:val="33"/>
        </w:trPr>
        <w:tc>
          <w:tcPr>
            <w:tcW w:w="36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36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Total RMBS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8,012</w:t>
            </w:r>
          </w:p>
        </w:tc>
        <w:tc>
          <w:tcPr>
            <w:tcW w:w="1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CCEEFF"/>
            </w:tcBorders>
            <w:shd w:val="clear" w:color="auto" w:fill="CCEEFF"/>
          </w:tcPr>
          <w:p>
            <w:pPr>
              <w:jc w:val="right"/>
              <w:ind w:right="24"/>
              <w:spacing w:after="0"/>
              <w:rPr>
                <w:sz w:val="20"/>
                <w:szCs w:val="20"/>
                <w:color w:val="auto"/>
              </w:rPr>
            </w:pPr>
            <w:r>
              <w:rPr>
                <w:rFonts w:ascii="Arial" w:cs="Arial" w:eastAsia="Arial" w:hAnsi="Arial"/>
                <w:sz w:val="16"/>
                <w:szCs w:val="16"/>
                <w:color w:val="auto"/>
              </w:rPr>
              <w:t>226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8,023</w:t>
            </w: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62</w:t>
            </w:r>
          </w:p>
        </w:tc>
        <w:tc>
          <w:tcPr>
            <w:tcW w:w="0" w:type="dxa"/>
            <w:vAlign w:val="bottom"/>
          </w:tcPr>
          <w:p>
            <w:pPr>
              <w:spacing w:after="0"/>
              <w:rPr>
                <w:sz w:val="1"/>
                <w:szCs w:val="1"/>
                <w:color w:val="auto"/>
              </w:rPr>
            </w:pPr>
          </w:p>
        </w:tc>
      </w:tr>
      <w:tr>
        <w:trPr>
          <w:trHeight w:val="20"/>
        </w:trPr>
        <w:tc>
          <w:tcPr>
            <w:tcW w:w="36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color w:val="auto"/>
              </w:rPr>
              <w:t>Ratings profile:</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364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4"/>
        </w:trPr>
        <w:tc>
          <w:tcPr>
            <w:tcW w:w="3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9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1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80" w:type="dxa"/>
            <w:vAlign w:val="bottom"/>
          </w:tcPr>
          <w:p>
            <w:pPr>
              <w:spacing w:after="0"/>
              <w:rPr>
                <w:sz w:val="6"/>
                <w:szCs w:val="6"/>
                <w:color w:val="auto"/>
              </w:rPr>
            </w:pPr>
          </w:p>
        </w:tc>
        <w:tc>
          <w:tcPr>
            <w:tcW w:w="9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1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50"/>
        </w:trPr>
        <w:tc>
          <w:tcPr>
            <w:tcW w:w="36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Rated Aaa/AAA</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5,467</w:t>
            </w:r>
          </w:p>
        </w:tc>
        <w:tc>
          <w:tcPr>
            <w:tcW w:w="1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68.2%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4,955</w:t>
            </w: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61.8%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640" w:type="dxa"/>
            <w:vAlign w:val="bottom"/>
          </w:tcPr>
          <w:p>
            <w:pPr>
              <w:ind w:left="180"/>
              <w:spacing w:after="0"/>
              <w:rPr>
                <w:sz w:val="20"/>
                <w:szCs w:val="20"/>
                <w:color w:val="auto"/>
              </w:rPr>
            </w:pPr>
            <w:r>
              <w:rPr>
                <w:rFonts w:ascii="Arial" w:cs="Arial" w:eastAsia="Arial" w:hAnsi="Arial"/>
                <w:sz w:val="16"/>
                <w:szCs w:val="16"/>
                <w:color w:val="auto"/>
              </w:rPr>
              <w:t>Designated NAIC 1</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43"/>
              <w:spacing w:after="0"/>
              <w:rPr>
                <w:sz w:val="20"/>
                <w:szCs w:val="20"/>
                <w:color w:val="auto"/>
              </w:rPr>
            </w:pPr>
            <w:r>
              <w:rPr>
                <w:rFonts w:ascii="Arial" w:cs="Arial" w:eastAsia="Arial" w:hAnsi="Arial"/>
                <w:sz w:val="16"/>
                <w:szCs w:val="16"/>
                <w:color w:val="auto"/>
              </w:rPr>
              <w:t>7,880</w:t>
            </w:r>
          </w:p>
        </w:tc>
        <w:tc>
          <w:tcPr>
            <w:tcW w:w="1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98.4%</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ind w:right="23"/>
              <w:spacing w:after="0"/>
              <w:rPr>
                <w:sz w:val="20"/>
                <w:szCs w:val="20"/>
                <w:color w:val="auto"/>
              </w:rPr>
            </w:pPr>
            <w:r>
              <w:rPr>
                <w:rFonts w:ascii="Arial" w:cs="Arial" w:eastAsia="Arial" w:hAnsi="Arial"/>
                <w:sz w:val="16"/>
                <w:szCs w:val="16"/>
                <w:color w:val="auto"/>
              </w:rPr>
              <w:t>7,726</w:t>
            </w:r>
          </w:p>
        </w:tc>
        <w:tc>
          <w:tcPr>
            <w:tcW w:w="1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96.3%</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27" w:lineRule="exact"/>
        <w:rPr>
          <w:sz w:val="20"/>
          <w:szCs w:val="20"/>
          <w:color w:val="auto"/>
        </w:rPr>
      </w:pPr>
    </w:p>
    <w:p>
      <w:pPr>
        <w:jc w:val="both"/>
        <w:ind w:left="180" w:firstLine="324"/>
        <w:spacing w:after="0" w:line="286" w:lineRule="auto"/>
        <w:rPr>
          <w:sz w:val="20"/>
          <w:szCs w:val="20"/>
          <w:color w:val="auto"/>
        </w:rPr>
      </w:pPr>
      <w:r>
        <w:rPr>
          <w:rFonts w:ascii="Arial" w:cs="Arial" w:eastAsia="Arial" w:hAnsi="Arial"/>
          <w:sz w:val="17"/>
          <w:szCs w:val="17"/>
          <w:color w:val="auto"/>
        </w:rPr>
        <w:t>See also “Management’s Discussion and Analysis of Financial Condition and Results of Operations — Investments — Fixed Maturity and Equity Securities AFS — Structured Securities — RMBS” included in the Form 10 for further information about collateralized mortgage obligations and pass-through mortgage-backed securities, as well as agency, prime, alternative residential mortgage loan and sub-prime RMBS.</w:t>
      </w:r>
    </w:p>
    <w:p>
      <w:pPr>
        <w:spacing w:after="0" w:line="57" w:lineRule="exact"/>
        <w:rPr>
          <w:sz w:val="20"/>
          <w:szCs w:val="20"/>
          <w:color w:val="auto"/>
        </w:rPr>
      </w:pPr>
    </w:p>
    <w:p>
      <w:pPr>
        <w:jc w:val="both"/>
        <w:ind w:left="180" w:firstLine="324"/>
        <w:spacing w:after="0" w:line="277" w:lineRule="auto"/>
        <w:rPr>
          <w:sz w:val="20"/>
          <w:szCs w:val="20"/>
          <w:color w:val="auto"/>
        </w:rPr>
      </w:pPr>
      <w:r>
        <w:rPr>
          <w:rFonts w:ascii="Arial" w:cs="Arial" w:eastAsia="Arial" w:hAnsi="Arial"/>
          <w:sz w:val="18"/>
          <w:szCs w:val="18"/>
          <w:color w:val="auto"/>
        </w:rPr>
        <w:t>Historically, we have managed our exposure to sub-prime RMBS holdings by focusing primarily on senior tranche securities, stress testing the portfolio with severe loss assumptions and closely monitoring the performance of the portfolio. Our sub-prime</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111</w:t>
      </w:r>
    </w:p>
    <w:p>
      <w:pPr>
        <w:sectPr>
          <w:pgSz w:w="11900" w:h="16838" w:orient="portrait"/>
          <w:cols w:equalWidth="0" w:num="1">
            <w:col w:w="11420"/>
          </w:cols>
          <w:pgMar w:left="240" w:top="126" w:right="239" w:bottom="1440" w:gutter="0" w:footer="0" w:header="0"/>
        </w:sectPr>
      </w:pPr>
    </w:p>
    <w:bookmarkStart w:id="113" w:name="page114"/>
    <w:bookmarkEnd w:id="113"/>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both"/>
        <w:ind w:left="180"/>
        <w:spacing w:after="0" w:line="257" w:lineRule="auto"/>
        <w:rPr>
          <w:sz w:val="20"/>
          <w:szCs w:val="20"/>
          <w:color w:val="auto"/>
        </w:rPr>
      </w:pPr>
      <w:r>
        <w:rPr>
          <w:rFonts w:ascii="Arial" w:cs="Arial" w:eastAsia="Arial" w:hAnsi="Arial"/>
          <w:sz w:val="18"/>
          <w:szCs w:val="18"/>
          <w:color w:val="auto"/>
        </w:rPr>
        <w:t>RMBS portfolio consists predominantly of securities that were purchased after 2012 at significant discounts to par value and discounts to the expected principal recovery value of these securities. The vast majority of these securities are investment grade under the NAIC designations (e.g., NAIC 1 and NAIC 2). The estimated fair value of our sub-prime RMBS holdings purchased since 2012 was $1.0 billion and $1.2 billion at September 30, 2017 and December 31, 2016, respectively, with unrealized gains (losses) of $55 million and $17 million at September 30, 2017 and December 31, 2016, respectively.</w:t>
      </w:r>
    </w:p>
    <w:p>
      <w:pPr>
        <w:spacing w:after="0" w:line="80"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CMBS</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7"/>
          <w:szCs w:val="17"/>
          <w:color w:val="auto"/>
        </w:rPr>
        <w:t>Our CMBS holdings are diversified by vintage year. The following tables present our CMBS holdings by NRSRO rating and by vintage year at:</w:t>
      </w:r>
    </w:p>
    <w:p>
      <w:pPr>
        <w:spacing w:after="0" w:line="345" w:lineRule="exact"/>
        <w:rPr>
          <w:sz w:val="20"/>
          <w:szCs w:val="20"/>
          <w:color w:val="auto"/>
        </w:rPr>
      </w:pPr>
    </w:p>
    <w:tbl>
      <w:tblPr>
        <w:tblLayout w:type="fixed"/>
        <w:tblInd w:w="120" w:type="dxa"/>
        <w:tblCellMar>
          <w:top w:w="0" w:type="dxa"/>
          <w:left w:w="0" w:type="dxa"/>
          <w:bottom w:w="0" w:type="dxa"/>
          <w:right w:w="0" w:type="dxa"/>
        </w:tblCellMar>
      </w:tblPr>
      <w:tr>
        <w:trPr>
          <w:trHeight w:val="140"/>
        </w:trPr>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gridSpan w:val="3"/>
          </w:tcPr>
          <w:p>
            <w:pPr>
              <w:ind w:left="200"/>
              <w:spacing w:after="0"/>
              <w:rPr>
                <w:sz w:val="20"/>
                <w:szCs w:val="20"/>
                <w:color w:val="auto"/>
              </w:rPr>
            </w:pPr>
            <w:r>
              <w:rPr>
                <w:rFonts w:ascii="Arial" w:cs="Arial" w:eastAsia="Arial" w:hAnsi="Arial"/>
                <w:sz w:val="11"/>
                <w:szCs w:val="11"/>
                <w:b w:val="1"/>
                <w:bCs w:val="1"/>
                <w:color w:val="auto"/>
                <w:w w:val="95"/>
              </w:rPr>
              <w:t>September 30, 2017</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
        </w:trPr>
        <w:tc>
          <w:tcPr>
            <w:tcW w:w="1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gridSpan w:val="3"/>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28"/>
        </w:trPr>
        <w:tc>
          <w:tcPr>
            <w:tcW w:w="1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gridSpan w:val="3"/>
          </w:tcPr>
          <w:p>
            <w:pPr>
              <w:jc w:val="center"/>
              <w:ind w:left="440"/>
              <w:spacing w:after="0"/>
              <w:rPr>
                <w:sz w:val="20"/>
                <w:szCs w:val="20"/>
                <w:color w:val="auto"/>
              </w:rPr>
            </w:pPr>
            <w:r>
              <w:rPr>
                <w:rFonts w:ascii="Arial" w:cs="Arial" w:eastAsia="Arial" w:hAnsi="Arial"/>
                <w:sz w:val="11"/>
                <w:szCs w:val="11"/>
                <w:b w:val="1"/>
                <w:bCs w:val="1"/>
                <w:color w:val="auto"/>
                <w:w w:val="86"/>
              </w:rPr>
              <w:t>Below</w:t>
            </w: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1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60" w:type="dxa"/>
            <w:vAlign w:val="bottom"/>
            <w:gridSpan w:val="4"/>
          </w:tcPr>
          <w:p>
            <w:pPr>
              <w:jc w:val="center"/>
              <w:ind w:right="39"/>
              <w:spacing w:after="0" w:line="122" w:lineRule="exact"/>
              <w:rPr>
                <w:sz w:val="20"/>
                <w:szCs w:val="20"/>
                <w:color w:val="auto"/>
              </w:rPr>
            </w:pPr>
            <w:r>
              <w:rPr>
                <w:rFonts w:ascii="Arial" w:cs="Arial" w:eastAsia="Arial" w:hAnsi="Arial"/>
                <w:sz w:val="11"/>
                <w:szCs w:val="11"/>
                <w:b w:val="1"/>
                <w:bCs w:val="1"/>
                <w:color w:val="auto"/>
                <w:w w:val="89"/>
              </w:rPr>
              <w:t>Investment</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0"/>
        </w:trPr>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gridSpan w:val="3"/>
          </w:tcPr>
          <w:p>
            <w:pPr>
              <w:jc w:val="right"/>
              <w:ind w:right="80"/>
              <w:spacing w:after="0"/>
              <w:rPr>
                <w:sz w:val="20"/>
                <w:szCs w:val="20"/>
                <w:color w:val="auto"/>
              </w:rPr>
            </w:pPr>
            <w:r>
              <w:rPr>
                <w:rFonts w:ascii="Arial" w:cs="Arial" w:eastAsia="Arial" w:hAnsi="Arial"/>
                <w:sz w:val="11"/>
                <w:szCs w:val="11"/>
                <w:b w:val="1"/>
                <w:bCs w:val="1"/>
                <w:color w:val="auto"/>
                <w:w w:val="98"/>
              </w:rPr>
              <w:t>Aaa</w:t>
            </w: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gridSpan w:val="3"/>
          </w:tcPr>
          <w:p>
            <w:pPr>
              <w:jc w:val="right"/>
              <w:ind w:right="120"/>
              <w:spacing w:after="0"/>
              <w:rPr>
                <w:sz w:val="20"/>
                <w:szCs w:val="20"/>
                <w:color w:val="auto"/>
              </w:rPr>
            </w:pPr>
            <w:r>
              <w:rPr>
                <w:rFonts w:ascii="Arial" w:cs="Arial" w:eastAsia="Arial" w:hAnsi="Arial"/>
                <w:sz w:val="11"/>
                <w:szCs w:val="11"/>
                <w:b w:val="1"/>
                <w:bCs w:val="1"/>
                <w:color w:val="auto"/>
                <w:w w:val="99"/>
              </w:rPr>
              <w:t>Aa</w:t>
            </w: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gridSpan w:val="3"/>
          </w:tcPr>
          <w:p>
            <w:pPr>
              <w:jc w:val="right"/>
              <w:ind w:right="140"/>
              <w:spacing w:after="0"/>
              <w:rPr>
                <w:sz w:val="20"/>
                <w:szCs w:val="20"/>
                <w:color w:val="auto"/>
              </w:rPr>
            </w:pPr>
            <w:r>
              <w:rPr>
                <w:rFonts w:ascii="Arial" w:cs="Arial" w:eastAsia="Arial" w:hAnsi="Arial"/>
                <w:sz w:val="11"/>
                <w:szCs w:val="11"/>
                <w:b w:val="1"/>
                <w:bCs w:val="1"/>
                <w:color w:val="auto"/>
              </w:rPr>
              <w:t>A</w:t>
            </w: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80" w:type="dxa"/>
            <w:vAlign w:val="bottom"/>
            <w:gridSpan w:val="3"/>
          </w:tcPr>
          <w:p>
            <w:pPr>
              <w:jc w:val="right"/>
              <w:ind w:right="80"/>
              <w:spacing w:after="0"/>
              <w:rPr>
                <w:sz w:val="20"/>
                <w:szCs w:val="20"/>
                <w:color w:val="auto"/>
              </w:rPr>
            </w:pPr>
            <w:r>
              <w:rPr>
                <w:rFonts w:ascii="Arial" w:cs="Arial" w:eastAsia="Arial" w:hAnsi="Arial"/>
                <w:sz w:val="11"/>
                <w:szCs w:val="11"/>
                <w:b w:val="1"/>
                <w:bCs w:val="1"/>
                <w:color w:val="auto"/>
                <w:w w:val="88"/>
              </w:rPr>
              <w:t>Baa</w:t>
            </w: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3"/>
          </w:tcPr>
          <w:p>
            <w:pPr>
              <w:jc w:val="center"/>
              <w:ind w:left="440"/>
              <w:spacing w:after="0"/>
              <w:rPr>
                <w:sz w:val="20"/>
                <w:szCs w:val="20"/>
                <w:color w:val="auto"/>
              </w:rPr>
            </w:pPr>
            <w:r>
              <w:rPr>
                <w:rFonts w:ascii="Arial" w:cs="Arial" w:eastAsia="Arial" w:hAnsi="Arial"/>
                <w:sz w:val="11"/>
                <w:szCs w:val="11"/>
                <w:b w:val="1"/>
                <w:bCs w:val="1"/>
                <w:color w:val="auto"/>
                <w:w w:val="87"/>
              </w:rPr>
              <w:t>Grade</w:t>
            </w: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20" w:type="dxa"/>
            <w:vAlign w:val="bottom"/>
            <w:gridSpan w:val="3"/>
          </w:tcPr>
          <w:p>
            <w:pPr>
              <w:jc w:val="right"/>
              <w:ind w:right="60"/>
              <w:spacing w:after="0"/>
              <w:rPr>
                <w:sz w:val="20"/>
                <w:szCs w:val="20"/>
                <w:color w:val="auto"/>
              </w:rPr>
            </w:pPr>
            <w:r>
              <w:rPr>
                <w:rFonts w:ascii="Arial" w:cs="Arial" w:eastAsia="Arial" w:hAnsi="Arial"/>
                <w:sz w:val="11"/>
                <w:szCs w:val="11"/>
                <w:b w:val="1"/>
                <w:bCs w:val="1"/>
                <w:color w:val="auto"/>
                <w:w w:val="91"/>
              </w:rPr>
              <w:t>Total</w:t>
            </w: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
        </w:trPr>
        <w:tc>
          <w:tcPr>
            <w:tcW w:w="1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28"/>
        </w:trPr>
        <w:tc>
          <w:tcPr>
            <w:tcW w:w="1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center"/>
              <w:ind w:right="39"/>
              <w:spacing w:after="0"/>
              <w:rPr>
                <w:sz w:val="20"/>
                <w:szCs w:val="20"/>
                <w:color w:val="auto"/>
              </w:rPr>
            </w:pPr>
            <w:r>
              <w:rPr>
                <w:rFonts w:ascii="Arial" w:cs="Arial" w:eastAsia="Arial" w:hAnsi="Arial"/>
                <w:sz w:val="11"/>
                <w:szCs w:val="11"/>
                <w:b w:val="1"/>
                <w:bCs w:val="1"/>
                <w:color w:val="auto"/>
                <w:w w:val="87"/>
              </w:rPr>
              <w:t>Estimated</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center"/>
              <w:ind w:right="59"/>
              <w:spacing w:after="0"/>
              <w:rPr>
                <w:sz w:val="20"/>
                <w:szCs w:val="20"/>
                <w:color w:val="auto"/>
              </w:rPr>
            </w:pPr>
            <w:r>
              <w:rPr>
                <w:rFonts w:ascii="Arial" w:cs="Arial" w:eastAsia="Arial" w:hAnsi="Arial"/>
                <w:sz w:val="11"/>
                <w:szCs w:val="11"/>
                <w:b w:val="1"/>
                <w:bCs w:val="1"/>
                <w:color w:val="auto"/>
                <w:w w:val="91"/>
              </w:rPr>
              <w:t>Estimated</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jc w:val="center"/>
              <w:ind w:right="40"/>
              <w:spacing w:after="0"/>
              <w:rPr>
                <w:sz w:val="20"/>
                <w:szCs w:val="20"/>
                <w:color w:val="auto"/>
              </w:rPr>
            </w:pPr>
            <w:r>
              <w:rPr>
                <w:rFonts w:ascii="Arial" w:cs="Arial" w:eastAsia="Arial" w:hAnsi="Arial"/>
                <w:sz w:val="11"/>
                <w:szCs w:val="11"/>
                <w:b w:val="1"/>
                <w:bCs w:val="1"/>
                <w:color w:val="auto"/>
                <w:w w:val="91"/>
              </w:rPr>
              <w:t>Estimated</w:t>
            </w: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center"/>
              <w:ind w:right="39"/>
              <w:spacing w:after="0"/>
              <w:rPr>
                <w:sz w:val="20"/>
                <w:szCs w:val="20"/>
                <w:color w:val="auto"/>
              </w:rPr>
            </w:pPr>
            <w:r>
              <w:rPr>
                <w:rFonts w:ascii="Arial" w:cs="Arial" w:eastAsia="Arial" w:hAnsi="Arial"/>
                <w:sz w:val="11"/>
                <w:szCs w:val="11"/>
                <w:b w:val="1"/>
                <w:bCs w:val="1"/>
                <w:color w:val="auto"/>
                <w:w w:val="87"/>
              </w:rPr>
              <w:t>Estimated</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center"/>
              <w:ind w:right="39"/>
              <w:spacing w:after="0"/>
              <w:rPr>
                <w:sz w:val="20"/>
                <w:szCs w:val="20"/>
                <w:color w:val="auto"/>
              </w:rPr>
            </w:pPr>
            <w:r>
              <w:rPr>
                <w:rFonts w:ascii="Arial" w:cs="Arial" w:eastAsia="Arial" w:hAnsi="Arial"/>
                <w:sz w:val="11"/>
                <w:szCs w:val="11"/>
                <w:b w:val="1"/>
                <w:bCs w:val="1"/>
                <w:color w:val="auto"/>
                <w:w w:val="87"/>
              </w:rPr>
              <w:t>Estimated</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center"/>
              <w:ind w:right="59"/>
              <w:spacing w:after="0"/>
              <w:rPr>
                <w:sz w:val="20"/>
                <w:szCs w:val="20"/>
                <w:color w:val="auto"/>
              </w:rPr>
            </w:pPr>
            <w:r>
              <w:rPr>
                <w:rFonts w:ascii="Arial" w:cs="Arial" w:eastAsia="Arial" w:hAnsi="Arial"/>
                <w:sz w:val="11"/>
                <w:szCs w:val="11"/>
                <w:b w:val="1"/>
                <w:bCs w:val="1"/>
                <w:color w:val="auto"/>
                <w:w w:val="91"/>
              </w:rPr>
              <w:t>Estimated</w:t>
            </w:r>
          </w:p>
        </w:tc>
        <w:tc>
          <w:tcPr>
            <w:tcW w:w="0" w:type="dxa"/>
            <w:vAlign w:val="bottom"/>
          </w:tcPr>
          <w:p>
            <w:pPr>
              <w:spacing w:after="0"/>
              <w:rPr>
                <w:sz w:val="1"/>
                <w:szCs w:val="1"/>
                <w:color w:val="auto"/>
              </w:rPr>
            </w:pPr>
          </w:p>
        </w:tc>
      </w:tr>
      <w:tr>
        <w:trPr>
          <w:trHeight w:val="122"/>
        </w:trPr>
        <w:tc>
          <w:tcPr>
            <w:tcW w:w="1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92"/>
              </w:rPr>
              <w:t>Amortized</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jc w:val="center"/>
              <w:ind w:right="59"/>
              <w:spacing w:after="0" w:line="122" w:lineRule="exact"/>
              <w:rPr>
                <w:sz w:val="20"/>
                <w:szCs w:val="20"/>
                <w:color w:val="auto"/>
              </w:rPr>
            </w:pPr>
            <w:r>
              <w:rPr>
                <w:rFonts w:ascii="Arial" w:cs="Arial" w:eastAsia="Arial" w:hAnsi="Arial"/>
                <w:sz w:val="11"/>
                <w:szCs w:val="11"/>
                <w:b w:val="1"/>
                <w:bCs w:val="1"/>
                <w:color w:val="auto"/>
                <w:w w:val="98"/>
              </w:rPr>
              <w:t>Fair</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92"/>
              </w:rPr>
              <w:t>Amortized</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jc w:val="center"/>
              <w:ind w:right="59"/>
              <w:spacing w:after="0" w:line="122" w:lineRule="exact"/>
              <w:rPr>
                <w:sz w:val="20"/>
                <w:szCs w:val="20"/>
                <w:color w:val="auto"/>
              </w:rPr>
            </w:pPr>
            <w:r>
              <w:rPr>
                <w:rFonts w:ascii="Arial" w:cs="Arial" w:eastAsia="Arial" w:hAnsi="Arial"/>
                <w:sz w:val="11"/>
                <w:szCs w:val="11"/>
                <w:b w:val="1"/>
                <w:bCs w:val="1"/>
                <w:color w:val="auto"/>
                <w:w w:val="98"/>
              </w:rPr>
              <w:t>Fair</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89"/>
              </w:rPr>
              <w:t>Amortized</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jc w:val="center"/>
              <w:ind w:right="40"/>
              <w:spacing w:after="0" w:line="122" w:lineRule="exact"/>
              <w:rPr>
                <w:sz w:val="20"/>
                <w:szCs w:val="20"/>
                <w:color w:val="auto"/>
              </w:rPr>
            </w:pPr>
            <w:r>
              <w:rPr>
                <w:rFonts w:ascii="Arial" w:cs="Arial" w:eastAsia="Arial" w:hAnsi="Arial"/>
                <w:sz w:val="11"/>
                <w:szCs w:val="11"/>
                <w:b w:val="1"/>
                <w:bCs w:val="1"/>
                <w:color w:val="auto"/>
                <w:w w:val="98"/>
              </w:rPr>
              <w:t>Fair</w:t>
            </w:r>
          </w:p>
        </w:tc>
        <w:tc>
          <w:tcPr>
            <w:tcW w:w="120" w:type="dxa"/>
            <w:vAlign w:val="bottom"/>
          </w:tcPr>
          <w:p>
            <w:pPr>
              <w:spacing w:after="0"/>
              <w:rPr>
                <w:sz w:val="10"/>
                <w:szCs w:val="10"/>
                <w:color w:val="auto"/>
              </w:rPr>
            </w:pPr>
          </w:p>
        </w:tc>
        <w:tc>
          <w:tcPr>
            <w:tcW w:w="680" w:type="dxa"/>
            <w:vAlign w:val="bottom"/>
            <w:gridSpan w:val="2"/>
          </w:tcPr>
          <w:p>
            <w:pPr>
              <w:jc w:val="center"/>
              <w:ind w:left="6"/>
              <w:spacing w:after="0" w:line="122" w:lineRule="exact"/>
              <w:rPr>
                <w:sz w:val="20"/>
                <w:szCs w:val="20"/>
                <w:color w:val="auto"/>
              </w:rPr>
            </w:pPr>
            <w:r>
              <w:rPr>
                <w:rFonts w:ascii="Arial" w:cs="Arial" w:eastAsia="Arial" w:hAnsi="Arial"/>
                <w:sz w:val="11"/>
                <w:szCs w:val="11"/>
                <w:b w:val="1"/>
                <w:bCs w:val="1"/>
                <w:color w:val="auto"/>
                <w:w w:val="92"/>
              </w:rPr>
              <w:t>Amortized</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jc w:val="center"/>
              <w:ind w:right="19"/>
              <w:spacing w:after="0" w:line="122" w:lineRule="exact"/>
              <w:rPr>
                <w:sz w:val="20"/>
                <w:szCs w:val="20"/>
                <w:color w:val="auto"/>
              </w:rPr>
            </w:pPr>
            <w:r>
              <w:rPr>
                <w:rFonts w:ascii="Arial" w:cs="Arial" w:eastAsia="Arial" w:hAnsi="Arial"/>
                <w:sz w:val="11"/>
                <w:szCs w:val="11"/>
                <w:b w:val="1"/>
                <w:bCs w:val="1"/>
                <w:color w:val="auto"/>
                <w:w w:val="98"/>
              </w:rPr>
              <w:t>Fair</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gridSpan w:val="2"/>
          </w:tcPr>
          <w:p>
            <w:pPr>
              <w:jc w:val="center"/>
              <w:ind w:right="220"/>
              <w:spacing w:after="0" w:line="122" w:lineRule="exact"/>
              <w:rPr>
                <w:sz w:val="20"/>
                <w:szCs w:val="20"/>
                <w:color w:val="auto"/>
              </w:rPr>
            </w:pPr>
            <w:r>
              <w:rPr>
                <w:rFonts w:ascii="Arial" w:cs="Arial" w:eastAsia="Arial" w:hAnsi="Arial"/>
                <w:sz w:val="11"/>
                <w:szCs w:val="11"/>
                <w:b w:val="1"/>
                <w:bCs w:val="1"/>
                <w:color w:val="auto"/>
                <w:w w:val="92"/>
              </w:rPr>
              <w:t>Amortized</w:t>
            </w:r>
          </w:p>
        </w:tc>
        <w:tc>
          <w:tcPr>
            <w:tcW w:w="100" w:type="dxa"/>
            <w:vAlign w:val="bottom"/>
          </w:tcPr>
          <w:p>
            <w:pPr>
              <w:spacing w:after="0"/>
              <w:rPr>
                <w:sz w:val="10"/>
                <w:szCs w:val="10"/>
                <w:color w:val="auto"/>
              </w:rPr>
            </w:pPr>
          </w:p>
        </w:tc>
        <w:tc>
          <w:tcPr>
            <w:tcW w:w="600" w:type="dxa"/>
            <w:vAlign w:val="bottom"/>
          </w:tcPr>
          <w:p>
            <w:pPr>
              <w:jc w:val="center"/>
              <w:ind w:right="59"/>
              <w:spacing w:after="0" w:line="122" w:lineRule="exact"/>
              <w:rPr>
                <w:sz w:val="20"/>
                <w:szCs w:val="20"/>
                <w:color w:val="auto"/>
              </w:rPr>
            </w:pPr>
            <w:r>
              <w:rPr>
                <w:rFonts w:ascii="Arial" w:cs="Arial" w:eastAsia="Arial" w:hAnsi="Arial"/>
                <w:sz w:val="11"/>
                <w:szCs w:val="11"/>
                <w:b w:val="1"/>
                <w:bCs w:val="1"/>
                <w:color w:val="auto"/>
                <w:w w:val="98"/>
              </w:rPr>
              <w:t>Fair</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89"/>
              </w:rPr>
              <w:t>Amortized</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jc w:val="center"/>
              <w:ind w:right="59"/>
              <w:spacing w:after="0" w:line="122" w:lineRule="exact"/>
              <w:rPr>
                <w:sz w:val="20"/>
                <w:szCs w:val="20"/>
                <w:color w:val="auto"/>
              </w:rPr>
            </w:pPr>
            <w:r>
              <w:rPr>
                <w:rFonts w:ascii="Arial" w:cs="Arial" w:eastAsia="Arial" w:hAnsi="Arial"/>
                <w:sz w:val="11"/>
                <w:szCs w:val="11"/>
                <w:b w:val="1"/>
                <w:bCs w:val="1"/>
                <w:color w:val="auto"/>
                <w:w w:val="98"/>
              </w:rPr>
              <w:t>Fair</w:t>
            </w:r>
          </w:p>
        </w:tc>
        <w:tc>
          <w:tcPr>
            <w:tcW w:w="0" w:type="dxa"/>
            <w:vAlign w:val="bottom"/>
          </w:tcPr>
          <w:p>
            <w:pPr>
              <w:spacing w:after="0"/>
              <w:rPr>
                <w:sz w:val="1"/>
                <w:szCs w:val="1"/>
                <w:color w:val="auto"/>
              </w:rPr>
            </w:pPr>
          </w:p>
        </w:tc>
      </w:tr>
      <w:tr>
        <w:trPr>
          <w:trHeight w:val="140"/>
        </w:trPr>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center"/>
              <w:spacing w:after="0"/>
              <w:rPr>
                <w:sz w:val="20"/>
                <w:szCs w:val="20"/>
                <w:color w:val="auto"/>
              </w:rPr>
            </w:pPr>
            <w:r>
              <w:rPr>
                <w:rFonts w:ascii="Arial" w:cs="Arial" w:eastAsia="Arial" w:hAnsi="Arial"/>
                <w:sz w:val="11"/>
                <w:szCs w:val="11"/>
                <w:b w:val="1"/>
                <w:bCs w:val="1"/>
                <w:color w:val="auto"/>
                <w:w w:val="89"/>
              </w:rPr>
              <w:t>Cost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center"/>
              <w:ind w:right="39"/>
              <w:spacing w:after="0"/>
              <w:rPr>
                <w:sz w:val="20"/>
                <w:szCs w:val="20"/>
                <w:color w:val="auto"/>
              </w:rPr>
            </w:pPr>
            <w:r>
              <w:rPr>
                <w:rFonts w:ascii="Arial" w:cs="Arial" w:eastAsia="Arial" w:hAnsi="Arial"/>
                <w:sz w:val="11"/>
                <w:szCs w:val="11"/>
                <w:b w:val="1"/>
                <w:bCs w:val="1"/>
                <w:color w:val="auto"/>
                <w:w w:val="88"/>
              </w:rPr>
              <w:t>Value</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jc w:val="center"/>
              <w:spacing w:after="0"/>
              <w:rPr>
                <w:sz w:val="20"/>
                <w:szCs w:val="20"/>
                <w:color w:val="auto"/>
              </w:rPr>
            </w:pPr>
            <w:r>
              <w:rPr>
                <w:rFonts w:ascii="Arial" w:cs="Arial" w:eastAsia="Arial" w:hAnsi="Arial"/>
                <w:sz w:val="11"/>
                <w:szCs w:val="11"/>
                <w:b w:val="1"/>
                <w:bCs w:val="1"/>
                <w:color w:val="auto"/>
                <w:w w:val="81"/>
              </w:rPr>
              <w:t>Cost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center"/>
              <w:ind w:right="39"/>
              <w:spacing w:after="0"/>
              <w:rPr>
                <w:sz w:val="20"/>
                <w:szCs w:val="20"/>
                <w:color w:val="auto"/>
              </w:rPr>
            </w:pPr>
            <w:r>
              <w:rPr>
                <w:rFonts w:ascii="Arial" w:cs="Arial" w:eastAsia="Arial" w:hAnsi="Arial"/>
                <w:sz w:val="11"/>
                <w:szCs w:val="11"/>
                <w:b w:val="1"/>
                <w:bCs w:val="1"/>
                <w:color w:val="auto"/>
                <w:w w:val="88"/>
              </w:rPr>
              <w:t>Value</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center"/>
              <w:spacing w:after="0"/>
              <w:rPr>
                <w:sz w:val="20"/>
                <w:szCs w:val="20"/>
                <w:color w:val="auto"/>
              </w:rPr>
            </w:pPr>
            <w:r>
              <w:rPr>
                <w:rFonts w:ascii="Arial" w:cs="Arial" w:eastAsia="Arial" w:hAnsi="Arial"/>
                <w:sz w:val="11"/>
                <w:szCs w:val="11"/>
                <w:b w:val="1"/>
                <w:bCs w:val="1"/>
                <w:color w:val="auto"/>
                <w:w w:val="81"/>
              </w:rPr>
              <w:t>Cost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center"/>
              <w:ind w:right="60"/>
              <w:spacing w:after="0"/>
              <w:rPr>
                <w:sz w:val="20"/>
                <w:szCs w:val="20"/>
                <w:color w:val="auto"/>
              </w:rPr>
            </w:pPr>
            <w:r>
              <w:rPr>
                <w:rFonts w:ascii="Arial" w:cs="Arial" w:eastAsia="Arial" w:hAnsi="Arial"/>
                <w:sz w:val="11"/>
                <w:szCs w:val="11"/>
                <w:b w:val="1"/>
                <w:bCs w:val="1"/>
                <w:color w:val="auto"/>
                <w:w w:val="88"/>
              </w:rPr>
              <w:t>Value</w:t>
            </w:r>
          </w:p>
        </w:tc>
        <w:tc>
          <w:tcPr>
            <w:tcW w:w="120" w:type="dxa"/>
            <w:vAlign w:val="bottom"/>
          </w:tcPr>
          <w:p>
            <w:pPr>
              <w:spacing w:after="0"/>
              <w:rPr>
                <w:sz w:val="12"/>
                <w:szCs w:val="12"/>
                <w:color w:val="auto"/>
              </w:rPr>
            </w:pPr>
          </w:p>
        </w:tc>
        <w:tc>
          <w:tcPr>
            <w:tcW w:w="500" w:type="dxa"/>
            <w:vAlign w:val="bottom"/>
          </w:tcPr>
          <w:p>
            <w:pPr>
              <w:jc w:val="center"/>
              <w:ind w:left="186"/>
              <w:spacing w:after="0"/>
              <w:rPr>
                <w:sz w:val="20"/>
                <w:szCs w:val="20"/>
                <w:color w:val="auto"/>
              </w:rPr>
            </w:pPr>
            <w:r>
              <w:rPr>
                <w:rFonts w:ascii="Arial" w:cs="Arial" w:eastAsia="Arial" w:hAnsi="Arial"/>
                <w:sz w:val="11"/>
                <w:szCs w:val="11"/>
                <w:b w:val="1"/>
                <w:bCs w:val="1"/>
                <w:color w:val="auto"/>
                <w:w w:val="89"/>
              </w:rPr>
              <w:t>Cost</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center"/>
              <w:ind w:right="39"/>
              <w:spacing w:after="0"/>
              <w:rPr>
                <w:sz w:val="20"/>
                <w:szCs w:val="20"/>
                <w:color w:val="auto"/>
              </w:rPr>
            </w:pPr>
            <w:r>
              <w:rPr>
                <w:rFonts w:ascii="Arial" w:cs="Arial" w:eastAsia="Arial" w:hAnsi="Arial"/>
                <w:sz w:val="11"/>
                <w:szCs w:val="11"/>
                <w:b w:val="1"/>
                <w:bCs w:val="1"/>
                <w:color w:val="auto"/>
                <w:w w:val="88"/>
              </w:rPr>
              <w:t>Value</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89"/>
              </w:rPr>
              <w:t>Cost</w:t>
            </w:r>
          </w:p>
        </w:tc>
        <w:tc>
          <w:tcPr>
            <w:tcW w:w="100" w:type="dxa"/>
            <w:vAlign w:val="bottom"/>
          </w:tcPr>
          <w:p>
            <w:pPr>
              <w:spacing w:after="0"/>
              <w:rPr>
                <w:sz w:val="12"/>
                <w:szCs w:val="12"/>
                <w:color w:val="auto"/>
              </w:rPr>
            </w:pPr>
          </w:p>
        </w:tc>
        <w:tc>
          <w:tcPr>
            <w:tcW w:w="600" w:type="dxa"/>
            <w:vAlign w:val="bottom"/>
          </w:tcPr>
          <w:p>
            <w:pPr>
              <w:jc w:val="center"/>
              <w:ind w:right="39"/>
              <w:spacing w:after="0"/>
              <w:rPr>
                <w:sz w:val="20"/>
                <w:szCs w:val="20"/>
                <w:color w:val="auto"/>
              </w:rPr>
            </w:pPr>
            <w:r>
              <w:rPr>
                <w:rFonts w:ascii="Arial" w:cs="Arial" w:eastAsia="Arial" w:hAnsi="Arial"/>
                <w:sz w:val="11"/>
                <w:szCs w:val="11"/>
                <w:b w:val="1"/>
                <w:bCs w:val="1"/>
                <w:color w:val="auto"/>
                <w:w w:val="88"/>
              </w:rPr>
              <w:t>Value</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jc w:val="center"/>
              <w:spacing w:after="0"/>
              <w:rPr>
                <w:sz w:val="20"/>
                <w:szCs w:val="20"/>
                <w:color w:val="auto"/>
              </w:rPr>
            </w:pPr>
            <w:r>
              <w:rPr>
                <w:rFonts w:ascii="Arial" w:cs="Arial" w:eastAsia="Arial" w:hAnsi="Arial"/>
                <w:sz w:val="11"/>
                <w:szCs w:val="11"/>
                <w:b w:val="1"/>
                <w:bCs w:val="1"/>
                <w:color w:val="auto"/>
                <w:w w:val="81"/>
              </w:rPr>
              <w:t>Cost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center"/>
              <w:ind w:right="39"/>
              <w:spacing w:after="0"/>
              <w:rPr>
                <w:sz w:val="20"/>
                <w:szCs w:val="20"/>
                <w:color w:val="auto"/>
              </w:rPr>
            </w:pPr>
            <w:r>
              <w:rPr>
                <w:rFonts w:ascii="Arial" w:cs="Arial" w:eastAsia="Arial" w:hAnsi="Arial"/>
                <w:sz w:val="11"/>
                <w:szCs w:val="11"/>
                <w:b w:val="1"/>
                <w:bCs w:val="1"/>
                <w:color w:val="auto"/>
                <w:w w:val="88"/>
              </w:rPr>
              <w:t>Value</w:t>
            </w:r>
          </w:p>
        </w:tc>
        <w:tc>
          <w:tcPr>
            <w:tcW w:w="0" w:type="dxa"/>
            <w:vAlign w:val="bottom"/>
          </w:tcPr>
          <w:p>
            <w:pPr>
              <w:spacing w:after="0"/>
              <w:rPr>
                <w:sz w:val="1"/>
                <w:szCs w:val="1"/>
                <w:color w:val="auto"/>
              </w:rPr>
            </w:pPr>
          </w:p>
        </w:tc>
      </w:tr>
      <w:tr>
        <w:trPr>
          <w:trHeight w:val="22"/>
        </w:trPr>
        <w:tc>
          <w:tcPr>
            <w:tcW w:w="1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gridSpan w:val="3"/>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7"/>
        </w:trPr>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gridSpan w:val="3"/>
          </w:tcPr>
          <w:p>
            <w:pPr>
              <w:ind w:left="180"/>
              <w:spacing w:after="0"/>
              <w:rPr>
                <w:sz w:val="20"/>
                <w:szCs w:val="20"/>
                <w:color w:val="auto"/>
              </w:rPr>
            </w:pPr>
            <w:r>
              <w:rPr>
                <w:rFonts w:ascii="Arial" w:cs="Arial" w:eastAsia="Arial" w:hAnsi="Arial"/>
                <w:sz w:val="11"/>
                <w:szCs w:val="11"/>
                <w:b w:val="1"/>
                <w:bCs w:val="1"/>
                <w:color w:val="auto"/>
                <w:w w:val="97"/>
              </w:rPr>
              <w:t>(Dollars in millions)</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
        </w:trPr>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1260" w:type="dxa"/>
            <w:vAlign w:val="bottom"/>
            <w:shd w:val="clear" w:color="auto" w:fill="CCEEFF"/>
          </w:tcPr>
          <w:p>
            <w:pPr>
              <w:ind w:left="20"/>
              <w:spacing w:after="0"/>
              <w:rPr>
                <w:sz w:val="20"/>
                <w:szCs w:val="20"/>
                <w:color w:val="auto"/>
              </w:rPr>
            </w:pPr>
            <w:r>
              <w:rPr>
                <w:rFonts w:ascii="Arial" w:cs="Arial" w:eastAsia="Arial" w:hAnsi="Arial"/>
                <w:sz w:val="13"/>
                <w:szCs w:val="13"/>
                <w:color w:val="auto"/>
              </w:rPr>
              <w:t>2003 — 2010</w:t>
            </w: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28</w:t>
            </w:r>
          </w:p>
        </w:tc>
        <w:tc>
          <w:tcPr>
            <w:tcW w:w="300" w:type="dxa"/>
            <w:vAlign w:val="bottom"/>
            <w:gridSpan w:val="3"/>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0" w:type="dxa"/>
            <w:vAlign w:val="bottom"/>
            <w:vMerge w:val="restart"/>
            <w:shd w:val="clear" w:color="auto" w:fill="CCEEFF"/>
          </w:tcPr>
          <w:p>
            <w:pPr>
              <w:jc w:val="right"/>
              <w:ind w:right="79"/>
              <w:spacing w:after="0"/>
              <w:rPr>
                <w:sz w:val="20"/>
                <w:szCs w:val="20"/>
                <w:color w:val="auto"/>
              </w:rPr>
            </w:pPr>
            <w:r>
              <w:rPr>
                <w:rFonts w:ascii="Arial" w:cs="Arial" w:eastAsia="Arial" w:hAnsi="Arial"/>
                <w:sz w:val="13"/>
                <w:szCs w:val="13"/>
                <w:color w:val="auto"/>
              </w:rPr>
              <w:t>31</w:t>
            </w:r>
          </w:p>
        </w:tc>
        <w:tc>
          <w:tcPr>
            <w:tcW w:w="22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80" w:type="dxa"/>
            <w:vAlign w:val="bottom"/>
            <w:gridSpan w:val="3"/>
            <w:vMerge w:val="restart"/>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600" w:type="dxa"/>
            <w:vAlign w:val="bottom"/>
            <w:vMerge w:val="restart"/>
            <w:shd w:val="clear" w:color="auto" w:fill="CCEEFF"/>
          </w:tcPr>
          <w:p>
            <w:pPr>
              <w:jc w:val="right"/>
              <w:ind w:right="79"/>
              <w:spacing w:after="0"/>
              <w:rPr>
                <w:sz w:val="20"/>
                <w:szCs w:val="20"/>
                <w:color w:val="auto"/>
              </w:rPr>
            </w:pPr>
            <w:r>
              <w:rPr>
                <w:rFonts w:ascii="Arial" w:cs="Arial" w:eastAsia="Arial" w:hAnsi="Arial"/>
                <w:sz w:val="13"/>
                <w:szCs w:val="13"/>
                <w:color w:val="auto"/>
              </w:rPr>
              <w:t>—</w:t>
            </w:r>
          </w:p>
        </w:tc>
        <w:tc>
          <w:tcPr>
            <w:tcW w:w="20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80" w:type="dxa"/>
            <w:vAlign w:val="bottom"/>
            <w:gridSpan w:val="3"/>
            <w:vMerge w:val="restart"/>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580" w:type="dxa"/>
            <w:vAlign w:val="bottom"/>
            <w:vMerge w:val="restart"/>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620" w:type="dxa"/>
            <w:vAlign w:val="bottom"/>
            <w:gridSpan w:val="2"/>
            <w:vMerge w:val="restart"/>
            <w:shd w:val="clear" w:color="auto" w:fill="CCEEFF"/>
          </w:tcPr>
          <w:p>
            <w:pPr>
              <w:jc w:val="right"/>
              <w:ind w:right="366"/>
              <w:spacing w:after="0"/>
              <w:rPr>
                <w:sz w:val="20"/>
                <w:szCs w:val="20"/>
                <w:color w:val="auto"/>
              </w:rPr>
            </w:pPr>
            <w:r>
              <w:rPr>
                <w:rFonts w:ascii="Arial" w:cs="Arial" w:eastAsia="Arial" w:hAnsi="Arial"/>
                <w:sz w:val="13"/>
                <w:szCs w:val="13"/>
                <w:color w:val="auto"/>
              </w:rPr>
              <w:t>$</w:t>
            </w: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280" w:type="dxa"/>
            <w:vAlign w:val="bottom"/>
            <w:gridSpan w:val="3"/>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0" w:type="dxa"/>
            <w:vAlign w:val="bottom"/>
            <w:vMerge w:val="restart"/>
            <w:shd w:val="clear" w:color="auto" w:fill="CCEEFF"/>
          </w:tcPr>
          <w:p>
            <w:pPr>
              <w:jc w:val="right"/>
              <w:ind w:right="79"/>
              <w:spacing w:after="0"/>
              <w:rPr>
                <w:sz w:val="20"/>
                <w:szCs w:val="20"/>
                <w:color w:val="auto"/>
              </w:rPr>
            </w:pPr>
            <w:r>
              <w:rPr>
                <w:rFonts w:ascii="Arial" w:cs="Arial" w:eastAsia="Arial" w:hAnsi="Arial"/>
                <w:sz w:val="13"/>
                <w:szCs w:val="13"/>
                <w:color w:val="auto"/>
              </w:rPr>
              <w:t>1</w:t>
            </w:r>
          </w:p>
        </w:tc>
        <w:tc>
          <w:tcPr>
            <w:tcW w:w="22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76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0" w:type="dxa"/>
            <w:vAlign w:val="bottom"/>
            <w:vMerge w:val="restart"/>
            <w:shd w:val="clear" w:color="auto" w:fill="CCEEFF"/>
          </w:tcPr>
          <w:p>
            <w:pPr>
              <w:jc w:val="right"/>
              <w:ind w:right="79"/>
              <w:spacing w:after="0"/>
              <w:rPr>
                <w:sz w:val="20"/>
                <w:szCs w:val="20"/>
                <w:color w:val="auto"/>
              </w:rPr>
            </w:pPr>
            <w:r>
              <w:rPr>
                <w:rFonts w:ascii="Arial" w:cs="Arial" w:eastAsia="Arial" w:hAnsi="Arial"/>
                <w:sz w:val="13"/>
                <w:szCs w:val="13"/>
                <w:color w:val="auto"/>
              </w:rPr>
              <w:t>1</w:t>
            </w:r>
          </w:p>
        </w:tc>
        <w:tc>
          <w:tcPr>
            <w:tcW w:w="22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29</w:t>
            </w:r>
          </w:p>
        </w:tc>
        <w:tc>
          <w:tcPr>
            <w:tcW w:w="320" w:type="dxa"/>
            <w:vAlign w:val="bottom"/>
            <w:gridSpan w:val="3"/>
            <w:vMerge w:val="restart"/>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600" w:type="dxa"/>
            <w:vAlign w:val="bottom"/>
            <w:vMerge w:val="restart"/>
            <w:shd w:val="clear" w:color="auto" w:fill="CCEEFF"/>
          </w:tcPr>
          <w:p>
            <w:pPr>
              <w:jc w:val="right"/>
              <w:ind w:right="79"/>
              <w:spacing w:after="0"/>
              <w:rPr>
                <w:sz w:val="20"/>
                <w:szCs w:val="20"/>
                <w:color w:val="auto"/>
              </w:rPr>
            </w:pPr>
            <w:r>
              <w:rPr>
                <w:rFonts w:ascii="Arial" w:cs="Arial" w:eastAsia="Arial" w:hAnsi="Arial"/>
                <w:sz w:val="13"/>
                <w:szCs w:val="13"/>
                <w:color w:val="auto"/>
              </w:rPr>
              <w:t>33</w:t>
            </w:r>
          </w:p>
        </w:tc>
        <w:tc>
          <w:tcPr>
            <w:tcW w:w="0" w:type="dxa"/>
            <w:vAlign w:val="bottom"/>
          </w:tcPr>
          <w:p>
            <w:pPr>
              <w:spacing w:after="0"/>
              <w:rPr>
                <w:sz w:val="1"/>
                <w:szCs w:val="1"/>
                <w:color w:val="auto"/>
              </w:rPr>
            </w:pPr>
          </w:p>
        </w:tc>
      </w:tr>
      <w:tr>
        <w:trPr>
          <w:trHeight w:val="97"/>
        </w:trPr>
        <w:tc>
          <w:tcPr>
            <w:tcW w:w="1260" w:type="dxa"/>
            <w:vAlign w:val="bottom"/>
            <w:shd w:val="clear" w:color="auto" w:fill="CCEEFF"/>
          </w:tcPr>
          <w:p>
            <w:pPr>
              <w:spacing w:after="0"/>
              <w:rPr>
                <w:sz w:val="8"/>
                <w:szCs w:val="8"/>
                <w:color w:val="auto"/>
              </w:rPr>
            </w:pPr>
          </w:p>
        </w:tc>
        <w:tc>
          <w:tcPr>
            <w:tcW w:w="100" w:type="dxa"/>
            <w:vAlign w:val="bottom"/>
            <w:vMerge w:val="continue"/>
            <w:shd w:val="clear" w:color="auto" w:fill="CCEEFF"/>
          </w:tcPr>
          <w:p>
            <w:pPr>
              <w:spacing w:after="0"/>
              <w:rPr>
                <w:sz w:val="8"/>
                <w:szCs w:val="8"/>
                <w:color w:val="auto"/>
              </w:rPr>
            </w:pPr>
          </w:p>
        </w:tc>
        <w:tc>
          <w:tcPr>
            <w:tcW w:w="560" w:type="dxa"/>
            <w:vAlign w:val="bottom"/>
            <w:vMerge w:val="continue"/>
            <w:shd w:val="clear" w:color="auto" w:fill="CCEEFF"/>
          </w:tcPr>
          <w:p>
            <w:pPr>
              <w:spacing w:after="0"/>
              <w:rPr>
                <w:sz w:val="8"/>
                <w:szCs w:val="8"/>
                <w:color w:val="auto"/>
              </w:rPr>
            </w:pPr>
          </w:p>
        </w:tc>
        <w:tc>
          <w:tcPr>
            <w:tcW w:w="300" w:type="dxa"/>
            <w:vAlign w:val="bottom"/>
            <w:gridSpan w:val="3"/>
            <w:vMerge w:val="continue"/>
            <w:shd w:val="clear" w:color="auto" w:fill="CCEEFF"/>
          </w:tcPr>
          <w:p>
            <w:pPr>
              <w:spacing w:after="0"/>
              <w:rPr>
                <w:sz w:val="8"/>
                <w:szCs w:val="8"/>
                <w:color w:val="auto"/>
              </w:rPr>
            </w:pPr>
          </w:p>
        </w:tc>
        <w:tc>
          <w:tcPr>
            <w:tcW w:w="600" w:type="dxa"/>
            <w:vAlign w:val="bottom"/>
            <w:vMerge w:val="continue"/>
            <w:shd w:val="clear" w:color="auto" w:fill="CCEEFF"/>
          </w:tcPr>
          <w:p>
            <w:pPr>
              <w:spacing w:after="0"/>
              <w:rPr>
                <w:sz w:val="8"/>
                <w:szCs w:val="8"/>
                <w:color w:val="auto"/>
              </w:rPr>
            </w:pPr>
          </w:p>
        </w:tc>
        <w:tc>
          <w:tcPr>
            <w:tcW w:w="220" w:type="dxa"/>
            <w:vAlign w:val="bottom"/>
            <w:gridSpan w:val="2"/>
            <w:vMerge w:val="continue"/>
            <w:shd w:val="clear" w:color="auto" w:fill="CCEEFF"/>
          </w:tcPr>
          <w:p>
            <w:pPr>
              <w:spacing w:after="0"/>
              <w:rPr>
                <w:sz w:val="8"/>
                <w:szCs w:val="8"/>
                <w:color w:val="auto"/>
              </w:rPr>
            </w:pPr>
          </w:p>
        </w:tc>
        <w:tc>
          <w:tcPr>
            <w:tcW w:w="580" w:type="dxa"/>
            <w:vAlign w:val="bottom"/>
            <w:vMerge w:val="continue"/>
            <w:shd w:val="clear" w:color="auto" w:fill="CCEEFF"/>
          </w:tcPr>
          <w:p>
            <w:pPr>
              <w:spacing w:after="0"/>
              <w:rPr>
                <w:sz w:val="8"/>
                <w:szCs w:val="8"/>
                <w:color w:val="auto"/>
              </w:rPr>
            </w:pPr>
          </w:p>
        </w:tc>
        <w:tc>
          <w:tcPr>
            <w:tcW w:w="280" w:type="dxa"/>
            <w:vAlign w:val="bottom"/>
            <w:gridSpan w:val="3"/>
            <w:vMerge w:val="continue"/>
            <w:shd w:val="clear" w:color="auto" w:fill="CCEEFF"/>
          </w:tcPr>
          <w:p>
            <w:pPr>
              <w:spacing w:after="0"/>
              <w:rPr>
                <w:sz w:val="8"/>
                <w:szCs w:val="8"/>
                <w:color w:val="auto"/>
              </w:rPr>
            </w:pPr>
          </w:p>
        </w:tc>
        <w:tc>
          <w:tcPr>
            <w:tcW w:w="600" w:type="dxa"/>
            <w:vAlign w:val="bottom"/>
            <w:vMerge w:val="continue"/>
            <w:shd w:val="clear" w:color="auto" w:fill="CCEEFF"/>
          </w:tcPr>
          <w:p>
            <w:pPr>
              <w:spacing w:after="0"/>
              <w:rPr>
                <w:sz w:val="8"/>
                <w:szCs w:val="8"/>
                <w:color w:val="auto"/>
              </w:rPr>
            </w:pPr>
          </w:p>
        </w:tc>
        <w:tc>
          <w:tcPr>
            <w:tcW w:w="200" w:type="dxa"/>
            <w:vAlign w:val="bottom"/>
            <w:gridSpan w:val="2"/>
            <w:vMerge w:val="continue"/>
            <w:shd w:val="clear" w:color="auto" w:fill="CCEEFF"/>
          </w:tcPr>
          <w:p>
            <w:pPr>
              <w:spacing w:after="0"/>
              <w:rPr>
                <w:sz w:val="8"/>
                <w:szCs w:val="8"/>
                <w:color w:val="auto"/>
              </w:rPr>
            </w:pPr>
          </w:p>
        </w:tc>
        <w:tc>
          <w:tcPr>
            <w:tcW w:w="600" w:type="dxa"/>
            <w:vAlign w:val="bottom"/>
            <w:vMerge w:val="continue"/>
            <w:shd w:val="clear" w:color="auto" w:fill="CCEEFF"/>
          </w:tcPr>
          <w:p>
            <w:pPr>
              <w:spacing w:after="0"/>
              <w:rPr>
                <w:sz w:val="8"/>
                <w:szCs w:val="8"/>
                <w:color w:val="auto"/>
              </w:rPr>
            </w:pPr>
          </w:p>
        </w:tc>
        <w:tc>
          <w:tcPr>
            <w:tcW w:w="280" w:type="dxa"/>
            <w:vAlign w:val="bottom"/>
            <w:gridSpan w:val="3"/>
            <w:vMerge w:val="continue"/>
            <w:shd w:val="clear" w:color="auto" w:fill="CCEEFF"/>
          </w:tcPr>
          <w:p>
            <w:pPr>
              <w:spacing w:after="0"/>
              <w:rPr>
                <w:sz w:val="8"/>
                <w:szCs w:val="8"/>
                <w:color w:val="auto"/>
              </w:rPr>
            </w:pPr>
          </w:p>
        </w:tc>
        <w:tc>
          <w:tcPr>
            <w:tcW w:w="580" w:type="dxa"/>
            <w:vAlign w:val="bottom"/>
            <w:vMerge w:val="continue"/>
            <w:shd w:val="clear" w:color="auto" w:fill="CCEEFF"/>
          </w:tcPr>
          <w:p>
            <w:pPr>
              <w:spacing w:after="0"/>
              <w:rPr>
                <w:sz w:val="8"/>
                <w:szCs w:val="8"/>
                <w:color w:val="auto"/>
              </w:rPr>
            </w:pPr>
          </w:p>
        </w:tc>
        <w:tc>
          <w:tcPr>
            <w:tcW w:w="620" w:type="dxa"/>
            <w:vAlign w:val="bottom"/>
            <w:gridSpan w:val="2"/>
            <w:vMerge w:val="continue"/>
            <w:shd w:val="clear" w:color="auto" w:fill="CCEEFF"/>
          </w:tcPr>
          <w:p>
            <w:pPr>
              <w:spacing w:after="0"/>
              <w:rPr>
                <w:sz w:val="8"/>
                <w:szCs w:val="8"/>
                <w:color w:val="auto"/>
              </w:rPr>
            </w:pPr>
          </w:p>
        </w:tc>
        <w:tc>
          <w:tcPr>
            <w:tcW w:w="180" w:type="dxa"/>
            <w:vAlign w:val="bottom"/>
            <w:vMerge w:val="continue"/>
            <w:shd w:val="clear" w:color="auto" w:fill="CCEEFF"/>
          </w:tcPr>
          <w:p>
            <w:pPr>
              <w:spacing w:after="0"/>
              <w:rPr>
                <w:sz w:val="8"/>
                <w:szCs w:val="8"/>
                <w:color w:val="auto"/>
              </w:rPr>
            </w:pPr>
          </w:p>
        </w:tc>
        <w:tc>
          <w:tcPr>
            <w:tcW w:w="280" w:type="dxa"/>
            <w:vAlign w:val="bottom"/>
            <w:gridSpan w:val="3"/>
            <w:vMerge w:val="continue"/>
            <w:shd w:val="clear" w:color="auto" w:fill="CCEEFF"/>
          </w:tcPr>
          <w:p>
            <w:pPr>
              <w:spacing w:after="0"/>
              <w:rPr>
                <w:sz w:val="8"/>
                <w:szCs w:val="8"/>
                <w:color w:val="auto"/>
              </w:rPr>
            </w:pPr>
          </w:p>
        </w:tc>
        <w:tc>
          <w:tcPr>
            <w:tcW w:w="600" w:type="dxa"/>
            <w:vAlign w:val="bottom"/>
            <w:vMerge w:val="continue"/>
            <w:shd w:val="clear" w:color="auto" w:fill="CCEEFF"/>
          </w:tcPr>
          <w:p>
            <w:pPr>
              <w:spacing w:after="0"/>
              <w:rPr>
                <w:sz w:val="8"/>
                <w:szCs w:val="8"/>
                <w:color w:val="auto"/>
              </w:rPr>
            </w:pPr>
          </w:p>
        </w:tc>
        <w:tc>
          <w:tcPr>
            <w:tcW w:w="220" w:type="dxa"/>
            <w:vAlign w:val="bottom"/>
            <w:gridSpan w:val="2"/>
            <w:vMerge w:val="continue"/>
            <w:shd w:val="clear" w:color="auto" w:fill="CCEEFF"/>
          </w:tcPr>
          <w:p>
            <w:pPr>
              <w:spacing w:after="0"/>
              <w:rPr>
                <w:sz w:val="8"/>
                <w:szCs w:val="8"/>
                <w:color w:val="auto"/>
              </w:rPr>
            </w:pPr>
          </w:p>
        </w:tc>
        <w:tc>
          <w:tcPr>
            <w:tcW w:w="760" w:type="dxa"/>
            <w:vAlign w:val="bottom"/>
            <w:gridSpan w:val="2"/>
            <w:vMerge w:val="continue"/>
            <w:shd w:val="clear" w:color="auto" w:fill="CCEEFF"/>
          </w:tcPr>
          <w:p>
            <w:pPr>
              <w:spacing w:after="0"/>
              <w:rPr>
                <w:sz w:val="8"/>
                <w:szCs w:val="8"/>
                <w:color w:val="auto"/>
              </w:rPr>
            </w:pPr>
          </w:p>
        </w:tc>
        <w:tc>
          <w:tcPr>
            <w:tcW w:w="100" w:type="dxa"/>
            <w:vAlign w:val="bottom"/>
            <w:vMerge w:val="continue"/>
            <w:shd w:val="clear" w:color="auto" w:fill="CCEEFF"/>
          </w:tcPr>
          <w:p>
            <w:pPr>
              <w:spacing w:after="0"/>
              <w:rPr>
                <w:sz w:val="8"/>
                <w:szCs w:val="8"/>
                <w:color w:val="auto"/>
              </w:rPr>
            </w:pPr>
          </w:p>
        </w:tc>
        <w:tc>
          <w:tcPr>
            <w:tcW w:w="600" w:type="dxa"/>
            <w:vAlign w:val="bottom"/>
            <w:vMerge w:val="continue"/>
            <w:shd w:val="clear" w:color="auto" w:fill="CCEEFF"/>
          </w:tcPr>
          <w:p>
            <w:pPr>
              <w:spacing w:after="0"/>
              <w:rPr>
                <w:sz w:val="8"/>
                <w:szCs w:val="8"/>
                <w:color w:val="auto"/>
              </w:rPr>
            </w:pPr>
          </w:p>
        </w:tc>
        <w:tc>
          <w:tcPr>
            <w:tcW w:w="220" w:type="dxa"/>
            <w:vAlign w:val="bottom"/>
            <w:gridSpan w:val="2"/>
            <w:vMerge w:val="continue"/>
            <w:shd w:val="clear" w:color="auto" w:fill="CCEEFF"/>
          </w:tcPr>
          <w:p>
            <w:pPr>
              <w:spacing w:after="0"/>
              <w:rPr>
                <w:sz w:val="8"/>
                <w:szCs w:val="8"/>
                <w:color w:val="auto"/>
              </w:rPr>
            </w:pPr>
          </w:p>
        </w:tc>
        <w:tc>
          <w:tcPr>
            <w:tcW w:w="540" w:type="dxa"/>
            <w:vAlign w:val="bottom"/>
            <w:vMerge w:val="continue"/>
            <w:shd w:val="clear" w:color="auto" w:fill="CCEEFF"/>
          </w:tcPr>
          <w:p>
            <w:pPr>
              <w:spacing w:after="0"/>
              <w:rPr>
                <w:sz w:val="8"/>
                <w:szCs w:val="8"/>
                <w:color w:val="auto"/>
              </w:rPr>
            </w:pPr>
          </w:p>
        </w:tc>
        <w:tc>
          <w:tcPr>
            <w:tcW w:w="320" w:type="dxa"/>
            <w:vAlign w:val="bottom"/>
            <w:gridSpan w:val="3"/>
            <w:vMerge w:val="continue"/>
            <w:shd w:val="clear" w:color="auto" w:fill="CCEEFF"/>
          </w:tcPr>
          <w:p>
            <w:pPr>
              <w:spacing w:after="0"/>
              <w:rPr>
                <w:sz w:val="8"/>
                <w:szCs w:val="8"/>
                <w:color w:val="auto"/>
              </w:rPr>
            </w:pPr>
          </w:p>
        </w:tc>
        <w:tc>
          <w:tcPr>
            <w:tcW w:w="600" w:type="dxa"/>
            <w:vAlign w:val="bottom"/>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73"/>
        </w:trPr>
        <w:tc>
          <w:tcPr>
            <w:tcW w:w="1260" w:type="dxa"/>
            <w:vAlign w:val="bottom"/>
          </w:tcPr>
          <w:p>
            <w:pPr>
              <w:ind w:left="20"/>
              <w:spacing w:after="0"/>
              <w:rPr>
                <w:sz w:val="20"/>
                <w:szCs w:val="20"/>
                <w:color w:val="auto"/>
              </w:rPr>
            </w:pPr>
            <w:r>
              <w:rPr>
                <w:rFonts w:ascii="Arial" w:cs="Arial" w:eastAsia="Arial" w:hAnsi="Arial"/>
                <w:sz w:val="13"/>
                <w:szCs w:val="13"/>
                <w:color w:val="auto"/>
              </w:rPr>
              <w:t>2011</w:t>
            </w:r>
          </w:p>
        </w:tc>
        <w:tc>
          <w:tcPr>
            <w:tcW w:w="100" w:type="dxa"/>
            <w:vAlign w:val="bottom"/>
          </w:tcPr>
          <w:p>
            <w:pPr>
              <w:spacing w:after="0"/>
              <w:rPr>
                <w:sz w:val="15"/>
                <w:szCs w:val="15"/>
                <w:color w:val="auto"/>
              </w:rPr>
            </w:pPr>
          </w:p>
        </w:tc>
        <w:tc>
          <w:tcPr>
            <w:tcW w:w="560" w:type="dxa"/>
            <w:vAlign w:val="bottom"/>
            <w:vMerge w:val="restart"/>
          </w:tcPr>
          <w:p>
            <w:pPr>
              <w:jc w:val="right"/>
              <w:spacing w:after="0"/>
              <w:rPr>
                <w:sz w:val="20"/>
                <w:szCs w:val="20"/>
                <w:color w:val="auto"/>
              </w:rPr>
            </w:pPr>
            <w:r>
              <w:rPr>
                <w:rFonts w:ascii="Arial" w:cs="Arial" w:eastAsia="Arial" w:hAnsi="Arial"/>
                <w:sz w:val="13"/>
                <w:szCs w:val="13"/>
                <w:color w:val="auto"/>
              </w:rPr>
              <w:t>273</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vMerge w:val="restart"/>
          </w:tcPr>
          <w:p>
            <w:pPr>
              <w:jc w:val="right"/>
              <w:ind w:right="79"/>
              <w:spacing w:after="0"/>
              <w:rPr>
                <w:sz w:val="20"/>
                <w:szCs w:val="20"/>
                <w:color w:val="auto"/>
              </w:rPr>
            </w:pPr>
            <w:r>
              <w:rPr>
                <w:rFonts w:ascii="Arial" w:cs="Arial" w:eastAsia="Arial" w:hAnsi="Arial"/>
                <w:sz w:val="13"/>
                <w:szCs w:val="13"/>
                <w:color w:val="auto"/>
              </w:rPr>
              <w:t>278</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vMerge w:val="restart"/>
          </w:tcPr>
          <w:p>
            <w:pPr>
              <w:jc w:val="right"/>
              <w:spacing w:after="0"/>
              <w:rPr>
                <w:sz w:val="20"/>
                <w:szCs w:val="20"/>
                <w:color w:val="auto"/>
              </w:rPr>
            </w:pPr>
            <w:r>
              <w:rPr>
                <w:rFonts w:ascii="Arial" w:cs="Arial" w:eastAsia="Arial" w:hAnsi="Arial"/>
                <w:sz w:val="13"/>
                <w:szCs w:val="13"/>
                <w:color w:val="auto"/>
              </w:rPr>
              <w:t>11</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vMerge w:val="restart"/>
          </w:tcPr>
          <w:p>
            <w:pPr>
              <w:jc w:val="right"/>
              <w:ind w:right="79"/>
              <w:spacing w:after="0"/>
              <w:rPr>
                <w:sz w:val="20"/>
                <w:szCs w:val="20"/>
                <w:color w:val="auto"/>
              </w:rPr>
            </w:pPr>
            <w:r>
              <w:rPr>
                <w:rFonts w:ascii="Arial" w:cs="Arial" w:eastAsia="Arial" w:hAnsi="Arial"/>
                <w:sz w:val="13"/>
                <w:szCs w:val="13"/>
                <w:color w:val="auto"/>
              </w:rPr>
              <w:t>12</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vMerge w:val="restart"/>
          </w:tcPr>
          <w:p>
            <w:pPr>
              <w:jc w:val="right"/>
              <w:spacing w:after="0"/>
              <w:rPr>
                <w:sz w:val="20"/>
                <w:szCs w:val="20"/>
                <w:color w:val="auto"/>
              </w:rPr>
            </w:pPr>
            <w:r>
              <w:rPr>
                <w:rFonts w:ascii="Arial" w:cs="Arial" w:eastAsia="Arial" w:hAnsi="Arial"/>
                <w:sz w:val="13"/>
                <w:szCs w:val="13"/>
                <w:color w:val="auto"/>
              </w:rPr>
              <w:t>32</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vMerge w:val="restart"/>
          </w:tcPr>
          <w:p>
            <w:pPr>
              <w:jc w:val="right"/>
              <w:ind w:right="80"/>
              <w:spacing w:after="0"/>
              <w:rPr>
                <w:sz w:val="20"/>
                <w:szCs w:val="20"/>
                <w:color w:val="auto"/>
              </w:rPr>
            </w:pPr>
            <w:r>
              <w:rPr>
                <w:rFonts w:ascii="Arial" w:cs="Arial" w:eastAsia="Arial" w:hAnsi="Arial"/>
                <w:sz w:val="13"/>
                <w:szCs w:val="13"/>
                <w:color w:val="auto"/>
              </w:rPr>
              <w:t>32</w:t>
            </w:r>
          </w:p>
        </w:tc>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8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vMerge w:val="restart"/>
          </w:tcPr>
          <w:p>
            <w:pPr>
              <w:jc w:val="right"/>
              <w:ind w:right="79"/>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gridSpan w:val="2"/>
            <w:vMerge w:val="restart"/>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600" w:type="dxa"/>
            <w:vAlign w:val="bottom"/>
            <w:vMerge w:val="restart"/>
          </w:tcPr>
          <w:p>
            <w:pPr>
              <w:jc w:val="right"/>
              <w:ind w:right="79"/>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vMerge w:val="restart"/>
          </w:tcPr>
          <w:p>
            <w:pPr>
              <w:jc w:val="right"/>
              <w:spacing w:after="0"/>
              <w:rPr>
                <w:sz w:val="20"/>
                <w:szCs w:val="20"/>
                <w:color w:val="auto"/>
              </w:rPr>
            </w:pPr>
            <w:r>
              <w:rPr>
                <w:rFonts w:ascii="Arial" w:cs="Arial" w:eastAsia="Arial" w:hAnsi="Arial"/>
                <w:sz w:val="13"/>
                <w:szCs w:val="13"/>
                <w:color w:val="auto"/>
              </w:rPr>
              <w:t>316</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vMerge w:val="restart"/>
          </w:tcPr>
          <w:p>
            <w:pPr>
              <w:jc w:val="right"/>
              <w:ind w:right="79"/>
              <w:spacing w:after="0"/>
              <w:rPr>
                <w:sz w:val="20"/>
                <w:szCs w:val="20"/>
                <w:color w:val="auto"/>
              </w:rPr>
            </w:pPr>
            <w:r>
              <w:rPr>
                <w:rFonts w:ascii="Arial" w:cs="Arial" w:eastAsia="Arial" w:hAnsi="Arial"/>
                <w:sz w:val="13"/>
                <w:szCs w:val="13"/>
                <w:color w:val="auto"/>
              </w:rPr>
              <w:t>322</w:t>
            </w:r>
          </w:p>
        </w:tc>
        <w:tc>
          <w:tcPr>
            <w:tcW w:w="0" w:type="dxa"/>
            <w:vAlign w:val="bottom"/>
          </w:tcPr>
          <w:p>
            <w:pPr>
              <w:spacing w:after="0"/>
              <w:rPr>
                <w:sz w:val="1"/>
                <w:szCs w:val="1"/>
                <w:color w:val="auto"/>
              </w:rPr>
            </w:pPr>
          </w:p>
        </w:tc>
      </w:tr>
      <w:tr>
        <w:trPr>
          <w:trHeight w:val="89"/>
        </w:trPr>
        <w:tc>
          <w:tcPr>
            <w:tcW w:w="1260" w:type="dxa"/>
            <w:vAlign w:val="bottom"/>
          </w:tcPr>
          <w:p>
            <w:pPr>
              <w:spacing w:after="0"/>
              <w:rPr>
                <w:sz w:val="7"/>
                <w:szCs w:val="7"/>
                <w:color w:val="auto"/>
              </w:rPr>
            </w:pPr>
          </w:p>
        </w:tc>
        <w:tc>
          <w:tcPr>
            <w:tcW w:w="100" w:type="dxa"/>
            <w:vAlign w:val="bottom"/>
          </w:tcPr>
          <w:p>
            <w:pPr>
              <w:spacing w:after="0"/>
              <w:rPr>
                <w:sz w:val="7"/>
                <w:szCs w:val="7"/>
                <w:color w:val="auto"/>
              </w:rPr>
            </w:pPr>
          </w:p>
        </w:tc>
        <w:tc>
          <w:tcPr>
            <w:tcW w:w="56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58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500" w:type="dxa"/>
            <w:vAlign w:val="bottom"/>
          </w:tcPr>
          <w:p>
            <w:pPr>
              <w:spacing w:after="0"/>
              <w:rPr>
                <w:sz w:val="7"/>
                <w:szCs w:val="7"/>
                <w:color w:val="auto"/>
              </w:rPr>
            </w:pPr>
          </w:p>
        </w:tc>
        <w:tc>
          <w:tcPr>
            <w:tcW w:w="18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76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54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81"/>
        </w:trPr>
        <w:tc>
          <w:tcPr>
            <w:tcW w:w="1260" w:type="dxa"/>
            <w:vAlign w:val="bottom"/>
            <w:shd w:val="clear" w:color="auto" w:fill="CCEEFF"/>
          </w:tcPr>
          <w:p>
            <w:pPr>
              <w:ind w:left="20"/>
              <w:spacing w:after="0"/>
              <w:rPr>
                <w:sz w:val="20"/>
                <w:szCs w:val="20"/>
                <w:color w:val="auto"/>
              </w:rPr>
            </w:pPr>
            <w:r>
              <w:rPr>
                <w:rFonts w:ascii="Arial" w:cs="Arial" w:eastAsia="Arial" w:hAnsi="Arial"/>
                <w:sz w:val="13"/>
                <w:szCs w:val="13"/>
                <w:color w:val="auto"/>
              </w:rPr>
              <w:t>2012</w:t>
            </w:r>
          </w:p>
        </w:tc>
        <w:tc>
          <w:tcPr>
            <w:tcW w:w="100" w:type="dxa"/>
            <w:vAlign w:val="bottom"/>
            <w:shd w:val="clear" w:color="auto" w:fill="CCEEFF"/>
          </w:tcPr>
          <w:p>
            <w:pPr>
              <w:spacing w:after="0"/>
              <w:rPr>
                <w:sz w:val="15"/>
                <w:szCs w:val="15"/>
                <w:color w:val="auto"/>
              </w:rPr>
            </w:pP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88</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0" w:type="dxa"/>
            <w:vAlign w:val="bottom"/>
            <w:vMerge w:val="restart"/>
            <w:shd w:val="clear" w:color="auto" w:fill="CCEEFF"/>
          </w:tcPr>
          <w:p>
            <w:pPr>
              <w:jc w:val="right"/>
              <w:ind w:right="79"/>
              <w:spacing w:after="0"/>
              <w:rPr>
                <w:sz w:val="20"/>
                <w:szCs w:val="20"/>
                <w:color w:val="auto"/>
              </w:rPr>
            </w:pPr>
            <w:r>
              <w:rPr>
                <w:rFonts w:ascii="Arial" w:cs="Arial" w:eastAsia="Arial" w:hAnsi="Arial"/>
                <w:sz w:val="13"/>
                <w:szCs w:val="13"/>
                <w:color w:val="auto"/>
              </w:rPr>
              <w:t>91</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119</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0" w:type="dxa"/>
            <w:vAlign w:val="bottom"/>
            <w:vMerge w:val="restart"/>
            <w:shd w:val="clear" w:color="auto" w:fill="CCEEFF"/>
          </w:tcPr>
          <w:p>
            <w:pPr>
              <w:jc w:val="right"/>
              <w:ind w:right="79"/>
              <w:spacing w:after="0"/>
              <w:rPr>
                <w:sz w:val="20"/>
                <w:szCs w:val="20"/>
                <w:color w:val="auto"/>
              </w:rPr>
            </w:pPr>
            <w:r>
              <w:rPr>
                <w:rFonts w:ascii="Arial" w:cs="Arial" w:eastAsia="Arial" w:hAnsi="Arial"/>
                <w:sz w:val="13"/>
                <w:szCs w:val="13"/>
                <w:color w:val="auto"/>
              </w:rPr>
              <w:t>122</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102</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80" w:type="dxa"/>
            <w:vAlign w:val="bottom"/>
            <w:vMerge w:val="restart"/>
            <w:shd w:val="clear" w:color="auto" w:fill="CCEEFF"/>
          </w:tcPr>
          <w:p>
            <w:pPr>
              <w:jc w:val="right"/>
              <w:ind w:right="80"/>
              <w:spacing w:after="0"/>
              <w:rPr>
                <w:sz w:val="20"/>
                <w:szCs w:val="20"/>
                <w:color w:val="auto"/>
              </w:rPr>
            </w:pPr>
            <w:r>
              <w:rPr>
                <w:rFonts w:ascii="Arial" w:cs="Arial" w:eastAsia="Arial" w:hAnsi="Arial"/>
                <w:sz w:val="13"/>
                <w:szCs w:val="13"/>
                <w:color w:val="auto"/>
              </w:rPr>
              <w:t>104</w:t>
            </w:r>
          </w:p>
        </w:tc>
        <w:tc>
          <w:tcPr>
            <w:tcW w:w="1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2</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0" w:type="dxa"/>
            <w:vAlign w:val="bottom"/>
            <w:vMerge w:val="restart"/>
            <w:shd w:val="clear" w:color="auto" w:fill="CCEEFF"/>
          </w:tcPr>
          <w:p>
            <w:pPr>
              <w:jc w:val="right"/>
              <w:ind w:right="79"/>
              <w:spacing w:after="0"/>
              <w:rPr>
                <w:sz w:val="20"/>
                <w:szCs w:val="20"/>
                <w:color w:val="auto"/>
              </w:rPr>
            </w:pPr>
            <w:r>
              <w:rPr>
                <w:rFonts w:ascii="Arial" w:cs="Arial" w:eastAsia="Arial" w:hAnsi="Arial"/>
                <w:sz w:val="13"/>
                <w:szCs w:val="13"/>
                <w:color w:val="auto"/>
              </w:rPr>
              <w:t>2</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600" w:type="dxa"/>
            <w:vAlign w:val="bottom"/>
            <w:vMerge w:val="restart"/>
            <w:shd w:val="clear" w:color="auto" w:fill="CCEEFF"/>
          </w:tcPr>
          <w:p>
            <w:pPr>
              <w:jc w:val="right"/>
              <w:ind w:right="79"/>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311</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0" w:type="dxa"/>
            <w:vAlign w:val="bottom"/>
            <w:vMerge w:val="restart"/>
            <w:shd w:val="clear" w:color="auto" w:fill="CCEEFF"/>
          </w:tcPr>
          <w:p>
            <w:pPr>
              <w:jc w:val="right"/>
              <w:ind w:right="79"/>
              <w:spacing w:after="0"/>
              <w:rPr>
                <w:sz w:val="20"/>
                <w:szCs w:val="20"/>
                <w:color w:val="auto"/>
              </w:rPr>
            </w:pPr>
            <w:r>
              <w:rPr>
                <w:rFonts w:ascii="Arial" w:cs="Arial" w:eastAsia="Arial" w:hAnsi="Arial"/>
                <w:sz w:val="13"/>
                <w:szCs w:val="13"/>
                <w:color w:val="auto"/>
              </w:rPr>
              <w:t>319</w:t>
            </w:r>
          </w:p>
        </w:tc>
        <w:tc>
          <w:tcPr>
            <w:tcW w:w="0" w:type="dxa"/>
            <w:vAlign w:val="bottom"/>
          </w:tcPr>
          <w:p>
            <w:pPr>
              <w:spacing w:after="0"/>
              <w:rPr>
                <w:sz w:val="1"/>
                <w:szCs w:val="1"/>
                <w:color w:val="auto"/>
              </w:rPr>
            </w:pPr>
          </w:p>
        </w:tc>
      </w:tr>
      <w:tr>
        <w:trPr>
          <w:trHeight w:val="97"/>
        </w:trPr>
        <w:tc>
          <w:tcPr>
            <w:tcW w:w="12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60" w:type="dxa"/>
            <w:vAlign w:val="bottom"/>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00" w:type="dxa"/>
            <w:vAlign w:val="bottom"/>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580" w:type="dxa"/>
            <w:vAlign w:val="bottom"/>
            <w:vMerge w:val="continue"/>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00" w:type="dxa"/>
            <w:vAlign w:val="bottom"/>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00" w:type="dxa"/>
            <w:vAlign w:val="bottom"/>
            <w:vMerge w:val="continue"/>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80" w:type="dxa"/>
            <w:vAlign w:val="bottom"/>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180" w:type="dxa"/>
            <w:vAlign w:val="bottom"/>
            <w:vMerge w:val="continue"/>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00" w:type="dxa"/>
            <w:vAlign w:val="bottom"/>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760" w:type="dxa"/>
            <w:vAlign w:val="bottom"/>
            <w:gridSpan w:val="2"/>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00" w:type="dxa"/>
            <w:vAlign w:val="bottom"/>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540" w:type="dxa"/>
            <w:vAlign w:val="bottom"/>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00" w:type="dxa"/>
            <w:vAlign w:val="bottom"/>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73"/>
        </w:trPr>
        <w:tc>
          <w:tcPr>
            <w:tcW w:w="1260" w:type="dxa"/>
            <w:vAlign w:val="bottom"/>
          </w:tcPr>
          <w:p>
            <w:pPr>
              <w:ind w:left="20"/>
              <w:spacing w:after="0"/>
              <w:rPr>
                <w:sz w:val="20"/>
                <w:szCs w:val="20"/>
                <w:color w:val="auto"/>
              </w:rPr>
            </w:pPr>
            <w:r>
              <w:rPr>
                <w:rFonts w:ascii="Arial" w:cs="Arial" w:eastAsia="Arial" w:hAnsi="Arial"/>
                <w:sz w:val="13"/>
                <w:szCs w:val="13"/>
                <w:color w:val="auto"/>
              </w:rPr>
              <w:t>2013</w:t>
            </w:r>
          </w:p>
        </w:tc>
        <w:tc>
          <w:tcPr>
            <w:tcW w:w="100" w:type="dxa"/>
            <w:vAlign w:val="bottom"/>
          </w:tcPr>
          <w:p>
            <w:pPr>
              <w:spacing w:after="0"/>
              <w:rPr>
                <w:sz w:val="15"/>
                <w:szCs w:val="15"/>
                <w:color w:val="auto"/>
              </w:rPr>
            </w:pPr>
          </w:p>
        </w:tc>
        <w:tc>
          <w:tcPr>
            <w:tcW w:w="560" w:type="dxa"/>
            <w:vAlign w:val="bottom"/>
            <w:vMerge w:val="restart"/>
          </w:tcPr>
          <w:p>
            <w:pPr>
              <w:jc w:val="right"/>
              <w:spacing w:after="0"/>
              <w:rPr>
                <w:sz w:val="20"/>
                <w:szCs w:val="20"/>
                <w:color w:val="auto"/>
              </w:rPr>
            </w:pPr>
            <w:r>
              <w:rPr>
                <w:rFonts w:ascii="Arial" w:cs="Arial" w:eastAsia="Arial" w:hAnsi="Arial"/>
                <w:sz w:val="13"/>
                <w:szCs w:val="13"/>
                <w:color w:val="auto"/>
              </w:rPr>
              <w:t>102</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vMerge w:val="restart"/>
          </w:tcPr>
          <w:p>
            <w:pPr>
              <w:jc w:val="right"/>
              <w:ind w:right="79"/>
              <w:spacing w:after="0"/>
              <w:rPr>
                <w:sz w:val="20"/>
                <w:szCs w:val="20"/>
                <w:color w:val="auto"/>
              </w:rPr>
            </w:pPr>
            <w:r>
              <w:rPr>
                <w:rFonts w:ascii="Arial" w:cs="Arial" w:eastAsia="Arial" w:hAnsi="Arial"/>
                <w:sz w:val="13"/>
                <w:szCs w:val="13"/>
                <w:color w:val="auto"/>
              </w:rPr>
              <w:t>107</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vMerge w:val="restart"/>
          </w:tcPr>
          <w:p>
            <w:pPr>
              <w:jc w:val="right"/>
              <w:spacing w:after="0"/>
              <w:rPr>
                <w:sz w:val="20"/>
                <w:szCs w:val="20"/>
                <w:color w:val="auto"/>
              </w:rPr>
            </w:pPr>
            <w:r>
              <w:rPr>
                <w:rFonts w:ascii="Arial" w:cs="Arial" w:eastAsia="Arial" w:hAnsi="Arial"/>
                <w:sz w:val="13"/>
                <w:szCs w:val="13"/>
                <w:color w:val="auto"/>
              </w:rPr>
              <w:t>143</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vMerge w:val="restart"/>
          </w:tcPr>
          <w:p>
            <w:pPr>
              <w:jc w:val="right"/>
              <w:ind w:right="79"/>
              <w:spacing w:after="0"/>
              <w:rPr>
                <w:sz w:val="20"/>
                <w:szCs w:val="20"/>
                <w:color w:val="auto"/>
              </w:rPr>
            </w:pPr>
            <w:r>
              <w:rPr>
                <w:rFonts w:ascii="Arial" w:cs="Arial" w:eastAsia="Arial" w:hAnsi="Arial"/>
                <w:sz w:val="13"/>
                <w:szCs w:val="13"/>
                <w:color w:val="auto"/>
              </w:rPr>
              <w:t>144</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vMerge w:val="restart"/>
          </w:tcPr>
          <w:p>
            <w:pPr>
              <w:jc w:val="right"/>
              <w:spacing w:after="0"/>
              <w:rPr>
                <w:sz w:val="20"/>
                <w:szCs w:val="20"/>
                <w:color w:val="auto"/>
              </w:rPr>
            </w:pPr>
            <w:r>
              <w:rPr>
                <w:rFonts w:ascii="Arial" w:cs="Arial" w:eastAsia="Arial" w:hAnsi="Arial"/>
                <w:sz w:val="13"/>
                <w:szCs w:val="13"/>
                <w:color w:val="auto"/>
              </w:rPr>
              <w:t>73</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vMerge w:val="restart"/>
          </w:tcPr>
          <w:p>
            <w:pPr>
              <w:jc w:val="right"/>
              <w:ind w:right="80"/>
              <w:spacing w:after="0"/>
              <w:rPr>
                <w:sz w:val="20"/>
                <w:szCs w:val="20"/>
                <w:color w:val="auto"/>
              </w:rPr>
            </w:pPr>
            <w:r>
              <w:rPr>
                <w:rFonts w:ascii="Arial" w:cs="Arial" w:eastAsia="Arial" w:hAnsi="Arial"/>
                <w:sz w:val="13"/>
                <w:szCs w:val="13"/>
                <w:color w:val="auto"/>
              </w:rPr>
              <w:t>74</w:t>
            </w:r>
          </w:p>
        </w:tc>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8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vMerge w:val="restart"/>
          </w:tcPr>
          <w:p>
            <w:pPr>
              <w:jc w:val="right"/>
              <w:ind w:right="79"/>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gridSpan w:val="2"/>
            <w:vMerge w:val="restart"/>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600" w:type="dxa"/>
            <w:vAlign w:val="bottom"/>
            <w:vMerge w:val="restart"/>
          </w:tcPr>
          <w:p>
            <w:pPr>
              <w:jc w:val="right"/>
              <w:ind w:right="79"/>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vMerge w:val="restart"/>
          </w:tcPr>
          <w:p>
            <w:pPr>
              <w:jc w:val="right"/>
              <w:spacing w:after="0"/>
              <w:rPr>
                <w:sz w:val="20"/>
                <w:szCs w:val="20"/>
                <w:color w:val="auto"/>
              </w:rPr>
            </w:pPr>
            <w:r>
              <w:rPr>
                <w:rFonts w:ascii="Arial" w:cs="Arial" w:eastAsia="Arial" w:hAnsi="Arial"/>
                <w:sz w:val="13"/>
                <w:szCs w:val="13"/>
                <w:color w:val="auto"/>
              </w:rPr>
              <w:t>318</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vMerge w:val="restart"/>
          </w:tcPr>
          <w:p>
            <w:pPr>
              <w:jc w:val="right"/>
              <w:ind w:right="79"/>
              <w:spacing w:after="0"/>
              <w:rPr>
                <w:sz w:val="20"/>
                <w:szCs w:val="20"/>
                <w:color w:val="auto"/>
              </w:rPr>
            </w:pPr>
            <w:r>
              <w:rPr>
                <w:rFonts w:ascii="Arial" w:cs="Arial" w:eastAsia="Arial" w:hAnsi="Arial"/>
                <w:sz w:val="13"/>
                <w:szCs w:val="13"/>
                <w:color w:val="auto"/>
              </w:rPr>
              <w:t>325</w:t>
            </w:r>
          </w:p>
        </w:tc>
        <w:tc>
          <w:tcPr>
            <w:tcW w:w="0" w:type="dxa"/>
            <w:vAlign w:val="bottom"/>
          </w:tcPr>
          <w:p>
            <w:pPr>
              <w:spacing w:after="0"/>
              <w:rPr>
                <w:sz w:val="1"/>
                <w:szCs w:val="1"/>
                <w:color w:val="auto"/>
              </w:rPr>
            </w:pPr>
          </w:p>
        </w:tc>
      </w:tr>
      <w:tr>
        <w:trPr>
          <w:trHeight w:val="89"/>
        </w:trPr>
        <w:tc>
          <w:tcPr>
            <w:tcW w:w="1260" w:type="dxa"/>
            <w:vAlign w:val="bottom"/>
          </w:tcPr>
          <w:p>
            <w:pPr>
              <w:spacing w:after="0"/>
              <w:rPr>
                <w:sz w:val="7"/>
                <w:szCs w:val="7"/>
                <w:color w:val="auto"/>
              </w:rPr>
            </w:pPr>
          </w:p>
        </w:tc>
        <w:tc>
          <w:tcPr>
            <w:tcW w:w="100" w:type="dxa"/>
            <w:vAlign w:val="bottom"/>
          </w:tcPr>
          <w:p>
            <w:pPr>
              <w:spacing w:after="0"/>
              <w:rPr>
                <w:sz w:val="7"/>
                <w:szCs w:val="7"/>
                <w:color w:val="auto"/>
              </w:rPr>
            </w:pPr>
          </w:p>
        </w:tc>
        <w:tc>
          <w:tcPr>
            <w:tcW w:w="56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58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500" w:type="dxa"/>
            <w:vAlign w:val="bottom"/>
          </w:tcPr>
          <w:p>
            <w:pPr>
              <w:spacing w:after="0"/>
              <w:rPr>
                <w:sz w:val="7"/>
                <w:szCs w:val="7"/>
                <w:color w:val="auto"/>
              </w:rPr>
            </w:pPr>
          </w:p>
        </w:tc>
        <w:tc>
          <w:tcPr>
            <w:tcW w:w="18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76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54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81"/>
        </w:trPr>
        <w:tc>
          <w:tcPr>
            <w:tcW w:w="1260" w:type="dxa"/>
            <w:vAlign w:val="bottom"/>
            <w:shd w:val="clear" w:color="auto" w:fill="CCEEFF"/>
          </w:tcPr>
          <w:p>
            <w:pPr>
              <w:ind w:left="20"/>
              <w:spacing w:after="0"/>
              <w:rPr>
                <w:sz w:val="20"/>
                <w:szCs w:val="20"/>
                <w:color w:val="auto"/>
              </w:rPr>
            </w:pPr>
            <w:r>
              <w:rPr>
                <w:rFonts w:ascii="Arial" w:cs="Arial" w:eastAsia="Arial" w:hAnsi="Arial"/>
                <w:sz w:val="13"/>
                <w:szCs w:val="13"/>
                <w:color w:val="auto"/>
              </w:rPr>
              <w:t>2014</w:t>
            </w:r>
          </w:p>
        </w:tc>
        <w:tc>
          <w:tcPr>
            <w:tcW w:w="100" w:type="dxa"/>
            <w:vAlign w:val="bottom"/>
            <w:shd w:val="clear" w:color="auto" w:fill="CCEEFF"/>
          </w:tcPr>
          <w:p>
            <w:pPr>
              <w:spacing w:after="0"/>
              <w:rPr>
                <w:sz w:val="15"/>
                <w:szCs w:val="15"/>
                <w:color w:val="auto"/>
              </w:rPr>
            </w:pP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230</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0" w:type="dxa"/>
            <w:vAlign w:val="bottom"/>
            <w:vMerge w:val="restart"/>
            <w:shd w:val="clear" w:color="auto" w:fill="CCEEFF"/>
          </w:tcPr>
          <w:p>
            <w:pPr>
              <w:jc w:val="right"/>
              <w:ind w:right="79"/>
              <w:spacing w:after="0"/>
              <w:rPr>
                <w:sz w:val="20"/>
                <w:szCs w:val="20"/>
                <w:color w:val="auto"/>
              </w:rPr>
            </w:pPr>
            <w:r>
              <w:rPr>
                <w:rFonts w:ascii="Arial" w:cs="Arial" w:eastAsia="Arial" w:hAnsi="Arial"/>
                <w:sz w:val="13"/>
                <w:szCs w:val="13"/>
                <w:color w:val="auto"/>
              </w:rPr>
              <w:t>235</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286</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0" w:type="dxa"/>
            <w:vAlign w:val="bottom"/>
            <w:vMerge w:val="restart"/>
            <w:shd w:val="clear" w:color="auto" w:fill="CCEEFF"/>
          </w:tcPr>
          <w:p>
            <w:pPr>
              <w:jc w:val="right"/>
              <w:ind w:right="79"/>
              <w:spacing w:after="0"/>
              <w:rPr>
                <w:sz w:val="20"/>
                <w:szCs w:val="20"/>
                <w:color w:val="auto"/>
              </w:rPr>
            </w:pPr>
            <w:r>
              <w:rPr>
                <w:rFonts w:ascii="Arial" w:cs="Arial" w:eastAsia="Arial" w:hAnsi="Arial"/>
                <w:sz w:val="13"/>
                <w:szCs w:val="13"/>
                <w:color w:val="auto"/>
              </w:rPr>
              <w:t>291</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44</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80" w:type="dxa"/>
            <w:vAlign w:val="bottom"/>
            <w:vMerge w:val="restart"/>
            <w:shd w:val="clear" w:color="auto" w:fill="CCEEFF"/>
          </w:tcPr>
          <w:p>
            <w:pPr>
              <w:jc w:val="right"/>
              <w:ind w:right="80"/>
              <w:spacing w:after="0"/>
              <w:rPr>
                <w:sz w:val="20"/>
                <w:szCs w:val="20"/>
                <w:color w:val="auto"/>
              </w:rPr>
            </w:pPr>
            <w:r>
              <w:rPr>
                <w:rFonts w:ascii="Arial" w:cs="Arial" w:eastAsia="Arial" w:hAnsi="Arial"/>
                <w:sz w:val="13"/>
                <w:szCs w:val="13"/>
                <w:color w:val="auto"/>
              </w:rPr>
              <w:t>45</w:t>
            </w:r>
          </w:p>
        </w:tc>
        <w:tc>
          <w:tcPr>
            <w:tcW w:w="1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0" w:type="dxa"/>
            <w:vAlign w:val="bottom"/>
            <w:vMerge w:val="restart"/>
            <w:shd w:val="clear" w:color="auto" w:fill="CCEEFF"/>
          </w:tcPr>
          <w:p>
            <w:pPr>
              <w:jc w:val="right"/>
              <w:ind w:right="79"/>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600" w:type="dxa"/>
            <w:vAlign w:val="bottom"/>
            <w:vMerge w:val="restart"/>
            <w:shd w:val="clear" w:color="auto" w:fill="CCEEFF"/>
          </w:tcPr>
          <w:p>
            <w:pPr>
              <w:jc w:val="right"/>
              <w:ind w:right="79"/>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560</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0" w:type="dxa"/>
            <w:vAlign w:val="bottom"/>
            <w:vMerge w:val="restart"/>
            <w:shd w:val="clear" w:color="auto" w:fill="CCEEFF"/>
          </w:tcPr>
          <w:p>
            <w:pPr>
              <w:jc w:val="right"/>
              <w:ind w:right="79"/>
              <w:spacing w:after="0"/>
              <w:rPr>
                <w:sz w:val="20"/>
                <w:szCs w:val="20"/>
                <w:color w:val="auto"/>
              </w:rPr>
            </w:pPr>
            <w:r>
              <w:rPr>
                <w:rFonts w:ascii="Arial" w:cs="Arial" w:eastAsia="Arial" w:hAnsi="Arial"/>
                <w:sz w:val="13"/>
                <w:szCs w:val="13"/>
                <w:color w:val="auto"/>
              </w:rPr>
              <w:t>571</w:t>
            </w:r>
          </w:p>
        </w:tc>
        <w:tc>
          <w:tcPr>
            <w:tcW w:w="0" w:type="dxa"/>
            <w:vAlign w:val="bottom"/>
          </w:tcPr>
          <w:p>
            <w:pPr>
              <w:spacing w:after="0"/>
              <w:rPr>
                <w:sz w:val="1"/>
                <w:szCs w:val="1"/>
                <w:color w:val="auto"/>
              </w:rPr>
            </w:pPr>
          </w:p>
        </w:tc>
      </w:tr>
      <w:tr>
        <w:trPr>
          <w:trHeight w:val="97"/>
        </w:trPr>
        <w:tc>
          <w:tcPr>
            <w:tcW w:w="12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60" w:type="dxa"/>
            <w:vAlign w:val="bottom"/>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00" w:type="dxa"/>
            <w:vAlign w:val="bottom"/>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580" w:type="dxa"/>
            <w:vAlign w:val="bottom"/>
            <w:vMerge w:val="continue"/>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00" w:type="dxa"/>
            <w:vAlign w:val="bottom"/>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00" w:type="dxa"/>
            <w:vAlign w:val="bottom"/>
            <w:vMerge w:val="continue"/>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80" w:type="dxa"/>
            <w:vAlign w:val="bottom"/>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180" w:type="dxa"/>
            <w:vAlign w:val="bottom"/>
            <w:vMerge w:val="continue"/>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00" w:type="dxa"/>
            <w:vAlign w:val="bottom"/>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760" w:type="dxa"/>
            <w:vAlign w:val="bottom"/>
            <w:gridSpan w:val="2"/>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00" w:type="dxa"/>
            <w:vAlign w:val="bottom"/>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540" w:type="dxa"/>
            <w:vAlign w:val="bottom"/>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00" w:type="dxa"/>
            <w:vAlign w:val="bottom"/>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73"/>
        </w:trPr>
        <w:tc>
          <w:tcPr>
            <w:tcW w:w="1260" w:type="dxa"/>
            <w:vAlign w:val="bottom"/>
          </w:tcPr>
          <w:p>
            <w:pPr>
              <w:ind w:left="20"/>
              <w:spacing w:after="0"/>
              <w:rPr>
                <w:sz w:val="20"/>
                <w:szCs w:val="20"/>
                <w:color w:val="auto"/>
              </w:rPr>
            </w:pPr>
            <w:r>
              <w:rPr>
                <w:rFonts w:ascii="Arial" w:cs="Arial" w:eastAsia="Arial" w:hAnsi="Arial"/>
                <w:sz w:val="13"/>
                <w:szCs w:val="13"/>
                <w:color w:val="auto"/>
              </w:rPr>
              <w:t>2015</w:t>
            </w:r>
          </w:p>
        </w:tc>
        <w:tc>
          <w:tcPr>
            <w:tcW w:w="100" w:type="dxa"/>
            <w:vAlign w:val="bottom"/>
          </w:tcPr>
          <w:p>
            <w:pPr>
              <w:spacing w:after="0"/>
              <w:rPr>
                <w:sz w:val="15"/>
                <w:szCs w:val="15"/>
                <w:color w:val="auto"/>
              </w:rPr>
            </w:pPr>
          </w:p>
        </w:tc>
        <w:tc>
          <w:tcPr>
            <w:tcW w:w="560" w:type="dxa"/>
            <w:vAlign w:val="bottom"/>
            <w:vMerge w:val="restart"/>
          </w:tcPr>
          <w:p>
            <w:pPr>
              <w:jc w:val="right"/>
              <w:spacing w:after="0"/>
              <w:rPr>
                <w:sz w:val="20"/>
                <w:szCs w:val="20"/>
                <w:color w:val="auto"/>
              </w:rPr>
            </w:pPr>
            <w:r>
              <w:rPr>
                <w:rFonts w:ascii="Arial" w:cs="Arial" w:eastAsia="Arial" w:hAnsi="Arial"/>
                <w:sz w:val="13"/>
                <w:szCs w:val="13"/>
                <w:color w:val="auto"/>
              </w:rPr>
              <w:t>888</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vMerge w:val="restart"/>
          </w:tcPr>
          <w:p>
            <w:pPr>
              <w:jc w:val="right"/>
              <w:ind w:right="79"/>
              <w:spacing w:after="0"/>
              <w:rPr>
                <w:sz w:val="20"/>
                <w:szCs w:val="20"/>
                <w:color w:val="auto"/>
              </w:rPr>
            </w:pPr>
            <w:r>
              <w:rPr>
                <w:rFonts w:ascii="Arial" w:cs="Arial" w:eastAsia="Arial" w:hAnsi="Arial"/>
                <w:sz w:val="13"/>
                <w:szCs w:val="13"/>
                <w:color w:val="auto"/>
              </w:rPr>
              <w:t>896</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vMerge w:val="restart"/>
          </w:tcPr>
          <w:p>
            <w:pPr>
              <w:jc w:val="right"/>
              <w:spacing w:after="0"/>
              <w:rPr>
                <w:sz w:val="20"/>
                <w:szCs w:val="20"/>
                <w:color w:val="auto"/>
              </w:rPr>
            </w:pPr>
            <w:r>
              <w:rPr>
                <w:rFonts w:ascii="Arial" w:cs="Arial" w:eastAsia="Arial" w:hAnsi="Arial"/>
                <w:sz w:val="13"/>
                <w:szCs w:val="13"/>
                <w:color w:val="auto"/>
              </w:rPr>
              <w:t>198</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vMerge w:val="restart"/>
          </w:tcPr>
          <w:p>
            <w:pPr>
              <w:jc w:val="right"/>
              <w:ind w:right="79"/>
              <w:spacing w:after="0"/>
              <w:rPr>
                <w:sz w:val="20"/>
                <w:szCs w:val="20"/>
                <w:color w:val="auto"/>
              </w:rPr>
            </w:pPr>
            <w:r>
              <w:rPr>
                <w:rFonts w:ascii="Arial" w:cs="Arial" w:eastAsia="Arial" w:hAnsi="Arial"/>
                <w:sz w:val="13"/>
                <w:szCs w:val="13"/>
                <w:color w:val="auto"/>
              </w:rPr>
              <w:t>200</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vMerge w:val="restart"/>
          </w:tcPr>
          <w:p>
            <w:pPr>
              <w:jc w:val="right"/>
              <w:spacing w:after="0"/>
              <w:rPr>
                <w:sz w:val="20"/>
                <w:szCs w:val="20"/>
                <w:color w:val="auto"/>
              </w:rPr>
            </w:pPr>
            <w:r>
              <w:rPr>
                <w:rFonts w:ascii="Arial" w:cs="Arial" w:eastAsia="Arial" w:hAnsi="Arial"/>
                <w:sz w:val="13"/>
                <w:szCs w:val="13"/>
                <w:color w:val="auto"/>
              </w:rPr>
              <w:t>33</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vMerge w:val="restart"/>
          </w:tcPr>
          <w:p>
            <w:pPr>
              <w:jc w:val="right"/>
              <w:ind w:right="80"/>
              <w:spacing w:after="0"/>
              <w:rPr>
                <w:sz w:val="20"/>
                <w:szCs w:val="20"/>
                <w:color w:val="auto"/>
              </w:rPr>
            </w:pPr>
            <w:r>
              <w:rPr>
                <w:rFonts w:ascii="Arial" w:cs="Arial" w:eastAsia="Arial" w:hAnsi="Arial"/>
                <w:sz w:val="13"/>
                <w:szCs w:val="13"/>
                <w:color w:val="auto"/>
              </w:rPr>
              <w:t>34</w:t>
            </w:r>
          </w:p>
        </w:tc>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8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vMerge w:val="restart"/>
          </w:tcPr>
          <w:p>
            <w:pPr>
              <w:jc w:val="right"/>
              <w:ind w:right="79"/>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gridSpan w:val="2"/>
            <w:vMerge w:val="restart"/>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600" w:type="dxa"/>
            <w:vAlign w:val="bottom"/>
            <w:vMerge w:val="restart"/>
          </w:tcPr>
          <w:p>
            <w:pPr>
              <w:jc w:val="right"/>
              <w:ind w:right="79"/>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vMerge w:val="restart"/>
          </w:tcPr>
          <w:p>
            <w:pPr>
              <w:jc w:val="right"/>
              <w:spacing w:after="0"/>
              <w:rPr>
                <w:sz w:val="20"/>
                <w:szCs w:val="20"/>
                <w:color w:val="auto"/>
              </w:rPr>
            </w:pPr>
            <w:r>
              <w:rPr>
                <w:rFonts w:ascii="Arial" w:cs="Arial" w:eastAsia="Arial" w:hAnsi="Arial"/>
                <w:sz w:val="13"/>
                <w:szCs w:val="13"/>
                <w:color w:val="auto"/>
              </w:rPr>
              <w:t>1,119</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vMerge w:val="restart"/>
          </w:tcPr>
          <w:p>
            <w:pPr>
              <w:jc w:val="right"/>
              <w:ind w:right="79"/>
              <w:spacing w:after="0"/>
              <w:rPr>
                <w:sz w:val="20"/>
                <w:szCs w:val="20"/>
                <w:color w:val="auto"/>
              </w:rPr>
            </w:pPr>
            <w:r>
              <w:rPr>
                <w:rFonts w:ascii="Arial" w:cs="Arial" w:eastAsia="Arial" w:hAnsi="Arial"/>
                <w:sz w:val="13"/>
                <w:szCs w:val="13"/>
                <w:color w:val="auto"/>
              </w:rPr>
              <w:t>1,130</w:t>
            </w:r>
          </w:p>
        </w:tc>
        <w:tc>
          <w:tcPr>
            <w:tcW w:w="0" w:type="dxa"/>
            <w:vAlign w:val="bottom"/>
          </w:tcPr>
          <w:p>
            <w:pPr>
              <w:spacing w:after="0"/>
              <w:rPr>
                <w:sz w:val="1"/>
                <w:szCs w:val="1"/>
                <w:color w:val="auto"/>
              </w:rPr>
            </w:pPr>
          </w:p>
        </w:tc>
      </w:tr>
      <w:tr>
        <w:trPr>
          <w:trHeight w:val="89"/>
        </w:trPr>
        <w:tc>
          <w:tcPr>
            <w:tcW w:w="1260" w:type="dxa"/>
            <w:vAlign w:val="bottom"/>
          </w:tcPr>
          <w:p>
            <w:pPr>
              <w:spacing w:after="0"/>
              <w:rPr>
                <w:sz w:val="7"/>
                <w:szCs w:val="7"/>
                <w:color w:val="auto"/>
              </w:rPr>
            </w:pPr>
          </w:p>
        </w:tc>
        <w:tc>
          <w:tcPr>
            <w:tcW w:w="100" w:type="dxa"/>
            <w:vAlign w:val="bottom"/>
          </w:tcPr>
          <w:p>
            <w:pPr>
              <w:spacing w:after="0"/>
              <w:rPr>
                <w:sz w:val="7"/>
                <w:szCs w:val="7"/>
                <w:color w:val="auto"/>
              </w:rPr>
            </w:pPr>
          </w:p>
        </w:tc>
        <w:tc>
          <w:tcPr>
            <w:tcW w:w="56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58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500" w:type="dxa"/>
            <w:vAlign w:val="bottom"/>
          </w:tcPr>
          <w:p>
            <w:pPr>
              <w:spacing w:after="0"/>
              <w:rPr>
                <w:sz w:val="7"/>
                <w:szCs w:val="7"/>
                <w:color w:val="auto"/>
              </w:rPr>
            </w:pPr>
          </w:p>
        </w:tc>
        <w:tc>
          <w:tcPr>
            <w:tcW w:w="18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76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54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81"/>
        </w:trPr>
        <w:tc>
          <w:tcPr>
            <w:tcW w:w="1260" w:type="dxa"/>
            <w:vAlign w:val="bottom"/>
            <w:shd w:val="clear" w:color="auto" w:fill="CCEEFF"/>
          </w:tcPr>
          <w:p>
            <w:pPr>
              <w:ind w:left="20"/>
              <w:spacing w:after="0"/>
              <w:rPr>
                <w:sz w:val="20"/>
                <w:szCs w:val="20"/>
                <w:color w:val="auto"/>
              </w:rPr>
            </w:pPr>
            <w:r>
              <w:rPr>
                <w:rFonts w:ascii="Arial" w:cs="Arial" w:eastAsia="Arial" w:hAnsi="Arial"/>
                <w:sz w:val="13"/>
                <w:szCs w:val="13"/>
                <w:color w:val="auto"/>
              </w:rPr>
              <w:t>2016</w:t>
            </w:r>
          </w:p>
        </w:tc>
        <w:tc>
          <w:tcPr>
            <w:tcW w:w="100" w:type="dxa"/>
            <w:vAlign w:val="bottom"/>
            <w:shd w:val="clear" w:color="auto" w:fill="CCEEFF"/>
          </w:tcPr>
          <w:p>
            <w:pPr>
              <w:spacing w:after="0"/>
              <w:rPr>
                <w:sz w:val="15"/>
                <w:szCs w:val="15"/>
                <w:color w:val="auto"/>
              </w:rPr>
            </w:pP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435</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0" w:type="dxa"/>
            <w:vAlign w:val="bottom"/>
            <w:vMerge w:val="restart"/>
            <w:shd w:val="clear" w:color="auto" w:fill="CCEEFF"/>
          </w:tcPr>
          <w:p>
            <w:pPr>
              <w:jc w:val="right"/>
              <w:ind w:right="79"/>
              <w:spacing w:after="0"/>
              <w:rPr>
                <w:sz w:val="20"/>
                <w:szCs w:val="20"/>
                <w:color w:val="auto"/>
              </w:rPr>
            </w:pPr>
            <w:r>
              <w:rPr>
                <w:rFonts w:ascii="Arial" w:cs="Arial" w:eastAsia="Arial" w:hAnsi="Arial"/>
                <w:sz w:val="13"/>
                <w:szCs w:val="13"/>
                <w:color w:val="auto"/>
              </w:rPr>
              <w:t>436</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58</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0" w:type="dxa"/>
            <w:vAlign w:val="bottom"/>
            <w:vMerge w:val="restart"/>
            <w:shd w:val="clear" w:color="auto" w:fill="CCEEFF"/>
          </w:tcPr>
          <w:p>
            <w:pPr>
              <w:jc w:val="right"/>
              <w:ind w:right="79"/>
              <w:spacing w:after="0"/>
              <w:rPr>
                <w:sz w:val="20"/>
                <w:szCs w:val="20"/>
                <w:color w:val="auto"/>
              </w:rPr>
            </w:pPr>
            <w:r>
              <w:rPr>
                <w:rFonts w:ascii="Arial" w:cs="Arial" w:eastAsia="Arial" w:hAnsi="Arial"/>
                <w:sz w:val="13"/>
                <w:szCs w:val="13"/>
                <w:color w:val="auto"/>
              </w:rPr>
              <w:t>56</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28</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80" w:type="dxa"/>
            <w:vAlign w:val="bottom"/>
            <w:vMerge w:val="restart"/>
            <w:shd w:val="clear" w:color="auto" w:fill="CCEEFF"/>
          </w:tcPr>
          <w:p>
            <w:pPr>
              <w:jc w:val="right"/>
              <w:ind w:right="80"/>
              <w:spacing w:after="0"/>
              <w:rPr>
                <w:sz w:val="20"/>
                <w:szCs w:val="20"/>
                <w:color w:val="auto"/>
              </w:rPr>
            </w:pPr>
            <w:r>
              <w:rPr>
                <w:rFonts w:ascii="Arial" w:cs="Arial" w:eastAsia="Arial" w:hAnsi="Arial"/>
                <w:sz w:val="13"/>
                <w:szCs w:val="13"/>
                <w:color w:val="auto"/>
              </w:rPr>
              <w:t>28</w:t>
            </w:r>
          </w:p>
        </w:tc>
        <w:tc>
          <w:tcPr>
            <w:tcW w:w="1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0" w:type="dxa"/>
            <w:vAlign w:val="bottom"/>
            <w:vMerge w:val="restart"/>
            <w:shd w:val="clear" w:color="auto" w:fill="CCEEFF"/>
          </w:tcPr>
          <w:p>
            <w:pPr>
              <w:jc w:val="right"/>
              <w:ind w:right="79"/>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600" w:type="dxa"/>
            <w:vAlign w:val="bottom"/>
            <w:vMerge w:val="restart"/>
            <w:shd w:val="clear" w:color="auto" w:fill="CCEEFF"/>
          </w:tcPr>
          <w:p>
            <w:pPr>
              <w:jc w:val="right"/>
              <w:ind w:right="79"/>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521</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0" w:type="dxa"/>
            <w:vAlign w:val="bottom"/>
            <w:vMerge w:val="restart"/>
            <w:shd w:val="clear" w:color="auto" w:fill="CCEEFF"/>
          </w:tcPr>
          <w:p>
            <w:pPr>
              <w:jc w:val="right"/>
              <w:ind w:right="79"/>
              <w:spacing w:after="0"/>
              <w:rPr>
                <w:sz w:val="20"/>
                <w:szCs w:val="20"/>
                <w:color w:val="auto"/>
              </w:rPr>
            </w:pPr>
            <w:r>
              <w:rPr>
                <w:rFonts w:ascii="Arial" w:cs="Arial" w:eastAsia="Arial" w:hAnsi="Arial"/>
                <w:sz w:val="13"/>
                <w:szCs w:val="13"/>
                <w:color w:val="auto"/>
              </w:rPr>
              <w:t>520</w:t>
            </w:r>
          </w:p>
        </w:tc>
        <w:tc>
          <w:tcPr>
            <w:tcW w:w="0" w:type="dxa"/>
            <w:vAlign w:val="bottom"/>
          </w:tcPr>
          <w:p>
            <w:pPr>
              <w:spacing w:after="0"/>
              <w:rPr>
                <w:sz w:val="1"/>
                <w:szCs w:val="1"/>
                <w:color w:val="auto"/>
              </w:rPr>
            </w:pPr>
          </w:p>
        </w:tc>
      </w:tr>
      <w:tr>
        <w:trPr>
          <w:trHeight w:val="97"/>
        </w:trPr>
        <w:tc>
          <w:tcPr>
            <w:tcW w:w="12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60" w:type="dxa"/>
            <w:vAlign w:val="bottom"/>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00" w:type="dxa"/>
            <w:vAlign w:val="bottom"/>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580" w:type="dxa"/>
            <w:vAlign w:val="bottom"/>
            <w:vMerge w:val="continue"/>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00" w:type="dxa"/>
            <w:vAlign w:val="bottom"/>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00" w:type="dxa"/>
            <w:vAlign w:val="bottom"/>
            <w:vMerge w:val="continue"/>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80" w:type="dxa"/>
            <w:vAlign w:val="bottom"/>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180" w:type="dxa"/>
            <w:vAlign w:val="bottom"/>
            <w:vMerge w:val="continue"/>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00" w:type="dxa"/>
            <w:vAlign w:val="bottom"/>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760" w:type="dxa"/>
            <w:vAlign w:val="bottom"/>
            <w:gridSpan w:val="2"/>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00" w:type="dxa"/>
            <w:vAlign w:val="bottom"/>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540" w:type="dxa"/>
            <w:vAlign w:val="bottom"/>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00" w:type="dxa"/>
            <w:vAlign w:val="bottom"/>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73"/>
        </w:trPr>
        <w:tc>
          <w:tcPr>
            <w:tcW w:w="1260" w:type="dxa"/>
            <w:vAlign w:val="bottom"/>
          </w:tcPr>
          <w:p>
            <w:pPr>
              <w:ind w:left="20"/>
              <w:spacing w:after="0"/>
              <w:rPr>
                <w:sz w:val="20"/>
                <w:szCs w:val="20"/>
                <w:color w:val="auto"/>
              </w:rPr>
            </w:pPr>
            <w:r>
              <w:rPr>
                <w:rFonts w:ascii="Arial" w:cs="Arial" w:eastAsia="Arial" w:hAnsi="Arial"/>
                <w:sz w:val="13"/>
                <w:szCs w:val="13"/>
                <w:color w:val="auto"/>
              </w:rPr>
              <w:t>2017</w:t>
            </w:r>
          </w:p>
        </w:tc>
        <w:tc>
          <w:tcPr>
            <w:tcW w:w="100" w:type="dxa"/>
            <w:vAlign w:val="bottom"/>
          </w:tcPr>
          <w:p>
            <w:pPr>
              <w:spacing w:after="0"/>
              <w:rPr>
                <w:sz w:val="15"/>
                <w:szCs w:val="15"/>
                <w:color w:val="auto"/>
              </w:rPr>
            </w:pPr>
          </w:p>
        </w:tc>
        <w:tc>
          <w:tcPr>
            <w:tcW w:w="560" w:type="dxa"/>
            <w:vAlign w:val="bottom"/>
            <w:vMerge w:val="restart"/>
          </w:tcPr>
          <w:p>
            <w:pPr>
              <w:jc w:val="right"/>
              <w:spacing w:after="0"/>
              <w:rPr>
                <w:sz w:val="20"/>
                <w:szCs w:val="20"/>
                <w:color w:val="auto"/>
              </w:rPr>
            </w:pPr>
            <w:r>
              <w:rPr>
                <w:rFonts w:ascii="Arial" w:cs="Arial" w:eastAsia="Arial" w:hAnsi="Arial"/>
                <w:sz w:val="13"/>
                <w:szCs w:val="13"/>
                <w:color w:val="auto"/>
              </w:rPr>
              <w:t>121</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vMerge w:val="restart"/>
          </w:tcPr>
          <w:p>
            <w:pPr>
              <w:jc w:val="right"/>
              <w:ind w:right="79"/>
              <w:spacing w:after="0"/>
              <w:rPr>
                <w:sz w:val="20"/>
                <w:szCs w:val="20"/>
                <w:color w:val="auto"/>
              </w:rPr>
            </w:pPr>
            <w:r>
              <w:rPr>
                <w:rFonts w:ascii="Arial" w:cs="Arial" w:eastAsia="Arial" w:hAnsi="Arial"/>
                <w:sz w:val="13"/>
                <w:szCs w:val="13"/>
                <w:color w:val="auto"/>
              </w:rPr>
              <w:t>121</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vMerge w:val="restart"/>
          </w:tcPr>
          <w:p>
            <w:pPr>
              <w:jc w:val="right"/>
              <w:spacing w:after="0"/>
              <w:rPr>
                <w:sz w:val="20"/>
                <w:szCs w:val="20"/>
                <w:color w:val="auto"/>
              </w:rPr>
            </w:pPr>
            <w:r>
              <w:rPr>
                <w:rFonts w:ascii="Arial" w:cs="Arial" w:eastAsia="Arial" w:hAnsi="Arial"/>
                <w:sz w:val="13"/>
                <w:szCs w:val="13"/>
                <w:color w:val="auto"/>
              </w:rPr>
              <w:t>25</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vMerge w:val="restart"/>
          </w:tcPr>
          <w:p>
            <w:pPr>
              <w:jc w:val="right"/>
              <w:ind w:right="79"/>
              <w:spacing w:after="0"/>
              <w:rPr>
                <w:sz w:val="20"/>
                <w:szCs w:val="20"/>
                <w:color w:val="auto"/>
              </w:rPr>
            </w:pPr>
            <w:r>
              <w:rPr>
                <w:rFonts w:ascii="Arial" w:cs="Arial" w:eastAsia="Arial" w:hAnsi="Arial"/>
                <w:sz w:val="13"/>
                <w:szCs w:val="13"/>
                <w:color w:val="auto"/>
              </w:rPr>
              <w:t>25</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vMerge w:val="restart"/>
          </w:tcPr>
          <w:p>
            <w:pPr>
              <w:jc w:val="right"/>
              <w:spacing w:after="0"/>
              <w:rPr>
                <w:sz w:val="20"/>
                <w:szCs w:val="20"/>
                <w:color w:val="auto"/>
              </w:rPr>
            </w:pPr>
            <w:r>
              <w:rPr>
                <w:rFonts w:ascii="Arial" w:cs="Arial" w:eastAsia="Arial" w:hAnsi="Arial"/>
                <w:sz w:val="13"/>
                <w:szCs w:val="13"/>
                <w:color w:val="auto"/>
              </w:rPr>
              <w:t>11</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vMerge w:val="restart"/>
          </w:tcPr>
          <w:p>
            <w:pPr>
              <w:jc w:val="right"/>
              <w:ind w:right="80"/>
              <w:spacing w:after="0"/>
              <w:rPr>
                <w:sz w:val="20"/>
                <w:szCs w:val="20"/>
                <w:color w:val="auto"/>
              </w:rPr>
            </w:pPr>
            <w:r>
              <w:rPr>
                <w:rFonts w:ascii="Arial" w:cs="Arial" w:eastAsia="Arial" w:hAnsi="Arial"/>
                <w:sz w:val="13"/>
                <w:szCs w:val="13"/>
                <w:color w:val="auto"/>
              </w:rPr>
              <w:t>11</w:t>
            </w:r>
          </w:p>
        </w:tc>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8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vMerge w:val="restart"/>
          </w:tcPr>
          <w:p>
            <w:pPr>
              <w:jc w:val="right"/>
              <w:ind w:right="79"/>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vMerge w:val="restart"/>
          </w:tcPr>
          <w:p>
            <w:pPr>
              <w:jc w:val="right"/>
              <w:ind w:right="60"/>
              <w:spacing w:after="0"/>
              <w:rPr>
                <w:sz w:val="20"/>
                <w:szCs w:val="20"/>
                <w:color w:val="auto"/>
              </w:rPr>
            </w:pPr>
            <w:r>
              <w:rPr>
                <w:rFonts w:ascii="Arial" w:cs="Arial" w:eastAsia="Arial" w:hAnsi="Arial"/>
                <w:sz w:val="13"/>
                <w:szCs w:val="13"/>
                <w:color w:val="auto"/>
              </w:rPr>
              <w:t>—</w:t>
            </w:r>
          </w:p>
        </w:tc>
        <w:tc>
          <w:tcPr>
            <w:tcW w:w="100" w:type="dxa"/>
            <w:vAlign w:val="bottom"/>
            <w:vMerge w:val="restart"/>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vMerge w:val="restart"/>
          </w:tcPr>
          <w:p>
            <w:pPr>
              <w:jc w:val="right"/>
              <w:ind w:right="79"/>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vMerge w:val="restart"/>
          </w:tcPr>
          <w:p>
            <w:pPr>
              <w:jc w:val="right"/>
              <w:spacing w:after="0"/>
              <w:rPr>
                <w:sz w:val="20"/>
                <w:szCs w:val="20"/>
                <w:color w:val="auto"/>
              </w:rPr>
            </w:pPr>
            <w:r>
              <w:rPr>
                <w:rFonts w:ascii="Arial" w:cs="Arial" w:eastAsia="Arial" w:hAnsi="Arial"/>
                <w:sz w:val="13"/>
                <w:szCs w:val="13"/>
                <w:color w:val="auto"/>
              </w:rPr>
              <w:t>157</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vMerge w:val="restart"/>
          </w:tcPr>
          <w:p>
            <w:pPr>
              <w:jc w:val="right"/>
              <w:ind w:right="79"/>
              <w:spacing w:after="0"/>
              <w:rPr>
                <w:sz w:val="20"/>
                <w:szCs w:val="20"/>
                <w:color w:val="auto"/>
              </w:rPr>
            </w:pPr>
            <w:r>
              <w:rPr>
                <w:rFonts w:ascii="Arial" w:cs="Arial" w:eastAsia="Arial" w:hAnsi="Arial"/>
                <w:sz w:val="13"/>
                <w:szCs w:val="13"/>
                <w:color w:val="auto"/>
              </w:rPr>
              <w:t>157</w:t>
            </w:r>
          </w:p>
        </w:tc>
        <w:tc>
          <w:tcPr>
            <w:tcW w:w="0" w:type="dxa"/>
            <w:vAlign w:val="bottom"/>
          </w:tcPr>
          <w:p>
            <w:pPr>
              <w:spacing w:after="0"/>
              <w:rPr>
                <w:sz w:val="1"/>
                <w:szCs w:val="1"/>
                <w:color w:val="auto"/>
              </w:rPr>
            </w:pPr>
          </w:p>
        </w:tc>
      </w:tr>
      <w:tr>
        <w:trPr>
          <w:trHeight w:val="91"/>
        </w:trPr>
        <w:tc>
          <w:tcPr>
            <w:tcW w:w="1260" w:type="dxa"/>
            <w:vAlign w:val="bottom"/>
            <w:tcBorders>
              <w:bottom w:val="single" w:sz="8" w:color="CCEEFF"/>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560" w:type="dxa"/>
            <w:vAlign w:val="bottom"/>
            <w:tcBorders>
              <w:bottom w:val="single" w:sz="8" w:color="auto"/>
            </w:tcBorders>
            <w:vMerge w:val="continue"/>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100" w:type="dxa"/>
            <w:vAlign w:val="bottom"/>
            <w:tcBorders>
              <w:bottom w:val="single" w:sz="8" w:color="CCEEFF"/>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600" w:type="dxa"/>
            <w:vAlign w:val="bottom"/>
            <w:tcBorders>
              <w:bottom w:val="single" w:sz="8" w:color="auto"/>
            </w:tcBorders>
            <w:vMerge w:val="continue"/>
          </w:tcPr>
          <w:p>
            <w:pPr>
              <w:spacing w:after="0"/>
              <w:rPr>
                <w:sz w:val="7"/>
                <w:szCs w:val="7"/>
                <w:color w:val="auto"/>
              </w:rPr>
            </w:pPr>
          </w:p>
        </w:tc>
        <w:tc>
          <w:tcPr>
            <w:tcW w:w="100" w:type="dxa"/>
            <w:vAlign w:val="bottom"/>
            <w:tcBorders>
              <w:bottom w:val="single" w:sz="8" w:color="CCEEFF"/>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580" w:type="dxa"/>
            <w:vAlign w:val="bottom"/>
            <w:tcBorders>
              <w:bottom w:val="single" w:sz="8" w:color="auto"/>
            </w:tcBorders>
            <w:vMerge w:val="continue"/>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100" w:type="dxa"/>
            <w:vAlign w:val="bottom"/>
            <w:tcBorders>
              <w:bottom w:val="single" w:sz="8" w:color="CCEEFF"/>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600" w:type="dxa"/>
            <w:vAlign w:val="bottom"/>
            <w:tcBorders>
              <w:bottom w:val="single" w:sz="8" w:color="auto"/>
            </w:tcBorders>
            <w:vMerge w:val="continue"/>
          </w:tcPr>
          <w:p>
            <w:pPr>
              <w:spacing w:after="0"/>
              <w:rPr>
                <w:sz w:val="7"/>
                <w:szCs w:val="7"/>
                <w:color w:val="auto"/>
              </w:rPr>
            </w:pPr>
          </w:p>
        </w:tc>
        <w:tc>
          <w:tcPr>
            <w:tcW w:w="100" w:type="dxa"/>
            <w:vAlign w:val="bottom"/>
            <w:tcBorders>
              <w:bottom w:val="single" w:sz="8" w:color="CCEEFF"/>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600" w:type="dxa"/>
            <w:vAlign w:val="bottom"/>
            <w:tcBorders>
              <w:bottom w:val="single" w:sz="8" w:color="auto"/>
            </w:tcBorders>
            <w:vMerge w:val="continue"/>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100" w:type="dxa"/>
            <w:vAlign w:val="bottom"/>
            <w:tcBorders>
              <w:bottom w:val="single" w:sz="8" w:color="CCEEFF"/>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580" w:type="dxa"/>
            <w:vAlign w:val="bottom"/>
            <w:tcBorders>
              <w:bottom w:val="single" w:sz="8" w:color="auto"/>
            </w:tcBorders>
            <w:vMerge w:val="continue"/>
          </w:tcPr>
          <w:p>
            <w:pPr>
              <w:spacing w:after="0"/>
              <w:rPr>
                <w:sz w:val="7"/>
                <w:szCs w:val="7"/>
                <w:color w:val="auto"/>
              </w:rPr>
            </w:pPr>
          </w:p>
        </w:tc>
        <w:tc>
          <w:tcPr>
            <w:tcW w:w="120" w:type="dxa"/>
            <w:vAlign w:val="bottom"/>
            <w:tcBorders>
              <w:bottom w:val="single" w:sz="8" w:color="CCEEFF"/>
            </w:tcBorders>
          </w:tcPr>
          <w:p>
            <w:pPr>
              <w:spacing w:after="0"/>
              <w:rPr>
                <w:sz w:val="7"/>
                <w:szCs w:val="7"/>
                <w:color w:val="auto"/>
              </w:rPr>
            </w:pPr>
          </w:p>
        </w:tc>
        <w:tc>
          <w:tcPr>
            <w:tcW w:w="50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vMerge w:val="continue"/>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120" w:type="dxa"/>
            <w:vAlign w:val="bottom"/>
            <w:tcBorders>
              <w:bottom w:val="single" w:sz="8" w:color="CCEEFF"/>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600" w:type="dxa"/>
            <w:vAlign w:val="bottom"/>
            <w:tcBorders>
              <w:bottom w:val="single" w:sz="8" w:color="auto"/>
            </w:tcBorders>
            <w:vMerge w:val="continue"/>
          </w:tcPr>
          <w:p>
            <w:pPr>
              <w:spacing w:after="0"/>
              <w:rPr>
                <w:sz w:val="7"/>
                <w:szCs w:val="7"/>
                <w:color w:val="auto"/>
              </w:rPr>
            </w:pPr>
          </w:p>
        </w:tc>
        <w:tc>
          <w:tcPr>
            <w:tcW w:w="120" w:type="dxa"/>
            <w:vAlign w:val="bottom"/>
            <w:tcBorders>
              <w:bottom w:val="single" w:sz="8" w:color="CCEEFF"/>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660" w:type="dxa"/>
            <w:vAlign w:val="bottom"/>
            <w:tcBorders>
              <w:bottom w:val="single" w:sz="8" w:color="auto"/>
            </w:tcBorders>
            <w:vMerge w:val="continue"/>
          </w:tcPr>
          <w:p>
            <w:pPr>
              <w:spacing w:after="0"/>
              <w:rPr>
                <w:sz w:val="7"/>
                <w:szCs w:val="7"/>
                <w:color w:val="auto"/>
              </w:rPr>
            </w:pPr>
          </w:p>
        </w:tc>
        <w:tc>
          <w:tcPr>
            <w:tcW w:w="100" w:type="dxa"/>
            <w:vAlign w:val="bottom"/>
            <w:tcBorders>
              <w:bottom w:val="single" w:sz="8" w:color="CCEEFF"/>
            </w:tcBorders>
            <w:vMerge w:val="continue"/>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600" w:type="dxa"/>
            <w:vAlign w:val="bottom"/>
            <w:tcBorders>
              <w:bottom w:val="single" w:sz="8" w:color="auto"/>
            </w:tcBorders>
            <w:vMerge w:val="continue"/>
          </w:tcPr>
          <w:p>
            <w:pPr>
              <w:spacing w:after="0"/>
              <w:rPr>
                <w:sz w:val="7"/>
                <w:szCs w:val="7"/>
                <w:color w:val="auto"/>
              </w:rPr>
            </w:pPr>
          </w:p>
        </w:tc>
        <w:tc>
          <w:tcPr>
            <w:tcW w:w="100" w:type="dxa"/>
            <w:vAlign w:val="bottom"/>
            <w:tcBorders>
              <w:bottom w:val="single" w:sz="8" w:color="CCEEFF"/>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540" w:type="dxa"/>
            <w:vAlign w:val="bottom"/>
            <w:tcBorders>
              <w:bottom w:val="single" w:sz="8" w:color="auto"/>
            </w:tcBorders>
            <w:vMerge w:val="continue"/>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100" w:type="dxa"/>
            <w:vAlign w:val="bottom"/>
            <w:tcBorders>
              <w:bottom w:val="single" w:sz="8" w:color="CCEEFF"/>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60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60"/>
        </w:trPr>
        <w:tc>
          <w:tcPr>
            <w:tcW w:w="1260" w:type="dxa"/>
            <w:vAlign w:val="bottom"/>
            <w:shd w:val="clear" w:color="auto" w:fill="CCEEFF"/>
          </w:tcPr>
          <w:p>
            <w:pPr>
              <w:ind w:left="200"/>
              <w:spacing w:after="0"/>
              <w:rPr>
                <w:sz w:val="20"/>
                <w:szCs w:val="20"/>
                <w:color w:val="auto"/>
              </w:rPr>
            </w:pPr>
            <w:r>
              <w:rPr>
                <w:rFonts w:ascii="Arial" w:cs="Arial" w:eastAsia="Arial" w:hAnsi="Arial"/>
                <w:sz w:val="13"/>
                <w:szCs w:val="13"/>
                <w:color w:val="auto"/>
              </w:rPr>
              <w:t>Total</w:t>
            </w: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2,165</w:t>
            </w:r>
          </w:p>
        </w:tc>
        <w:tc>
          <w:tcPr>
            <w:tcW w:w="300" w:type="dxa"/>
            <w:vAlign w:val="bottom"/>
            <w:gridSpan w:val="3"/>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0" w:type="dxa"/>
            <w:vAlign w:val="bottom"/>
            <w:vMerge w:val="restart"/>
            <w:shd w:val="clear" w:color="auto" w:fill="CCEEFF"/>
          </w:tcPr>
          <w:p>
            <w:pPr>
              <w:jc w:val="right"/>
              <w:ind w:right="79"/>
              <w:spacing w:after="0"/>
              <w:rPr>
                <w:sz w:val="20"/>
                <w:szCs w:val="20"/>
                <w:color w:val="auto"/>
              </w:rPr>
            </w:pPr>
            <w:r>
              <w:rPr>
                <w:rFonts w:ascii="Arial" w:cs="Arial" w:eastAsia="Arial" w:hAnsi="Arial"/>
                <w:sz w:val="13"/>
                <w:szCs w:val="13"/>
                <w:color w:val="auto"/>
              </w:rPr>
              <w:t>2,195</w:t>
            </w:r>
          </w:p>
        </w:tc>
        <w:tc>
          <w:tcPr>
            <w:tcW w:w="22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840</w:t>
            </w:r>
          </w:p>
        </w:tc>
        <w:tc>
          <w:tcPr>
            <w:tcW w:w="280" w:type="dxa"/>
            <w:vAlign w:val="bottom"/>
            <w:gridSpan w:val="3"/>
            <w:vMerge w:val="restart"/>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600" w:type="dxa"/>
            <w:vAlign w:val="bottom"/>
            <w:vMerge w:val="restart"/>
            <w:shd w:val="clear" w:color="auto" w:fill="CCEEFF"/>
          </w:tcPr>
          <w:p>
            <w:pPr>
              <w:jc w:val="right"/>
              <w:ind w:right="79"/>
              <w:spacing w:after="0"/>
              <w:rPr>
                <w:sz w:val="20"/>
                <w:szCs w:val="20"/>
                <w:color w:val="auto"/>
              </w:rPr>
            </w:pPr>
            <w:r>
              <w:rPr>
                <w:rFonts w:ascii="Arial" w:cs="Arial" w:eastAsia="Arial" w:hAnsi="Arial"/>
                <w:sz w:val="13"/>
                <w:szCs w:val="13"/>
                <w:color w:val="auto"/>
              </w:rPr>
              <w:t>850</w:t>
            </w:r>
          </w:p>
        </w:tc>
        <w:tc>
          <w:tcPr>
            <w:tcW w:w="20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323</w:t>
            </w:r>
          </w:p>
        </w:tc>
        <w:tc>
          <w:tcPr>
            <w:tcW w:w="280" w:type="dxa"/>
            <w:vAlign w:val="bottom"/>
            <w:gridSpan w:val="3"/>
            <w:vMerge w:val="restart"/>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580" w:type="dxa"/>
            <w:vAlign w:val="bottom"/>
            <w:vMerge w:val="restart"/>
            <w:shd w:val="clear" w:color="auto" w:fill="CCEEFF"/>
          </w:tcPr>
          <w:p>
            <w:pPr>
              <w:jc w:val="right"/>
              <w:ind w:right="80"/>
              <w:spacing w:after="0"/>
              <w:rPr>
                <w:sz w:val="20"/>
                <w:szCs w:val="20"/>
                <w:color w:val="auto"/>
              </w:rPr>
            </w:pPr>
            <w:r>
              <w:rPr>
                <w:rFonts w:ascii="Arial" w:cs="Arial" w:eastAsia="Arial" w:hAnsi="Arial"/>
                <w:sz w:val="13"/>
                <w:szCs w:val="13"/>
                <w:color w:val="auto"/>
              </w:rPr>
              <w:t>328</w:t>
            </w:r>
          </w:p>
        </w:tc>
        <w:tc>
          <w:tcPr>
            <w:tcW w:w="620" w:type="dxa"/>
            <w:vAlign w:val="bottom"/>
            <w:gridSpan w:val="2"/>
            <w:vMerge w:val="restart"/>
            <w:shd w:val="clear" w:color="auto" w:fill="CCEEFF"/>
          </w:tcPr>
          <w:p>
            <w:pPr>
              <w:jc w:val="right"/>
              <w:ind w:right="366"/>
              <w:spacing w:after="0"/>
              <w:rPr>
                <w:sz w:val="20"/>
                <w:szCs w:val="20"/>
                <w:color w:val="auto"/>
              </w:rPr>
            </w:pPr>
            <w:r>
              <w:rPr>
                <w:rFonts w:ascii="Arial" w:cs="Arial" w:eastAsia="Arial" w:hAnsi="Arial"/>
                <w:sz w:val="13"/>
                <w:szCs w:val="13"/>
                <w:color w:val="auto"/>
              </w:rPr>
              <w:t>$</w:t>
            </w: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3</w:t>
            </w:r>
          </w:p>
        </w:tc>
        <w:tc>
          <w:tcPr>
            <w:tcW w:w="280" w:type="dxa"/>
            <w:vAlign w:val="bottom"/>
            <w:gridSpan w:val="3"/>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0" w:type="dxa"/>
            <w:vAlign w:val="bottom"/>
            <w:vMerge w:val="restart"/>
            <w:shd w:val="clear" w:color="auto" w:fill="CCEEFF"/>
          </w:tcPr>
          <w:p>
            <w:pPr>
              <w:jc w:val="right"/>
              <w:ind w:right="79"/>
              <w:spacing w:after="0"/>
              <w:rPr>
                <w:sz w:val="20"/>
                <w:szCs w:val="20"/>
                <w:color w:val="auto"/>
              </w:rPr>
            </w:pPr>
            <w:r>
              <w:rPr>
                <w:rFonts w:ascii="Arial" w:cs="Arial" w:eastAsia="Arial" w:hAnsi="Arial"/>
                <w:sz w:val="13"/>
                <w:szCs w:val="13"/>
                <w:color w:val="auto"/>
              </w:rPr>
              <w:t>3</w:t>
            </w:r>
          </w:p>
        </w:tc>
        <w:tc>
          <w:tcPr>
            <w:tcW w:w="22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76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0" w:type="dxa"/>
            <w:vAlign w:val="bottom"/>
            <w:vMerge w:val="restart"/>
            <w:shd w:val="clear" w:color="auto" w:fill="CCEEFF"/>
          </w:tcPr>
          <w:p>
            <w:pPr>
              <w:jc w:val="right"/>
              <w:ind w:right="79"/>
              <w:spacing w:after="0"/>
              <w:rPr>
                <w:sz w:val="20"/>
                <w:szCs w:val="20"/>
                <w:color w:val="auto"/>
              </w:rPr>
            </w:pPr>
            <w:r>
              <w:rPr>
                <w:rFonts w:ascii="Arial" w:cs="Arial" w:eastAsia="Arial" w:hAnsi="Arial"/>
                <w:sz w:val="13"/>
                <w:szCs w:val="13"/>
                <w:color w:val="auto"/>
              </w:rPr>
              <w:t>1</w:t>
            </w:r>
          </w:p>
        </w:tc>
        <w:tc>
          <w:tcPr>
            <w:tcW w:w="22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3,331</w:t>
            </w:r>
          </w:p>
        </w:tc>
        <w:tc>
          <w:tcPr>
            <w:tcW w:w="320" w:type="dxa"/>
            <w:vAlign w:val="bottom"/>
            <w:gridSpan w:val="3"/>
            <w:vMerge w:val="restart"/>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600" w:type="dxa"/>
            <w:vAlign w:val="bottom"/>
            <w:vMerge w:val="restart"/>
            <w:shd w:val="clear" w:color="auto" w:fill="CCEEFF"/>
          </w:tcPr>
          <w:p>
            <w:pPr>
              <w:jc w:val="right"/>
              <w:ind w:right="79"/>
              <w:spacing w:after="0"/>
              <w:rPr>
                <w:sz w:val="20"/>
                <w:szCs w:val="20"/>
                <w:color w:val="auto"/>
              </w:rPr>
            </w:pPr>
            <w:r>
              <w:rPr>
                <w:rFonts w:ascii="Arial" w:cs="Arial" w:eastAsia="Arial" w:hAnsi="Arial"/>
                <w:sz w:val="13"/>
                <w:szCs w:val="13"/>
                <w:color w:val="auto"/>
              </w:rPr>
              <w:t>3,377</w:t>
            </w:r>
          </w:p>
        </w:tc>
        <w:tc>
          <w:tcPr>
            <w:tcW w:w="0" w:type="dxa"/>
            <w:vAlign w:val="bottom"/>
          </w:tcPr>
          <w:p>
            <w:pPr>
              <w:spacing w:after="0"/>
              <w:rPr>
                <w:sz w:val="1"/>
                <w:szCs w:val="1"/>
                <w:color w:val="auto"/>
              </w:rPr>
            </w:pPr>
          </w:p>
        </w:tc>
      </w:tr>
      <w:tr>
        <w:trPr>
          <w:trHeight w:val="77"/>
        </w:trPr>
        <w:tc>
          <w:tcPr>
            <w:tcW w:w="1260" w:type="dxa"/>
            <w:vAlign w:val="bottom"/>
            <w:shd w:val="clear" w:color="auto" w:fill="CCEEFF"/>
          </w:tcPr>
          <w:p>
            <w:pPr>
              <w:spacing w:after="0"/>
              <w:rPr>
                <w:sz w:val="6"/>
                <w:szCs w:val="6"/>
                <w:color w:val="auto"/>
              </w:rPr>
            </w:pPr>
          </w:p>
        </w:tc>
        <w:tc>
          <w:tcPr>
            <w:tcW w:w="100" w:type="dxa"/>
            <w:vAlign w:val="bottom"/>
            <w:vMerge w:val="continue"/>
            <w:shd w:val="clear" w:color="auto" w:fill="CCEEFF"/>
          </w:tcPr>
          <w:p>
            <w:pPr>
              <w:spacing w:after="0"/>
              <w:rPr>
                <w:sz w:val="6"/>
                <w:szCs w:val="6"/>
                <w:color w:val="auto"/>
              </w:rPr>
            </w:pPr>
          </w:p>
        </w:tc>
        <w:tc>
          <w:tcPr>
            <w:tcW w:w="560" w:type="dxa"/>
            <w:vAlign w:val="bottom"/>
            <w:vMerge w:val="continue"/>
            <w:shd w:val="clear" w:color="auto" w:fill="CCEEFF"/>
          </w:tcPr>
          <w:p>
            <w:pPr>
              <w:spacing w:after="0"/>
              <w:rPr>
                <w:sz w:val="6"/>
                <w:szCs w:val="6"/>
                <w:color w:val="auto"/>
              </w:rPr>
            </w:pPr>
          </w:p>
        </w:tc>
        <w:tc>
          <w:tcPr>
            <w:tcW w:w="300" w:type="dxa"/>
            <w:vAlign w:val="bottom"/>
            <w:gridSpan w:val="3"/>
            <w:vMerge w:val="continue"/>
            <w:shd w:val="clear" w:color="auto" w:fill="CCEEFF"/>
          </w:tcPr>
          <w:p>
            <w:pPr>
              <w:spacing w:after="0"/>
              <w:rPr>
                <w:sz w:val="6"/>
                <w:szCs w:val="6"/>
                <w:color w:val="auto"/>
              </w:rPr>
            </w:pPr>
          </w:p>
        </w:tc>
        <w:tc>
          <w:tcPr>
            <w:tcW w:w="600" w:type="dxa"/>
            <w:vAlign w:val="bottom"/>
            <w:vMerge w:val="continue"/>
            <w:shd w:val="clear" w:color="auto" w:fill="CCEEFF"/>
          </w:tcPr>
          <w:p>
            <w:pPr>
              <w:spacing w:after="0"/>
              <w:rPr>
                <w:sz w:val="6"/>
                <w:szCs w:val="6"/>
                <w:color w:val="auto"/>
              </w:rPr>
            </w:pPr>
          </w:p>
        </w:tc>
        <w:tc>
          <w:tcPr>
            <w:tcW w:w="220" w:type="dxa"/>
            <w:vAlign w:val="bottom"/>
            <w:gridSpan w:val="2"/>
            <w:vMerge w:val="continue"/>
            <w:shd w:val="clear" w:color="auto" w:fill="CCEEFF"/>
          </w:tcPr>
          <w:p>
            <w:pPr>
              <w:spacing w:after="0"/>
              <w:rPr>
                <w:sz w:val="6"/>
                <w:szCs w:val="6"/>
                <w:color w:val="auto"/>
              </w:rPr>
            </w:pPr>
          </w:p>
        </w:tc>
        <w:tc>
          <w:tcPr>
            <w:tcW w:w="580" w:type="dxa"/>
            <w:vAlign w:val="bottom"/>
            <w:vMerge w:val="continue"/>
            <w:shd w:val="clear" w:color="auto" w:fill="CCEEFF"/>
          </w:tcPr>
          <w:p>
            <w:pPr>
              <w:spacing w:after="0"/>
              <w:rPr>
                <w:sz w:val="6"/>
                <w:szCs w:val="6"/>
                <w:color w:val="auto"/>
              </w:rPr>
            </w:pPr>
          </w:p>
        </w:tc>
        <w:tc>
          <w:tcPr>
            <w:tcW w:w="280" w:type="dxa"/>
            <w:vAlign w:val="bottom"/>
            <w:gridSpan w:val="3"/>
            <w:vMerge w:val="continue"/>
            <w:shd w:val="clear" w:color="auto" w:fill="CCEEFF"/>
          </w:tcPr>
          <w:p>
            <w:pPr>
              <w:spacing w:after="0"/>
              <w:rPr>
                <w:sz w:val="6"/>
                <w:szCs w:val="6"/>
                <w:color w:val="auto"/>
              </w:rPr>
            </w:pPr>
          </w:p>
        </w:tc>
        <w:tc>
          <w:tcPr>
            <w:tcW w:w="600" w:type="dxa"/>
            <w:vAlign w:val="bottom"/>
            <w:vMerge w:val="continue"/>
            <w:shd w:val="clear" w:color="auto" w:fill="CCEEFF"/>
          </w:tcPr>
          <w:p>
            <w:pPr>
              <w:spacing w:after="0"/>
              <w:rPr>
                <w:sz w:val="6"/>
                <w:szCs w:val="6"/>
                <w:color w:val="auto"/>
              </w:rPr>
            </w:pPr>
          </w:p>
        </w:tc>
        <w:tc>
          <w:tcPr>
            <w:tcW w:w="200" w:type="dxa"/>
            <w:vAlign w:val="bottom"/>
            <w:gridSpan w:val="2"/>
            <w:vMerge w:val="continue"/>
            <w:shd w:val="clear" w:color="auto" w:fill="CCEEFF"/>
          </w:tcPr>
          <w:p>
            <w:pPr>
              <w:spacing w:after="0"/>
              <w:rPr>
                <w:sz w:val="6"/>
                <w:szCs w:val="6"/>
                <w:color w:val="auto"/>
              </w:rPr>
            </w:pPr>
          </w:p>
        </w:tc>
        <w:tc>
          <w:tcPr>
            <w:tcW w:w="600" w:type="dxa"/>
            <w:vAlign w:val="bottom"/>
            <w:vMerge w:val="continue"/>
            <w:shd w:val="clear" w:color="auto" w:fill="CCEEFF"/>
          </w:tcPr>
          <w:p>
            <w:pPr>
              <w:spacing w:after="0"/>
              <w:rPr>
                <w:sz w:val="6"/>
                <w:szCs w:val="6"/>
                <w:color w:val="auto"/>
              </w:rPr>
            </w:pPr>
          </w:p>
        </w:tc>
        <w:tc>
          <w:tcPr>
            <w:tcW w:w="280" w:type="dxa"/>
            <w:vAlign w:val="bottom"/>
            <w:gridSpan w:val="3"/>
            <w:vMerge w:val="continue"/>
            <w:shd w:val="clear" w:color="auto" w:fill="CCEEFF"/>
          </w:tcPr>
          <w:p>
            <w:pPr>
              <w:spacing w:after="0"/>
              <w:rPr>
                <w:sz w:val="6"/>
                <w:szCs w:val="6"/>
                <w:color w:val="auto"/>
              </w:rPr>
            </w:pPr>
          </w:p>
        </w:tc>
        <w:tc>
          <w:tcPr>
            <w:tcW w:w="580" w:type="dxa"/>
            <w:vAlign w:val="bottom"/>
            <w:vMerge w:val="continue"/>
            <w:shd w:val="clear" w:color="auto" w:fill="CCEEFF"/>
          </w:tcPr>
          <w:p>
            <w:pPr>
              <w:spacing w:after="0"/>
              <w:rPr>
                <w:sz w:val="6"/>
                <w:szCs w:val="6"/>
                <w:color w:val="auto"/>
              </w:rPr>
            </w:pPr>
          </w:p>
        </w:tc>
        <w:tc>
          <w:tcPr>
            <w:tcW w:w="620" w:type="dxa"/>
            <w:vAlign w:val="bottom"/>
            <w:gridSpan w:val="2"/>
            <w:vMerge w:val="continue"/>
            <w:shd w:val="clear" w:color="auto" w:fill="CCEEFF"/>
          </w:tcPr>
          <w:p>
            <w:pPr>
              <w:spacing w:after="0"/>
              <w:rPr>
                <w:sz w:val="6"/>
                <w:szCs w:val="6"/>
                <w:color w:val="auto"/>
              </w:rPr>
            </w:pPr>
          </w:p>
        </w:tc>
        <w:tc>
          <w:tcPr>
            <w:tcW w:w="180" w:type="dxa"/>
            <w:vAlign w:val="bottom"/>
            <w:vMerge w:val="continue"/>
            <w:shd w:val="clear" w:color="auto" w:fill="CCEEFF"/>
          </w:tcPr>
          <w:p>
            <w:pPr>
              <w:spacing w:after="0"/>
              <w:rPr>
                <w:sz w:val="6"/>
                <w:szCs w:val="6"/>
                <w:color w:val="auto"/>
              </w:rPr>
            </w:pPr>
          </w:p>
        </w:tc>
        <w:tc>
          <w:tcPr>
            <w:tcW w:w="280" w:type="dxa"/>
            <w:vAlign w:val="bottom"/>
            <w:gridSpan w:val="3"/>
            <w:vMerge w:val="continue"/>
            <w:shd w:val="clear" w:color="auto" w:fill="CCEEFF"/>
          </w:tcPr>
          <w:p>
            <w:pPr>
              <w:spacing w:after="0"/>
              <w:rPr>
                <w:sz w:val="6"/>
                <w:szCs w:val="6"/>
                <w:color w:val="auto"/>
              </w:rPr>
            </w:pPr>
          </w:p>
        </w:tc>
        <w:tc>
          <w:tcPr>
            <w:tcW w:w="600" w:type="dxa"/>
            <w:vAlign w:val="bottom"/>
            <w:vMerge w:val="continue"/>
            <w:shd w:val="clear" w:color="auto" w:fill="CCEEFF"/>
          </w:tcPr>
          <w:p>
            <w:pPr>
              <w:spacing w:after="0"/>
              <w:rPr>
                <w:sz w:val="6"/>
                <w:szCs w:val="6"/>
                <w:color w:val="auto"/>
              </w:rPr>
            </w:pPr>
          </w:p>
        </w:tc>
        <w:tc>
          <w:tcPr>
            <w:tcW w:w="220" w:type="dxa"/>
            <w:vAlign w:val="bottom"/>
            <w:gridSpan w:val="2"/>
            <w:vMerge w:val="continue"/>
            <w:shd w:val="clear" w:color="auto" w:fill="CCEEFF"/>
          </w:tcPr>
          <w:p>
            <w:pPr>
              <w:spacing w:after="0"/>
              <w:rPr>
                <w:sz w:val="6"/>
                <w:szCs w:val="6"/>
                <w:color w:val="auto"/>
              </w:rPr>
            </w:pPr>
          </w:p>
        </w:tc>
        <w:tc>
          <w:tcPr>
            <w:tcW w:w="760" w:type="dxa"/>
            <w:vAlign w:val="bottom"/>
            <w:gridSpan w:val="2"/>
            <w:vMerge w:val="continue"/>
            <w:shd w:val="clear" w:color="auto" w:fill="CCEEFF"/>
          </w:tcPr>
          <w:p>
            <w:pPr>
              <w:spacing w:after="0"/>
              <w:rPr>
                <w:sz w:val="6"/>
                <w:szCs w:val="6"/>
                <w:color w:val="auto"/>
              </w:rPr>
            </w:pPr>
          </w:p>
        </w:tc>
        <w:tc>
          <w:tcPr>
            <w:tcW w:w="100" w:type="dxa"/>
            <w:vAlign w:val="bottom"/>
            <w:vMerge w:val="continue"/>
            <w:shd w:val="clear" w:color="auto" w:fill="CCEEFF"/>
          </w:tcPr>
          <w:p>
            <w:pPr>
              <w:spacing w:after="0"/>
              <w:rPr>
                <w:sz w:val="6"/>
                <w:szCs w:val="6"/>
                <w:color w:val="auto"/>
              </w:rPr>
            </w:pPr>
          </w:p>
        </w:tc>
        <w:tc>
          <w:tcPr>
            <w:tcW w:w="600" w:type="dxa"/>
            <w:vAlign w:val="bottom"/>
            <w:vMerge w:val="continue"/>
            <w:shd w:val="clear" w:color="auto" w:fill="CCEEFF"/>
          </w:tcPr>
          <w:p>
            <w:pPr>
              <w:spacing w:after="0"/>
              <w:rPr>
                <w:sz w:val="6"/>
                <w:szCs w:val="6"/>
                <w:color w:val="auto"/>
              </w:rPr>
            </w:pPr>
          </w:p>
        </w:tc>
        <w:tc>
          <w:tcPr>
            <w:tcW w:w="220" w:type="dxa"/>
            <w:vAlign w:val="bottom"/>
            <w:gridSpan w:val="2"/>
            <w:vMerge w:val="continue"/>
            <w:shd w:val="clear" w:color="auto" w:fill="CCEEFF"/>
          </w:tcPr>
          <w:p>
            <w:pPr>
              <w:spacing w:after="0"/>
              <w:rPr>
                <w:sz w:val="6"/>
                <w:szCs w:val="6"/>
                <w:color w:val="auto"/>
              </w:rPr>
            </w:pPr>
          </w:p>
        </w:tc>
        <w:tc>
          <w:tcPr>
            <w:tcW w:w="540" w:type="dxa"/>
            <w:vAlign w:val="bottom"/>
            <w:vMerge w:val="continue"/>
            <w:shd w:val="clear" w:color="auto" w:fill="CCEEFF"/>
          </w:tcPr>
          <w:p>
            <w:pPr>
              <w:spacing w:after="0"/>
              <w:rPr>
                <w:sz w:val="6"/>
                <w:szCs w:val="6"/>
                <w:color w:val="auto"/>
              </w:rPr>
            </w:pPr>
          </w:p>
        </w:tc>
        <w:tc>
          <w:tcPr>
            <w:tcW w:w="320" w:type="dxa"/>
            <w:vAlign w:val="bottom"/>
            <w:gridSpan w:val="3"/>
            <w:vMerge w:val="continue"/>
            <w:shd w:val="clear" w:color="auto" w:fill="CCEEFF"/>
          </w:tcPr>
          <w:p>
            <w:pPr>
              <w:spacing w:after="0"/>
              <w:rPr>
                <w:sz w:val="6"/>
                <w:szCs w:val="6"/>
                <w:color w:val="auto"/>
              </w:rPr>
            </w:pPr>
          </w:p>
        </w:tc>
        <w:tc>
          <w:tcPr>
            <w:tcW w:w="6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1260" w:type="dxa"/>
            <w:vAlign w:val="bottom"/>
            <w:tcBorders>
              <w:top w:val="single" w:sz="8" w:color="CCEEFF"/>
              <w:bottom w:val="single" w:sz="8" w:color="CCEEFF"/>
            </w:tcBorders>
            <w:vMerge w:val="restart"/>
          </w:tcPr>
          <w:p>
            <w:pPr>
              <w:ind w:left="20"/>
              <w:spacing w:after="0" w:line="148" w:lineRule="exact"/>
              <w:rPr>
                <w:sz w:val="20"/>
                <w:szCs w:val="20"/>
                <w:color w:val="auto"/>
              </w:rPr>
            </w:pPr>
            <w:r>
              <w:rPr>
                <w:rFonts w:ascii="Arial" w:cs="Arial" w:eastAsia="Arial" w:hAnsi="Arial"/>
                <w:sz w:val="13"/>
                <w:szCs w:val="13"/>
                <w:color w:val="auto"/>
              </w:rPr>
              <w:t>Ratings</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8"/>
        </w:trPr>
        <w:tc>
          <w:tcPr>
            <w:tcW w:w="126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vMerge w:val="restart"/>
          </w:tcPr>
          <w:p>
            <w:pPr>
              <w:jc w:val="right"/>
              <w:spacing w:after="0"/>
              <w:rPr>
                <w:sz w:val="20"/>
                <w:szCs w:val="20"/>
                <w:color w:val="auto"/>
              </w:rPr>
            </w:pPr>
            <w:r>
              <w:rPr>
                <w:rFonts w:ascii="Arial" w:cs="Arial" w:eastAsia="Arial" w:hAnsi="Arial"/>
                <w:sz w:val="13"/>
                <w:szCs w:val="13"/>
                <w:color w:val="auto"/>
              </w:rPr>
              <w:t>65.0%</w:t>
            </w: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vMerge w:val="restart"/>
          </w:tcPr>
          <w:p>
            <w:pPr>
              <w:jc w:val="right"/>
              <w:spacing w:after="0"/>
              <w:rPr>
                <w:sz w:val="20"/>
                <w:szCs w:val="20"/>
                <w:color w:val="auto"/>
              </w:rPr>
            </w:pPr>
            <w:r>
              <w:rPr>
                <w:rFonts w:ascii="Arial" w:cs="Arial" w:eastAsia="Arial" w:hAnsi="Arial"/>
                <w:sz w:val="13"/>
                <w:szCs w:val="13"/>
                <w:color w:val="auto"/>
              </w:rPr>
              <w:t>25.2%</w:t>
            </w: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vMerge w:val="restart"/>
          </w:tcPr>
          <w:p>
            <w:pPr>
              <w:jc w:val="right"/>
              <w:spacing w:after="0"/>
              <w:rPr>
                <w:sz w:val="20"/>
                <w:szCs w:val="20"/>
                <w:color w:val="auto"/>
              </w:rPr>
            </w:pPr>
            <w:r>
              <w:rPr>
                <w:rFonts w:ascii="Arial" w:cs="Arial" w:eastAsia="Arial" w:hAnsi="Arial"/>
                <w:sz w:val="13"/>
                <w:szCs w:val="13"/>
                <w:color w:val="auto"/>
              </w:rPr>
              <w:t>9.7%</w:t>
            </w:r>
          </w:p>
        </w:tc>
        <w:tc>
          <w:tcPr>
            <w:tcW w:w="1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vMerge w:val="restart"/>
          </w:tcPr>
          <w:p>
            <w:pPr>
              <w:jc w:val="right"/>
              <w:spacing w:after="0"/>
              <w:rPr>
                <w:sz w:val="20"/>
                <w:szCs w:val="20"/>
                <w:color w:val="auto"/>
              </w:rPr>
            </w:pPr>
            <w:r>
              <w:rPr>
                <w:rFonts w:ascii="Arial" w:cs="Arial" w:eastAsia="Arial" w:hAnsi="Arial"/>
                <w:sz w:val="13"/>
                <w:szCs w:val="13"/>
                <w:color w:val="auto"/>
              </w:rPr>
              <w:t>0.1%</w:t>
            </w: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vMerge w:val="restart"/>
          </w:tcPr>
          <w:p>
            <w:pPr>
              <w:jc w:val="right"/>
              <w:spacing w:after="0"/>
              <w:rPr>
                <w:sz w:val="20"/>
                <w:szCs w:val="20"/>
                <w:color w:val="auto"/>
              </w:rPr>
            </w:pPr>
            <w:r>
              <w:rPr>
                <w:rFonts w:ascii="Arial" w:cs="Arial" w:eastAsia="Arial" w:hAnsi="Arial"/>
                <w:sz w:val="13"/>
                <w:szCs w:val="13"/>
                <w:color w:val="auto"/>
              </w:rPr>
              <w:t>100.0%</w:t>
            </w:r>
          </w:p>
        </w:tc>
        <w:tc>
          <w:tcPr>
            <w:tcW w:w="0" w:type="dxa"/>
            <w:vAlign w:val="bottom"/>
          </w:tcPr>
          <w:p>
            <w:pPr>
              <w:spacing w:after="0"/>
              <w:rPr>
                <w:sz w:val="1"/>
                <w:szCs w:val="1"/>
                <w:color w:val="auto"/>
              </w:rPr>
            </w:pPr>
          </w:p>
        </w:tc>
      </w:tr>
      <w:tr>
        <w:trPr>
          <w:trHeight w:val="162"/>
        </w:trPr>
        <w:tc>
          <w:tcPr>
            <w:tcW w:w="1260" w:type="dxa"/>
            <w:vAlign w:val="bottom"/>
          </w:tcPr>
          <w:p>
            <w:pPr>
              <w:ind w:left="200"/>
              <w:spacing w:after="0"/>
              <w:rPr>
                <w:sz w:val="20"/>
                <w:szCs w:val="20"/>
                <w:color w:val="auto"/>
              </w:rPr>
            </w:pPr>
            <w:r>
              <w:rPr>
                <w:rFonts w:ascii="Arial" w:cs="Arial" w:eastAsia="Arial" w:hAnsi="Arial"/>
                <w:sz w:val="13"/>
                <w:szCs w:val="13"/>
                <w:color w:val="auto"/>
              </w:rPr>
              <w:t>Distribution</w:t>
            </w: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vMerge w:val="continue"/>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vMerge w:val="continue"/>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2"/>
        </w:trPr>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gridSpan w:val="3"/>
          </w:tcPr>
          <w:p>
            <w:pPr>
              <w:ind w:left="220"/>
              <w:spacing w:after="0"/>
              <w:rPr>
                <w:sz w:val="20"/>
                <w:szCs w:val="20"/>
                <w:color w:val="auto"/>
              </w:rPr>
            </w:pPr>
            <w:r>
              <w:rPr>
                <w:rFonts w:ascii="Arial" w:cs="Arial" w:eastAsia="Arial" w:hAnsi="Arial"/>
                <w:sz w:val="11"/>
                <w:szCs w:val="11"/>
                <w:b w:val="1"/>
                <w:bCs w:val="1"/>
                <w:color w:val="auto"/>
                <w:w w:val="96"/>
              </w:rPr>
              <w:t>December 31, 2016</w:t>
            </w: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
        </w:trPr>
        <w:tc>
          <w:tcPr>
            <w:tcW w:w="1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gridSpan w:val="3"/>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28"/>
        </w:trPr>
        <w:tc>
          <w:tcPr>
            <w:tcW w:w="1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gridSpan w:val="3"/>
          </w:tcPr>
          <w:p>
            <w:pPr>
              <w:jc w:val="center"/>
              <w:ind w:left="440"/>
              <w:spacing w:after="0"/>
              <w:rPr>
                <w:sz w:val="20"/>
                <w:szCs w:val="20"/>
                <w:color w:val="auto"/>
              </w:rPr>
            </w:pPr>
            <w:r>
              <w:rPr>
                <w:rFonts w:ascii="Arial" w:cs="Arial" w:eastAsia="Arial" w:hAnsi="Arial"/>
                <w:sz w:val="11"/>
                <w:szCs w:val="11"/>
                <w:b w:val="1"/>
                <w:bCs w:val="1"/>
                <w:color w:val="auto"/>
                <w:w w:val="86"/>
              </w:rPr>
              <w:t>Below</w:t>
            </w: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1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60" w:type="dxa"/>
            <w:vAlign w:val="bottom"/>
            <w:gridSpan w:val="4"/>
          </w:tcPr>
          <w:p>
            <w:pPr>
              <w:jc w:val="center"/>
              <w:ind w:right="39"/>
              <w:spacing w:after="0" w:line="122" w:lineRule="exact"/>
              <w:rPr>
                <w:sz w:val="20"/>
                <w:szCs w:val="20"/>
                <w:color w:val="auto"/>
              </w:rPr>
            </w:pPr>
            <w:r>
              <w:rPr>
                <w:rFonts w:ascii="Arial" w:cs="Arial" w:eastAsia="Arial" w:hAnsi="Arial"/>
                <w:sz w:val="11"/>
                <w:szCs w:val="11"/>
                <w:b w:val="1"/>
                <w:bCs w:val="1"/>
                <w:color w:val="auto"/>
                <w:w w:val="89"/>
              </w:rPr>
              <w:t>Investment</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0"/>
        </w:trPr>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gridSpan w:val="3"/>
          </w:tcPr>
          <w:p>
            <w:pPr>
              <w:jc w:val="right"/>
              <w:ind w:right="80"/>
              <w:spacing w:after="0"/>
              <w:rPr>
                <w:sz w:val="20"/>
                <w:szCs w:val="20"/>
                <w:color w:val="auto"/>
              </w:rPr>
            </w:pPr>
            <w:r>
              <w:rPr>
                <w:rFonts w:ascii="Arial" w:cs="Arial" w:eastAsia="Arial" w:hAnsi="Arial"/>
                <w:sz w:val="11"/>
                <w:szCs w:val="11"/>
                <w:b w:val="1"/>
                <w:bCs w:val="1"/>
                <w:color w:val="auto"/>
                <w:w w:val="98"/>
              </w:rPr>
              <w:t>Aaa</w:t>
            </w: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gridSpan w:val="3"/>
          </w:tcPr>
          <w:p>
            <w:pPr>
              <w:jc w:val="right"/>
              <w:ind w:right="120"/>
              <w:spacing w:after="0"/>
              <w:rPr>
                <w:sz w:val="20"/>
                <w:szCs w:val="20"/>
                <w:color w:val="auto"/>
              </w:rPr>
            </w:pPr>
            <w:r>
              <w:rPr>
                <w:rFonts w:ascii="Arial" w:cs="Arial" w:eastAsia="Arial" w:hAnsi="Arial"/>
                <w:sz w:val="11"/>
                <w:szCs w:val="11"/>
                <w:b w:val="1"/>
                <w:bCs w:val="1"/>
                <w:color w:val="auto"/>
                <w:w w:val="99"/>
              </w:rPr>
              <w:t>Aa</w:t>
            </w: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gridSpan w:val="3"/>
          </w:tcPr>
          <w:p>
            <w:pPr>
              <w:jc w:val="right"/>
              <w:ind w:right="140"/>
              <w:spacing w:after="0"/>
              <w:rPr>
                <w:sz w:val="20"/>
                <w:szCs w:val="20"/>
                <w:color w:val="auto"/>
              </w:rPr>
            </w:pPr>
            <w:r>
              <w:rPr>
                <w:rFonts w:ascii="Arial" w:cs="Arial" w:eastAsia="Arial" w:hAnsi="Arial"/>
                <w:sz w:val="11"/>
                <w:szCs w:val="11"/>
                <w:b w:val="1"/>
                <w:bCs w:val="1"/>
                <w:color w:val="auto"/>
              </w:rPr>
              <w:t>A</w:t>
            </w: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80" w:type="dxa"/>
            <w:vAlign w:val="bottom"/>
            <w:gridSpan w:val="3"/>
          </w:tcPr>
          <w:p>
            <w:pPr>
              <w:jc w:val="right"/>
              <w:ind w:right="80"/>
              <w:spacing w:after="0"/>
              <w:rPr>
                <w:sz w:val="20"/>
                <w:szCs w:val="20"/>
                <w:color w:val="auto"/>
              </w:rPr>
            </w:pPr>
            <w:r>
              <w:rPr>
                <w:rFonts w:ascii="Arial" w:cs="Arial" w:eastAsia="Arial" w:hAnsi="Arial"/>
                <w:sz w:val="11"/>
                <w:szCs w:val="11"/>
                <w:b w:val="1"/>
                <w:bCs w:val="1"/>
                <w:color w:val="auto"/>
                <w:w w:val="88"/>
              </w:rPr>
              <w:t>Baa</w:t>
            </w: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3"/>
          </w:tcPr>
          <w:p>
            <w:pPr>
              <w:jc w:val="center"/>
              <w:ind w:left="440"/>
              <w:spacing w:after="0"/>
              <w:rPr>
                <w:sz w:val="20"/>
                <w:szCs w:val="20"/>
                <w:color w:val="auto"/>
              </w:rPr>
            </w:pPr>
            <w:r>
              <w:rPr>
                <w:rFonts w:ascii="Arial" w:cs="Arial" w:eastAsia="Arial" w:hAnsi="Arial"/>
                <w:sz w:val="11"/>
                <w:szCs w:val="11"/>
                <w:b w:val="1"/>
                <w:bCs w:val="1"/>
                <w:color w:val="auto"/>
                <w:w w:val="87"/>
              </w:rPr>
              <w:t>Grade</w:t>
            </w: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20" w:type="dxa"/>
            <w:vAlign w:val="bottom"/>
            <w:gridSpan w:val="3"/>
          </w:tcPr>
          <w:p>
            <w:pPr>
              <w:jc w:val="right"/>
              <w:ind w:right="60"/>
              <w:spacing w:after="0"/>
              <w:rPr>
                <w:sz w:val="20"/>
                <w:szCs w:val="20"/>
                <w:color w:val="auto"/>
              </w:rPr>
            </w:pPr>
            <w:r>
              <w:rPr>
                <w:rFonts w:ascii="Arial" w:cs="Arial" w:eastAsia="Arial" w:hAnsi="Arial"/>
                <w:sz w:val="11"/>
                <w:szCs w:val="11"/>
                <w:b w:val="1"/>
                <w:bCs w:val="1"/>
                <w:color w:val="auto"/>
                <w:w w:val="91"/>
              </w:rPr>
              <w:t>Total</w:t>
            </w: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
        </w:trPr>
        <w:tc>
          <w:tcPr>
            <w:tcW w:w="1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28"/>
        </w:trPr>
        <w:tc>
          <w:tcPr>
            <w:tcW w:w="1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center"/>
              <w:ind w:right="39"/>
              <w:spacing w:after="0"/>
              <w:rPr>
                <w:sz w:val="20"/>
                <w:szCs w:val="20"/>
                <w:color w:val="auto"/>
              </w:rPr>
            </w:pPr>
            <w:r>
              <w:rPr>
                <w:rFonts w:ascii="Arial" w:cs="Arial" w:eastAsia="Arial" w:hAnsi="Arial"/>
                <w:sz w:val="11"/>
                <w:szCs w:val="11"/>
                <w:b w:val="1"/>
                <w:bCs w:val="1"/>
                <w:color w:val="auto"/>
                <w:w w:val="87"/>
              </w:rPr>
              <w:t>Estimated</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center"/>
              <w:ind w:right="59"/>
              <w:spacing w:after="0"/>
              <w:rPr>
                <w:sz w:val="20"/>
                <w:szCs w:val="20"/>
                <w:color w:val="auto"/>
              </w:rPr>
            </w:pPr>
            <w:r>
              <w:rPr>
                <w:rFonts w:ascii="Arial" w:cs="Arial" w:eastAsia="Arial" w:hAnsi="Arial"/>
                <w:sz w:val="11"/>
                <w:szCs w:val="11"/>
                <w:b w:val="1"/>
                <w:bCs w:val="1"/>
                <w:color w:val="auto"/>
                <w:w w:val="91"/>
              </w:rPr>
              <w:t>Estimated</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jc w:val="center"/>
              <w:ind w:right="40"/>
              <w:spacing w:after="0"/>
              <w:rPr>
                <w:sz w:val="20"/>
                <w:szCs w:val="20"/>
                <w:color w:val="auto"/>
              </w:rPr>
            </w:pPr>
            <w:r>
              <w:rPr>
                <w:rFonts w:ascii="Arial" w:cs="Arial" w:eastAsia="Arial" w:hAnsi="Arial"/>
                <w:sz w:val="11"/>
                <w:szCs w:val="11"/>
                <w:b w:val="1"/>
                <w:bCs w:val="1"/>
                <w:color w:val="auto"/>
                <w:w w:val="91"/>
              </w:rPr>
              <w:t>Estimated</w:t>
            </w: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center"/>
              <w:ind w:right="39"/>
              <w:spacing w:after="0"/>
              <w:rPr>
                <w:sz w:val="20"/>
                <w:szCs w:val="20"/>
                <w:color w:val="auto"/>
              </w:rPr>
            </w:pPr>
            <w:r>
              <w:rPr>
                <w:rFonts w:ascii="Arial" w:cs="Arial" w:eastAsia="Arial" w:hAnsi="Arial"/>
                <w:sz w:val="11"/>
                <w:szCs w:val="11"/>
                <w:b w:val="1"/>
                <w:bCs w:val="1"/>
                <w:color w:val="auto"/>
                <w:w w:val="87"/>
              </w:rPr>
              <w:t>Estimated</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center"/>
              <w:ind w:right="39"/>
              <w:spacing w:after="0"/>
              <w:rPr>
                <w:sz w:val="20"/>
                <w:szCs w:val="20"/>
                <w:color w:val="auto"/>
              </w:rPr>
            </w:pPr>
            <w:r>
              <w:rPr>
                <w:rFonts w:ascii="Arial" w:cs="Arial" w:eastAsia="Arial" w:hAnsi="Arial"/>
                <w:sz w:val="11"/>
                <w:szCs w:val="11"/>
                <w:b w:val="1"/>
                <w:bCs w:val="1"/>
                <w:color w:val="auto"/>
                <w:w w:val="87"/>
              </w:rPr>
              <w:t>Estimated</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center"/>
              <w:ind w:right="59"/>
              <w:spacing w:after="0"/>
              <w:rPr>
                <w:sz w:val="20"/>
                <w:szCs w:val="20"/>
                <w:color w:val="auto"/>
              </w:rPr>
            </w:pPr>
            <w:r>
              <w:rPr>
                <w:rFonts w:ascii="Arial" w:cs="Arial" w:eastAsia="Arial" w:hAnsi="Arial"/>
                <w:sz w:val="11"/>
                <w:szCs w:val="11"/>
                <w:b w:val="1"/>
                <w:bCs w:val="1"/>
                <w:color w:val="auto"/>
                <w:w w:val="91"/>
              </w:rPr>
              <w:t>Estimated</w:t>
            </w:r>
          </w:p>
        </w:tc>
        <w:tc>
          <w:tcPr>
            <w:tcW w:w="0" w:type="dxa"/>
            <w:vAlign w:val="bottom"/>
          </w:tcPr>
          <w:p>
            <w:pPr>
              <w:spacing w:after="0"/>
              <w:rPr>
                <w:sz w:val="1"/>
                <w:szCs w:val="1"/>
                <w:color w:val="auto"/>
              </w:rPr>
            </w:pPr>
          </w:p>
        </w:tc>
      </w:tr>
      <w:tr>
        <w:trPr>
          <w:trHeight w:val="122"/>
        </w:trPr>
        <w:tc>
          <w:tcPr>
            <w:tcW w:w="1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92"/>
              </w:rPr>
              <w:t>Amortized</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jc w:val="center"/>
              <w:ind w:right="59"/>
              <w:spacing w:after="0" w:line="122" w:lineRule="exact"/>
              <w:rPr>
                <w:sz w:val="20"/>
                <w:szCs w:val="20"/>
                <w:color w:val="auto"/>
              </w:rPr>
            </w:pPr>
            <w:r>
              <w:rPr>
                <w:rFonts w:ascii="Arial" w:cs="Arial" w:eastAsia="Arial" w:hAnsi="Arial"/>
                <w:sz w:val="11"/>
                <w:szCs w:val="11"/>
                <w:b w:val="1"/>
                <w:bCs w:val="1"/>
                <w:color w:val="auto"/>
                <w:w w:val="98"/>
              </w:rPr>
              <w:t>Fair</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92"/>
              </w:rPr>
              <w:t>Amortized</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jc w:val="center"/>
              <w:ind w:right="59"/>
              <w:spacing w:after="0" w:line="122" w:lineRule="exact"/>
              <w:rPr>
                <w:sz w:val="20"/>
                <w:szCs w:val="20"/>
                <w:color w:val="auto"/>
              </w:rPr>
            </w:pPr>
            <w:r>
              <w:rPr>
                <w:rFonts w:ascii="Arial" w:cs="Arial" w:eastAsia="Arial" w:hAnsi="Arial"/>
                <w:sz w:val="11"/>
                <w:szCs w:val="11"/>
                <w:b w:val="1"/>
                <w:bCs w:val="1"/>
                <w:color w:val="auto"/>
                <w:w w:val="98"/>
              </w:rPr>
              <w:t>Fair</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89"/>
              </w:rPr>
              <w:t>Amortized</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jc w:val="center"/>
              <w:ind w:right="40"/>
              <w:spacing w:after="0" w:line="122" w:lineRule="exact"/>
              <w:rPr>
                <w:sz w:val="20"/>
                <w:szCs w:val="20"/>
                <w:color w:val="auto"/>
              </w:rPr>
            </w:pPr>
            <w:r>
              <w:rPr>
                <w:rFonts w:ascii="Arial" w:cs="Arial" w:eastAsia="Arial" w:hAnsi="Arial"/>
                <w:sz w:val="11"/>
                <w:szCs w:val="11"/>
                <w:b w:val="1"/>
                <w:bCs w:val="1"/>
                <w:color w:val="auto"/>
                <w:w w:val="98"/>
              </w:rPr>
              <w:t>Fair</w:t>
            </w:r>
          </w:p>
        </w:tc>
        <w:tc>
          <w:tcPr>
            <w:tcW w:w="120" w:type="dxa"/>
            <w:vAlign w:val="bottom"/>
          </w:tcPr>
          <w:p>
            <w:pPr>
              <w:spacing w:after="0"/>
              <w:rPr>
                <w:sz w:val="10"/>
                <w:szCs w:val="10"/>
                <w:color w:val="auto"/>
              </w:rPr>
            </w:pPr>
          </w:p>
        </w:tc>
        <w:tc>
          <w:tcPr>
            <w:tcW w:w="680" w:type="dxa"/>
            <w:vAlign w:val="bottom"/>
            <w:gridSpan w:val="2"/>
          </w:tcPr>
          <w:p>
            <w:pPr>
              <w:jc w:val="center"/>
              <w:ind w:left="6"/>
              <w:spacing w:after="0" w:line="122" w:lineRule="exact"/>
              <w:rPr>
                <w:sz w:val="20"/>
                <w:szCs w:val="20"/>
                <w:color w:val="auto"/>
              </w:rPr>
            </w:pPr>
            <w:r>
              <w:rPr>
                <w:rFonts w:ascii="Arial" w:cs="Arial" w:eastAsia="Arial" w:hAnsi="Arial"/>
                <w:sz w:val="11"/>
                <w:szCs w:val="11"/>
                <w:b w:val="1"/>
                <w:bCs w:val="1"/>
                <w:color w:val="auto"/>
                <w:w w:val="92"/>
              </w:rPr>
              <w:t>Amortized</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jc w:val="center"/>
              <w:ind w:right="19"/>
              <w:spacing w:after="0" w:line="122" w:lineRule="exact"/>
              <w:rPr>
                <w:sz w:val="20"/>
                <w:szCs w:val="20"/>
                <w:color w:val="auto"/>
              </w:rPr>
            </w:pPr>
            <w:r>
              <w:rPr>
                <w:rFonts w:ascii="Arial" w:cs="Arial" w:eastAsia="Arial" w:hAnsi="Arial"/>
                <w:sz w:val="11"/>
                <w:szCs w:val="11"/>
                <w:b w:val="1"/>
                <w:bCs w:val="1"/>
                <w:color w:val="auto"/>
                <w:w w:val="98"/>
              </w:rPr>
              <w:t>Fair</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gridSpan w:val="2"/>
          </w:tcPr>
          <w:p>
            <w:pPr>
              <w:jc w:val="center"/>
              <w:ind w:right="220"/>
              <w:spacing w:after="0" w:line="122" w:lineRule="exact"/>
              <w:rPr>
                <w:sz w:val="20"/>
                <w:szCs w:val="20"/>
                <w:color w:val="auto"/>
              </w:rPr>
            </w:pPr>
            <w:r>
              <w:rPr>
                <w:rFonts w:ascii="Arial" w:cs="Arial" w:eastAsia="Arial" w:hAnsi="Arial"/>
                <w:sz w:val="11"/>
                <w:szCs w:val="11"/>
                <w:b w:val="1"/>
                <w:bCs w:val="1"/>
                <w:color w:val="auto"/>
                <w:w w:val="92"/>
              </w:rPr>
              <w:t>Amortized</w:t>
            </w:r>
          </w:p>
        </w:tc>
        <w:tc>
          <w:tcPr>
            <w:tcW w:w="100" w:type="dxa"/>
            <w:vAlign w:val="bottom"/>
          </w:tcPr>
          <w:p>
            <w:pPr>
              <w:spacing w:after="0"/>
              <w:rPr>
                <w:sz w:val="10"/>
                <w:szCs w:val="10"/>
                <w:color w:val="auto"/>
              </w:rPr>
            </w:pPr>
          </w:p>
        </w:tc>
        <w:tc>
          <w:tcPr>
            <w:tcW w:w="600" w:type="dxa"/>
            <w:vAlign w:val="bottom"/>
          </w:tcPr>
          <w:p>
            <w:pPr>
              <w:jc w:val="center"/>
              <w:ind w:right="59"/>
              <w:spacing w:after="0" w:line="122" w:lineRule="exact"/>
              <w:rPr>
                <w:sz w:val="20"/>
                <w:szCs w:val="20"/>
                <w:color w:val="auto"/>
              </w:rPr>
            </w:pPr>
            <w:r>
              <w:rPr>
                <w:rFonts w:ascii="Arial" w:cs="Arial" w:eastAsia="Arial" w:hAnsi="Arial"/>
                <w:sz w:val="11"/>
                <w:szCs w:val="11"/>
                <w:b w:val="1"/>
                <w:bCs w:val="1"/>
                <w:color w:val="auto"/>
                <w:w w:val="98"/>
              </w:rPr>
              <w:t>Fair</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89"/>
              </w:rPr>
              <w:t>Amortized</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jc w:val="center"/>
              <w:ind w:right="59"/>
              <w:spacing w:after="0" w:line="122" w:lineRule="exact"/>
              <w:rPr>
                <w:sz w:val="20"/>
                <w:szCs w:val="20"/>
                <w:color w:val="auto"/>
              </w:rPr>
            </w:pPr>
            <w:r>
              <w:rPr>
                <w:rFonts w:ascii="Arial" w:cs="Arial" w:eastAsia="Arial" w:hAnsi="Arial"/>
                <w:sz w:val="11"/>
                <w:szCs w:val="11"/>
                <w:b w:val="1"/>
                <w:bCs w:val="1"/>
                <w:color w:val="auto"/>
                <w:w w:val="98"/>
              </w:rPr>
              <w:t>Fair</w:t>
            </w:r>
          </w:p>
        </w:tc>
        <w:tc>
          <w:tcPr>
            <w:tcW w:w="0" w:type="dxa"/>
            <w:vAlign w:val="bottom"/>
          </w:tcPr>
          <w:p>
            <w:pPr>
              <w:spacing w:after="0"/>
              <w:rPr>
                <w:sz w:val="1"/>
                <w:szCs w:val="1"/>
                <w:color w:val="auto"/>
              </w:rPr>
            </w:pPr>
          </w:p>
        </w:tc>
      </w:tr>
      <w:tr>
        <w:trPr>
          <w:trHeight w:val="140"/>
        </w:trPr>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center"/>
              <w:spacing w:after="0"/>
              <w:rPr>
                <w:sz w:val="20"/>
                <w:szCs w:val="20"/>
                <w:color w:val="auto"/>
              </w:rPr>
            </w:pPr>
            <w:r>
              <w:rPr>
                <w:rFonts w:ascii="Arial" w:cs="Arial" w:eastAsia="Arial" w:hAnsi="Arial"/>
                <w:sz w:val="11"/>
                <w:szCs w:val="11"/>
                <w:b w:val="1"/>
                <w:bCs w:val="1"/>
                <w:color w:val="auto"/>
                <w:w w:val="89"/>
              </w:rPr>
              <w:t>Cost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center"/>
              <w:ind w:right="39"/>
              <w:spacing w:after="0"/>
              <w:rPr>
                <w:sz w:val="20"/>
                <w:szCs w:val="20"/>
                <w:color w:val="auto"/>
              </w:rPr>
            </w:pPr>
            <w:r>
              <w:rPr>
                <w:rFonts w:ascii="Arial" w:cs="Arial" w:eastAsia="Arial" w:hAnsi="Arial"/>
                <w:sz w:val="11"/>
                <w:szCs w:val="11"/>
                <w:b w:val="1"/>
                <w:bCs w:val="1"/>
                <w:color w:val="auto"/>
                <w:w w:val="88"/>
              </w:rPr>
              <w:t>Value</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jc w:val="center"/>
              <w:spacing w:after="0"/>
              <w:rPr>
                <w:sz w:val="20"/>
                <w:szCs w:val="20"/>
                <w:color w:val="auto"/>
              </w:rPr>
            </w:pPr>
            <w:r>
              <w:rPr>
                <w:rFonts w:ascii="Arial" w:cs="Arial" w:eastAsia="Arial" w:hAnsi="Arial"/>
                <w:sz w:val="11"/>
                <w:szCs w:val="11"/>
                <w:b w:val="1"/>
                <w:bCs w:val="1"/>
                <w:color w:val="auto"/>
                <w:w w:val="81"/>
              </w:rPr>
              <w:t>Cost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center"/>
              <w:ind w:right="39"/>
              <w:spacing w:after="0"/>
              <w:rPr>
                <w:sz w:val="20"/>
                <w:szCs w:val="20"/>
                <w:color w:val="auto"/>
              </w:rPr>
            </w:pPr>
            <w:r>
              <w:rPr>
                <w:rFonts w:ascii="Arial" w:cs="Arial" w:eastAsia="Arial" w:hAnsi="Arial"/>
                <w:sz w:val="11"/>
                <w:szCs w:val="11"/>
                <w:b w:val="1"/>
                <w:bCs w:val="1"/>
                <w:color w:val="auto"/>
                <w:w w:val="88"/>
              </w:rPr>
              <w:t>Value</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center"/>
              <w:spacing w:after="0"/>
              <w:rPr>
                <w:sz w:val="20"/>
                <w:szCs w:val="20"/>
                <w:color w:val="auto"/>
              </w:rPr>
            </w:pPr>
            <w:r>
              <w:rPr>
                <w:rFonts w:ascii="Arial" w:cs="Arial" w:eastAsia="Arial" w:hAnsi="Arial"/>
                <w:sz w:val="11"/>
                <w:szCs w:val="11"/>
                <w:b w:val="1"/>
                <w:bCs w:val="1"/>
                <w:color w:val="auto"/>
                <w:w w:val="81"/>
              </w:rPr>
              <w:t>Cost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center"/>
              <w:ind w:right="60"/>
              <w:spacing w:after="0"/>
              <w:rPr>
                <w:sz w:val="20"/>
                <w:szCs w:val="20"/>
                <w:color w:val="auto"/>
              </w:rPr>
            </w:pPr>
            <w:r>
              <w:rPr>
                <w:rFonts w:ascii="Arial" w:cs="Arial" w:eastAsia="Arial" w:hAnsi="Arial"/>
                <w:sz w:val="11"/>
                <w:szCs w:val="11"/>
                <w:b w:val="1"/>
                <w:bCs w:val="1"/>
                <w:color w:val="auto"/>
                <w:w w:val="88"/>
              </w:rPr>
              <w:t>Value</w:t>
            </w:r>
          </w:p>
        </w:tc>
        <w:tc>
          <w:tcPr>
            <w:tcW w:w="120" w:type="dxa"/>
            <w:vAlign w:val="bottom"/>
          </w:tcPr>
          <w:p>
            <w:pPr>
              <w:spacing w:after="0"/>
              <w:rPr>
                <w:sz w:val="12"/>
                <w:szCs w:val="12"/>
                <w:color w:val="auto"/>
              </w:rPr>
            </w:pPr>
          </w:p>
        </w:tc>
        <w:tc>
          <w:tcPr>
            <w:tcW w:w="500" w:type="dxa"/>
            <w:vAlign w:val="bottom"/>
          </w:tcPr>
          <w:p>
            <w:pPr>
              <w:jc w:val="center"/>
              <w:ind w:left="186"/>
              <w:spacing w:after="0"/>
              <w:rPr>
                <w:sz w:val="20"/>
                <w:szCs w:val="20"/>
                <w:color w:val="auto"/>
              </w:rPr>
            </w:pPr>
            <w:r>
              <w:rPr>
                <w:rFonts w:ascii="Arial" w:cs="Arial" w:eastAsia="Arial" w:hAnsi="Arial"/>
                <w:sz w:val="11"/>
                <w:szCs w:val="11"/>
                <w:b w:val="1"/>
                <w:bCs w:val="1"/>
                <w:color w:val="auto"/>
                <w:w w:val="89"/>
              </w:rPr>
              <w:t>Cost</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center"/>
              <w:ind w:right="39"/>
              <w:spacing w:after="0"/>
              <w:rPr>
                <w:sz w:val="20"/>
                <w:szCs w:val="20"/>
                <w:color w:val="auto"/>
              </w:rPr>
            </w:pPr>
            <w:r>
              <w:rPr>
                <w:rFonts w:ascii="Arial" w:cs="Arial" w:eastAsia="Arial" w:hAnsi="Arial"/>
                <w:sz w:val="11"/>
                <w:szCs w:val="11"/>
                <w:b w:val="1"/>
                <w:bCs w:val="1"/>
                <w:color w:val="auto"/>
                <w:w w:val="88"/>
              </w:rPr>
              <w:t>Value</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89"/>
              </w:rPr>
              <w:t>Cost</w:t>
            </w:r>
          </w:p>
        </w:tc>
        <w:tc>
          <w:tcPr>
            <w:tcW w:w="100" w:type="dxa"/>
            <w:vAlign w:val="bottom"/>
          </w:tcPr>
          <w:p>
            <w:pPr>
              <w:spacing w:after="0"/>
              <w:rPr>
                <w:sz w:val="12"/>
                <w:szCs w:val="12"/>
                <w:color w:val="auto"/>
              </w:rPr>
            </w:pPr>
          </w:p>
        </w:tc>
        <w:tc>
          <w:tcPr>
            <w:tcW w:w="600" w:type="dxa"/>
            <w:vAlign w:val="bottom"/>
          </w:tcPr>
          <w:p>
            <w:pPr>
              <w:jc w:val="center"/>
              <w:ind w:right="39"/>
              <w:spacing w:after="0"/>
              <w:rPr>
                <w:sz w:val="20"/>
                <w:szCs w:val="20"/>
                <w:color w:val="auto"/>
              </w:rPr>
            </w:pPr>
            <w:r>
              <w:rPr>
                <w:rFonts w:ascii="Arial" w:cs="Arial" w:eastAsia="Arial" w:hAnsi="Arial"/>
                <w:sz w:val="11"/>
                <w:szCs w:val="11"/>
                <w:b w:val="1"/>
                <w:bCs w:val="1"/>
                <w:color w:val="auto"/>
                <w:w w:val="88"/>
              </w:rPr>
              <w:t>Value</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jc w:val="center"/>
              <w:spacing w:after="0"/>
              <w:rPr>
                <w:sz w:val="20"/>
                <w:szCs w:val="20"/>
                <w:color w:val="auto"/>
              </w:rPr>
            </w:pPr>
            <w:r>
              <w:rPr>
                <w:rFonts w:ascii="Arial" w:cs="Arial" w:eastAsia="Arial" w:hAnsi="Arial"/>
                <w:sz w:val="11"/>
                <w:szCs w:val="11"/>
                <w:b w:val="1"/>
                <w:bCs w:val="1"/>
                <w:color w:val="auto"/>
                <w:w w:val="81"/>
              </w:rPr>
              <w:t>Cost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center"/>
              <w:ind w:right="39"/>
              <w:spacing w:after="0"/>
              <w:rPr>
                <w:sz w:val="20"/>
                <w:szCs w:val="20"/>
                <w:color w:val="auto"/>
              </w:rPr>
            </w:pPr>
            <w:r>
              <w:rPr>
                <w:rFonts w:ascii="Arial" w:cs="Arial" w:eastAsia="Arial" w:hAnsi="Arial"/>
                <w:sz w:val="11"/>
                <w:szCs w:val="11"/>
                <w:b w:val="1"/>
                <w:bCs w:val="1"/>
                <w:color w:val="auto"/>
                <w:w w:val="88"/>
              </w:rPr>
              <w:t>Value</w:t>
            </w:r>
          </w:p>
        </w:tc>
        <w:tc>
          <w:tcPr>
            <w:tcW w:w="0" w:type="dxa"/>
            <w:vAlign w:val="bottom"/>
          </w:tcPr>
          <w:p>
            <w:pPr>
              <w:spacing w:after="0"/>
              <w:rPr>
                <w:sz w:val="1"/>
                <w:szCs w:val="1"/>
                <w:color w:val="auto"/>
              </w:rPr>
            </w:pPr>
          </w:p>
        </w:tc>
      </w:tr>
      <w:tr>
        <w:trPr>
          <w:trHeight w:val="22"/>
        </w:trPr>
        <w:tc>
          <w:tcPr>
            <w:tcW w:w="1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gridSpan w:val="3"/>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7"/>
        </w:trPr>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gridSpan w:val="3"/>
          </w:tcPr>
          <w:p>
            <w:pPr>
              <w:ind w:left="180"/>
              <w:spacing w:after="0"/>
              <w:rPr>
                <w:sz w:val="20"/>
                <w:szCs w:val="20"/>
                <w:color w:val="auto"/>
              </w:rPr>
            </w:pPr>
            <w:r>
              <w:rPr>
                <w:rFonts w:ascii="Arial" w:cs="Arial" w:eastAsia="Arial" w:hAnsi="Arial"/>
                <w:sz w:val="11"/>
                <w:szCs w:val="11"/>
                <w:b w:val="1"/>
                <w:bCs w:val="1"/>
                <w:color w:val="auto"/>
                <w:w w:val="97"/>
              </w:rPr>
              <w:t>(Dollars in millions)</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
        </w:trPr>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1260" w:type="dxa"/>
            <w:vAlign w:val="bottom"/>
            <w:shd w:val="clear" w:color="auto" w:fill="CCEEFF"/>
          </w:tcPr>
          <w:p>
            <w:pPr>
              <w:ind w:left="20"/>
              <w:spacing w:after="0"/>
              <w:rPr>
                <w:sz w:val="20"/>
                <w:szCs w:val="20"/>
                <w:color w:val="auto"/>
              </w:rPr>
            </w:pPr>
            <w:r>
              <w:rPr>
                <w:rFonts w:ascii="Arial" w:cs="Arial" w:eastAsia="Arial" w:hAnsi="Arial"/>
                <w:sz w:val="13"/>
                <w:szCs w:val="13"/>
                <w:color w:val="auto"/>
              </w:rPr>
              <w:t>2003—2010</w:t>
            </w:r>
          </w:p>
        </w:tc>
        <w:tc>
          <w:tcPr>
            <w:tcW w:w="100" w:type="dxa"/>
            <w:vAlign w:val="bottom"/>
            <w:shd w:val="clear" w:color="auto" w:fill="CCEEFF"/>
          </w:tcPr>
          <w:p>
            <w:pPr>
              <w:spacing w:after="0"/>
              <w:rPr>
                <w:sz w:val="15"/>
                <w:szCs w:val="15"/>
                <w:color w:val="auto"/>
              </w:rPr>
            </w:pP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93</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0" w:type="dxa"/>
            <w:vAlign w:val="bottom"/>
            <w:vMerge w:val="restart"/>
            <w:shd w:val="clear" w:color="auto" w:fill="CCEEFF"/>
          </w:tcPr>
          <w:p>
            <w:pPr>
              <w:jc w:val="right"/>
              <w:ind w:right="79"/>
              <w:spacing w:after="0"/>
              <w:rPr>
                <w:sz w:val="20"/>
                <w:szCs w:val="20"/>
                <w:color w:val="auto"/>
              </w:rPr>
            </w:pPr>
            <w:r>
              <w:rPr>
                <w:rFonts w:ascii="Arial" w:cs="Arial" w:eastAsia="Arial" w:hAnsi="Arial"/>
                <w:sz w:val="13"/>
                <w:szCs w:val="13"/>
                <w:color w:val="auto"/>
              </w:rPr>
              <w:t>95</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15</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0" w:type="dxa"/>
            <w:vAlign w:val="bottom"/>
            <w:vMerge w:val="restart"/>
            <w:shd w:val="clear" w:color="auto" w:fill="CCEEFF"/>
          </w:tcPr>
          <w:p>
            <w:pPr>
              <w:jc w:val="right"/>
              <w:ind w:right="79"/>
              <w:spacing w:after="0"/>
              <w:rPr>
                <w:sz w:val="20"/>
                <w:szCs w:val="20"/>
                <w:color w:val="auto"/>
              </w:rPr>
            </w:pPr>
            <w:r>
              <w:rPr>
                <w:rFonts w:ascii="Arial" w:cs="Arial" w:eastAsia="Arial" w:hAnsi="Arial"/>
                <w:sz w:val="13"/>
                <w:szCs w:val="13"/>
                <w:color w:val="auto"/>
              </w:rPr>
              <w:t>15</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80" w:type="dxa"/>
            <w:vAlign w:val="bottom"/>
            <w:vMerge w:val="restart"/>
            <w:shd w:val="clear" w:color="auto" w:fill="CCEEFF"/>
          </w:tcPr>
          <w:p>
            <w:pPr>
              <w:jc w:val="right"/>
              <w:ind w:right="80"/>
              <w:spacing w:after="0"/>
              <w:rPr>
                <w:sz w:val="20"/>
                <w:szCs w:val="20"/>
                <w:color w:val="auto"/>
              </w:rPr>
            </w:pPr>
            <w:r>
              <w:rPr>
                <w:rFonts w:ascii="Arial" w:cs="Arial" w:eastAsia="Arial" w:hAnsi="Arial"/>
                <w:sz w:val="13"/>
                <w:szCs w:val="13"/>
                <w:color w:val="auto"/>
              </w:rPr>
              <w:t>1</w:t>
            </w:r>
          </w:p>
        </w:tc>
        <w:tc>
          <w:tcPr>
            <w:tcW w:w="1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0" w:type="dxa"/>
            <w:vAlign w:val="bottom"/>
            <w:vMerge w:val="restart"/>
            <w:shd w:val="clear" w:color="auto" w:fill="CCEEFF"/>
          </w:tcPr>
          <w:p>
            <w:pPr>
              <w:jc w:val="right"/>
              <w:ind w:right="79"/>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vMerge w:val="restart"/>
            <w:shd w:val="clear" w:color="auto" w:fill="CCEEFF"/>
          </w:tcPr>
          <w:p>
            <w:pPr>
              <w:jc w:val="right"/>
              <w:ind w:right="60"/>
              <w:spacing w:after="0"/>
              <w:rPr>
                <w:sz w:val="20"/>
                <w:szCs w:val="20"/>
                <w:color w:val="auto"/>
              </w:rPr>
            </w:pPr>
            <w:r>
              <w:rPr>
                <w:rFonts w:ascii="Arial" w:cs="Arial" w:eastAsia="Arial" w:hAnsi="Arial"/>
                <w:sz w:val="13"/>
                <w:szCs w:val="13"/>
                <w:color w:val="auto"/>
              </w:rPr>
              <w:t>3</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0" w:type="dxa"/>
            <w:vAlign w:val="bottom"/>
            <w:vMerge w:val="restart"/>
            <w:shd w:val="clear" w:color="auto" w:fill="CCEEFF"/>
          </w:tcPr>
          <w:p>
            <w:pPr>
              <w:jc w:val="right"/>
              <w:ind w:right="79"/>
              <w:spacing w:after="0"/>
              <w:rPr>
                <w:sz w:val="20"/>
                <w:szCs w:val="20"/>
                <w:color w:val="auto"/>
              </w:rPr>
            </w:pPr>
            <w:r>
              <w:rPr>
                <w:rFonts w:ascii="Arial" w:cs="Arial" w:eastAsia="Arial" w:hAnsi="Arial"/>
                <w:sz w:val="13"/>
                <w:szCs w:val="13"/>
                <w:color w:val="auto"/>
              </w:rPr>
              <w:t>3</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111</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0" w:type="dxa"/>
            <w:vAlign w:val="bottom"/>
            <w:vMerge w:val="restart"/>
            <w:shd w:val="clear" w:color="auto" w:fill="CCEEFF"/>
          </w:tcPr>
          <w:p>
            <w:pPr>
              <w:jc w:val="right"/>
              <w:ind w:right="79"/>
              <w:spacing w:after="0"/>
              <w:rPr>
                <w:sz w:val="20"/>
                <w:szCs w:val="20"/>
                <w:color w:val="auto"/>
              </w:rPr>
            </w:pPr>
            <w:r>
              <w:rPr>
                <w:rFonts w:ascii="Arial" w:cs="Arial" w:eastAsia="Arial" w:hAnsi="Arial"/>
                <w:sz w:val="13"/>
                <w:szCs w:val="13"/>
                <w:color w:val="auto"/>
              </w:rPr>
              <w:t>114</w:t>
            </w:r>
          </w:p>
        </w:tc>
        <w:tc>
          <w:tcPr>
            <w:tcW w:w="0" w:type="dxa"/>
            <w:vAlign w:val="bottom"/>
          </w:tcPr>
          <w:p>
            <w:pPr>
              <w:spacing w:after="0"/>
              <w:rPr>
                <w:sz w:val="1"/>
                <w:szCs w:val="1"/>
                <w:color w:val="auto"/>
              </w:rPr>
            </w:pPr>
          </w:p>
        </w:tc>
      </w:tr>
      <w:tr>
        <w:trPr>
          <w:trHeight w:val="97"/>
        </w:trPr>
        <w:tc>
          <w:tcPr>
            <w:tcW w:w="12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60" w:type="dxa"/>
            <w:vAlign w:val="bottom"/>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00" w:type="dxa"/>
            <w:vAlign w:val="bottom"/>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580" w:type="dxa"/>
            <w:vAlign w:val="bottom"/>
            <w:vMerge w:val="continue"/>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00" w:type="dxa"/>
            <w:vAlign w:val="bottom"/>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00" w:type="dxa"/>
            <w:vAlign w:val="bottom"/>
            <w:vMerge w:val="continue"/>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80" w:type="dxa"/>
            <w:vAlign w:val="bottom"/>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180" w:type="dxa"/>
            <w:vAlign w:val="bottom"/>
            <w:vMerge w:val="continue"/>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00" w:type="dxa"/>
            <w:vAlign w:val="bottom"/>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60" w:type="dxa"/>
            <w:vAlign w:val="bottom"/>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00" w:type="dxa"/>
            <w:vAlign w:val="bottom"/>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540" w:type="dxa"/>
            <w:vAlign w:val="bottom"/>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00" w:type="dxa"/>
            <w:vAlign w:val="bottom"/>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73"/>
        </w:trPr>
        <w:tc>
          <w:tcPr>
            <w:tcW w:w="1260" w:type="dxa"/>
            <w:vAlign w:val="bottom"/>
          </w:tcPr>
          <w:p>
            <w:pPr>
              <w:ind w:left="20"/>
              <w:spacing w:after="0"/>
              <w:rPr>
                <w:sz w:val="20"/>
                <w:szCs w:val="20"/>
                <w:color w:val="auto"/>
              </w:rPr>
            </w:pPr>
            <w:r>
              <w:rPr>
                <w:rFonts w:ascii="Arial" w:cs="Arial" w:eastAsia="Arial" w:hAnsi="Arial"/>
                <w:sz w:val="13"/>
                <w:szCs w:val="13"/>
                <w:color w:val="auto"/>
              </w:rPr>
              <w:t>2011</w:t>
            </w:r>
          </w:p>
        </w:tc>
        <w:tc>
          <w:tcPr>
            <w:tcW w:w="100" w:type="dxa"/>
            <w:vAlign w:val="bottom"/>
          </w:tcPr>
          <w:p>
            <w:pPr>
              <w:spacing w:after="0"/>
              <w:rPr>
                <w:sz w:val="15"/>
                <w:szCs w:val="15"/>
                <w:color w:val="auto"/>
              </w:rPr>
            </w:pPr>
          </w:p>
        </w:tc>
        <w:tc>
          <w:tcPr>
            <w:tcW w:w="560" w:type="dxa"/>
            <w:vAlign w:val="bottom"/>
            <w:vMerge w:val="restart"/>
          </w:tcPr>
          <w:p>
            <w:pPr>
              <w:jc w:val="right"/>
              <w:spacing w:after="0"/>
              <w:rPr>
                <w:sz w:val="20"/>
                <w:szCs w:val="20"/>
                <w:color w:val="auto"/>
              </w:rPr>
            </w:pPr>
            <w:r>
              <w:rPr>
                <w:rFonts w:ascii="Arial" w:cs="Arial" w:eastAsia="Arial" w:hAnsi="Arial"/>
                <w:sz w:val="13"/>
                <w:szCs w:val="13"/>
                <w:color w:val="auto"/>
              </w:rPr>
              <w:t>273</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vMerge w:val="restart"/>
          </w:tcPr>
          <w:p>
            <w:pPr>
              <w:jc w:val="right"/>
              <w:ind w:right="79"/>
              <w:spacing w:after="0"/>
              <w:rPr>
                <w:sz w:val="20"/>
                <w:szCs w:val="20"/>
                <w:color w:val="auto"/>
              </w:rPr>
            </w:pPr>
            <w:r>
              <w:rPr>
                <w:rFonts w:ascii="Arial" w:cs="Arial" w:eastAsia="Arial" w:hAnsi="Arial"/>
                <w:sz w:val="13"/>
                <w:szCs w:val="13"/>
                <w:color w:val="auto"/>
              </w:rPr>
              <w:t>279</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vMerge w:val="restart"/>
          </w:tcPr>
          <w:p>
            <w:pPr>
              <w:jc w:val="right"/>
              <w:spacing w:after="0"/>
              <w:rPr>
                <w:sz w:val="20"/>
                <w:szCs w:val="20"/>
                <w:color w:val="auto"/>
              </w:rPr>
            </w:pPr>
            <w:r>
              <w:rPr>
                <w:rFonts w:ascii="Arial" w:cs="Arial" w:eastAsia="Arial" w:hAnsi="Arial"/>
                <w:sz w:val="13"/>
                <w:szCs w:val="13"/>
                <w:color w:val="auto"/>
              </w:rPr>
              <w:t>12</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vMerge w:val="restart"/>
          </w:tcPr>
          <w:p>
            <w:pPr>
              <w:jc w:val="right"/>
              <w:ind w:right="79"/>
              <w:spacing w:after="0"/>
              <w:rPr>
                <w:sz w:val="20"/>
                <w:szCs w:val="20"/>
                <w:color w:val="auto"/>
              </w:rPr>
            </w:pPr>
            <w:r>
              <w:rPr>
                <w:rFonts w:ascii="Arial" w:cs="Arial" w:eastAsia="Arial" w:hAnsi="Arial"/>
                <w:sz w:val="13"/>
                <w:szCs w:val="13"/>
                <w:color w:val="auto"/>
              </w:rPr>
              <w:t>12</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vMerge w:val="restart"/>
          </w:tcPr>
          <w:p>
            <w:pPr>
              <w:jc w:val="right"/>
              <w:spacing w:after="0"/>
              <w:rPr>
                <w:sz w:val="20"/>
                <w:szCs w:val="20"/>
                <w:color w:val="auto"/>
              </w:rPr>
            </w:pPr>
            <w:r>
              <w:rPr>
                <w:rFonts w:ascii="Arial" w:cs="Arial" w:eastAsia="Arial" w:hAnsi="Arial"/>
                <w:sz w:val="13"/>
                <w:szCs w:val="13"/>
                <w:color w:val="auto"/>
              </w:rPr>
              <w:t>32</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vMerge w:val="restart"/>
          </w:tcPr>
          <w:p>
            <w:pPr>
              <w:jc w:val="right"/>
              <w:ind w:right="80"/>
              <w:spacing w:after="0"/>
              <w:rPr>
                <w:sz w:val="20"/>
                <w:szCs w:val="20"/>
                <w:color w:val="auto"/>
              </w:rPr>
            </w:pPr>
            <w:r>
              <w:rPr>
                <w:rFonts w:ascii="Arial" w:cs="Arial" w:eastAsia="Arial" w:hAnsi="Arial"/>
                <w:sz w:val="13"/>
                <w:szCs w:val="13"/>
                <w:color w:val="auto"/>
              </w:rPr>
              <w:t>32</w:t>
            </w:r>
          </w:p>
        </w:tc>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8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vMerge w:val="restart"/>
          </w:tcPr>
          <w:p>
            <w:pPr>
              <w:jc w:val="right"/>
              <w:ind w:right="79"/>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gridSpan w:val="2"/>
            <w:vMerge w:val="restart"/>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600" w:type="dxa"/>
            <w:vAlign w:val="bottom"/>
            <w:vMerge w:val="restart"/>
          </w:tcPr>
          <w:p>
            <w:pPr>
              <w:jc w:val="right"/>
              <w:ind w:right="79"/>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vMerge w:val="restart"/>
          </w:tcPr>
          <w:p>
            <w:pPr>
              <w:jc w:val="right"/>
              <w:spacing w:after="0"/>
              <w:rPr>
                <w:sz w:val="20"/>
                <w:szCs w:val="20"/>
                <w:color w:val="auto"/>
              </w:rPr>
            </w:pPr>
            <w:r>
              <w:rPr>
                <w:rFonts w:ascii="Arial" w:cs="Arial" w:eastAsia="Arial" w:hAnsi="Arial"/>
                <w:sz w:val="13"/>
                <w:szCs w:val="13"/>
                <w:color w:val="auto"/>
              </w:rPr>
              <w:t>317</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vMerge w:val="restart"/>
          </w:tcPr>
          <w:p>
            <w:pPr>
              <w:jc w:val="right"/>
              <w:ind w:right="79"/>
              <w:spacing w:after="0"/>
              <w:rPr>
                <w:sz w:val="20"/>
                <w:szCs w:val="20"/>
                <w:color w:val="auto"/>
              </w:rPr>
            </w:pPr>
            <w:r>
              <w:rPr>
                <w:rFonts w:ascii="Arial" w:cs="Arial" w:eastAsia="Arial" w:hAnsi="Arial"/>
                <w:sz w:val="13"/>
                <w:szCs w:val="13"/>
                <w:color w:val="auto"/>
              </w:rPr>
              <w:t>323</w:t>
            </w:r>
          </w:p>
        </w:tc>
        <w:tc>
          <w:tcPr>
            <w:tcW w:w="0" w:type="dxa"/>
            <w:vAlign w:val="bottom"/>
          </w:tcPr>
          <w:p>
            <w:pPr>
              <w:spacing w:after="0"/>
              <w:rPr>
                <w:sz w:val="1"/>
                <w:szCs w:val="1"/>
                <w:color w:val="auto"/>
              </w:rPr>
            </w:pPr>
          </w:p>
        </w:tc>
      </w:tr>
      <w:tr>
        <w:trPr>
          <w:trHeight w:val="89"/>
        </w:trPr>
        <w:tc>
          <w:tcPr>
            <w:tcW w:w="1260" w:type="dxa"/>
            <w:vAlign w:val="bottom"/>
          </w:tcPr>
          <w:p>
            <w:pPr>
              <w:spacing w:after="0"/>
              <w:rPr>
                <w:sz w:val="7"/>
                <w:szCs w:val="7"/>
                <w:color w:val="auto"/>
              </w:rPr>
            </w:pPr>
          </w:p>
        </w:tc>
        <w:tc>
          <w:tcPr>
            <w:tcW w:w="100" w:type="dxa"/>
            <w:vAlign w:val="bottom"/>
          </w:tcPr>
          <w:p>
            <w:pPr>
              <w:spacing w:after="0"/>
              <w:rPr>
                <w:sz w:val="7"/>
                <w:szCs w:val="7"/>
                <w:color w:val="auto"/>
              </w:rPr>
            </w:pPr>
          </w:p>
        </w:tc>
        <w:tc>
          <w:tcPr>
            <w:tcW w:w="56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58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500" w:type="dxa"/>
            <w:vAlign w:val="bottom"/>
          </w:tcPr>
          <w:p>
            <w:pPr>
              <w:spacing w:after="0"/>
              <w:rPr>
                <w:sz w:val="7"/>
                <w:szCs w:val="7"/>
                <w:color w:val="auto"/>
              </w:rPr>
            </w:pPr>
          </w:p>
        </w:tc>
        <w:tc>
          <w:tcPr>
            <w:tcW w:w="18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76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54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81"/>
        </w:trPr>
        <w:tc>
          <w:tcPr>
            <w:tcW w:w="1260" w:type="dxa"/>
            <w:vAlign w:val="bottom"/>
            <w:shd w:val="clear" w:color="auto" w:fill="CCEEFF"/>
          </w:tcPr>
          <w:p>
            <w:pPr>
              <w:ind w:left="20"/>
              <w:spacing w:after="0"/>
              <w:rPr>
                <w:sz w:val="20"/>
                <w:szCs w:val="20"/>
                <w:color w:val="auto"/>
              </w:rPr>
            </w:pPr>
            <w:r>
              <w:rPr>
                <w:rFonts w:ascii="Arial" w:cs="Arial" w:eastAsia="Arial" w:hAnsi="Arial"/>
                <w:sz w:val="13"/>
                <w:szCs w:val="13"/>
                <w:color w:val="auto"/>
              </w:rPr>
              <w:t>2012</w:t>
            </w:r>
          </w:p>
        </w:tc>
        <w:tc>
          <w:tcPr>
            <w:tcW w:w="100" w:type="dxa"/>
            <w:vAlign w:val="bottom"/>
            <w:shd w:val="clear" w:color="auto" w:fill="CCEEFF"/>
          </w:tcPr>
          <w:p>
            <w:pPr>
              <w:spacing w:after="0"/>
              <w:rPr>
                <w:sz w:val="15"/>
                <w:szCs w:val="15"/>
                <w:color w:val="auto"/>
              </w:rPr>
            </w:pP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111</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0" w:type="dxa"/>
            <w:vAlign w:val="bottom"/>
            <w:vMerge w:val="restart"/>
            <w:shd w:val="clear" w:color="auto" w:fill="CCEEFF"/>
          </w:tcPr>
          <w:p>
            <w:pPr>
              <w:jc w:val="right"/>
              <w:ind w:right="79"/>
              <w:spacing w:after="0"/>
              <w:rPr>
                <w:sz w:val="20"/>
                <w:szCs w:val="20"/>
                <w:color w:val="auto"/>
              </w:rPr>
            </w:pPr>
            <w:r>
              <w:rPr>
                <w:rFonts w:ascii="Arial" w:cs="Arial" w:eastAsia="Arial" w:hAnsi="Arial"/>
                <w:sz w:val="13"/>
                <w:szCs w:val="13"/>
                <w:color w:val="auto"/>
              </w:rPr>
              <w:t>114</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121</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0" w:type="dxa"/>
            <w:vAlign w:val="bottom"/>
            <w:vMerge w:val="restart"/>
            <w:shd w:val="clear" w:color="auto" w:fill="CCEEFF"/>
          </w:tcPr>
          <w:p>
            <w:pPr>
              <w:jc w:val="right"/>
              <w:ind w:right="79"/>
              <w:spacing w:after="0"/>
              <w:rPr>
                <w:sz w:val="20"/>
                <w:szCs w:val="20"/>
                <w:color w:val="auto"/>
              </w:rPr>
            </w:pPr>
            <w:r>
              <w:rPr>
                <w:rFonts w:ascii="Arial" w:cs="Arial" w:eastAsia="Arial" w:hAnsi="Arial"/>
                <w:sz w:val="13"/>
                <w:szCs w:val="13"/>
                <w:color w:val="auto"/>
              </w:rPr>
              <w:t>123</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102</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80" w:type="dxa"/>
            <w:vAlign w:val="bottom"/>
            <w:vMerge w:val="restart"/>
            <w:shd w:val="clear" w:color="auto" w:fill="CCEEFF"/>
          </w:tcPr>
          <w:p>
            <w:pPr>
              <w:jc w:val="right"/>
              <w:ind w:right="80"/>
              <w:spacing w:after="0"/>
              <w:rPr>
                <w:sz w:val="20"/>
                <w:szCs w:val="20"/>
                <w:color w:val="auto"/>
              </w:rPr>
            </w:pPr>
            <w:r>
              <w:rPr>
                <w:rFonts w:ascii="Arial" w:cs="Arial" w:eastAsia="Arial" w:hAnsi="Arial"/>
                <w:sz w:val="13"/>
                <w:szCs w:val="13"/>
                <w:color w:val="auto"/>
              </w:rPr>
              <w:t>104</w:t>
            </w:r>
          </w:p>
        </w:tc>
        <w:tc>
          <w:tcPr>
            <w:tcW w:w="1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2</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0" w:type="dxa"/>
            <w:vAlign w:val="bottom"/>
            <w:vMerge w:val="restart"/>
            <w:shd w:val="clear" w:color="auto" w:fill="CCEEFF"/>
          </w:tcPr>
          <w:p>
            <w:pPr>
              <w:jc w:val="right"/>
              <w:ind w:right="79"/>
              <w:spacing w:after="0"/>
              <w:rPr>
                <w:sz w:val="20"/>
                <w:szCs w:val="20"/>
                <w:color w:val="auto"/>
              </w:rPr>
            </w:pPr>
            <w:r>
              <w:rPr>
                <w:rFonts w:ascii="Arial" w:cs="Arial" w:eastAsia="Arial" w:hAnsi="Arial"/>
                <w:sz w:val="13"/>
                <w:szCs w:val="13"/>
                <w:color w:val="auto"/>
              </w:rPr>
              <w:t>2</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600" w:type="dxa"/>
            <w:vAlign w:val="bottom"/>
            <w:vMerge w:val="restart"/>
            <w:shd w:val="clear" w:color="auto" w:fill="CCEEFF"/>
          </w:tcPr>
          <w:p>
            <w:pPr>
              <w:jc w:val="right"/>
              <w:ind w:right="79"/>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336</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0" w:type="dxa"/>
            <w:vAlign w:val="bottom"/>
            <w:vMerge w:val="restart"/>
            <w:shd w:val="clear" w:color="auto" w:fill="CCEEFF"/>
          </w:tcPr>
          <w:p>
            <w:pPr>
              <w:jc w:val="right"/>
              <w:ind w:right="79"/>
              <w:spacing w:after="0"/>
              <w:rPr>
                <w:sz w:val="20"/>
                <w:szCs w:val="20"/>
                <w:color w:val="auto"/>
              </w:rPr>
            </w:pPr>
            <w:r>
              <w:rPr>
                <w:rFonts w:ascii="Arial" w:cs="Arial" w:eastAsia="Arial" w:hAnsi="Arial"/>
                <w:sz w:val="13"/>
                <w:szCs w:val="13"/>
                <w:color w:val="auto"/>
              </w:rPr>
              <w:t>343</w:t>
            </w:r>
          </w:p>
        </w:tc>
        <w:tc>
          <w:tcPr>
            <w:tcW w:w="0" w:type="dxa"/>
            <w:vAlign w:val="bottom"/>
          </w:tcPr>
          <w:p>
            <w:pPr>
              <w:spacing w:after="0"/>
              <w:rPr>
                <w:sz w:val="1"/>
                <w:szCs w:val="1"/>
                <w:color w:val="auto"/>
              </w:rPr>
            </w:pPr>
          </w:p>
        </w:tc>
      </w:tr>
      <w:tr>
        <w:trPr>
          <w:trHeight w:val="97"/>
        </w:trPr>
        <w:tc>
          <w:tcPr>
            <w:tcW w:w="12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60" w:type="dxa"/>
            <w:vAlign w:val="bottom"/>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00" w:type="dxa"/>
            <w:vAlign w:val="bottom"/>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580" w:type="dxa"/>
            <w:vAlign w:val="bottom"/>
            <w:vMerge w:val="continue"/>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00" w:type="dxa"/>
            <w:vAlign w:val="bottom"/>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00" w:type="dxa"/>
            <w:vAlign w:val="bottom"/>
            <w:vMerge w:val="continue"/>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80" w:type="dxa"/>
            <w:vAlign w:val="bottom"/>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180" w:type="dxa"/>
            <w:vAlign w:val="bottom"/>
            <w:vMerge w:val="continue"/>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00" w:type="dxa"/>
            <w:vAlign w:val="bottom"/>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760" w:type="dxa"/>
            <w:vAlign w:val="bottom"/>
            <w:gridSpan w:val="2"/>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00" w:type="dxa"/>
            <w:vAlign w:val="bottom"/>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540" w:type="dxa"/>
            <w:vAlign w:val="bottom"/>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00" w:type="dxa"/>
            <w:vAlign w:val="bottom"/>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73"/>
        </w:trPr>
        <w:tc>
          <w:tcPr>
            <w:tcW w:w="1260" w:type="dxa"/>
            <w:vAlign w:val="bottom"/>
          </w:tcPr>
          <w:p>
            <w:pPr>
              <w:ind w:left="20"/>
              <w:spacing w:after="0"/>
              <w:rPr>
                <w:sz w:val="20"/>
                <w:szCs w:val="20"/>
                <w:color w:val="auto"/>
              </w:rPr>
            </w:pPr>
            <w:r>
              <w:rPr>
                <w:rFonts w:ascii="Arial" w:cs="Arial" w:eastAsia="Arial" w:hAnsi="Arial"/>
                <w:sz w:val="13"/>
                <w:szCs w:val="13"/>
                <w:color w:val="auto"/>
              </w:rPr>
              <w:t>2013</w:t>
            </w:r>
          </w:p>
        </w:tc>
        <w:tc>
          <w:tcPr>
            <w:tcW w:w="100" w:type="dxa"/>
            <w:vAlign w:val="bottom"/>
          </w:tcPr>
          <w:p>
            <w:pPr>
              <w:spacing w:after="0"/>
              <w:rPr>
                <w:sz w:val="15"/>
                <w:szCs w:val="15"/>
                <w:color w:val="auto"/>
              </w:rPr>
            </w:pPr>
          </w:p>
        </w:tc>
        <w:tc>
          <w:tcPr>
            <w:tcW w:w="560" w:type="dxa"/>
            <w:vAlign w:val="bottom"/>
            <w:vMerge w:val="restart"/>
          </w:tcPr>
          <w:p>
            <w:pPr>
              <w:jc w:val="right"/>
              <w:spacing w:after="0"/>
              <w:rPr>
                <w:sz w:val="20"/>
                <w:szCs w:val="20"/>
                <w:color w:val="auto"/>
              </w:rPr>
            </w:pPr>
            <w:r>
              <w:rPr>
                <w:rFonts w:ascii="Arial" w:cs="Arial" w:eastAsia="Arial" w:hAnsi="Arial"/>
                <w:sz w:val="13"/>
                <w:szCs w:val="13"/>
                <w:color w:val="auto"/>
              </w:rPr>
              <w:t>156</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vMerge w:val="restart"/>
          </w:tcPr>
          <w:p>
            <w:pPr>
              <w:jc w:val="right"/>
              <w:ind w:right="79"/>
              <w:spacing w:after="0"/>
              <w:rPr>
                <w:sz w:val="20"/>
                <w:szCs w:val="20"/>
                <w:color w:val="auto"/>
              </w:rPr>
            </w:pPr>
            <w:r>
              <w:rPr>
                <w:rFonts w:ascii="Arial" w:cs="Arial" w:eastAsia="Arial" w:hAnsi="Arial"/>
                <w:sz w:val="13"/>
                <w:szCs w:val="13"/>
                <w:color w:val="auto"/>
              </w:rPr>
              <w:t>160</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vMerge w:val="restart"/>
          </w:tcPr>
          <w:p>
            <w:pPr>
              <w:jc w:val="right"/>
              <w:spacing w:after="0"/>
              <w:rPr>
                <w:sz w:val="20"/>
                <w:szCs w:val="20"/>
                <w:color w:val="auto"/>
              </w:rPr>
            </w:pPr>
            <w:r>
              <w:rPr>
                <w:rFonts w:ascii="Arial" w:cs="Arial" w:eastAsia="Arial" w:hAnsi="Arial"/>
                <w:sz w:val="13"/>
                <w:szCs w:val="13"/>
                <w:color w:val="auto"/>
              </w:rPr>
              <w:t>147</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vMerge w:val="restart"/>
          </w:tcPr>
          <w:p>
            <w:pPr>
              <w:jc w:val="right"/>
              <w:ind w:right="79"/>
              <w:spacing w:after="0"/>
              <w:rPr>
                <w:sz w:val="20"/>
                <w:szCs w:val="20"/>
                <w:color w:val="auto"/>
              </w:rPr>
            </w:pPr>
            <w:r>
              <w:rPr>
                <w:rFonts w:ascii="Arial" w:cs="Arial" w:eastAsia="Arial" w:hAnsi="Arial"/>
                <w:sz w:val="13"/>
                <w:szCs w:val="13"/>
                <w:color w:val="auto"/>
              </w:rPr>
              <w:t>149</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vMerge w:val="restart"/>
          </w:tcPr>
          <w:p>
            <w:pPr>
              <w:jc w:val="right"/>
              <w:spacing w:after="0"/>
              <w:rPr>
                <w:sz w:val="20"/>
                <w:szCs w:val="20"/>
                <w:color w:val="auto"/>
              </w:rPr>
            </w:pPr>
            <w:r>
              <w:rPr>
                <w:rFonts w:ascii="Arial" w:cs="Arial" w:eastAsia="Arial" w:hAnsi="Arial"/>
                <w:sz w:val="13"/>
                <w:szCs w:val="13"/>
                <w:color w:val="auto"/>
              </w:rPr>
              <w:t>71</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vMerge w:val="restart"/>
          </w:tcPr>
          <w:p>
            <w:pPr>
              <w:jc w:val="right"/>
              <w:ind w:right="80"/>
              <w:spacing w:after="0"/>
              <w:rPr>
                <w:sz w:val="20"/>
                <w:szCs w:val="20"/>
                <w:color w:val="auto"/>
              </w:rPr>
            </w:pPr>
            <w:r>
              <w:rPr>
                <w:rFonts w:ascii="Arial" w:cs="Arial" w:eastAsia="Arial" w:hAnsi="Arial"/>
                <w:sz w:val="13"/>
                <w:szCs w:val="13"/>
                <w:color w:val="auto"/>
              </w:rPr>
              <w:t>70</w:t>
            </w:r>
          </w:p>
        </w:tc>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8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vMerge w:val="restart"/>
          </w:tcPr>
          <w:p>
            <w:pPr>
              <w:jc w:val="right"/>
              <w:ind w:right="79"/>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gridSpan w:val="2"/>
            <w:vMerge w:val="restart"/>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600" w:type="dxa"/>
            <w:vAlign w:val="bottom"/>
            <w:vMerge w:val="restart"/>
          </w:tcPr>
          <w:p>
            <w:pPr>
              <w:jc w:val="right"/>
              <w:ind w:right="79"/>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vMerge w:val="restart"/>
          </w:tcPr>
          <w:p>
            <w:pPr>
              <w:jc w:val="right"/>
              <w:spacing w:after="0"/>
              <w:rPr>
                <w:sz w:val="20"/>
                <w:szCs w:val="20"/>
                <w:color w:val="auto"/>
              </w:rPr>
            </w:pPr>
            <w:r>
              <w:rPr>
                <w:rFonts w:ascii="Arial" w:cs="Arial" w:eastAsia="Arial" w:hAnsi="Arial"/>
                <w:sz w:val="13"/>
                <w:szCs w:val="13"/>
                <w:color w:val="auto"/>
              </w:rPr>
              <w:t>374</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vMerge w:val="restart"/>
          </w:tcPr>
          <w:p>
            <w:pPr>
              <w:jc w:val="right"/>
              <w:ind w:right="79"/>
              <w:spacing w:after="0"/>
              <w:rPr>
                <w:sz w:val="20"/>
                <w:szCs w:val="20"/>
                <w:color w:val="auto"/>
              </w:rPr>
            </w:pPr>
            <w:r>
              <w:rPr>
                <w:rFonts w:ascii="Arial" w:cs="Arial" w:eastAsia="Arial" w:hAnsi="Arial"/>
                <w:sz w:val="13"/>
                <w:szCs w:val="13"/>
                <w:color w:val="auto"/>
              </w:rPr>
              <w:t>379</w:t>
            </w:r>
          </w:p>
        </w:tc>
        <w:tc>
          <w:tcPr>
            <w:tcW w:w="0" w:type="dxa"/>
            <w:vAlign w:val="bottom"/>
          </w:tcPr>
          <w:p>
            <w:pPr>
              <w:spacing w:after="0"/>
              <w:rPr>
                <w:sz w:val="1"/>
                <w:szCs w:val="1"/>
                <w:color w:val="auto"/>
              </w:rPr>
            </w:pPr>
          </w:p>
        </w:tc>
      </w:tr>
      <w:tr>
        <w:trPr>
          <w:trHeight w:val="89"/>
        </w:trPr>
        <w:tc>
          <w:tcPr>
            <w:tcW w:w="1260" w:type="dxa"/>
            <w:vAlign w:val="bottom"/>
          </w:tcPr>
          <w:p>
            <w:pPr>
              <w:spacing w:after="0"/>
              <w:rPr>
                <w:sz w:val="7"/>
                <w:szCs w:val="7"/>
                <w:color w:val="auto"/>
              </w:rPr>
            </w:pPr>
          </w:p>
        </w:tc>
        <w:tc>
          <w:tcPr>
            <w:tcW w:w="100" w:type="dxa"/>
            <w:vAlign w:val="bottom"/>
          </w:tcPr>
          <w:p>
            <w:pPr>
              <w:spacing w:after="0"/>
              <w:rPr>
                <w:sz w:val="7"/>
                <w:szCs w:val="7"/>
                <w:color w:val="auto"/>
              </w:rPr>
            </w:pPr>
          </w:p>
        </w:tc>
        <w:tc>
          <w:tcPr>
            <w:tcW w:w="56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58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500" w:type="dxa"/>
            <w:vAlign w:val="bottom"/>
          </w:tcPr>
          <w:p>
            <w:pPr>
              <w:spacing w:after="0"/>
              <w:rPr>
                <w:sz w:val="7"/>
                <w:szCs w:val="7"/>
                <w:color w:val="auto"/>
              </w:rPr>
            </w:pPr>
          </w:p>
        </w:tc>
        <w:tc>
          <w:tcPr>
            <w:tcW w:w="18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76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54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81"/>
        </w:trPr>
        <w:tc>
          <w:tcPr>
            <w:tcW w:w="1260" w:type="dxa"/>
            <w:vAlign w:val="bottom"/>
            <w:shd w:val="clear" w:color="auto" w:fill="CCEEFF"/>
          </w:tcPr>
          <w:p>
            <w:pPr>
              <w:ind w:left="20"/>
              <w:spacing w:after="0"/>
              <w:rPr>
                <w:sz w:val="20"/>
                <w:szCs w:val="20"/>
                <w:color w:val="auto"/>
              </w:rPr>
            </w:pPr>
            <w:r>
              <w:rPr>
                <w:rFonts w:ascii="Arial" w:cs="Arial" w:eastAsia="Arial" w:hAnsi="Arial"/>
                <w:sz w:val="13"/>
                <w:szCs w:val="13"/>
                <w:color w:val="auto"/>
              </w:rPr>
              <w:t>2014</w:t>
            </w:r>
          </w:p>
        </w:tc>
        <w:tc>
          <w:tcPr>
            <w:tcW w:w="100" w:type="dxa"/>
            <w:vAlign w:val="bottom"/>
            <w:shd w:val="clear" w:color="auto" w:fill="CCEEFF"/>
          </w:tcPr>
          <w:p>
            <w:pPr>
              <w:spacing w:after="0"/>
              <w:rPr>
                <w:sz w:val="15"/>
                <w:szCs w:val="15"/>
                <w:color w:val="auto"/>
              </w:rPr>
            </w:pP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316</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0" w:type="dxa"/>
            <w:vAlign w:val="bottom"/>
            <w:vMerge w:val="restart"/>
            <w:shd w:val="clear" w:color="auto" w:fill="CCEEFF"/>
          </w:tcPr>
          <w:p>
            <w:pPr>
              <w:jc w:val="right"/>
              <w:ind w:right="79"/>
              <w:spacing w:after="0"/>
              <w:rPr>
                <w:sz w:val="20"/>
                <w:szCs w:val="20"/>
                <w:color w:val="auto"/>
              </w:rPr>
            </w:pPr>
            <w:r>
              <w:rPr>
                <w:rFonts w:ascii="Arial" w:cs="Arial" w:eastAsia="Arial" w:hAnsi="Arial"/>
                <w:sz w:val="13"/>
                <w:szCs w:val="13"/>
                <w:color w:val="auto"/>
              </w:rPr>
              <w:t>319</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323</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0" w:type="dxa"/>
            <w:vAlign w:val="bottom"/>
            <w:vMerge w:val="restart"/>
            <w:shd w:val="clear" w:color="auto" w:fill="CCEEFF"/>
          </w:tcPr>
          <w:p>
            <w:pPr>
              <w:jc w:val="right"/>
              <w:ind w:right="79"/>
              <w:spacing w:after="0"/>
              <w:rPr>
                <w:sz w:val="20"/>
                <w:szCs w:val="20"/>
                <w:color w:val="auto"/>
              </w:rPr>
            </w:pPr>
            <w:r>
              <w:rPr>
                <w:rFonts w:ascii="Arial" w:cs="Arial" w:eastAsia="Arial" w:hAnsi="Arial"/>
                <w:sz w:val="13"/>
                <w:szCs w:val="13"/>
                <w:color w:val="auto"/>
              </w:rPr>
              <w:t>327</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54</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80" w:type="dxa"/>
            <w:vAlign w:val="bottom"/>
            <w:vMerge w:val="restart"/>
            <w:shd w:val="clear" w:color="auto" w:fill="CCEEFF"/>
          </w:tcPr>
          <w:p>
            <w:pPr>
              <w:jc w:val="right"/>
              <w:ind w:right="80"/>
              <w:spacing w:after="0"/>
              <w:rPr>
                <w:sz w:val="20"/>
                <w:szCs w:val="20"/>
                <w:color w:val="auto"/>
              </w:rPr>
            </w:pPr>
            <w:r>
              <w:rPr>
                <w:rFonts w:ascii="Arial" w:cs="Arial" w:eastAsia="Arial" w:hAnsi="Arial"/>
                <w:sz w:val="13"/>
                <w:szCs w:val="13"/>
                <w:color w:val="auto"/>
              </w:rPr>
              <w:t>54</w:t>
            </w:r>
          </w:p>
        </w:tc>
        <w:tc>
          <w:tcPr>
            <w:tcW w:w="1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0" w:type="dxa"/>
            <w:vAlign w:val="bottom"/>
            <w:vMerge w:val="restart"/>
            <w:shd w:val="clear" w:color="auto" w:fill="CCEEFF"/>
          </w:tcPr>
          <w:p>
            <w:pPr>
              <w:jc w:val="right"/>
              <w:ind w:right="79"/>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600" w:type="dxa"/>
            <w:vAlign w:val="bottom"/>
            <w:vMerge w:val="restart"/>
            <w:shd w:val="clear" w:color="auto" w:fill="CCEEFF"/>
          </w:tcPr>
          <w:p>
            <w:pPr>
              <w:jc w:val="right"/>
              <w:ind w:right="79"/>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693</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0" w:type="dxa"/>
            <w:vAlign w:val="bottom"/>
            <w:vMerge w:val="restart"/>
            <w:shd w:val="clear" w:color="auto" w:fill="CCEEFF"/>
          </w:tcPr>
          <w:p>
            <w:pPr>
              <w:jc w:val="right"/>
              <w:ind w:right="79"/>
              <w:spacing w:after="0"/>
              <w:rPr>
                <w:sz w:val="20"/>
                <w:szCs w:val="20"/>
                <w:color w:val="auto"/>
              </w:rPr>
            </w:pPr>
            <w:r>
              <w:rPr>
                <w:rFonts w:ascii="Arial" w:cs="Arial" w:eastAsia="Arial" w:hAnsi="Arial"/>
                <w:sz w:val="13"/>
                <w:szCs w:val="13"/>
                <w:color w:val="auto"/>
              </w:rPr>
              <w:t>700</w:t>
            </w:r>
          </w:p>
        </w:tc>
        <w:tc>
          <w:tcPr>
            <w:tcW w:w="0" w:type="dxa"/>
            <w:vAlign w:val="bottom"/>
          </w:tcPr>
          <w:p>
            <w:pPr>
              <w:spacing w:after="0"/>
              <w:rPr>
                <w:sz w:val="1"/>
                <w:szCs w:val="1"/>
                <w:color w:val="auto"/>
              </w:rPr>
            </w:pPr>
          </w:p>
        </w:tc>
      </w:tr>
      <w:tr>
        <w:trPr>
          <w:trHeight w:val="97"/>
        </w:trPr>
        <w:tc>
          <w:tcPr>
            <w:tcW w:w="12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60" w:type="dxa"/>
            <w:vAlign w:val="bottom"/>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00" w:type="dxa"/>
            <w:vAlign w:val="bottom"/>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580" w:type="dxa"/>
            <w:vAlign w:val="bottom"/>
            <w:vMerge w:val="continue"/>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00" w:type="dxa"/>
            <w:vAlign w:val="bottom"/>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00" w:type="dxa"/>
            <w:vAlign w:val="bottom"/>
            <w:vMerge w:val="continue"/>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80" w:type="dxa"/>
            <w:vAlign w:val="bottom"/>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180" w:type="dxa"/>
            <w:vAlign w:val="bottom"/>
            <w:vMerge w:val="continue"/>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00" w:type="dxa"/>
            <w:vAlign w:val="bottom"/>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760" w:type="dxa"/>
            <w:vAlign w:val="bottom"/>
            <w:gridSpan w:val="2"/>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00" w:type="dxa"/>
            <w:vAlign w:val="bottom"/>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540" w:type="dxa"/>
            <w:vAlign w:val="bottom"/>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00" w:type="dxa"/>
            <w:vAlign w:val="bottom"/>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73"/>
        </w:trPr>
        <w:tc>
          <w:tcPr>
            <w:tcW w:w="1260" w:type="dxa"/>
            <w:vAlign w:val="bottom"/>
          </w:tcPr>
          <w:p>
            <w:pPr>
              <w:ind w:left="20"/>
              <w:spacing w:after="0"/>
              <w:rPr>
                <w:sz w:val="20"/>
                <w:szCs w:val="20"/>
                <w:color w:val="auto"/>
              </w:rPr>
            </w:pPr>
            <w:r>
              <w:rPr>
                <w:rFonts w:ascii="Arial" w:cs="Arial" w:eastAsia="Arial" w:hAnsi="Arial"/>
                <w:sz w:val="13"/>
                <w:szCs w:val="13"/>
                <w:color w:val="auto"/>
              </w:rPr>
              <w:t>2015</w:t>
            </w:r>
          </w:p>
        </w:tc>
        <w:tc>
          <w:tcPr>
            <w:tcW w:w="100" w:type="dxa"/>
            <w:vAlign w:val="bottom"/>
          </w:tcPr>
          <w:p>
            <w:pPr>
              <w:spacing w:after="0"/>
              <w:rPr>
                <w:sz w:val="15"/>
                <w:szCs w:val="15"/>
                <w:color w:val="auto"/>
              </w:rPr>
            </w:pPr>
          </w:p>
        </w:tc>
        <w:tc>
          <w:tcPr>
            <w:tcW w:w="560" w:type="dxa"/>
            <w:vAlign w:val="bottom"/>
            <w:vMerge w:val="restart"/>
          </w:tcPr>
          <w:p>
            <w:pPr>
              <w:jc w:val="right"/>
              <w:spacing w:after="0"/>
              <w:rPr>
                <w:sz w:val="20"/>
                <w:szCs w:val="20"/>
                <w:color w:val="auto"/>
              </w:rPr>
            </w:pPr>
            <w:r>
              <w:rPr>
                <w:rFonts w:ascii="Arial" w:cs="Arial" w:eastAsia="Arial" w:hAnsi="Arial"/>
                <w:sz w:val="13"/>
                <w:szCs w:val="13"/>
                <w:color w:val="auto"/>
              </w:rPr>
              <w:t>1,051</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vMerge w:val="restart"/>
          </w:tcPr>
          <w:p>
            <w:pPr>
              <w:jc w:val="right"/>
              <w:ind w:right="79"/>
              <w:spacing w:after="0"/>
              <w:rPr>
                <w:sz w:val="20"/>
                <w:szCs w:val="20"/>
                <w:color w:val="auto"/>
              </w:rPr>
            </w:pPr>
            <w:r>
              <w:rPr>
                <w:rFonts w:ascii="Arial" w:cs="Arial" w:eastAsia="Arial" w:hAnsi="Arial"/>
                <w:sz w:val="13"/>
                <w:szCs w:val="13"/>
                <w:color w:val="auto"/>
              </w:rPr>
              <w:t>1,048</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vMerge w:val="restart"/>
          </w:tcPr>
          <w:p>
            <w:pPr>
              <w:jc w:val="right"/>
              <w:spacing w:after="0"/>
              <w:rPr>
                <w:sz w:val="20"/>
                <w:szCs w:val="20"/>
                <w:color w:val="auto"/>
              </w:rPr>
            </w:pPr>
            <w:r>
              <w:rPr>
                <w:rFonts w:ascii="Arial" w:cs="Arial" w:eastAsia="Arial" w:hAnsi="Arial"/>
                <w:sz w:val="13"/>
                <w:szCs w:val="13"/>
                <w:color w:val="auto"/>
              </w:rPr>
              <w:t>238</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vMerge w:val="restart"/>
          </w:tcPr>
          <w:p>
            <w:pPr>
              <w:jc w:val="right"/>
              <w:ind w:right="79"/>
              <w:spacing w:after="0"/>
              <w:rPr>
                <w:sz w:val="20"/>
                <w:szCs w:val="20"/>
                <w:color w:val="auto"/>
              </w:rPr>
            </w:pPr>
            <w:r>
              <w:rPr>
                <w:rFonts w:ascii="Arial" w:cs="Arial" w:eastAsia="Arial" w:hAnsi="Arial"/>
                <w:sz w:val="13"/>
                <w:szCs w:val="13"/>
                <w:color w:val="auto"/>
              </w:rPr>
              <w:t>237</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vMerge w:val="restart"/>
          </w:tcPr>
          <w:p>
            <w:pPr>
              <w:jc w:val="right"/>
              <w:spacing w:after="0"/>
              <w:rPr>
                <w:sz w:val="20"/>
                <w:szCs w:val="20"/>
                <w:color w:val="auto"/>
              </w:rPr>
            </w:pPr>
            <w:r>
              <w:rPr>
                <w:rFonts w:ascii="Arial" w:cs="Arial" w:eastAsia="Arial" w:hAnsi="Arial"/>
                <w:sz w:val="13"/>
                <w:szCs w:val="13"/>
                <w:color w:val="auto"/>
              </w:rPr>
              <w:t>51</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vMerge w:val="restart"/>
          </w:tcPr>
          <w:p>
            <w:pPr>
              <w:jc w:val="right"/>
              <w:ind w:right="80"/>
              <w:spacing w:after="0"/>
              <w:rPr>
                <w:sz w:val="20"/>
                <w:szCs w:val="20"/>
                <w:color w:val="auto"/>
              </w:rPr>
            </w:pPr>
            <w:r>
              <w:rPr>
                <w:rFonts w:ascii="Arial" w:cs="Arial" w:eastAsia="Arial" w:hAnsi="Arial"/>
                <w:sz w:val="13"/>
                <w:szCs w:val="13"/>
                <w:color w:val="auto"/>
              </w:rPr>
              <w:t>51</w:t>
            </w:r>
          </w:p>
        </w:tc>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8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vMerge w:val="restart"/>
          </w:tcPr>
          <w:p>
            <w:pPr>
              <w:jc w:val="right"/>
              <w:ind w:right="79"/>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gridSpan w:val="2"/>
            <w:vMerge w:val="restart"/>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600" w:type="dxa"/>
            <w:vAlign w:val="bottom"/>
            <w:vMerge w:val="restart"/>
          </w:tcPr>
          <w:p>
            <w:pPr>
              <w:jc w:val="right"/>
              <w:ind w:right="79"/>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vMerge w:val="restart"/>
          </w:tcPr>
          <w:p>
            <w:pPr>
              <w:jc w:val="right"/>
              <w:spacing w:after="0"/>
              <w:rPr>
                <w:sz w:val="20"/>
                <w:szCs w:val="20"/>
                <w:color w:val="auto"/>
              </w:rPr>
            </w:pPr>
            <w:r>
              <w:rPr>
                <w:rFonts w:ascii="Arial" w:cs="Arial" w:eastAsia="Arial" w:hAnsi="Arial"/>
                <w:sz w:val="13"/>
                <w:szCs w:val="13"/>
                <w:color w:val="auto"/>
              </w:rPr>
              <w:t>1,340</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vMerge w:val="restart"/>
          </w:tcPr>
          <w:p>
            <w:pPr>
              <w:jc w:val="right"/>
              <w:ind w:right="79"/>
              <w:spacing w:after="0"/>
              <w:rPr>
                <w:sz w:val="20"/>
                <w:szCs w:val="20"/>
                <w:color w:val="auto"/>
              </w:rPr>
            </w:pPr>
            <w:r>
              <w:rPr>
                <w:rFonts w:ascii="Arial" w:cs="Arial" w:eastAsia="Arial" w:hAnsi="Arial"/>
                <w:sz w:val="13"/>
                <w:szCs w:val="13"/>
                <w:color w:val="auto"/>
              </w:rPr>
              <w:t>1,336</w:t>
            </w:r>
          </w:p>
        </w:tc>
        <w:tc>
          <w:tcPr>
            <w:tcW w:w="0" w:type="dxa"/>
            <w:vAlign w:val="bottom"/>
          </w:tcPr>
          <w:p>
            <w:pPr>
              <w:spacing w:after="0"/>
              <w:rPr>
                <w:sz w:val="1"/>
                <w:szCs w:val="1"/>
                <w:color w:val="auto"/>
              </w:rPr>
            </w:pPr>
          </w:p>
        </w:tc>
      </w:tr>
      <w:tr>
        <w:trPr>
          <w:trHeight w:val="89"/>
        </w:trPr>
        <w:tc>
          <w:tcPr>
            <w:tcW w:w="1260" w:type="dxa"/>
            <w:vAlign w:val="bottom"/>
          </w:tcPr>
          <w:p>
            <w:pPr>
              <w:spacing w:after="0"/>
              <w:rPr>
                <w:sz w:val="7"/>
                <w:szCs w:val="7"/>
                <w:color w:val="auto"/>
              </w:rPr>
            </w:pPr>
          </w:p>
        </w:tc>
        <w:tc>
          <w:tcPr>
            <w:tcW w:w="100" w:type="dxa"/>
            <w:vAlign w:val="bottom"/>
          </w:tcPr>
          <w:p>
            <w:pPr>
              <w:spacing w:after="0"/>
              <w:rPr>
                <w:sz w:val="7"/>
                <w:szCs w:val="7"/>
                <w:color w:val="auto"/>
              </w:rPr>
            </w:pPr>
          </w:p>
        </w:tc>
        <w:tc>
          <w:tcPr>
            <w:tcW w:w="56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58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500" w:type="dxa"/>
            <w:vAlign w:val="bottom"/>
          </w:tcPr>
          <w:p>
            <w:pPr>
              <w:spacing w:after="0"/>
              <w:rPr>
                <w:sz w:val="7"/>
                <w:szCs w:val="7"/>
                <w:color w:val="auto"/>
              </w:rPr>
            </w:pPr>
          </w:p>
        </w:tc>
        <w:tc>
          <w:tcPr>
            <w:tcW w:w="18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76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54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81"/>
        </w:trPr>
        <w:tc>
          <w:tcPr>
            <w:tcW w:w="1260" w:type="dxa"/>
            <w:vAlign w:val="bottom"/>
            <w:shd w:val="clear" w:color="auto" w:fill="CCEEFF"/>
          </w:tcPr>
          <w:p>
            <w:pPr>
              <w:ind w:left="20"/>
              <w:spacing w:after="0"/>
              <w:rPr>
                <w:sz w:val="20"/>
                <w:szCs w:val="20"/>
                <w:color w:val="auto"/>
              </w:rPr>
            </w:pPr>
            <w:r>
              <w:rPr>
                <w:rFonts w:ascii="Arial" w:cs="Arial" w:eastAsia="Arial" w:hAnsi="Arial"/>
                <w:sz w:val="13"/>
                <w:szCs w:val="13"/>
                <w:color w:val="auto"/>
              </w:rPr>
              <w:t>2016</w:t>
            </w:r>
          </w:p>
        </w:tc>
        <w:tc>
          <w:tcPr>
            <w:tcW w:w="100" w:type="dxa"/>
            <w:vAlign w:val="bottom"/>
            <w:shd w:val="clear" w:color="auto" w:fill="CCEEFF"/>
          </w:tcPr>
          <w:p>
            <w:pPr>
              <w:spacing w:after="0"/>
              <w:rPr>
                <w:sz w:val="15"/>
                <w:szCs w:val="15"/>
                <w:color w:val="auto"/>
              </w:rPr>
            </w:pP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536</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0" w:type="dxa"/>
            <w:vAlign w:val="bottom"/>
            <w:vMerge w:val="restart"/>
            <w:shd w:val="clear" w:color="auto" w:fill="CCEEFF"/>
          </w:tcPr>
          <w:p>
            <w:pPr>
              <w:jc w:val="right"/>
              <w:ind w:right="79"/>
              <w:spacing w:after="0"/>
              <w:rPr>
                <w:sz w:val="20"/>
                <w:szCs w:val="20"/>
                <w:color w:val="auto"/>
              </w:rPr>
            </w:pPr>
            <w:r>
              <w:rPr>
                <w:rFonts w:ascii="Arial" w:cs="Arial" w:eastAsia="Arial" w:hAnsi="Arial"/>
                <w:sz w:val="13"/>
                <w:szCs w:val="13"/>
                <w:color w:val="auto"/>
              </w:rPr>
              <w:t>529</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64</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0" w:type="dxa"/>
            <w:vAlign w:val="bottom"/>
            <w:vMerge w:val="restart"/>
            <w:shd w:val="clear" w:color="auto" w:fill="CCEEFF"/>
          </w:tcPr>
          <w:p>
            <w:pPr>
              <w:jc w:val="right"/>
              <w:ind w:right="79"/>
              <w:spacing w:after="0"/>
              <w:rPr>
                <w:sz w:val="20"/>
                <w:szCs w:val="20"/>
                <w:color w:val="auto"/>
              </w:rPr>
            </w:pPr>
            <w:r>
              <w:rPr>
                <w:rFonts w:ascii="Arial" w:cs="Arial" w:eastAsia="Arial" w:hAnsi="Arial"/>
                <w:sz w:val="13"/>
                <w:szCs w:val="13"/>
                <w:color w:val="auto"/>
              </w:rPr>
              <w:t>62</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28</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80" w:type="dxa"/>
            <w:vAlign w:val="bottom"/>
            <w:vMerge w:val="restart"/>
            <w:shd w:val="clear" w:color="auto" w:fill="CCEEFF"/>
          </w:tcPr>
          <w:p>
            <w:pPr>
              <w:jc w:val="right"/>
              <w:ind w:right="80"/>
              <w:spacing w:after="0"/>
              <w:rPr>
                <w:sz w:val="20"/>
                <w:szCs w:val="20"/>
                <w:color w:val="auto"/>
              </w:rPr>
            </w:pPr>
            <w:r>
              <w:rPr>
                <w:rFonts w:ascii="Arial" w:cs="Arial" w:eastAsia="Arial" w:hAnsi="Arial"/>
                <w:sz w:val="13"/>
                <w:szCs w:val="13"/>
                <w:color w:val="auto"/>
              </w:rPr>
              <w:t>26</w:t>
            </w:r>
          </w:p>
        </w:tc>
        <w:tc>
          <w:tcPr>
            <w:tcW w:w="1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0" w:type="dxa"/>
            <w:vAlign w:val="bottom"/>
            <w:vMerge w:val="restart"/>
            <w:shd w:val="clear" w:color="auto" w:fill="CCEEFF"/>
          </w:tcPr>
          <w:p>
            <w:pPr>
              <w:jc w:val="right"/>
              <w:ind w:right="79"/>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vMerge w:val="restart"/>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100" w:type="dxa"/>
            <w:vAlign w:val="bottom"/>
            <w:vMerge w:val="restart"/>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0" w:type="dxa"/>
            <w:vAlign w:val="bottom"/>
            <w:vMerge w:val="restart"/>
            <w:shd w:val="clear" w:color="auto" w:fill="CCEEFF"/>
          </w:tcPr>
          <w:p>
            <w:pPr>
              <w:jc w:val="right"/>
              <w:ind w:right="79"/>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628</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0" w:type="dxa"/>
            <w:vAlign w:val="bottom"/>
            <w:vMerge w:val="restart"/>
            <w:shd w:val="clear" w:color="auto" w:fill="CCEEFF"/>
          </w:tcPr>
          <w:p>
            <w:pPr>
              <w:jc w:val="right"/>
              <w:ind w:right="79"/>
              <w:spacing w:after="0"/>
              <w:rPr>
                <w:sz w:val="20"/>
                <w:szCs w:val="20"/>
                <w:color w:val="auto"/>
              </w:rPr>
            </w:pPr>
            <w:r>
              <w:rPr>
                <w:rFonts w:ascii="Arial" w:cs="Arial" w:eastAsia="Arial" w:hAnsi="Arial"/>
                <w:sz w:val="13"/>
                <w:szCs w:val="13"/>
                <w:color w:val="auto"/>
              </w:rPr>
              <w:t>617</w:t>
            </w:r>
          </w:p>
        </w:tc>
        <w:tc>
          <w:tcPr>
            <w:tcW w:w="0" w:type="dxa"/>
            <w:vAlign w:val="bottom"/>
          </w:tcPr>
          <w:p>
            <w:pPr>
              <w:spacing w:after="0"/>
              <w:rPr>
                <w:sz w:val="1"/>
                <w:szCs w:val="1"/>
                <w:color w:val="auto"/>
              </w:rPr>
            </w:pPr>
          </w:p>
        </w:tc>
      </w:tr>
      <w:tr>
        <w:trPr>
          <w:trHeight w:val="97"/>
        </w:trPr>
        <w:tc>
          <w:tcPr>
            <w:tcW w:w="1260" w:type="dxa"/>
            <w:vAlign w:val="bottom"/>
            <w:shd w:val="clear" w:color="auto" w:fill="CCEEFF"/>
          </w:tcPr>
          <w:p>
            <w:pPr>
              <w:spacing w:after="0"/>
              <w:rPr>
                <w:sz w:val="8"/>
                <w:szCs w:val="8"/>
                <w:color w:val="auto"/>
              </w:rPr>
            </w:pPr>
          </w:p>
        </w:tc>
        <w:tc>
          <w:tcPr>
            <w:tcW w:w="100" w:type="dxa"/>
            <w:vAlign w:val="bottom"/>
            <w:tcBorders>
              <w:bottom w:val="single" w:sz="8" w:color="auto"/>
            </w:tcBorders>
            <w:shd w:val="clear" w:color="auto" w:fill="CCEEFF"/>
          </w:tcPr>
          <w:p>
            <w:pPr>
              <w:spacing w:after="0"/>
              <w:rPr>
                <w:sz w:val="8"/>
                <w:szCs w:val="8"/>
                <w:color w:val="auto"/>
              </w:rPr>
            </w:pPr>
          </w:p>
        </w:tc>
        <w:tc>
          <w:tcPr>
            <w:tcW w:w="560" w:type="dxa"/>
            <w:vAlign w:val="bottom"/>
            <w:tcBorders>
              <w:bottom w:val="single" w:sz="8" w:color="auto"/>
            </w:tcBorders>
            <w:vMerge w:val="continue"/>
            <w:shd w:val="clear" w:color="auto" w:fill="CCEEFF"/>
          </w:tcPr>
          <w:p>
            <w:pPr>
              <w:spacing w:after="0"/>
              <w:rPr>
                <w:sz w:val="8"/>
                <w:szCs w:val="8"/>
                <w:color w:val="auto"/>
              </w:rPr>
            </w:pPr>
          </w:p>
        </w:tc>
        <w:tc>
          <w:tcPr>
            <w:tcW w:w="100" w:type="dxa"/>
            <w:vAlign w:val="bottom"/>
            <w:tcBorders>
              <w:bottom w:val="single" w:sz="8" w:color="auto"/>
            </w:tcBorders>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00" w:type="dxa"/>
            <w:vAlign w:val="bottom"/>
            <w:tcBorders>
              <w:bottom w:val="single" w:sz="8" w:color="auto"/>
            </w:tcBorders>
            <w:shd w:val="clear" w:color="auto" w:fill="CCEEFF"/>
          </w:tcPr>
          <w:p>
            <w:pPr>
              <w:spacing w:after="0"/>
              <w:rPr>
                <w:sz w:val="8"/>
                <w:szCs w:val="8"/>
                <w:color w:val="auto"/>
              </w:rPr>
            </w:pPr>
          </w:p>
        </w:tc>
        <w:tc>
          <w:tcPr>
            <w:tcW w:w="600" w:type="dxa"/>
            <w:vAlign w:val="bottom"/>
            <w:tcBorders>
              <w:bottom w:val="single" w:sz="8" w:color="auto"/>
            </w:tcBorders>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20" w:type="dxa"/>
            <w:vAlign w:val="bottom"/>
            <w:tcBorders>
              <w:bottom w:val="single" w:sz="8" w:color="auto"/>
            </w:tcBorders>
            <w:shd w:val="clear" w:color="auto" w:fill="CCEEFF"/>
          </w:tcPr>
          <w:p>
            <w:pPr>
              <w:spacing w:after="0"/>
              <w:rPr>
                <w:sz w:val="8"/>
                <w:szCs w:val="8"/>
                <w:color w:val="auto"/>
              </w:rPr>
            </w:pPr>
          </w:p>
        </w:tc>
        <w:tc>
          <w:tcPr>
            <w:tcW w:w="580" w:type="dxa"/>
            <w:vAlign w:val="bottom"/>
            <w:tcBorders>
              <w:bottom w:val="single" w:sz="8" w:color="auto"/>
            </w:tcBorders>
            <w:vMerge w:val="continue"/>
            <w:shd w:val="clear" w:color="auto" w:fill="CCEEFF"/>
          </w:tcPr>
          <w:p>
            <w:pPr>
              <w:spacing w:after="0"/>
              <w:rPr>
                <w:sz w:val="8"/>
                <w:szCs w:val="8"/>
                <w:color w:val="auto"/>
              </w:rPr>
            </w:pPr>
          </w:p>
        </w:tc>
        <w:tc>
          <w:tcPr>
            <w:tcW w:w="80" w:type="dxa"/>
            <w:vAlign w:val="bottom"/>
            <w:tcBorders>
              <w:bottom w:val="single" w:sz="8" w:color="auto"/>
            </w:tcBorders>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00" w:type="dxa"/>
            <w:vAlign w:val="bottom"/>
            <w:tcBorders>
              <w:bottom w:val="single" w:sz="8" w:color="auto"/>
            </w:tcBorders>
            <w:shd w:val="clear" w:color="auto" w:fill="CCEEFF"/>
          </w:tcPr>
          <w:p>
            <w:pPr>
              <w:spacing w:after="0"/>
              <w:rPr>
                <w:sz w:val="8"/>
                <w:szCs w:val="8"/>
                <w:color w:val="auto"/>
              </w:rPr>
            </w:pPr>
          </w:p>
        </w:tc>
        <w:tc>
          <w:tcPr>
            <w:tcW w:w="600" w:type="dxa"/>
            <w:vAlign w:val="bottom"/>
            <w:tcBorders>
              <w:bottom w:val="single" w:sz="8" w:color="auto"/>
            </w:tcBorders>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00" w:type="dxa"/>
            <w:vAlign w:val="bottom"/>
            <w:tcBorders>
              <w:bottom w:val="single" w:sz="8" w:color="auto"/>
            </w:tcBorders>
            <w:shd w:val="clear" w:color="auto" w:fill="CCEEFF"/>
          </w:tcPr>
          <w:p>
            <w:pPr>
              <w:spacing w:after="0"/>
              <w:rPr>
                <w:sz w:val="8"/>
                <w:szCs w:val="8"/>
                <w:color w:val="auto"/>
              </w:rPr>
            </w:pPr>
          </w:p>
        </w:tc>
        <w:tc>
          <w:tcPr>
            <w:tcW w:w="600" w:type="dxa"/>
            <w:vAlign w:val="bottom"/>
            <w:tcBorders>
              <w:bottom w:val="single" w:sz="8" w:color="auto"/>
            </w:tcBorders>
            <w:vMerge w:val="continue"/>
            <w:shd w:val="clear" w:color="auto" w:fill="CCEEFF"/>
          </w:tcPr>
          <w:p>
            <w:pPr>
              <w:spacing w:after="0"/>
              <w:rPr>
                <w:sz w:val="8"/>
                <w:szCs w:val="8"/>
                <w:color w:val="auto"/>
              </w:rPr>
            </w:pPr>
          </w:p>
        </w:tc>
        <w:tc>
          <w:tcPr>
            <w:tcW w:w="80" w:type="dxa"/>
            <w:vAlign w:val="bottom"/>
            <w:tcBorders>
              <w:bottom w:val="single" w:sz="8" w:color="auto"/>
            </w:tcBorders>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00" w:type="dxa"/>
            <w:vAlign w:val="bottom"/>
            <w:tcBorders>
              <w:bottom w:val="single" w:sz="8" w:color="auto"/>
            </w:tcBorders>
            <w:shd w:val="clear" w:color="auto" w:fill="CCEEFF"/>
          </w:tcPr>
          <w:p>
            <w:pPr>
              <w:spacing w:after="0"/>
              <w:rPr>
                <w:sz w:val="8"/>
                <w:szCs w:val="8"/>
                <w:color w:val="auto"/>
              </w:rPr>
            </w:pPr>
          </w:p>
        </w:tc>
        <w:tc>
          <w:tcPr>
            <w:tcW w:w="580" w:type="dxa"/>
            <w:vAlign w:val="bottom"/>
            <w:tcBorders>
              <w:bottom w:val="single" w:sz="8" w:color="auto"/>
            </w:tcBorders>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500" w:type="dxa"/>
            <w:vAlign w:val="bottom"/>
            <w:tcBorders>
              <w:bottom w:val="single" w:sz="8" w:color="auto"/>
            </w:tcBorders>
            <w:shd w:val="clear" w:color="auto" w:fill="CCEEFF"/>
          </w:tcPr>
          <w:p>
            <w:pPr>
              <w:spacing w:after="0"/>
              <w:rPr>
                <w:sz w:val="8"/>
                <w:szCs w:val="8"/>
                <w:color w:val="auto"/>
              </w:rPr>
            </w:pPr>
          </w:p>
        </w:tc>
        <w:tc>
          <w:tcPr>
            <w:tcW w:w="180" w:type="dxa"/>
            <w:vAlign w:val="bottom"/>
            <w:tcBorders>
              <w:bottom w:val="single" w:sz="8" w:color="auto"/>
            </w:tcBorders>
            <w:vMerge w:val="continue"/>
            <w:shd w:val="clear" w:color="auto" w:fill="CCEEFF"/>
          </w:tcPr>
          <w:p>
            <w:pPr>
              <w:spacing w:after="0"/>
              <w:rPr>
                <w:sz w:val="8"/>
                <w:szCs w:val="8"/>
                <w:color w:val="auto"/>
              </w:rPr>
            </w:pPr>
          </w:p>
        </w:tc>
        <w:tc>
          <w:tcPr>
            <w:tcW w:w="80" w:type="dxa"/>
            <w:vAlign w:val="bottom"/>
            <w:tcBorders>
              <w:bottom w:val="single" w:sz="8" w:color="auto"/>
            </w:tcBorders>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80" w:type="dxa"/>
            <w:vAlign w:val="bottom"/>
            <w:tcBorders>
              <w:bottom w:val="single" w:sz="8" w:color="auto"/>
            </w:tcBorders>
            <w:shd w:val="clear" w:color="auto" w:fill="CCEEFF"/>
          </w:tcPr>
          <w:p>
            <w:pPr>
              <w:spacing w:after="0"/>
              <w:rPr>
                <w:sz w:val="8"/>
                <w:szCs w:val="8"/>
                <w:color w:val="auto"/>
              </w:rPr>
            </w:pPr>
          </w:p>
        </w:tc>
        <w:tc>
          <w:tcPr>
            <w:tcW w:w="600" w:type="dxa"/>
            <w:vAlign w:val="bottom"/>
            <w:tcBorders>
              <w:bottom w:val="single" w:sz="8" w:color="auto"/>
            </w:tcBorders>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00" w:type="dxa"/>
            <w:vAlign w:val="bottom"/>
            <w:tcBorders>
              <w:bottom w:val="single" w:sz="8" w:color="auto"/>
            </w:tcBorders>
            <w:shd w:val="clear" w:color="auto" w:fill="CCEEFF"/>
          </w:tcPr>
          <w:p>
            <w:pPr>
              <w:spacing w:after="0"/>
              <w:rPr>
                <w:sz w:val="8"/>
                <w:szCs w:val="8"/>
                <w:color w:val="auto"/>
              </w:rPr>
            </w:pPr>
          </w:p>
        </w:tc>
        <w:tc>
          <w:tcPr>
            <w:tcW w:w="660" w:type="dxa"/>
            <w:vAlign w:val="bottom"/>
            <w:tcBorders>
              <w:bottom w:val="single" w:sz="8" w:color="auto"/>
            </w:tcBorders>
            <w:vMerge w:val="continue"/>
            <w:shd w:val="clear" w:color="auto" w:fill="CCEEFF"/>
          </w:tcPr>
          <w:p>
            <w:pPr>
              <w:spacing w:after="0"/>
              <w:rPr>
                <w:sz w:val="8"/>
                <w:szCs w:val="8"/>
                <w:color w:val="auto"/>
              </w:rPr>
            </w:pPr>
          </w:p>
        </w:tc>
        <w:tc>
          <w:tcPr>
            <w:tcW w:w="100" w:type="dxa"/>
            <w:vAlign w:val="bottom"/>
            <w:vMerge w:val="continue"/>
            <w:shd w:val="clear" w:color="auto" w:fill="CCEEFF"/>
          </w:tcPr>
          <w:p>
            <w:pPr>
              <w:spacing w:after="0"/>
              <w:rPr>
                <w:sz w:val="8"/>
                <w:szCs w:val="8"/>
                <w:color w:val="auto"/>
              </w:rPr>
            </w:pPr>
          </w:p>
        </w:tc>
        <w:tc>
          <w:tcPr>
            <w:tcW w:w="100" w:type="dxa"/>
            <w:vAlign w:val="bottom"/>
            <w:tcBorders>
              <w:bottom w:val="single" w:sz="8" w:color="auto"/>
            </w:tcBorders>
            <w:shd w:val="clear" w:color="auto" w:fill="CCEEFF"/>
          </w:tcPr>
          <w:p>
            <w:pPr>
              <w:spacing w:after="0"/>
              <w:rPr>
                <w:sz w:val="8"/>
                <w:szCs w:val="8"/>
                <w:color w:val="auto"/>
              </w:rPr>
            </w:pPr>
          </w:p>
        </w:tc>
        <w:tc>
          <w:tcPr>
            <w:tcW w:w="600" w:type="dxa"/>
            <w:vAlign w:val="bottom"/>
            <w:tcBorders>
              <w:bottom w:val="single" w:sz="8" w:color="auto"/>
            </w:tcBorders>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20" w:type="dxa"/>
            <w:vAlign w:val="bottom"/>
            <w:tcBorders>
              <w:bottom w:val="single" w:sz="8" w:color="auto"/>
            </w:tcBorders>
            <w:shd w:val="clear" w:color="auto" w:fill="CCEEFF"/>
          </w:tcPr>
          <w:p>
            <w:pPr>
              <w:spacing w:after="0"/>
              <w:rPr>
                <w:sz w:val="8"/>
                <w:szCs w:val="8"/>
                <w:color w:val="auto"/>
              </w:rPr>
            </w:pPr>
          </w:p>
        </w:tc>
        <w:tc>
          <w:tcPr>
            <w:tcW w:w="540" w:type="dxa"/>
            <w:vAlign w:val="bottom"/>
            <w:tcBorders>
              <w:bottom w:val="single" w:sz="8" w:color="auto"/>
            </w:tcBorders>
            <w:vMerge w:val="continue"/>
            <w:shd w:val="clear" w:color="auto" w:fill="CCEEFF"/>
          </w:tcPr>
          <w:p>
            <w:pPr>
              <w:spacing w:after="0"/>
              <w:rPr>
                <w:sz w:val="8"/>
                <w:szCs w:val="8"/>
                <w:color w:val="auto"/>
              </w:rPr>
            </w:pPr>
          </w:p>
        </w:tc>
        <w:tc>
          <w:tcPr>
            <w:tcW w:w="120" w:type="dxa"/>
            <w:vAlign w:val="bottom"/>
            <w:tcBorders>
              <w:bottom w:val="single" w:sz="8" w:color="auto"/>
            </w:tcBorders>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00" w:type="dxa"/>
            <w:vAlign w:val="bottom"/>
            <w:tcBorders>
              <w:bottom w:val="single" w:sz="8" w:color="auto"/>
            </w:tcBorders>
            <w:shd w:val="clear" w:color="auto" w:fill="CCEEFF"/>
          </w:tcPr>
          <w:p>
            <w:pPr>
              <w:spacing w:after="0"/>
              <w:rPr>
                <w:sz w:val="8"/>
                <w:szCs w:val="8"/>
                <w:color w:val="auto"/>
              </w:rPr>
            </w:pPr>
          </w:p>
        </w:tc>
        <w:tc>
          <w:tcPr>
            <w:tcW w:w="600" w:type="dxa"/>
            <w:vAlign w:val="bottom"/>
            <w:tcBorders>
              <w:bottom w:val="single" w:sz="8" w:color="auto"/>
            </w:tcBorders>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53"/>
        </w:trPr>
        <w:tc>
          <w:tcPr>
            <w:tcW w:w="1260" w:type="dxa"/>
            <w:vAlign w:val="bottom"/>
          </w:tcPr>
          <w:p>
            <w:pPr>
              <w:ind w:left="200"/>
              <w:spacing w:after="0"/>
              <w:rPr>
                <w:sz w:val="20"/>
                <w:szCs w:val="20"/>
                <w:color w:val="auto"/>
              </w:rPr>
            </w:pPr>
            <w:r>
              <w:rPr>
                <w:rFonts w:ascii="Arial" w:cs="Arial" w:eastAsia="Arial" w:hAnsi="Arial"/>
                <w:sz w:val="13"/>
                <w:szCs w:val="13"/>
                <w:color w:val="auto"/>
              </w:rPr>
              <w:t>Total</w:t>
            </w:r>
          </w:p>
        </w:tc>
        <w:tc>
          <w:tcPr>
            <w:tcW w:w="100" w:type="dxa"/>
            <w:vAlign w:val="bottom"/>
            <w:vMerge w:val="restart"/>
          </w:tcPr>
          <w:p>
            <w:pPr>
              <w:jc w:val="right"/>
              <w:spacing w:after="0"/>
              <w:rPr>
                <w:sz w:val="20"/>
                <w:szCs w:val="20"/>
                <w:color w:val="auto"/>
              </w:rPr>
            </w:pPr>
            <w:r>
              <w:rPr>
                <w:rFonts w:ascii="Arial" w:cs="Arial" w:eastAsia="Arial" w:hAnsi="Arial"/>
                <w:sz w:val="13"/>
                <w:szCs w:val="13"/>
                <w:color w:val="auto"/>
                <w:w w:val="82"/>
              </w:rPr>
              <w:t>$</w:t>
            </w:r>
          </w:p>
        </w:tc>
        <w:tc>
          <w:tcPr>
            <w:tcW w:w="560" w:type="dxa"/>
            <w:vAlign w:val="bottom"/>
            <w:vMerge w:val="restart"/>
          </w:tcPr>
          <w:p>
            <w:pPr>
              <w:jc w:val="right"/>
              <w:spacing w:after="0"/>
              <w:rPr>
                <w:sz w:val="20"/>
                <w:szCs w:val="20"/>
                <w:color w:val="auto"/>
              </w:rPr>
            </w:pPr>
            <w:r>
              <w:rPr>
                <w:rFonts w:ascii="Arial" w:cs="Arial" w:eastAsia="Arial" w:hAnsi="Arial"/>
                <w:sz w:val="13"/>
                <w:szCs w:val="13"/>
                <w:color w:val="auto"/>
              </w:rPr>
              <w:t>2,536</w:t>
            </w:r>
          </w:p>
        </w:tc>
        <w:tc>
          <w:tcPr>
            <w:tcW w:w="300" w:type="dxa"/>
            <w:vAlign w:val="bottom"/>
            <w:gridSpan w:val="3"/>
            <w:vMerge w:val="restart"/>
          </w:tcPr>
          <w:p>
            <w:pPr>
              <w:jc w:val="right"/>
              <w:spacing w:after="0"/>
              <w:rPr>
                <w:sz w:val="20"/>
                <w:szCs w:val="20"/>
                <w:color w:val="auto"/>
              </w:rPr>
            </w:pPr>
            <w:r>
              <w:rPr>
                <w:rFonts w:ascii="Arial" w:cs="Arial" w:eastAsia="Arial" w:hAnsi="Arial"/>
                <w:sz w:val="13"/>
                <w:szCs w:val="13"/>
                <w:color w:val="auto"/>
              </w:rPr>
              <w:t>$</w:t>
            </w:r>
          </w:p>
        </w:tc>
        <w:tc>
          <w:tcPr>
            <w:tcW w:w="600" w:type="dxa"/>
            <w:vAlign w:val="bottom"/>
            <w:vMerge w:val="restart"/>
          </w:tcPr>
          <w:p>
            <w:pPr>
              <w:jc w:val="right"/>
              <w:ind w:right="79"/>
              <w:spacing w:after="0"/>
              <w:rPr>
                <w:sz w:val="20"/>
                <w:szCs w:val="20"/>
                <w:color w:val="auto"/>
              </w:rPr>
            </w:pPr>
            <w:r>
              <w:rPr>
                <w:rFonts w:ascii="Arial" w:cs="Arial" w:eastAsia="Arial" w:hAnsi="Arial"/>
                <w:sz w:val="13"/>
                <w:szCs w:val="13"/>
                <w:color w:val="auto"/>
              </w:rPr>
              <w:t>2,544</w:t>
            </w:r>
          </w:p>
        </w:tc>
        <w:tc>
          <w:tcPr>
            <w:tcW w:w="220" w:type="dxa"/>
            <w:vAlign w:val="bottom"/>
            <w:gridSpan w:val="2"/>
            <w:vMerge w:val="restart"/>
          </w:tcPr>
          <w:p>
            <w:pPr>
              <w:jc w:val="right"/>
              <w:ind w:right="20"/>
              <w:spacing w:after="0"/>
              <w:rPr>
                <w:sz w:val="20"/>
                <w:szCs w:val="20"/>
                <w:color w:val="auto"/>
              </w:rPr>
            </w:pPr>
            <w:r>
              <w:rPr>
                <w:rFonts w:ascii="Arial" w:cs="Arial" w:eastAsia="Arial" w:hAnsi="Arial"/>
                <w:sz w:val="13"/>
                <w:szCs w:val="13"/>
                <w:color w:val="auto"/>
              </w:rPr>
              <w:t>$</w:t>
            </w:r>
          </w:p>
        </w:tc>
        <w:tc>
          <w:tcPr>
            <w:tcW w:w="580" w:type="dxa"/>
            <w:vAlign w:val="bottom"/>
            <w:vMerge w:val="restart"/>
          </w:tcPr>
          <w:p>
            <w:pPr>
              <w:jc w:val="right"/>
              <w:spacing w:after="0"/>
              <w:rPr>
                <w:sz w:val="20"/>
                <w:szCs w:val="20"/>
                <w:color w:val="auto"/>
              </w:rPr>
            </w:pPr>
            <w:r>
              <w:rPr>
                <w:rFonts w:ascii="Arial" w:cs="Arial" w:eastAsia="Arial" w:hAnsi="Arial"/>
                <w:sz w:val="13"/>
                <w:szCs w:val="13"/>
                <w:color w:val="auto"/>
              </w:rPr>
              <w:t>920</w:t>
            </w:r>
          </w:p>
        </w:tc>
        <w:tc>
          <w:tcPr>
            <w:tcW w:w="280" w:type="dxa"/>
            <w:vAlign w:val="bottom"/>
            <w:gridSpan w:val="3"/>
            <w:vMerge w:val="restart"/>
          </w:tcPr>
          <w:p>
            <w:pPr>
              <w:jc w:val="right"/>
              <w:ind w:right="20"/>
              <w:spacing w:after="0"/>
              <w:rPr>
                <w:sz w:val="20"/>
                <w:szCs w:val="20"/>
                <w:color w:val="auto"/>
              </w:rPr>
            </w:pPr>
            <w:r>
              <w:rPr>
                <w:rFonts w:ascii="Arial" w:cs="Arial" w:eastAsia="Arial" w:hAnsi="Arial"/>
                <w:sz w:val="13"/>
                <w:szCs w:val="13"/>
                <w:color w:val="auto"/>
              </w:rPr>
              <w:t>$</w:t>
            </w:r>
          </w:p>
        </w:tc>
        <w:tc>
          <w:tcPr>
            <w:tcW w:w="600" w:type="dxa"/>
            <w:vAlign w:val="bottom"/>
            <w:vMerge w:val="restart"/>
          </w:tcPr>
          <w:p>
            <w:pPr>
              <w:jc w:val="right"/>
              <w:ind w:right="79"/>
              <w:spacing w:after="0"/>
              <w:rPr>
                <w:sz w:val="20"/>
                <w:szCs w:val="20"/>
                <w:color w:val="auto"/>
              </w:rPr>
            </w:pPr>
            <w:r>
              <w:rPr>
                <w:rFonts w:ascii="Arial" w:cs="Arial" w:eastAsia="Arial" w:hAnsi="Arial"/>
                <w:sz w:val="13"/>
                <w:szCs w:val="13"/>
                <w:color w:val="auto"/>
              </w:rPr>
              <w:t>925</w:t>
            </w:r>
          </w:p>
        </w:tc>
        <w:tc>
          <w:tcPr>
            <w:tcW w:w="200" w:type="dxa"/>
            <w:vAlign w:val="bottom"/>
            <w:gridSpan w:val="2"/>
            <w:vMerge w:val="restart"/>
          </w:tcPr>
          <w:p>
            <w:pPr>
              <w:jc w:val="right"/>
              <w:ind w:right="20"/>
              <w:spacing w:after="0"/>
              <w:rPr>
                <w:sz w:val="20"/>
                <w:szCs w:val="20"/>
                <w:color w:val="auto"/>
              </w:rPr>
            </w:pPr>
            <w:r>
              <w:rPr>
                <w:rFonts w:ascii="Arial" w:cs="Arial" w:eastAsia="Arial" w:hAnsi="Arial"/>
                <w:sz w:val="13"/>
                <w:szCs w:val="13"/>
                <w:color w:val="auto"/>
              </w:rPr>
              <w:t>$</w:t>
            </w:r>
          </w:p>
        </w:tc>
        <w:tc>
          <w:tcPr>
            <w:tcW w:w="600" w:type="dxa"/>
            <w:vAlign w:val="bottom"/>
            <w:vMerge w:val="restart"/>
          </w:tcPr>
          <w:p>
            <w:pPr>
              <w:jc w:val="right"/>
              <w:spacing w:after="0"/>
              <w:rPr>
                <w:sz w:val="20"/>
                <w:szCs w:val="20"/>
                <w:color w:val="auto"/>
              </w:rPr>
            </w:pPr>
            <w:r>
              <w:rPr>
                <w:rFonts w:ascii="Arial" w:cs="Arial" w:eastAsia="Arial" w:hAnsi="Arial"/>
                <w:sz w:val="13"/>
                <w:szCs w:val="13"/>
                <w:color w:val="auto"/>
              </w:rPr>
              <w:t>338</w:t>
            </w:r>
          </w:p>
        </w:tc>
        <w:tc>
          <w:tcPr>
            <w:tcW w:w="280" w:type="dxa"/>
            <w:vAlign w:val="bottom"/>
            <w:gridSpan w:val="3"/>
            <w:vMerge w:val="restart"/>
          </w:tcPr>
          <w:p>
            <w:pPr>
              <w:jc w:val="right"/>
              <w:ind w:right="20"/>
              <w:spacing w:after="0"/>
              <w:rPr>
                <w:sz w:val="20"/>
                <w:szCs w:val="20"/>
                <w:color w:val="auto"/>
              </w:rPr>
            </w:pPr>
            <w:r>
              <w:rPr>
                <w:rFonts w:ascii="Arial" w:cs="Arial" w:eastAsia="Arial" w:hAnsi="Arial"/>
                <w:sz w:val="13"/>
                <w:szCs w:val="13"/>
                <w:color w:val="auto"/>
              </w:rPr>
              <w:t>$</w:t>
            </w:r>
          </w:p>
        </w:tc>
        <w:tc>
          <w:tcPr>
            <w:tcW w:w="580" w:type="dxa"/>
            <w:vAlign w:val="bottom"/>
            <w:vMerge w:val="restart"/>
          </w:tcPr>
          <w:p>
            <w:pPr>
              <w:jc w:val="right"/>
              <w:ind w:right="80"/>
              <w:spacing w:after="0"/>
              <w:rPr>
                <w:sz w:val="20"/>
                <w:szCs w:val="20"/>
                <w:color w:val="auto"/>
              </w:rPr>
            </w:pPr>
            <w:r>
              <w:rPr>
                <w:rFonts w:ascii="Arial" w:cs="Arial" w:eastAsia="Arial" w:hAnsi="Arial"/>
                <w:sz w:val="13"/>
                <w:szCs w:val="13"/>
                <w:color w:val="auto"/>
              </w:rPr>
              <w:t>338</w:t>
            </w:r>
          </w:p>
        </w:tc>
        <w:tc>
          <w:tcPr>
            <w:tcW w:w="620" w:type="dxa"/>
            <w:vAlign w:val="bottom"/>
            <w:gridSpan w:val="2"/>
            <w:vMerge w:val="restart"/>
          </w:tcPr>
          <w:p>
            <w:pPr>
              <w:jc w:val="right"/>
              <w:ind w:right="366"/>
              <w:spacing w:after="0"/>
              <w:rPr>
                <w:sz w:val="20"/>
                <w:szCs w:val="20"/>
                <w:color w:val="auto"/>
              </w:rPr>
            </w:pPr>
            <w:r>
              <w:rPr>
                <w:rFonts w:ascii="Arial" w:cs="Arial" w:eastAsia="Arial" w:hAnsi="Arial"/>
                <w:sz w:val="13"/>
                <w:szCs w:val="13"/>
                <w:color w:val="auto"/>
              </w:rPr>
              <w:t>$</w:t>
            </w:r>
          </w:p>
        </w:tc>
        <w:tc>
          <w:tcPr>
            <w:tcW w:w="180" w:type="dxa"/>
            <w:vAlign w:val="bottom"/>
            <w:vMerge w:val="restart"/>
          </w:tcPr>
          <w:p>
            <w:pPr>
              <w:jc w:val="right"/>
              <w:spacing w:after="0"/>
              <w:rPr>
                <w:sz w:val="20"/>
                <w:szCs w:val="20"/>
                <w:color w:val="auto"/>
              </w:rPr>
            </w:pPr>
            <w:r>
              <w:rPr>
                <w:rFonts w:ascii="Arial" w:cs="Arial" w:eastAsia="Arial" w:hAnsi="Arial"/>
                <w:sz w:val="13"/>
                <w:szCs w:val="13"/>
                <w:color w:val="auto"/>
              </w:rPr>
              <w:t>2</w:t>
            </w:r>
          </w:p>
        </w:tc>
        <w:tc>
          <w:tcPr>
            <w:tcW w:w="280" w:type="dxa"/>
            <w:vAlign w:val="bottom"/>
            <w:gridSpan w:val="3"/>
            <w:vMerge w:val="restart"/>
          </w:tcPr>
          <w:p>
            <w:pPr>
              <w:jc w:val="right"/>
              <w:spacing w:after="0"/>
              <w:rPr>
                <w:sz w:val="20"/>
                <w:szCs w:val="20"/>
                <w:color w:val="auto"/>
              </w:rPr>
            </w:pPr>
            <w:r>
              <w:rPr>
                <w:rFonts w:ascii="Arial" w:cs="Arial" w:eastAsia="Arial" w:hAnsi="Arial"/>
                <w:sz w:val="13"/>
                <w:szCs w:val="13"/>
                <w:color w:val="auto"/>
              </w:rPr>
              <w:t>$</w:t>
            </w:r>
          </w:p>
        </w:tc>
        <w:tc>
          <w:tcPr>
            <w:tcW w:w="600" w:type="dxa"/>
            <w:vAlign w:val="bottom"/>
            <w:vMerge w:val="restart"/>
          </w:tcPr>
          <w:p>
            <w:pPr>
              <w:jc w:val="right"/>
              <w:ind w:right="79"/>
              <w:spacing w:after="0"/>
              <w:rPr>
                <w:sz w:val="20"/>
                <w:szCs w:val="20"/>
                <w:color w:val="auto"/>
              </w:rPr>
            </w:pPr>
            <w:r>
              <w:rPr>
                <w:rFonts w:ascii="Arial" w:cs="Arial" w:eastAsia="Arial" w:hAnsi="Arial"/>
                <w:sz w:val="13"/>
                <w:szCs w:val="13"/>
                <w:color w:val="auto"/>
              </w:rPr>
              <w:t>2</w:t>
            </w:r>
          </w:p>
        </w:tc>
        <w:tc>
          <w:tcPr>
            <w:tcW w:w="220" w:type="dxa"/>
            <w:vAlign w:val="bottom"/>
            <w:gridSpan w:val="2"/>
            <w:vMerge w:val="restart"/>
          </w:tcPr>
          <w:p>
            <w:pPr>
              <w:jc w:val="right"/>
              <w:ind w:right="20"/>
              <w:spacing w:after="0"/>
              <w:rPr>
                <w:sz w:val="20"/>
                <w:szCs w:val="20"/>
                <w:color w:val="auto"/>
              </w:rPr>
            </w:pPr>
            <w:r>
              <w:rPr>
                <w:rFonts w:ascii="Arial" w:cs="Arial" w:eastAsia="Arial" w:hAnsi="Arial"/>
                <w:sz w:val="13"/>
                <w:szCs w:val="13"/>
                <w:color w:val="auto"/>
              </w:rPr>
              <w:t>$</w:t>
            </w:r>
          </w:p>
        </w:tc>
        <w:tc>
          <w:tcPr>
            <w:tcW w:w="660" w:type="dxa"/>
            <w:vAlign w:val="bottom"/>
            <w:vMerge w:val="restart"/>
          </w:tcPr>
          <w:p>
            <w:pPr>
              <w:jc w:val="right"/>
              <w:ind w:right="60"/>
              <w:spacing w:after="0"/>
              <w:rPr>
                <w:sz w:val="20"/>
                <w:szCs w:val="20"/>
                <w:color w:val="auto"/>
              </w:rPr>
            </w:pPr>
            <w:r>
              <w:rPr>
                <w:rFonts w:ascii="Arial" w:cs="Arial" w:eastAsia="Arial" w:hAnsi="Arial"/>
                <w:sz w:val="13"/>
                <w:szCs w:val="13"/>
                <w:color w:val="auto"/>
              </w:rPr>
              <w:t>3</w:t>
            </w:r>
          </w:p>
        </w:tc>
        <w:tc>
          <w:tcPr>
            <w:tcW w:w="100" w:type="dxa"/>
            <w:vAlign w:val="bottom"/>
          </w:tcPr>
          <w:p>
            <w:pPr>
              <w:spacing w:after="0"/>
              <w:rPr>
                <w:sz w:val="13"/>
                <w:szCs w:val="13"/>
                <w:color w:val="auto"/>
              </w:rPr>
            </w:pPr>
          </w:p>
        </w:tc>
        <w:tc>
          <w:tcPr>
            <w:tcW w:w="10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600" w:type="dxa"/>
            <w:vAlign w:val="bottom"/>
            <w:vMerge w:val="restart"/>
          </w:tcPr>
          <w:p>
            <w:pPr>
              <w:jc w:val="right"/>
              <w:ind w:right="79"/>
              <w:spacing w:after="0"/>
              <w:rPr>
                <w:sz w:val="20"/>
                <w:szCs w:val="20"/>
                <w:color w:val="auto"/>
              </w:rPr>
            </w:pPr>
            <w:r>
              <w:rPr>
                <w:rFonts w:ascii="Arial" w:cs="Arial" w:eastAsia="Arial" w:hAnsi="Arial"/>
                <w:sz w:val="13"/>
                <w:szCs w:val="13"/>
                <w:color w:val="auto"/>
              </w:rPr>
              <w:t>3</w:t>
            </w:r>
          </w:p>
        </w:tc>
        <w:tc>
          <w:tcPr>
            <w:tcW w:w="220" w:type="dxa"/>
            <w:vAlign w:val="bottom"/>
            <w:gridSpan w:val="2"/>
            <w:vMerge w:val="restart"/>
          </w:tcPr>
          <w:p>
            <w:pPr>
              <w:jc w:val="right"/>
              <w:ind w:right="40"/>
              <w:spacing w:after="0"/>
              <w:rPr>
                <w:sz w:val="20"/>
                <w:szCs w:val="20"/>
                <w:color w:val="auto"/>
              </w:rPr>
            </w:pPr>
            <w:r>
              <w:rPr>
                <w:rFonts w:ascii="Arial" w:cs="Arial" w:eastAsia="Arial" w:hAnsi="Arial"/>
                <w:sz w:val="13"/>
                <w:szCs w:val="13"/>
                <w:color w:val="auto"/>
              </w:rPr>
              <w:t>$</w:t>
            </w:r>
          </w:p>
        </w:tc>
        <w:tc>
          <w:tcPr>
            <w:tcW w:w="540" w:type="dxa"/>
            <w:vAlign w:val="bottom"/>
            <w:vMerge w:val="restart"/>
          </w:tcPr>
          <w:p>
            <w:pPr>
              <w:jc w:val="right"/>
              <w:spacing w:after="0"/>
              <w:rPr>
                <w:sz w:val="20"/>
                <w:szCs w:val="20"/>
                <w:color w:val="auto"/>
              </w:rPr>
            </w:pPr>
            <w:r>
              <w:rPr>
                <w:rFonts w:ascii="Arial" w:cs="Arial" w:eastAsia="Arial" w:hAnsi="Arial"/>
                <w:sz w:val="13"/>
                <w:szCs w:val="13"/>
                <w:color w:val="auto"/>
              </w:rPr>
              <w:t>3,799</w:t>
            </w:r>
          </w:p>
        </w:tc>
        <w:tc>
          <w:tcPr>
            <w:tcW w:w="320" w:type="dxa"/>
            <w:vAlign w:val="bottom"/>
            <w:gridSpan w:val="3"/>
            <w:vMerge w:val="restart"/>
          </w:tcPr>
          <w:p>
            <w:pPr>
              <w:jc w:val="right"/>
              <w:ind w:right="20"/>
              <w:spacing w:after="0"/>
              <w:rPr>
                <w:sz w:val="20"/>
                <w:szCs w:val="20"/>
                <w:color w:val="auto"/>
              </w:rPr>
            </w:pPr>
            <w:r>
              <w:rPr>
                <w:rFonts w:ascii="Arial" w:cs="Arial" w:eastAsia="Arial" w:hAnsi="Arial"/>
                <w:sz w:val="13"/>
                <w:szCs w:val="13"/>
                <w:color w:val="auto"/>
              </w:rPr>
              <w:t>$</w:t>
            </w:r>
          </w:p>
        </w:tc>
        <w:tc>
          <w:tcPr>
            <w:tcW w:w="600" w:type="dxa"/>
            <w:vAlign w:val="bottom"/>
            <w:vMerge w:val="restart"/>
          </w:tcPr>
          <w:p>
            <w:pPr>
              <w:jc w:val="right"/>
              <w:ind w:right="79"/>
              <w:spacing w:after="0"/>
              <w:rPr>
                <w:sz w:val="20"/>
                <w:szCs w:val="20"/>
                <w:color w:val="auto"/>
              </w:rPr>
            </w:pPr>
            <w:r>
              <w:rPr>
                <w:rFonts w:ascii="Arial" w:cs="Arial" w:eastAsia="Arial" w:hAnsi="Arial"/>
                <w:sz w:val="13"/>
                <w:szCs w:val="13"/>
                <w:color w:val="auto"/>
              </w:rPr>
              <w:t>3,812</w:t>
            </w:r>
          </w:p>
        </w:tc>
        <w:tc>
          <w:tcPr>
            <w:tcW w:w="0" w:type="dxa"/>
            <w:vAlign w:val="bottom"/>
          </w:tcPr>
          <w:p>
            <w:pPr>
              <w:spacing w:after="0"/>
              <w:rPr>
                <w:sz w:val="1"/>
                <w:szCs w:val="1"/>
                <w:color w:val="auto"/>
              </w:rPr>
            </w:pPr>
          </w:p>
        </w:tc>
      </w:tr>
      <w:tr>
        <w:trPr>
          <w:trHeight w:val="117"/>
        </w:trPr>
        <w:tc>
          <w:tcPr>
            <w:tcW w:w="1260" w:type="dxa"/>
            <w:vAlign w:val="bottom"/>
          </w:tcPr>
          <w:p>
            <w:pPr>
              <w:spacing w:after="0"/>
              <w:rPr>
                <w:sz w:val="10"/>
                <w:szCs w:val="10"/>
                <w:color w:val="auto"/>
              </w:rPr>
            </w:pPr>
          </w:p>
        </w:tc>
        <w:tc>
          <w:tcPr>
            <w:tcW w:w="100" w:type="dxa"/>
            <w:vAlign w:val="bottom"/>
            <w:vMerge w:val="continue"/>
          </w:tcPr>
          <w:p>
            <w:pPr>
              <w:spacing w:after="0"/>
              <w:rPr>
                <w:sz w:val="10"/>
                <w:szCs w:val="10"/>
                <w:color w:val="auto"/>
              </w:rPr>
            </w:pPr>
          </w:p>
        </w:tc>
        <w:tc>
          <w:tcPr>
            <w:tcW w:w="560" w:type="dxa"/>
            <w:vAlign w:val="bottom"/>
            <w:vMerge w:val="continue"/>
          </w:tcPr>
          <w:p>
            <w:pPr>
              <w:spacing w:after="0"/>
              <w:rPr>
                <w:sz w:val="10"/>
                <w:szCs w:val="10"/>
                <w:color w:val="auto"/>
              </w:rPr>
            </w:pPr>
          </w:p>
        </w:tc>
        <w:tc>
          <w:tcPr>
            <w:tcW w:w="300" w:type="dxa"/>
            <w:vAlign w:val="bottom"/>
            <w:gridSpan w:val="3"/>
            <w:vMerge w:val="continue"/>
          </w:tcPr>
          <w:p>
            <w:pPr>
              <w:spacing w:after="0"/>
              <w:rPr>
                <w:sz w:val="10"/>
                <w:szCs w:val="10"/>
                <w:color w:val="auto"/>
              </w:rPr>
            </w:pPr>
          </w:p>
        </w:tc>
        <w:tc>
          <w:tcPr>
            <w:tcW w:w="600" w:type="dxa"/>
            <w:vAlign w:val="bottom"/>
            <w:vMerge w:val="continue"/>
          </w:tcPr>
          <w:p>
            <w:pPr>
              <w:spacing w:after="0"/>
              <w:rPr>
                <w:sz w:val="10"/>
                <w:szCs w:val="10"/>
                <w:color w:val="auto"/>
              </w:rPr>
            </w:pPr>
          </w:p>
        </w:tc>
        <w:tc>
          <w:tcPr>
            <w:tcW w:w="220" w:type="dxa"/>
            <w:vAlign w:val="bottom"/>
            <w:gridSpan w:val="2"/>
            <w:vMerge w:val="continue"/>
          </w:tcPr>
          <w:p>
            <w:pPr>
              <w:spacing w:after="0"/>
              <w:rPr>
                <w:sz w:val="10"/>
                <w:szCs w:val="10"/>
                <w:color w:val="auto"/>
              </w:rPr>
            </w:pPr>
          </w:p>
        </w:tc>
        <w:tc>
          <w:tcPr>
            <w:tcW w:w="580" w:type="dxa"/>
            <w:vAlign w:val="bottom"/>
            <w:vMerge w:val="continue"/>
          </w:tcPr>
          <w:p>
            <w:pPr>
              <w:spacing w:after="0"/>
              <w:rPr>
                <w:sz w:val="10"/>
                <w:szCs w:val="10"/>
                <w:color w:val="auto"/>
              </w:rPr>
            </w:pPr>
          </w:p>
        </w:tc>
        <w:tc>
          <w:tcPr>
            <w:tcW w:w="280" w:type="dxa"/>
            <w:vAlign w:val="bottom"/>
            <w:gridSpan w:val="3"/>
            <w:vMerge w:val="continue"/>
          </w:tcPr>
          <w:p>
            <w:pPr>
              <w:spacing w:after="0"/>
              <w:rPr>
                <w:sz w:val="10"/>
                <w:szCs w:val="10"/>
                <w:color w:val="auto"/>
              </w:rPr>
            </w:pPr>
          </w:p>
        </w:tc>
        <w:tc>
          <w:tcPr>
            <w:tcW w:w="600" w:type="dxa"/>
            <w:vAlign w:val="bottom"/>
            <w:vMerge w:val="continue"/>
          </w:tcPr>
          <w:p>
            <w:pPr>
              <w:spacing w:after="0"/>
              <w:rPr>
                <w:sz w:val="10"/>
                <w:szCs w:val="10"/>
                <w:color w:val="auto"/>
              </w:rPr>
            </w:pPr>
          </w:p>
        </w:tc>
        <w:tc>
          <w:tcPr>
            <w:tcW w:w="200" w:type="dxa"/>
            <w:vAlign w:val="bottom"/>
            <w:gridSpan w:val="2"/>
            <w:vMerge w:val="continue"/>
          </w:tcPr>
          <w:p>
            <w:pPr>
              <w:spacing w:after="0"/>
              <w:rPr>
                <w:sz w:val="10"/>
                <w:szCs w:val="10"/>
                <w:color w:val="auto"/>
              </w:rPr>
            </w:pPr>
          </w:p>
        </w:tc>
        <w:tc>
          <w:tcPr>
            <w:tcW w:w="600" w:type="dxa"/>
            <w:vAlign w:val="bottom"/>
            <w:vMerge w:val="continue"/>
          </w:tcPr>
          <w:p>
            <w:pPr>
              <w:spacing w:after="0"/>
              <w:rPr>
                <w:sz w:val="10"/>
                <w:szCs w:val="10"/>
                <w:color w:val="auto"/>
              </w:rPr>
            </w:pPr>
          </w:p>
        </w:tc>
        <w:tc>
          <w:tcPr>
            <w:tcW w:w="280" w:type="dxa"/>
            <w:vAlign w:val="bottom"/>
            <w:gridSpan w:val="3"/>
            <w:vMerge w:val="continue"/>
          </w:tcPr>
          <w:p>
            <w:pPr>
              <w:spacing w:after="0"/>
              <w:rPr>
                <w:sz w:val="10"/>
                <w:szCs w:val="10"/>
                <w:color w:val="auto"/>
              </w:rPr>
            </w:pPr>
          </w:p>
        </w:tc>
        <w:tc>
          <w:tcPr>
            <w:tcW w:w="580" w:type="dxa"/>
            <w:vAlign w:val="bottom"/>
            <w:vMerge w:val="continue"/>
          </w:tcPr>
          <w:p>
            <w:pPr>
              <w:spacing w:after="0"/>
              <w:rPr>
                <w:sz w:val="10"/>
                <w:szCs w:val="10"/>
                <w:color w:val="auto"/>
              </w:rPr>
            </w:pPr>
          </w:p>
        </w:tc>
        <w:tc>
          <w:tcPr>
            <w:tcW w:w="620" w:type="dxa"/>
            <w:vAlign w:val="bottom"/>
            <w:gridSpan w:val="2"/>
            <w:vMerge w:val="continue"/>
          </w:tcPr>
          <w:p>
            <w:pPr>
              <w:spacing w:after="0"/>
              <w:rPr>
                <w:sz w:val="10"/>
                <w:szCs w:val="10"/>
                <w:color w:val="auto"/>
              </w:rPr>
            </w:pPr>
          </w:p>
        </w:tc>
        <w:tc>
          <w:tcPr>
            <w:tcW w:w="180" w:type="dxa"/>
            <w:vAlign w:val="bottom"/>
            <w:vMerge w:val="continue"/>
          </w:tcPr>
          <w:p>
            <w:pPr>
              <w:spacing w:after="0"/>
              <w:rPr>
                <w:sz w:val="10"/>
                <w:szCs w:val="10"/>
                <w:color w:val="auto"/>
              </w:rPr>
            </w:pPr>
          </w:p>
        </w:tc>
        <w:tc>
          <w:tcPr>
            <w:tcW w:w="280" w:type="dxa"/>
            <w:vAlign w:val="bottom"/>
            <w:gridSpan w:val="3"/>
            <w:vMerge w:val="continue"/>
          </w:tcPr>
          <w:p>
            <w:pPr>
              <w:spacing w:after="0"/>
              <w:rPr>
                <w:sz w:val="10"/>
                <w:szCs w:val="10"/>
                <w:color w:val="auto"/>
              </w:rPr>
            </w:pPr>
          </w:p>
        </w:tc>
        <w:tc>
          <w:tcPr>
            <w:tcW w:w="600" w:type="dxa"/>
            <w:vAlign w:val="bottom"/>
            <w:vMerge w:val="continue"/>
          </w:tcPr>
          <w:p>
            <w:pPr>
              <w:spacing w:after="0"/>
              <w:rPr>
                <w:sz w:val="10"/>
                <w:szCs w:val="10"/>
                <w:color w:val="auto"/>
              </w:rPr>
            </w:pPr>
          </w:p>
        </w:tc>
        <w:tc>
          <w:tcPr>
            <w:tcW w:w="220" w:type="dxa"/>
            <w:vAlign w:val="bottom"/>
            <w:gridSpan w:val="2"/>
            <w:vMerge w:val="continue"/>
          </w:tcPr>
          <w:p>
            <w:pPr>
              <w:spacing w:after="0"/>
              <w:rPr>
                <w:sz w:val="10"/>
                <w:szCs w:val="10"/>
                <w:color w:val="auto"/>
              </w:rPr>
            </w:pPr>
          </w:p>
        </w:tc>
        <w:tc>
          <w:tcPr>
            <w:tcW w:w="66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vMerge w:val="continue"/>
          </w:tcPr>
          <w:p>
            <w:pPr>
              <w:spacing w:after="0"/>
              <w:rPr>
                <w:sz w:val="10"/>
                <w:szCs w:val="10"/>
                <w:color w:val="auto"/>
              </w:rPr>
            </w:pPr>
          </w:p>
        </w:tc>
        <w:tc>
          <w:tcPr>
            <w:tcW w:w="600" w:type="dxa"/>
            <w:vAlign w:val="bottom"/>
            <w:vMerge w:val="continue"/>
          </w:tcPr>
          <w:p>
            <w:pPr>
              <w:spacing w:after="0"/>
              <w:rPr>
                <w:sz w:val="10"/>
                <w:szCs w:val="10"/>
                <w:color w:val="auto"/>
              </w:rPr>
            </w:pPr>
          </w:p>
        </w:tc>
        <w:tc>
          <w:tcPr>
            <w:tcW w:w="220" w:type="dxa"/>
            <w:vAlign w:val="bottom"/>
            <w:gridSpan w:val="2"/>
            <w:vMerge w:val="continue"/>
          </w:tcPr>
          <w:p>
            <w:pPr>
              <w:spacing w:after="0"/>
              <w:rPr>
                <w:sz w:val="10"/>
                <w:szCs w:val="10"/>
                <w:color w:val="auto"/>
              </w:rPr>
            </w:pPr>
          </w:p>
        </w:tc>
        <w:tc>
          <w:tcPr>
            <w:tcW w:w="540" w:type="dxa"/>
            <w:vAlign w:val="bottom"/>
            <w:vMerge w:val="continue"/>
          </w:tcPr>
          <w:p>
            <w:pPr>
              <w:spacing w:after="0"/>
              <w:rPr>
                <w:sz w:val="10"/>
                <w:szCs w:val="10"/>
                <w:color w:val="auto"/>
              </w:rPr>
            </w:pPr>
          </w:p>
        </w:tc>
        <w:tc>
          <w:tcPr>
            <w:tcW w:w="320" w:type="dxa"/>
            <w:vAlign w:val="bottom"/>
            <w:gridSpan w:val="3"/>
            <w:vMerge w:val="continue"/>
          </w:tcPr>
          <w:p>
            <w:pPr>
              <w:spacing w:after="0"/>
              <w:rPr>
                <w:sz w:val="10"/>
                <w:szCs w:val="10"/>
                <w:color w:val="auto"/>
              </w:rPr>
            </w:pPr>
          </w:p>
        </w:tc>
        <w:tc>
          <w:tcPr>
            <w:tcW w:w="6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260" w:type="dxa"/>
            <w:vAlign w:val="bottom"/>
            <w:tcBorders>
              <w:top w:val="single" w:sz="8" w:color="CCEEFF"/>
            </w:tcBorders>
            <w:shd w:val="clear" w:color="auto" w:fill="CCEEFF"/>
          </w:tcPr>
          <w:p>
            <w:pPr>
              <w:ind w:left="20"/>
              <w:spacing w:after="0" w:line="108" w:lineRule="exact"/>
              <w:rPr>
                <w:sz w:val="20"/>
                <w:szCs w:val="20"/>
                <w:color w:val="auto"/>
              </w:rPr>
            </w:pPr>
            <w:r>
              <w:rPr>
                <w:rFonts w:ascii="Arial" w:cs="Arial" w:eastAsia="Arial" w:hAnsi="Arial"/>
                <w:sz w:val="12"/>
                <w:szCs w:val="12"/>
                <w:color w:val="auto"/>
              </w:rPr>
              <w:t>Ratings</w:t>
            </w:r>
          </w:p>
        </w:tc>
        <w:tc>
          <w:tcPr>
            <w:tcW w:w="100" w:type="dxa"/>
            <w:vAlign w:val="bottom"/>
            <w:tcBorders>
              <w:top w:val="single" w:sz="8" w:color="auto"/>
            </w:tcBorders>
            <w:shd w:val="clear" w:color="auto" w:fill="CCEEFF"/>
          </w:tcPr>
          <w:p>
            <w:pPr>
              <w:spacing w:after="0"/>
              <w:rPr>
                <w:sz w:val="9"/>
                <w:szCs w:val="9"/>
                <w:color w:val="auto"/>
              </w:rPr>
            </w:pPr>
          </w:p>
        </w:tc>
        <w:tc>
          <w:tcPr>
            <w:tcW w:w="56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auto"/>
            </w:tcBorders>
            <w:shd w:val="clear" w:color="auto" w:fill="CCEEFF"/>
          </w:tcPr>
          <w:p>
            <w:pPr>
              <w:spacing w:after="0"/>
              <w:rPr>
                <w:sz w:val="9"/>
                <w:szCs w:val="9"/>
                <w:color w:val="auto"/>
              </w:rPr>
            </w:pPr>
          </w:p>
        </w:tc>
        <w:tc>
          <w:tcPr>
            <w:tcW w:w="6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3"/>
                <w:szCs w:val="13"/>
                <w:color w:val="auto"/>
              </w:rPr>
              <w:t>66.7%</w:t>
            </w:r>
          </w:p>
        </w:tc>
        <w:tc>
          <w:tcPr>
            <w:tcW w:w="100" w:type="dxa"/>
            <w:vAlign w:val="bottom"/>
            <w:tcBorders>
              <w:top w:val="single" w:sz="8" w:color="CCEEFF"/>
            </w:tcBorders>
            <w:shd w:val="clear" w:color="auto" w:fill="CCEEFF"/>
          </w:tcPr>
          <w:p>
            <w:pPr>
              <w:spacing w:after="0"/>
              <w:rPr>
                <w:sz w:val="9"/>
                <w:szCs w:val="9"/>
                <w:color w:val="auto"/>
              </w:rPr>
            </w:pPr>
          </w:p>
        </w:tc>
        <w:tc>
          <w:tcPr>
            <w:tcW w:w="120" w:type="dxa"/>
            <w:vAlign w:val="bottom"/>
            <w:tcBorders>
              <w:top w:val="single" w:sz="8" w:color="auto"/>
            </w:tcBorders>
            <w:shd w:val="clear" w:color="auto" w:fill="CCEEFF"/>
          </w:tcPr>
          <w:p>
            <w:pPr>
              <w:spacing w:after="0"/>
              <w:rPr>
                <w:sz w:val="9"/>
                <w:szCs w:val="9"/>
                <w:color w:val="auto"/>
              </w:rPr>
            </w:pPr>
          </w:p>
        </w:tc>
        <w:tc>
          <w:tcPr>
            <w:tcW w:w="58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auto"/>
            </w:tcBorders>
            <w:shd w:val="clear" w:color="auto" w:fill="CCEEFF"/>
          </w:tcPr>
          <w:p>
            <w:pPr>
              <w:spacing w:after="0"/>
              <w:rPr>
                <w:sz w:val="9"/>
                <w:szCs w:val="9"/>
                <w:color w:val="auto"/>
              </w:rPr>
            </w:pPr>
          </w:p>
        </w:tc>
        <w:tc>
          <w:tcPr>
            <w:tcW w:w="6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3"/>
                <w:szCs w:val="13"/>
                <w:color w:val="auto"/>
              </w:rPr>
              <w:t>24.2%</w:t>
            </w:r>
          </w:p>
        </w:tc>
        <w:tc>
          <w:tcPr>
            <w:tcW w:w="10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auto"/>
            </w:tcBorders>
            <w:shd w:val="clear" w:color="auto" w:fill="CCEEFF"/>
          </w:tcPr>
          <w:p>
            <w:pPr>
              <w:spacing w:after="0"/>
              <w:rPr>
                <w:sz w:val="9"/>
                <w:szCs w:val="9"/>
                <w:color w:val="auto"/>
              </w:rPr>
            </w:pPr>
          </w:p>
        </w:tc>
        <w:tc>
          <w:tcPr>
            <w:tcW w:w="60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auto"/>
            </w:tcBorders>
            <w:shd w:val="clear" w:color="auto" w:fill="CCEEFF"/>
          </w:tcPr>
          <w:p>
            <w:pPr>
              <w:spacing w:after="0"/>
              <w:rPr>
                <w:sz w:val="9"/>
                <w:szCs w:val="9"/>
                <w:color w:val="auto"/>
              </w:rPr>
            </w:pPr>
          </w:p>
        </w:tc>
        <w:tc>
          <w:tcPr>
            <w:tcW w:w="5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3"/>
                <w:szCs w:val="13"/>
                <w:color w:val="auto"/>
              </w:rPr>
              <w:t>8.9%</w:t>
            </w:r>
          </w:p>
        </w:tc>
        <w:tc>
          <w:tcPr>
            <w:tcW w:w="120" w:type="dxa"/>
            <w:vAlign w:val="bottom"/>
            <w:tcBorders>
              <w:top w:val="single" w:sz="8" w:color="CCEEFF"/>
            </w:tcBorders>
            <w:shd w:val="clear" w:color="auto" w:fill="CCEEFF"/>
          </w:tcPr>
          <w:p>
            <w:pPr>
              <w:spacing w:after="0"/>
              <w:rPr>
                <w:sz w:val="9"/>
                <w:szCs w:val="9"/>
                <w:color w:val="auto"/>
              </w:rPr>
            </w:pPr>
          </w:p>
        </w:tc>
        <w:tc>
          <w:tcPr>
            <w:tcW w:w="500" w:type="dxa"/>
            <w:vAlign w:val="bottom"/>
            <w:tcBorders>
              <w:top w:val="single" w:sz="8" w:color="auto"/>
            </w:tcBorders>
            <w:shd w:val="clear" w:color="auto" w:fill="CCEEFF"/>
          </w:tcPr>
          <w:p>
            <w:pPr>
              <w:spacing w:after="0"/>
              <w:rPr>
                <w:sz w:val="9"/>
                <w:szCs w:val="9"/>
                <w:color w:val="auto"/>
              </w:rPr>
            </w:pPr>
          </w:p>
        </w:tc>
        <w:tc>
          <w:tcPr>
            <w:tcW w:w="18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auto"/>
            </w:tcBorders>
            <w:shd w:val="clear" w:color="auto" w:fill="CCEEFF"/>
          </w:tcPr>
          <w:p>
            <w:pPr>
              <w:spacing w:after="0"/>
              <w:rPr>
                <w:sz w:val="9"/>
                <w:szCs w:val="9"/>
                <w:color w:val="auto"/>
              </w:rPr>
            </w:pPr>
          </w:p>
        </w:tc>
        <w:tc>
          <w:tcPr>
            <w:tcW w:w="12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auto"/>
            </w:tcBorders>
            <w:shd w:val="clear" w:color="auto" w:fill="CCEEFF"/>
          </w:tcPr>
          <w:p>
            <w:pPr>
              <w:spacing w:after="0"/>
              <w:rPr>
                <w:sz w:val="9"/>
                <w:szCs w:val="9"/>
                <w:color w:val="auto"/>
              </w:rPr>
            </w:pPr>
          </w:p>
        </w:tc>
        <w:tc>
          <w:tcPr>
            <w:tcW w:w="6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3"/>
                <w:szCs w:val="13"/>
                <w:color w:val="auto"/>
              </w:rPr>
              <w:t>0.1%</w:t>
            </w:r>
          </w:p>
        </w:tc>
        <w:tc>
          <w:tcPr>
            <w:tcW w:w="12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auto"/>
            </w:tcBorders>
            <w:shd w:val="clear" w:color="auto" w:fill="CCEEFF"/>
          </w:tcPr>
          <w:p>
            <w:pPr>
              <w:spacing w:after="0"/>
              <w:rPr>
                <w:sz w:val="9"/>
                <w:szCs w:val="9"/>
                <w:color w:val="auto"/>
              </w:rPr>
            </w:pPr>
          </w:p>
        </w:tc>
        <w:tc>
          <w:tcPr>
            <w:tcW w:w="66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auto"/>
            </w:tcBorders>
            <w:shd w:val="clear" w:color="auto" w:fill="CCEEFF"/>
          </w:tcPr>
          <w:p>
            <w:pPr>
              <w:spacing w:after="0"/>
              <w:rPr>
                <w:sz w:val="9"/>
                <w:szCs w:val="9"/>
                <w:color w:val="auto"/>
              </w:rPr>
            </w:pPr>
          </w:p>
        </w:tc>
        <w:tc>
          <w:tcPr>
            <w:tcW w:w="6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3"/>
                <w:szCs w:val="13"/>
                <w:color w:val="auto"/>
              </w:rPr>
              <w:t>0.1%</w:t>
            </w:r>
          </w:p>
        </w:tc>
        <w:tc>
          <w:tcPr>
            <w:tcW w:w="100" w:type="dxa"/>
            <w:vAlign w:val="bottom"/>
            <w:tcBorders>
              <w:top w:val="single" w:sz="8" w:color="CCEEFF"/>
            </w:tcBorders>
            <w:shd w:val="clear" w:color="auto" w:fill="CCEEFF"/>
          </w:tcPr>
          <w:p>
            <w:pPr>
              <w:spacing w:after="0"/>
              <w:rPr>
                <w:sz w:val="9"/>
                <w:szCs w:val="9"/>
                <w:color w:val="auto"/>
              </w:rPr>
            </w:pPr>
          </w:p>
        </w:tc>
        <w:tc>
          <w:tcPr>
            <w:tcW w:w="120" w:type="dxa"/>
            <w:vAlign w:val="bottom"/>
            <w:tcBorders>
              <w:top w:val="single" w:sz="8" w:color="auto"/>
            </w:tcBorders>
            <w:shd w:val="clear" w:color="auto" w:fill="CCEEFF"/>
          </w:tcPr>
          <w:p>
            <w:pPr>
              <w:spacing w:after="0"/>
              <w:rPr>
                <w:sz w:val="9"/>
                <w:szCs w:val="9"/>
                <w:color w:val="auto"/>
              </w:rPr>
            </w:pPr>
          </w:p>
        </w:tc>
        <w:tc>
          <w:tcPr>
            <w:tcW w:w="540" w:type="dxa"/>
            <w:vAlign w:val="bottom"/>
            <w:tcBorders>
              <w:top w:val="single" w:sz="8" w:color="auto"/>
            </w:tcBorders>
            <w:shd w:val="clear" w:color="auto" w:fill="CCEEFF"/>
          </w:tcPr>
          <w:p>
            <w:pPr>
              <w:spacing w:after="0"/>
              <w:rPr>
                <w:sz w:val="9"/>
                <w:szCs w:val="9"/>
                <w:color w:val="auto"/>
              </w:rPr>
            </w:pPr>
          </w:p>
        </w:tc>
        <w:tc>
          <w:tcPr>
            <w:tcW w:w="12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auto"/>
            </w:tcBorders>
            <w:shd w:val="clear" w:color="auto" w:fill="CCEEFF"/>
          </w:tcPr>
          <w:p>
            <w:pPr>
              <w:spacing w:after="0"/>
              <w:rPr>
                <w:sz w:val="9"/>
                <w:szCs w:val="9"/>
                <w:color w:val="auto"/>
              </w:rPr>
            </w:pPr>
          </w:p>
        </w:tc>
        <w:tc>
          <w:tcPr>
            <w:tcW w:w="6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3"/>
                <w:szCs w:val="13"/>
                <w:color w:val="auto"/>
              </w:rPr>
              <w:t>100.0%</w:t>
            </w:r>
          </w:p>
        </w:tc>
        <w:tc>
          <w:tcPr>
            <w:tcW w:w="0" w:type="dxa"/>
            <w:vAlign w:val="bottom"/>
          </w:tcPr>
          <w:p>
            <w:pPr>
              <w:spacing w:after="0"/>
              <w:rPr>
                <w:sz w:val="1"/>
                <w:szCs w:val="1"/>
                <w:color w:val="auto"/>
              </w:rPr>
            </w:pPr>
          </w:p>
        </w:tc>
      </w:tr>
      <w:tr>
        <w:trPr>
          <w:trHeight w:val="162"/>
        </w:trPr>
        <w:tc>
          <w:tcPr>
            <w:tcW w:w="12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3"/>
                <w:szCs w:val="13"/>
                <w:color w:val="auto"/>
              </w:rPr>
              <w:t>Distribution</w:t>
            </w:r>
          </w:p>
        </w:tc>
        <w:tc>
          <w:tcPr>
            <w:tcW w:w="100" w:type="dxa"/>
            <w:vAlign w:val="bottom"/>
            <w:tcBorders>
              <w:bottom w:val="single" w:sz="8" w:color="CCEEFF"/>
            </w:tcBorders>
            <w:shd w:val="clear" w:color="auto" w:fill="CCEEFF"/>
          </w:tcPr>
          <w:p>
            <w:pPr>
              <w:spacing w:after="0"/>
              <w:rPr>
                <w:sz w:val="14"/>
                <w:szCs w:val="14"/>
                <w:color w:val="auto"/>
              </w:rPr>
            </w:pPr>
          </w:p>
        </w:tc>
        <w:tc>
          <w:tcPr>
            <w:tcW w:w="56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600" w:type="dxa"/>
            <w:vAlign w:val="bottom"/>
            <w:tcBorders>
              <w:bottom w:val="single" w:sz="8" w:color="auto"/>
            </w:tcBorders>
            <w:vMerge w:val="continue"/>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58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600" w:type="dxa"/>
            <w:vAlign w:val="bottom"/>
            <w:tcBorders>
              <w:bottom w:val="single" w:sz="8" w:color="auto"/>
            </w:tcBorders>
            <w:vMerge w:val="continue"/>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60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580" w:type="dxa"/>
            <w:vAlign w:val="bottom"/>
            <w:tcBorders>
              <w:bottom w:val="single" w:sz="8" w:color="auto"/>
            </w:tcBorders>
            <w:vMerge w:val="continue"/>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50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600" w:type="dxa"/>
            <w:vAlign w:val="bottom"/>
            <w:tcBorders>
              <w:bottom w:val="single" w:sz="8" w:color="auto"/>
            </w:tcBorders>
            <w:vMerge w:val="continue"/>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600" w:type="dxa"/>
            <w:vAlign w:val="bottom"/>
            <w:tcBorders>
              <w:bottom w:val="single" w:sz="8" w:color="auto"/>
            </w:tcBorders>
            <w:vMerge w:val="continue"/>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54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600" w:type="dxa"/>
            <w:vAlign w:val="bottom"/>
            <w:tcBorders>
              <w:bottom w:val="single" w:sz="8" w:color="auto"/>
            </w:tcBorders>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left="180" w:firstLine="324"/>
        <w:spacing w:after="0" w:line="277" w:lineRule="auto"/>
        <w:rPr>
          <w:sz w:val="20"/>
          <w:szCs w:val="20"/>
          <w:color w:val="auto"/>
        </w:rPr>
      </w:pPr>
      <w:r>
        <w:rPr>
          <w:rFonts w:ascii="Arial" w:cs="Arial" w:eastAsia="Arial" w:hAnsi="Arial"/>
          <w:sz w:val="18"/>
          <w:szCs w:val="18"/>
          <w:color w:val="auto"/>
        </w:rPr>
        <w:t>The tables above reflect NRSRO ratings, including Moody’s Investor Service, S&amp;P, Fitch and Morningstar, Inc. CMBS designated NAIC 1 were 100.0% of total CMBS at both September 30, 2017 and December 31, 2016.</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112</w:t>
      </w:r>
    </w:p>
    <w:p>
      <w:pPr>
        <w:sectPr>
          <w:pgSz w:w="11900" w:h="16838" w:orient="portrait"/>
          <w:cols w:equalWidth="0" w:num="1">
            <w:col w:w="11420"/>
          </w:cols>
          <w:pgMar w:left="240" w:top="126" w:right="239" w:bottom="1440" w:gutter="0" w:footer="0" w:header="0"/>
        </w:sectPr>
      </w:pPr>
    </w:p>
    <w:bookmarkStart w:id="114" w:name="page115"/>
    <w:bookmarkEnd w:id="114"/>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ABS</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Our ABS holdings are diversified both by collateral type and by issuer. The following table presents our ABS holdings at:</w:t>
      </w:r>
    </w:p>
    <w:p>
      <w:pPr>
        <w:spacing w:after="0" w:line="392" w:lineRule="exact"/>
        <w:rPr>
          <w:sz w:val="20"/>
          <w:szCs w:val="20"/>
          <w:color w:val="auto"/>
        </w:rPr>
      </w:pPr>
    </w:p>
    <w:tbl>
      <w:tblPr>
        <w:tblLayout w:type="fixed"/>
        <w:tblInd w:w="340" w:type="dxa"/>
        <w:tblCellMar>
          <w:top w:w="0" w:type="dxa"/>
          <w:left w:w="0" w:type="dxa"/>
          <w:bottom w:w="0" w:type="dxa"/>
          <w:right w:w="0" w:type="dxa"/>
        </w:tblCellMar>
      </w:tblPr>
      <w:tr>
        <w:trPr>
          <w:trHeight w:val="192"/>
        </w:trPr>
        <w:tc>
          <w:tcPr>
            <w:tcW w:w="3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93"/>
              </w:rPr>
              <w:t>September 30, 2017</w:t>
            </w:r>
          </w:p>
        </w:tc>
        <w:tc>
          <w:tcPr>
            <w:tcW w:w="12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93"/>
              </w:rPr>
              <w:t>December 31, 2016</w:t>
            </w:r>
          </w:p>
        </w:tc>
        <w:tc>
          <w:tcPr>
            <w:tcW w:w="12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80" w:type="dxa"/>
            <w:vAlign w:val="bottom"/>
            <w:gridSpan w:val="2"/>
          </w:tcPr>
          <w:p>
            <w:pPr>
              <w:jc w:val="center"/>
              <w:ind w:right="300"/>
              <w:spacing w:after="0" w:line="153" w:lineRule="exact"/>
              <w:rPr>
                <w:sz w:val="20"/>
                <w:szCs w:val="20"/>
                <w:color w:val="auto"/>
              </w:rPr>
            </w:pPr>
            <w:r>
              <w:rPr>
                <w:rFonts w:ascii="Arial" w:cs="Arial" w:eastAsia="Arial" w:hAnsi="Arial"/>
                <w:sz w:val="14"/>
                <w:szCs w:val="14"/>
                <w:b w:val="1"/>
                <w:bCs w:val="1"/>
                <w:color w:val="auto"/>
                <w:w w:val="92"/>
              </w:rPr>
              <w:t>Estimated</w:t>
            </w:r>
          </w:p>
        </w:tc>
        <w:tc>
          <w:tcPr>
            <w:tcW w:w="1020" w:type="dxa"/>
            <w:vAlign w:val="bottom"/>
            <w:gridSpan w:val="2"/>
            <w:vMerge w:val="restart"/>
          </w:tcPr>
          <w:p>
            <w:pPr>
              <w:ind w:left="300"/>
              <w:spacing w:after="0"/>
              <w:rPr>
                <w:sz w:val="20"/>
                <w:szCs w:val="20"/>
                <w:color w:val="auto"/>
              </w:rPr>
            </w:pPr>
            <w:r>
              <w:rPr>
                <w:rFonts w:ascii="Arial" w:cs="Arial" w:eastAsia="Arial" w:hAnsi="Arial"/>
                <w:sz w:val="14"/>
                <w:szCs w:val="14"/>
                <w:b w:val="1"/>
                <w:bCs w:val="1"/>
                <w:color w:val="auto"/>
              </w:rPr>
              <w:t>% of</w:t>
            </w:r>
          </w:p>
        </w:tc>
        <w:tc>
          <w:tcPr>
            <w:tcW w:w="260" w:type="dxa"/>
            <w:vAlign w:val="bottom"/>
          </w:tcPr>
          <w:p>
            <w:pPr>
              <w:spacing w:after="0"/>
              <w:rPr>
                <w:sz w:val="13"/>
                <w:szCs w:val="13"/>
                <w:color w:val="auto"/>
              </w:rPr>
            </w:pPr>
          </w:p>
        </w:tc>
        <w:tc>
          <w:tcPr>
            <w:tcW w:w="1320" w:type="dxa"/>
            <w:vAlign w:val="bottom"/>
            <w:gridSpan w:val="2"/>
          </w:tcPr>
          <w:p>
            <w:pPr>
              <w:jc w:val="center"/>
              <w:ind w:right="400"/>
              <w:spacing w:after="0" w:line="153" w:lineRule="exact"/>
              <w:rPr>
                <w:sz w:val="20"/>
                <w:szCs w:val="20"/>
                <w:color w:val="auto"/>
              </w:rPr>
            </w:pPr>
            <w:r>
              <w:rPr>
                <w:rFonts w:ascii="Arial" w:cs="Arial" w:eastAsia="Arial" w:hAnsi="Arial"/>
                <w:sz w:val="14"/>
                <w:szCs w:val="14"/>
                <w:b w:val="1"/>
                <w:bCs w:val="1"/>
                <w:color w:val="auto"/>
                <w:w w:val="88"/>
              </w:rPr>
              <w:t>Net</w:t>
            </w:r>
          </w:p>
        </w:tc>
        <w:tc>
          <w:tcPr>
            <w:tcW w:w="200" w:type="dxa"/>
            <w:vAlign w:val="bottom"/>
          </w:tcPr>
          <w:p>
            <w:pPr>
              <w:spacing w:after="0"/>
              <w:rPr>
                <w:sz w:val="13"/>
                <w:szCs w:val="13"/>
                <w:color w:val="auto"/>
              </w:rPr>
            </w:pPr>
          </w:p>
        </w:tc>
        <w:tc>
          <w:tcPr>
            <w:tcW w:w="1080" w:type="dxa"/>
            <w:vAlign w:val="bottom"/>
            <w:gridSpan w:val="2"/>
          </w:tcPr>
          <w:p>
            <w:pPr>
              <w:jc w:val="center"/>
              <w:ind w:right="300"/>
              <w:spacing w:after="0" w:line="153" w:lineRule="exact"/>
              <w:rPr>
                <w:sz w:val="20"/>
                <w:szCs w:val="20"/>
                <w:color w:val="auto"/>
              </w:rPr>
            </w:pPr>
            <w:r>
              <w:rPr>
                <w:rFonts w:ascii="Arial" w:cs="Arial" w:eastAsia="Arial" w:hAnsi="Arial"/>
                <w:sz w:val="14"/>
                <w:szCs w:val="14"/>
                <w:b w:val="1"/>
                <w:bCs w:val="1"/>
                <w:color w:val="auto"/>
                <w:w w:val="92"/>
              </w:rPr>
              <w:t>Estimated</w:t>
            </w:r>
          </w:p>
        </w:tc>
        <w:tc>
          <w:tcPr>
            <w:tcW w:w="1020" w:type="dxa"/>
            <w:vAlign w:val="bottom"/>
            <w:gridSpan w:val="2"/>
            <w:vMerge w:val="restart"/>
          </w:tcPr>
          <w:p>
            <w:pPr>
              <w:ind w:left="300"/>
              <w:spacing w:after="0"/>
              <w:rPr>
                <w:sz w:val="20"/>
                <w:szCs w:val="20"/>
                <w:color w:val="auto"/>
              </w:rPr>
            </w:pPr>
            <w:r>
              <w:rPr>
                <w:rFonts w:ascii="Arial" w:cs="Arial" w:eastAsia="Arial" w:hAnsi="Arial"/>
                <w:sz w:val="14"/>
                <w:szCs w:val="14"/>
                <w:b w:val="1"/>
                <w:bCs w:val="1"/>
                <w:color w:val="auto"/>
              </w:rPr>
              <w:t>% of</w:t>
            </w:r>
          </w:p>
        </w:tc>
        <w:tc>
          <w:tcPr>
            <w:tcW w:w="240" w:type="dxa"/>
            <w:vAlign w:val="bottom"/>
          </w:tcPr>
          <w:p>
            <w:pPr>
              <w:spacing w:after="0"/>
              <w:rPr>
                <w:sz w:val="13"/>
                <w:szCs w:val="13"/>
                <w:color w:val="auto"/>
              </w:rPr>
            </w:pPr>
          </w:p>
        </w:tc>
        <w:tc>
          <w:tcPr>
            <w:tcW w:w="1240" w:type="dxa"/>
            <w:vAlign w:val="bottom"/>
          </w:tcPr>
          <w:p>
            <w:pPr>
              <w:jc w:val="center"/>
              <w:ind w:right="181"/>
              <w:spacing w:after="0" w:line="153" w:lineRule="exact"/>
              <w:rPr>
                <w:sz w:val="20"/>
                <w:szCs w:val="20"/>
                <w:color w:val="auto"/>
              </w:rPr>
            </w:pPr>
            <w:r>
              <w:rPr>
                <w:rFonts w:ascii="Arial" w:cs="Arial" w:eastAsia="Arial" w:hAnsi="Arial"/>
                <w:sz w:val="14"/>
                <w:szCs w:val="14"/>
                <w:b w:val="1"/>
                <w:bCs w:val="1"/>
                <w:color w:val="auto"/>
                <w:w w:val="97"/>
              </w:rPr>
              <w:t>Net</w:t>
            </w:r>
          </w:p>
        </w:tc>
        <w:tc>
          <w:tcPr>
            <w:tcW w:w="0" w:type="dxa"/>
            <w:vAlign w:val="bottom"/>
          </w:tcPr>
          <w:p>
            <w:pPr>
              <w:spacing w:after="0"/>
              <w:rPr>
                <w:sz w:val="1"/>
                <w:szCs w:val="1"/>
                <w:color w:val="auto"/>
              </w:rPr>
            </w:pPr>
          </w:p>
        </w:tc>
      </w:tr>
      <w:tr>
        <w:trPr>
          <w:trHeight w:val="149"/>
        </w:trPr>
        <w:tc>
          <w:tcPr>
            <w:tcW w:w="3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rPr>
              <w:t>Fair</w:t>
            </w:r>
          </w:p>
        </w:tc>
        <w:tc>
          <w:tcPr>
            <w:tcW w:w="102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132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5"/>
              </w:rPr>
              <w:t>Unrealized</w:t>
            </w:r>
          </w:p>
        </w:tc>
        <w:tc>
          <w:tcPr>
            <w:tcW w:w="200" w:type="dxa"/>
            <w:vAlign w:val="bottom"/>
          </w:tcPr>
          <w:p>
            <w:pPr>
              <w:spacing w:after="0"/>
              <w:rPr>
                <w:sz w:val="12"/>
                <w:szCs w:val="12"/>
                <w:color w:val="auto"/>
              </w:rPr>
            </w:pPr>
          </w:p>
        </w:tc>
        <w:tc>
          <w:tcPr>
            <w:tcW w:w="108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rPr>
              <w:t>Fair</w:t>
            </w:r>
          </w:p>
        </w:tc>
        <w:tc>
          <w:tcPr>
            <w:tcW w:w="102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1240" w:type="dxa"/>
            <w:vAlign w:val="bottom"/>
          </w:tcPr>
          <w:p>
            <w:pPr>
              <w:jc w:val="center"/>
              <w:ind w:right="181"/>
              <w:spacing w:after="0" w:line="149" w:lineRule="exact"/>
              <w:rPr>
                <w:sz w:val="20"/>
                <w:szCs w:val="20"/>
                <w:color w:val="auto"/>
              </w:rPr>
            </w:pPr>
            <w:r>
              <w:rPr>
                <w:rFonts w:ascii="Arial" w:cs="Arial" w:eastAsia="Arial" w:hAnsi="Arial"/>
                <w:sz w:val="14"/>
                <w:szCs w:val="14"/>
                <w:b w:val="1"/>
                <w:bCs w:val="1"/>
                <w:color w:val="auto"/>
                <w:w w:val="93"/>
              </w:rPr>
              <w:t>Unrealized</w:t>
            </w:r>
          </w:p>
        </w:tc>
        <w:tc>
          <w:tcPr>
            <w:tcW w:w="0" w:type="dxa"/>
            <w:vAlign w:val="bottom"/>
          </w:tcPr>
          <w:p>
            <w:pPr>
              <w:spacing w:after="0"/>
              <w:rPr>
                <w:sz w:val="1"/>
                <w:szCs w:val="1"/>
                <w:color w:val="auto"/>
              </w:rPr>
            </w:pPr>
          </w:p>
        </w:tc>
      </w:tr>
      <w:tr>
        <w:trPr>
          <w:trHeight w:val="192"/>
        </w:trPr>
        <w:tc>
          <w:tcPr>
            <w:tcW w:w="3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w w:val="90"/>
              </w:rPr>
              <w:t>Value</w:t>
            </w:r>
          </w:p>
        </w:tc>
        <w:tc>
          <w:tcPr>
            <w:tcW w:w="1020" w:type="dxa"/>
            <w:vAlign w:val="bottom"/>
            <w:tcBorders>
              <w:bottom w:val="single" w:sz="8" w:color="auto"/>
            </w:tcBorders>
            <w:gridSpan w:val="2"/>
          </w:tcPr>
          <w:p>
            <w:pPr>
              <w:ind w:left="300"/>
              <w:spacing w:after="0"/>
              <w:rPr>
                <w:sz w:val="20"/>
                <w:szCs w:val="20"/>
                <w:color w:val="auto"/>
              </w:rPr>
            </w:pPr>
            <w:r>
              <w:rPr>
                <w:rFonts w:ascii="Arial" w:cs="Arial" w:eastAsia="Arial" w:hAnsi="Arial"/>
                <w:sz w:val="14"/>
                <w:szCs w:val="14"/>
                <w:b w:val="1"/>
                <w:bCs w:val="1"/>
                <w:color w:val="auto"/>
              </w:rPr>
              <w:t>Total</w:t>
            </w:r>
          </w:p>
        </w:tc>
        <w:tc>
          <w:tcPr>
            <w:tcW w:w="2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2"/>
          </w:tcPr>
          <w:p>
            <w:pPr>
              <w:jc w:val="center"/>
              <w:ind w:right="360"/>
              <w:spacing w:after="0"/>
              <w:rPr>
                <w:sz w:val="20"/>
                <w:szCs w:val="20"/>
                <w:color w:val="auto"/>
              </w:rPr>
            </w:pPr>
            <w:r>
              <w:rPr>
                <w:rFonts w:ascii="Arial" w:cs="Arial" w:eastAsia="Arial" w:hAnsi="Arial"/>
                <w:sz w:val="14"/>
                <w:szCs w:val="14"/>
                <w:b w:val="1"/>
                <w:bCs w:val="1"/>
                <w:color w:val="auto"/>
                <w:w w:val="87"/>
              </w:rPr>
              <w:t>Gains (Losses)</w:t>
            </w:r>
          </w:p>
        </w:tc>
        <w:tc>
          <w:tcPr>
            <w:tcW w:w="2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w w:val="90"/>
              </w:rPr>
              <w:t>Value</w:t>
            </w:r>
          </w:p>
        </w:tc>
        <w:tc>
          <w:tcPr>
            <w:tcW w:w="1020" w:type="dxa"/>
            <w:vAlign w:val="bottom"/>
            <w:tcBorders>
              <w:bottom w:val="single" w:sz="8" w:color="auto"/>
            </w:tcBorders>
            <w:gridSpan w:val="2"/>
          </w:tcPr>
          <w:p>
            <w:pPr>
              <w:ind w:left="300"/>
              <w:spacing w:after="0"/>
              <w:rPr>
                <w:sz w:val="20"/>
                <w:szCs w:val="20"/>
                <w:color w:val="auto"/>
              </w:rPr>
            </w:pPr>
            <w:r>
              <w:rPr>
                <w:rFonts w:ascii="Arial" w:cs="Arial" w:eastAsia="Arial" w:hAnsi="Arial"/>
                <w:sz w:val="14"/>
                <w:szCs w:val="14"/>
                <w:b w:val="1"/>
                <w:bCs w:val="1"/>
                <w:color w:val="auto"/>
              </w:rPr>
              <w:t>Total</w:t>
            </w:r>
          </w:p>
        </w:tc>
        <w:tc>
          <w:tcPr>
            <w:tcW w:w="2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181"/>
              <w:spacing w:after="0"/>
              <w:rPr>
                <w:sz w:val="20"/>
                <w:szCs w:val="20"/>
                <w:color w:val="auto"/>
              </w:rPr>
            </w:pPr>
            <w:r>
              <w:rPr>
                <w:rFonts w:ascii="Arial" w:cs="Arial" w:eastAsia="Arial" w:hAnsi="Arial"/>
                <w:sz w:val="14"/>
                <w:szCs w:val="14"/>
                <w:b w:val="1"/>
                <w:bCs w:val="1"/>
                <w:color w:val="auto"/>
                <w:w w:val="89"/>
              </w:rPr>
              <w:t>Gains (Losses)</w:t>
            </w:r>
          </w:p>
        </w:tc>
        <w:tc>
          <w:tcPr>
            <w:tcW w:w="0" w:type="dxa"/>
            <w:vAlign w:val="bottom"/>
          </w:tcPr>
          <w:p>
            <w:pPr>
              <w:spacing w:after="0"/>
              <w:rPr>
                <w:sz w:val="1"/>
                <w:szCs w:val="1"/>
                <w:color w:val="auto"/>
              </w:rPr>
            </w:pPr>
          </w:p>
        </w:tc>
      </w:tr>
      <w:tr>
        <w:trPr>
          <w:trHeight w:val="173"/>
        </w:trPr>
        <w:tc>
          <w:tcPr>
            <w:tcW w:w="3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600" w:type="dxa"/>
            <w:vAlign w:val="bottom"/>
            <w:gridSpan w:val="5"/>
          </w:tcPr>
          <w:p>
            <w:pPr>
              <w:ind w:left="760"/>
              <w:spacing w:after="0"/>
              <w:rPr>
                <w:sz w:val="20"/>
                <w:szCs w:val="20"/>
                <w:color w:val="auto"/>
              </w:rPr>
            </w:pPr>
            <w:r>
              <w:rPr>
                <w:rFonts w:ascii="Arial" w:cs="Arial" w:eastAsia="Arial" w:hAnsi="Arial"/>
                <w:sz w:val="13"/>
                <w:szCs w:val="13"/>
                <w:b w:val="1"/>
                <w:bCs w:val="1"/>
                <w:color w:val="auto"/>
              </w:rPr>
              <w:t>(Dollars in millions)</w:t>
            </w: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0"/>
        </w:trPr>
        <w:tc>
          <w:tcPr>
            <w:tcW w:w="3120" w:type="dxa"/>
            <w:vAlign w:val="bottom"/>
          </w:tcPr>
          <w:p>
            <w:pPr>
              <w:ind w:left="20"/>
              <w:spacing w:after="0"/>
              <w:rPr>
                <w:sz w:val="20"/>
                <w:szCs w:val="20"/>
                <w:color w:val="auto"/>
              </w:rPr>
            </w:pPr>
            <w:r>
              <w:rPr>
                <w:rFonts w:ascii="Arial" w:cs="Arial" w:eastAsia="Arial" w:hAnsi="Arial"/>
                <w:sz w:val="16"/>
                <w:szCs w:val="16"/>
                <w:color w:val="auto"/>
              </w:rPr>
              <w:t>By collateral type:</w:t>
            </w:r>
          </w:p>
        </w:tc>
        <w:tc>
          <w:tcPr>
            <w:tcW w:w="1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
        </w:trPr>
        <w:tc>
          <w:tcPr>
            <w:tcW w:w="3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980" w:type="dxa"/>
            <w:vAlign w:val="bottom"/>
          </w:tcPr>
          <w:p>
            <w:pPr>
              <w:spacing w:after="0"/>
              <w:rPr>
                <w:sz w:val="4"/>
                <w:szCs w:val="4"/>
                <w:color w:val="auto"/>
              </w:rPr>
            </w:pPr>
          </w:p>
        </w:tc>
        <w:tc>
          <w:tcPr>
            <w:tcW w:w="100" w:type="dxa"/>
            <w:vAlign w:val="bottom"/>
          </w:tcPr>
          <w:p>
            <w:pPr>
              <w:spacing w:after="0"/>
              <w:rPr>
                <w:sz w:val="4"/>
                <w:szCs w:val="4"/>
                <w:color w:val="auto"/>
              </w:rPr>
            </w:pPr>
          </w:p>
        </w:tc>
        <w:tc>
          <w:tcPr>
            <w:tcW w:w="900" w:type="dxa"/>
            <w:vAlign w:val="bottom"/>
          </w:tcPr>
          <w:p>
            <w:pPr>
              <w:spacing w:after="0"/>
              <w:rPr>
                <w:sz w:val="4"/>
                <w:szCs w:val="4"/>
                <w:color w:val="auto"/>
              </w:rPr>
            </w:pPr>
          </w:p>
        </w:tc>
        <w:tc>
          <w:tcPr>
            <w:tcW w:w="120" w:type="dxa"/>
            <w:vAlign w:val="bottom"/>
          </w:tcPr>
          <w:p>
            <w:pPr>
              <w:spacing w:after="0"/>
              <w:rPr>
                <w:sz w:val="4"/>
                <w:szCs w:val="4"/>
                <w:color w:val="auto"/>
              </w:rPr>
            </w:pPr>
          </w:p>
        </w:tc>
        <w:tc>
          <w:tcPr>
            <w:tcW w:w="260" w:type="dxa"/>
            <w:vAlign w:val="bottom"/>
          </w:tcPr>
          <w:p>
            <w:pPr>
              <w:spacing w:after="0"/>
              <w:rPr>
                <w:sz w:val="4"/>
                <w:szCs w:val="4"/>
                <w:color w:val="auto"/>
              </w:rPr>
            </w:pPr>
          </w:p>
        </w:tc>
        <w:tc>
          <w:tcPr>
            <w:tcW w:w="12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960" w:type="dxa"/>
            <w:vAlign w:val="bottom"/>
          </w:tcPr>
          <w:p>
            <w:pPr>
              <w:spacing w:after="0"/>
              <w:rPr>
                <w:sz w:val="4"/>
                <w:szCs w:val="4"/>
                <w:color w:val="auto"/>
              </w:rPr>
            </w:pPr>
          </w:p>
        </w:tc>
        <w:tc>
          <w:tcPr>
            <w:tcW w:w="120" w:type="dxa"/>
            <w:vAlign w:val="bottom"/>
          </w:tcPr>
          <w:p>
            <w:pPr>
              <w:spacing w:after="0"/>
              <w:rPr>
                <w:sz w:val="4"/>
                <w:szCs w:val="4"/>
                <w:color w:val="auto"/>
              </w:rPr>
            </w:pPr>
          </w:p>
        </w:tc>
        <w:tc>
          <w:tcPr>
            <w:tcW w:w="900" w:type="dxa"/>
            <w:vAlign w:val="bottom"/>
          </w:tcPr>
          <w:p>
            <w:pPr>
              <w:spacing w:after="0"/>
              <w:rPr>
                <w:sz w:val="4"/>
                <w:szCs w:val="4"/>
                <w:color w:val="auto"/>
              </w:rPr>
            </w:pPr>
          </w:p>
        </w:tc>
        <w:tc>
          <w:tcPr>
            <w:tcW w:w="1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2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3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Collateralized obligations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778</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44.5%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1,155</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43.6%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3120" w:type="dxa"/>
            <w:vAlign w:val="bottom"/>
          </w:tcPr>
          <w:p>
            <w:pPr>
              <w:ind w:left="180"/>
              <w:spacing w:after="0"/>
              <w:rPr>
                <w:sz w:val="20"/>
                <w:szCs w:val="20"/>
                <w:color w:val="auto"/>
              </w:rPr>
            </w:pPr>
            <w:r>
              <w:rPr>
                <w:rFonts w:ascii="Arial" w:cs="Arial" w:eastAsia="Arial" w:hAnsi="Arial"/>
                <w:sz w:val="16"/>
                <w:szCs w:val="16"/>
                <w:color w:val="auto"/>
              </w:rPr>
              <w:t>Automobile loans</w:t>
            </w:r>
          </w:p>
        </w:tc>
        <w:tc>
          <w:tcPr>
            <w:tcW w:w="180" w:type="dxa"/>
            <w:vAlign w:val="bottom"/>
          </w:tcPr>
          <w:p>
            <w:pPr>
              <w:spacing w:after="0"/>
              <w:rPr>
                <w:sz w:val="20"/>
                <w:szCs w:val="20"/>
                <w:color w:val="auto"/>
              </w:rPr>
            </w:pPr>
          </w:p>
        </w:tc>
        <w:tc>
          <w:tcPr>
            <w:tcW w:w="980" w:type="dxa"/>
            <w:vAlign w:val="bottom"/>
          </w:tcPr>
          <w:p>
            <w:pPr>
              <w:jc w:val="right"/>
              <w:ind w:right="21"/>
              <w:spacing w:after="0"/>
              <w:rPr>
                <w:sz w:val="20"/>
                <w:szCs w:val="20"/>
                <w:color w:val="auto"/>
              </w:rPr>
            </w:pPr>
            <w:r>
              <w:rPr>
                <w:rFonts w:ascii="Arial" w:cs="Arial" w:eastAsia="Arial" w:hAnsi="Arial"/>
                <w:sz w:val="16"/>
                <w:szCs w:val="16"/>
                <w:color w:val="auto"/>
              </w:rPr>
              <w:t>195</w:t>
            </w:r>
          </w:p>
        </w:tc>
        <w:tc>
          <w:tcPr>
            <w:tcW w:w="100" w:type="dxa"/>
            <w:vAlign w:val="bottom"/>
          </w:tcPr>
          <w:p>
            <w:pPr>
              <w:spacing w:after="0"/>
              <w:rPr>
                <w:sz w:val="20"/>
                <w:szCs w:val="20"/>
                <w:color w:val="auto"/>
              </w:rPr>
            </w:pPr>
          </w:p>
        </w:tc>
        <w:tc>
          <w:tcPr>
            <w:tcW w:w="900" w:type="dxa"/>
            <w:vAlign w:val="bottom"/>
          </w:tcPr>
          <w:p>
            <w:pPr>
              <w:jc w:val="right"/>
              <w:ind w:right="81"/>
              <w:spacing w:after="0"/>
              <w:rPr>
                <w:sz w:val="20"/>
                <w:szCs w:val="20"/>
                <w:color w:val="auto"/>
              </w:rPr>
            </w:pPr>
            <w:r>
              <w:rPr>
                <w:rFonts w:ascii="Arial" w:cs="Arial" w:eastAsia="Arial" w:hAnsi="Arial"/>
                <w:sz w:val="16"/>
                <w:szCs w:val="16"/>
                <w:color w:val="auto"/>
              </w:rPr>
              <w:t>11.1</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tcPr>
          <w:p>
            <w:pPr>
              <w:jc w:val="right"/>
              <w:ind w:right="23"/>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jc w:val="right"/>
              <w:ind w:right="1"/>
              <w:spacing w:after="0"/>
              <w:rPr>
                <w:sz w:val="20"/>
                <w:szCs w:val="20"/>
                <w:color w:val="auto"/>
              </w:rPr>
            </w:pPr>
            <w:r>
              <w:rPr>
                <w:rFonts w:ascii="Arial" w:cs="Arial" w:eastAsia="Arial" w:hAnsi="Arial"/>
                <w:sz w:val="16"/>
                <w:szCs w:val="16"/>
                <w:color w:val="auto"/>
              </w:rPr>
              <w:t>356</w:t>
            </w:r>
          </w:p>
        </w:tc>
        <w:tc>
          <w:tcPr>
            <w:tcW w:w="120" w:type="dxa"/>
            <w:vAlign w:val="bottom"/>
          </w:tcPr>
          <w:p>
            <w:pPr>
              <w:spacing w:after="0"/>
              <w:rPr>
                <w:sz w:val="20"/>
                <w:szCs w:val="20"/>
                <w:color w:val="auto"/>
              </w:rPr>
            </w:pPr>
          </w:p>
        </w:tc>
        <w:tc>
          <w:tcPr>
            <w:tcW w:w="900" w:type="dxa"/>
            <w:vAlign w:val="bottom"/>
          </w:tcPr>
          <w:p>
            <w:pPr>
              <w:jc w:val="right"/>
              <w:ind w:right="81"/>
              <w:spacing w:after="0"/>
              <w:rPr>
                <w:sz w:val="20"/>
                <w:szCs w:val="20"/>
                <w:color w:val="auto"/>
              </w:rPr>
            </w:pPr>
            <w:r>
              <w:rPr>
                <w:rFonts w:ascii="Arial" w:cs="Arial" w:eastAsia="Arial" w:hAnsi="Arial"/>
                <w:sz w:val="16"/>
                <w:szCs w:val="16"/>
                <w:color w:val="auto"/>
              </w:rPr>
              <w:t>13.4</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tcPr>
          <w:p>
            <w:pPr>
              <w:jc w:val="right"/>
              <w:ind w:right="21"/>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33"/>
        </w:trPr>
        <w:tc>
          <w:tcPr>
            <w:tcW w:w="3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Consumer loans</w:t>
            </w: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271</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rPr>
              <w:t>15.5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319</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rPr>
              <w:t>12.0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37"/>
        </w:trPr>
        <w:tc>
          <w:tcPr>
            <w:tcW w:w="3120" w:type="dxa"/>
            <w:vAlign w:val="bottom"/>
          </w:tcPr>
          <w:p>
            <w:pPr>
              <w:ind w:left="180"/>
              <w:spacing w:after="0"/>
              <w:rPr>
                <w:sz w:val="20"/>
                <w:szCs w:val="20"/>
                <w:color w:val="auto"/>
              </w:rPr>
            </w:pPr>
            <w:r>
              <w:rPr>
                <w:rFonts w:ascii="Arial" w:cs="Arial" w:eastAsia="Arial" w:hAnsi="Arial"/>
                <w:sz w:val="16"/>
                <w:szCs w:val="16"/>
                <w:color w:val="auto"/>
              </w:rPr>
              <w:t>Credit card loans</w:t>
            </w:r>
          </w:p>
        </w:tc>
        <w:tc>
          <w:tcPr>
            <w:tcW w:w="180" w:type="dxa"/>
            <w:vAlign w:val="bottom"/>
          </w:tcPr>
          <w:p>
            <w:pPr>
              <w:spacing w:after="0"/>
              <w:rPr>
                <w:sz w:val="20"/>
                <w:szCs w:val="20"/>
                <w:color w:val="auto"/>
              </w:rPr>
            </w:pPr>
          </w:p>
        </w:tc>
        <w:tc>
          <w:tcPr>
            <w:tcW w:w="980" w:type="dxa"/>
            <w:vAlign w:val="bottom"/>
          </w:tcPr>
          <w:p>
            <w:pPr>
              <w:jc w:val="right"/>
              <w:ind w:right="21"/>
              <w:spacing w:after="0"/>
              <w:rPr>
                <w:sz w:val="20"/>
                <w:szCs w:val="20"/>
                <w:color w:val="auto"/>
              </w:rPr>
            </w:pPr>
            <w:r>
              <w:rPr>
                <w:rFonts w:ascii="Arial" w:cs="Arial" w:eastAsia="Arial" w:hAnsi="Arial"/>
                <w:sz w:val="16"/>
                <w:szCs w:val="16"/>
                <w:color w:val="auto"/>
              </w:rPr>
              <w:t>81</w:t>
            </w:r>
          </w:p>
        </w:tc>
        <w:tc>
          <w:tcPr>
            <w:tcW w:w="100" w:type="dxa"/>
            <w:vAlign w:val="bottom"/>
          </w:tcPr>
          <w:p>
            <w:pPr>
              <w:spacing w:after="0"/>
              <w:rPr>
                <w:sz w:val="20"/>
                <w:szCs w:val="20"/>
                <w:color w:val="auto"/>
              </w:rPr>
            </w:pPr>
          </w:p>
        </w:tc>
        <w:tc>
          <w:tcPr>
            <w:tcW w:w="900" w:type="dxa"/>
            <w:vAlign w:val="bottom"/>
          </w:tcPr>
          <w:p>
            <w:pPr>
              <w:jc w:val="right"/>
              <w:ind w:right="81"/>
              <w:spacing w:after="0"/>
              <w:rPr>
                <w:sz w:val="20"/>
                <w:szCs w:val="20"/>
                <w:color w:val="auto"/>
              </w:rPr>
            </w:pPr>
            <w:r>
              <w:rPr>
                <w:rFonts w:ascii="Arial" w:cs="Arial" w:eastAsia="Arial" w:hAnsi="Arial"/>
                <w:sz w:val="16"/>
                <w:szCs w:val="16"/>
                <w:color w:val="auto"/>
              </w:rPr>
              <w:t>4.6</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960" w:type="dxa"/>
            <w:vAlign w:val="bottom"/>
          </w:tcPr>
          <w:p>
            <w:pPr>
              <w:jc w:val="right"/>
              <w:ind w:right="1"/>
              <w:spacing w:after="0"/>
              <w:rPr>
                <w:sz w:val="20"/>
                <w:szCs w:val="20"/>
                <w:color w:val="auto"/>
              </w:rPr>
            </w:pPr>
            <w:r>
              <w:rPr>
                <w:rFonts w:ascii="Arial" w:cs="Arial" w:eastAsia="Arial" w:hAnsi="Arial"/>
                <w:sz w:val="16"/>
                <w:szCs w:val="16"/>
                <w:color w:val="auto"/>
              </w:rPr>
              <w:t>208</w:t>
            </w:r>
          </w:p>
        </w:tc>
        <w:tc>
          <w:tcPr>
            <w:tcW w:w="120" w:type="dxa"/>
            <w:vAlign w:val="bottom"/>
          </w:tcPr>
          <w:p>
            <w:pPr>
              <w:spacing w:after="0"/>
              <w:rPr>
                <w:sz w:val="20"/>
                <w:szCs w:val="20"/>
                <w:color w:val="auto"/>
              </w:rPr>
            </w:pPr>
          </w:p>
        </w:tc>
        <w:tc>
          <w:tcPr>
            <w:tcW w:w="900" w:type="dxa"/>
            <w:vAlign w:val="bottom"/>
          </w:tcPr>
          <w:p>
            <w:pPr>
              <w:jc w:val="right"/>
              <w:ind w:right="81"/>
              <w:spacing w:after="0"/>
              <w:rPr>
                <w:sz w:val="20"/>
                <w:szCs w:val="20"/>
                <w:color w:val="auto"/>
              </w:rPr>
            </w:pPr>
            <w:r>
              <w:rPr>
                <w:rFonts w:ascii="Arial" w:cs="Arial" w:eastAsia="Arial" w:hAnsi="Arial"/>
                <w:sz w:val="16"/>
                <w:szCs w:val="16"/>
                <w:color w:val="auto"/>
              </w:rPr>
              <w:t>7.8</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tcPr>
          <w:p>
            <w:pPr>
              <w:jc w:val="right"/>
              <w:ind w:right="21"/>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33"/>
        </w:trPr>
        <w:tc>
          <w:tcPr>
            <w:tcW w:w="3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Student loans</w:t>
            </w: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153</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rPr>
              <w:t>8.7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160</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rPr>
              <w:t>6.0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37"/>
        </w:trPr>
        <w:tc>
          <w:tcPr>
            <w:tcW w:w="3120" w:type="dxa"/>
            <w:vAlign w:val="bottom"/>
          </w:tcPr>
          <w:p>
            <w:pPr>
              <w:ind w:left="180"/>
              <w:spacing w:after="0"/>
              <w:rPr>
                <w:sz w:val="20"/>
                <w:szCs w:val="20"/>
                <w:color w:val="auto"/>
              </w:rPr>
            </w:pPr>
            <w:r>
              <w:rPr>
                <w:rFonts w:ascii="Arial" w:cs="Arial" w:eastAsia="Arial" w:hAnsi="Arial"/>
                <w:sz w:val="16"/>
                <w:szCs w:val="16"/>
                <w:color w:val="auto"/>
              </w:rPr>
              <w:t>Foreign residential loans</w:t>
            </w:r>
          </w:p>
        </w:tc>
        <w:tc>
          <w:tcPr>
            <w:tcW w:w="180" w:type="dxa"/>
            <w:vAlign w:val="bottom"/>
          </w:tcPr>
          <w:p>
            <w:pPr>
              <w:spacing w:after="0"/>
              <w:rPr>
                <w:sz w:val="20"/>
                <w:szCs w:val="20"/>
                <w:color w:val="auto"/>
              </w:rPr>
            </w:pPr>
          </w:p>
        </w:tc>
        <w:tc>
          <w:tcPr>
            <w:tcW w:w="980" w:type="dxa"/>
            <w:vAlign w:val="bottom"/>
          </w:tcPr>
          <w:p>
            <w:pPr>
              <w:jc w:val="right"/>
              <w:ind w:right="21"/>
              <w:spacing w:after="0"/>
              <w:rPr>
                <w:sz w:val="20"/>
                <w:szCs w:val="20"/>
                <w:color w:val="auto"/>
              </w:rPr>
            </w:pPr>
            <w:r>
              <w:rPr>
                <w:rFonts w:ascii="Arial" w:cs="Arial" w:eastAsia="Arial" w:hAnsi="Arial"/>
                <w:sz w:val="16"/>
                <w:szCs w:val="16"/>
                <w:color w:val="auto"/>
              </w:rPr>
              <w:t>56</w:t>
            </w:r>
          </w:p>
        </w:tc>
        <w:tc>
          <w:tcPr>
            <w:tcW w:w="100" w:type="dxa"/>
            <w:vAlign w:val="bottom"/>
          </w:tcPr>
          <w:p>
            <w:pPr>
              <w:spacing w:after="0"/>
              <w:rPr>
                <w:sz w:val="20"/>
                <w:szCs w:val="20"/>
                <w:color w:val="auto"/>
              </w:rPr>
            </w:pPr>
          </w:p>
        </w:tc>
        <w:tc>
          <w:tcPr>
            <w:tcW w:w="900" w:type="dxa"/>
            <w:vAlign w:val="bottom"/>
          </w:tcPr>
          <w:p>
            <w:pPr>
              <w:jc w:val="right"/>
              <w:ind w:right="81"/>
              <w:spacing w:after="0"/>
              <w:rPr>
                <w:sz w:val="20"/>
                <w:szCs w:val="20"/>
                <w:color w:val="auto"/>
              </w:rPr>
            </w:pPr>
            <w:r>
              <w:rPr>
                <w:rFonts w:ascii="Arial" w:cs="Arial" w:eastAsia="Arial" w:hAnsi="Arial"/>
                <w:sz w:val="16"/>
                <w:szCs w:val="16"/>
                <w:color w:val="auto"/>
              </w:rPr>
              <w:t>3.2</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960" w:type="dxa"/>
            <w:vAlign w:val="bottom"/>
          </w:tcPr>
          <w:p>
            <w:pPr>
              <w:jc w:val="right"/>
              <w:ind w:right="1"/>
              <w:spacing w:after="0"/>
              <w:rPr>
                <w:sz w:val="20"/>
                <w:szCs w:val="20"/>
                <w:color w:val="auto"/>
              </w:rPr>
            </w:pPr>
            <w:r>
              <w:rPr>
                <w:rFonts w:ascii="Arial" w:cs="Arial" w:eastAsia="Arial" w:hAnsi="Arial"/>
                <w:sz w:val="16"/>
                <w:szCs w:val="16"/>
                <w:color w:val="auto"/>
              </w:rPr>
              <w:t>84</w:t>
            </w:r>
          </w:p>
        </w:tc>
        <w:tc>
          <w:tcPr>
            <w:tcW w:w="120" w:type="dxa"/>
            <w:vAlign w:val="bottom"/>
          </w:tcPr>
          <w:p>
            <w:pPr>
              <w:spacing w:after="0"/>
              <w:rPr>
                <w:sz w:val="20"/>
                <w:szCs w:val="20"/>
                <w:color w:val="auto"/>
              </w:rPr>
            </w:pPr>
          </w:p>
        </w:tc>
        <w:tc>
          <w:tcPr>
            <w:tcW w:w="900" w:type="dxa"/>
            <w:vAlign w:val="bottom"/>
          </w:tcPr>
          <w:p>
            <w:pPr>
              <w:jc w:val="right"/>
              <w:ind w:right="81"/>
              <w:spacing w:after="0"/>
              <w:rPr>
                <w:sz w:val="20"/>
                <w:szCs w:val="20"/>
                <w:color w:val="auto"/>
              </w:rPr>
            </w:pPr>
            <w:r>
              <w:rPr>
                <w:rFonts w:ascii="Arial" w:cs="Arial" w:eastAsia="Arial" w:hAnsi="Arial"/>
                <w:sz w:val="16"/>
                <w:szCs w:val="16"/>
                <w:color w:val="auto"/>
              </w:rPr>
              <w:t>3.2</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3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Other loans</w:t>
            </w:r>
          </w:p>
        </w:tc>
        <w:tc>
          <w:tcPr>
            <w:tcW w:w="1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216</w:t>
            </w:r>
          </w:p>
        </w:tc>
        <w:tc>
          <w:tcPr>
            <w:tcW w:w="10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rPr>
              <w:t>12.4</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3</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370</w:t>
            </w:r>
          </w:p>
        </w:tc>
        <w:tc>
          <w:tcPr>
            <w:tcW w:w="1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rPr>
              <w:t>14.0</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17"/>
        </w:trPr>
        <w:tc>
          <w:tcPr>
            <w:tcW w:w="3120" w:type="dxa"/>
            <w:vAlign w:val="bottom"/>
          </w:tcPr>
          <w:p>
            <w:pPr>
              <w:ind w:left="340"/>
              <w:spacing w:after="0"/>
              <w:rPr>
                <w:sz w:val="20"/>
                <w:szCs w:val="20"/>
                <w:color w:val="auto"/>
              </w:rPr>
            </w:pPr>
            <w:r>
              <w:rPr>
                <w:rFonts w:ascii="Arial" w:cs="Arial" w:eastAsia="Arial" w:hAnsi="Arial"/>
                <w:sz w:val="16"/>
                <w:szCs w:val="16"/>
                <w:color w:val="auto"/>
              </w:rPr>
              <w:t>Total</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tcBorders>
          </w:tcPr>
          <w:p>
            <w:pPr>
              <w:jc w:val="right"/>
              <w:ind w:right="21"/>
              <w:spacing w:after="0"/>
              <w:rPr>
                <w:sz w:val="20"/>
                <w:szCs w:val="20"/>
                <w:color w:val="auto"/>
              </w:rPr>
            </w:pPr>
            <w:r>
              <w:rPr>
                <w:rFonts w:ascii="Arial" w:cs="Arial" w:eastAsia="Arial" w:hAnsi="Arial"/>
                <w:sz w:val="16"/>
                <w:szCs w:val="16"/>
                <w:color w:val="auto"/>
              </w:rPr>
              <w:t>1,750</w:t>
            </w:r>
          </w:p>
        </w:tc>
        <w:tc>
          <w:tcPr>
            <w:tcW w:w="100" w:type="dxa"/>
            <w:vAlign w:val="bottom"/>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100.0%</w:t>
            </w:r>
          </w:p>
        </w:tc>
        <w:tc>
          <w:tcPr>
            <w:tcW w:w="120" w:type="dxa"/>
            <w:vAlign w:val="bottom"/>
          </w:tcPr>
          <w:p>
            <w:pPr>
              <w:spacing w:after="0"/>
              <w:rPr>
                <w:sz w:val="18"/>
                <w:szCs w:val="18"/>
                <w:color w:val="auto"/>
              </w:rPr>
            </w:pPr>
          </w:p>
        </w:tc>
        <w:tc>
          <w:tcPr>
            <w:tcW w:w="26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220" w:type="dxa"/>
            <w:vAlign w:val="bottom"/>
            <w:tcBorders>
              <w:top w:val="single" w:sz="8" w:color="auto"/>
            </w:tcBorders>
          </w:tcPr>
          <w:p>
            <w:pPr>
              <w:jc w:val="right"/>
              <w:ind w:right="23"/>
              <w:spacing w:after="0"/>
              <w:rPr>
                <w:sz w:val="20"/>
                <w:szCs w:val="20"/>
                <w:color w:val="auto"/>
              </w:rPr>
            </w:pPr>
            <w:r>
              <w:rPr>
                <w:rFonts w:ascii="Arial" w:cs="Arial" w:eastAsia="Arial" w:hAnsi="Arial"/>
                <w:sz w:val="16"/>
                <w:szCs w:val="16"/>
                <w:color w:val="auto"/>
              </w:rPr>
              <w:t>18</w:t>
            </w:r>
          </w:p>
        </w:tc>
        <w:tc>
          <w:tcPr>
            <w:tcW w:w="100" w:type="dxa"/>
            <w:vAlign w:val="bottom"/>
          </w:tcPr>
          <w:p>
            <w:pPr>
              <w:spacing w:after="0"/>
              <w:rPr>
                <w:sz w:val="18"/>
                <w:szCs w:val="18"/>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top w:val="single" w:sz="8" w:color="auto"/>
            </w:tcBorders>
          </w:tcPr>
          <w:p>
            <w:pPr>
              <w:jc w:val="right"/>
              <w:ind w:right="1"/>
              <w:spacing w:after="0"/>
              <w:rPr>
                <w:sz w:val="20"/>
                <w:szCs w:val="20"/>
                <w:color w:val="auto"/>
              </w:rPr>
            </w:pPr>
            <w:r>
              <w:rPr>
                <w:rFonts w:ascii="Arial" w:cs="Arial" w:eastAsia="Arial" w:hAnsi="Arial"/>
                <w:sz w:val="16"/>
                <w:szCs w:val="16"/>
                <w:color w:val="auto"/>
              </w:rPr>
              <w:t>2,652</w:t>
            </w:r>
          </w:p>
        </w:tc>
        <w:tc>
          <w:tcPr>
            <w:tcW w:w="120" w:type="dxa"/>
            <w:vAlign w:val="bottom"/>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100.0%</w:t>
            </w:r>
          </w:p>
        </w:tc>
        <w:tc>
          <w:tcPr>
            <w:tcW w:w="120" w:type="dxa"/>
            <w:vAlign w:val="bottom"/>
          </w:tcPr>
          <w:p>
            <w:pPr>
              <w:spacing w:after="0"/>
              <w:rPr>
                <w:sz w:val="18"/>
                <w:szCs w:val="18"/>
                <w:color w:val="auto"/>
              </w:rPr>
            </w:pPr>
          </w:p>
        </w:tc>
        <w:tc>
          <w:tcPr>
            <w:tcW w:w="24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73"/>
        </w:trPr>
        <w:tc>
          <w:tcPr>
            <w:tcW w:w="3120" w:type="dxa"/>
            <w:vAlign w:val="bottom"/>
            <w:tcBorders>
              <w:bottom w:val="single" w:sz="8" w:color="CCEEFF"/>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98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90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122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96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90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124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3120" w:type="dxa"/>
            <w:vAlign w:val="bottom"/>
            <w:shd w:val="clear" w:color="auto" w:fill="CCEEFF"/>
          </w:tcPr>
          <w:p>
            <w:pPr>
              <w:ind w:left="20"/>
              <w:spacing w:after="0" w:line="177" w:lineRule="exact"/>
              <w:rPr>
                <w:sz w:val="20"/>
                <w:szCs w:val="20"/>
                <w:color w:val="auto"/>
              </w:rPr>
            </w:pPr>
            <w:r>
              <w:rPr>
                <w:rFonts w:ascii="Arial" w:cs="Arial" w:eastAsia="Arial" w:hAnsi="Arial"/>
                <w:sz w:val="16"/>
                <w:szCs w:val="16"/>
                <w:color w:val="auto"/>
              </w:rPr>
              <w:t>Ratings profile:</w:t>
            </w:r>
          </w:p>
        </w:tc>
        <w:tc>
          <w:tcPr>
            <w:tcW w:w="1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74"/>
        </w:trPr>
        <w:tc>
          <w:tcPr>
            <w:tcW w:w="312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9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9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12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96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9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124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37"/>
        </w:trPr>
        <w:tc>
          <w:tcPr>
            <w:tcW w:w="3120" w:type="dxa"/>
            <w:vAlign w:val="bottom"/>
          </w:tcPr>
          <w:p>
            <w:pPr>
              <w:ind w:left="180"/>
              <w:spacing w:after="0"/>
              <w:rPr>
                <w:sz w:val="20"/>
                <w:szCs w:val="20"/>
                <w:color w:val="auto"/>
              </w:rPr>
            </w:pPr>
            <w:r>
              <w:rPr>
                <w:rFonts w:ascii="Arial" w:cs="Arial" w:eastAsia="Arial" w:hAnsi="Arial"/>
                <w:sz w:val="16"/>
                <w:szCs w:val="16"/>
                <w:color w:val="auto"/>
              </w:rPr>
              <w:t>Rated Aaa/AAA</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ind w:right="21"/>
              <w:spacing w:after="0"/>
              <w:rPr>
                <w:sz w:val="20"/>
                <w:szCs w:val="20"/>
                <w:color w:val="auto"/>
              </w:rPr>
            </w:pPr>
            <w:r>
              <w:rPr>
                <w:rFonts w:ascii="Arial" w:cs="Arial" w:eastAsia="Arial" w:hAnsi="Arial"/>
                <w:sz w:val="16"/>
                <w:szCs w:val="16"/>
                <w:color w:val="auto"/>
              </w:rPr>
              <w:t>574</w:t>
            </w:r>
          </w:p>
        </w:tc>
        <w:tc>
          <w:tcPr>
            <w:tcW w:w="1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32.8%</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1"/>
              <w:spacing w:after="0"/>
              <w:rPr>
                <w:sz w:val="20"/>
                <w:szCs w:val="20"/>
                <w:color w:val="auto"/>
              </w:rPr>
            </w:pPr>
            <w:r>
              <w:rPr>
                <w:rFonts w:ascii="Arial" w:cs="Arial" w:eastAsia="Arial" w:hAnsi="Arial"/>
                <w:sz w:val="16"/>
                <w:szCs w:val="16"/>
                <w:color w:val="auto"/>
              </w:rPr>
              <w:t>1,106</w:t>
            </w:r>
          </w:p>
        </w:tc>
        <w:tc>
          <w:tcPr>
            <w:tcW w:w="1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41.7%</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3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31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Designated NAIC 1</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1,481</w:t>
            </w:r>
          </w:p>
        </w:tc>
        <w:tc>
          <w:tcPr>
            <w:tcW w:w="10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84.6%</w:t>
            </w: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2,343</w:t>
            </w:r>
          </w:p>
        </w:tc>
        <w:tc>
          <w:tcPr>
            <w:tcW w:w="12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88.3%</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31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Evaluation of AFS Securities for OTTI and Evaluating Temporarily Impaired AFS Securities</w:t>
      </w:r>
    </w:p>
    <w:p>
      <w:pPr>
        <w:spacing w:after="0" w:line="117"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See Note 4 of the Notes to the Interim Condensed Consolidated and Combined Financial Statements for information about the evaluation of fixed maturity securities and equity securities AFS for OTTI and evaluation of temporarily impaired AFS securities.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OTTI Losses on Fixed Maturity and Equity Securities AFS Recognized in Earnings</w:t>
      </w:r>
    </w:p>
    <w:p>
      <w:pPr>
        <w:spacing w:after="0" w:line="117"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See Note 4 of the Notes to the Interim Condensed Consolidated and Combined Financial Statements for information about OTTI losses and gross gains and gross losses on AFS securities sold.</w:t>
      </w:r>
    </w:p>
    <w:p>
      <w:pPr>
        <w:spacing w:after="0" w:line="62"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Overview of Fixed Maturity and Equity Security OTTI Losses Recognized in Earnings</w:t>
      </w:r>
    </w:p>
    <w:p>
      <w:pPr>
        <w:spacing w:after="0" w:line="117" w:lineRule="exact"/>
        <w:rPr>
          <w:sz w:val="20"/>
          <w:szCs w:val="20"/>
          <w:color w:val="auto"/>
        </w:rPr>
      </w:pPr>
    </w:p>
    <w:p>
      <w:pPr>
        <w:jc w:val="both"/>
        <w:ind w:left="180" w:firstLine="324"/>
        <w:spacing w:after="0" w:line="255" w:lineRule="auto"/>
        <w:rPr>
          <w:sz w:val="20"/>
          <w:szCs w:val="20"/>
          <w:color w:val="auto"/>
        </w:rPr>
      </w:pPr>
      <w:r>
        <w:rPr>
          <w:rFonts w:ascii="Arial" w:cs="Arial" w:eastAsia="Arial" w:hAnsi="Arial"/>
          <w:sz w:val="18"/>
          <w:szCs w:val="18"/>
          <w:color w:val="auto"/>
        </w:rPr>
        <w:t>Impairments of fixed maturity and equity securities were $0 and $1 million for the three months and nine months ended September 30, 2017, respectively and $4 million and $23 million for the three months and nine months ended September 30, 2016, respectively. Impairments of fixed maturity securities were $0 and $1 million for the three months and nine months ended September 30, 2017, respectively and $4 million and $22 million for the three months and nine months ended September 30, 2016, respectively. Impairments of equity securities were $0 and less than $1 million for the three months and nine months ended September 30, 2017, respectively and less than $1 million and $1 million for the three months and nine months ended September 30, 2016, respectively.</w:t>
      </w:r>
    </w:p>
    <w:p>
      <w:pPr>
        <w:spacing w:after="0" w:line="85" w:lineRule="exact"/>
        <w:rPr>
          <w:sz w:val="20"/>
          <w:szCs w:val="20"/>
          <w:color w:val="auto"/>
        </w:rPr>
      </w:pPr>
    </w:p>
    <w:p>
      <w:pPr>
        <w:jc w:val="both"/>
        <w:ind w:left="180" w:firstLine="324"/>
        <w:spacing w:after="0" w:line="277" w:lineRule="auto"/>
        <w:rPr>
          <w:sz w:val="20"/>
          <w:szCs w:val="20"/>
          <w:color w:val="auto"/>
        </w:rPr>
      </w:pPr>
      <w:r>
        <w:rPr>
          <w:rFonts w:ascii="Arial" w:cs="Arial" w:eastAsia="Arial" w:hAnsi="Arial"/>
          <w:sz w:val="18"/>
          <w:szCs w:val="18"/>
          <w:color w:val="auto"/>
        </w:rPr>
        <w:t>Credit-related impairments of fixed maturity securities were $0 and $1 million for the three months and nine months ended September 30, 2017, respectively and $4 million and $20 million for the three and nine months ended September 30, 2016, respectively.</w:t>
      </w:r>
    </w:p>
    <w:p>
      <w:pPr>
        <w:spacing w:after="0" w:line="62" w:lineRule="exact"/>
        <w:rPr>
          <w:sz w:val="20"/>
          <w:szCs w:val="20"/>
          <w:color w:val="auto"/>
        </w:rPr>
      </w:pPr>
    </w:p>
    <w:p>
      <w:pPr>
        <w:ind w:left="540"/>
        <w:spacing w:after="0"/>
        <w:rPr>
          <w:sz w:val="20"/>
          <w:szCs w:val="20"/>
          <w:color w:val="auto"/>
        </w:rPr>
      </w:pPr>
      <w:r>
        <w:rPr>
          <w:rFonts w:ascii="Arial" w:cs="Arial" w:eastAsia="Arial" w:hAnsi="Arial"/>
          <w:sz w:val="18"/>
          <w:szCs w:val="18"/>
          <w:color w:val="auto"/>
        </w:rPr>
        <w:t>Explanations of changes in fixed maturity and equity securities impairments are as follows:</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i w:val="1"/>
          <w:iCs w:val="1"/>
          <w:u w:val="single" w:color="auto"/>
          <w:color w:val="auto"/>
        </w:rPr>
        <w:t>Three Months Ended September 30, 2017 Compared with the Three Months Ended September 30, 2016</w:t>
      </w:r>
    </w:p>
    <w:p>
      <w:pPr>
        <w:spacing w:after="0" w:line="117" w:lineRule="exact"/>
        <w:rPr>
          <w:sz w:val="20"/>
          <w:szCs w:val="20"/>
          <w:color w:val="auto"/>
        </w:rPr>
      </w:pPr>
    </w:p>
    <w:p>
      <w:pPr>
        <w:jc w:val="both"/>
        <w:ind w:left="340" w:firstLine="324"/>
        <w:spacing w:after="0" w:line="277" w:lineRule="auto"/>
        <w:rPr>
          <w:sz w:val="20"/>
          <w:szCs w:val="20"/>
          <w:color w:val="auto"/>
        </w:rPr>
      </w:pPr>
      <w:r>
        <w:rPr>
          <w:rFonts w:ascii="Arial" w:cs="Arial" w:eastAsia="Arial" w:hAnsi="Arial"/>
          <w:sz w:val="18"/>
          <w:szCs w:val="18"/>
          <w:color w:val="auto"/>
        </w:rPr>
        <w:t>The change in overall OTTI losses recognized in earnings on fixed maturity and equity securities was not significant for the three months ended September 30, 2017 compared to the three months ended September 30, 2016.</w:t>
      </w:r>
    </w:p>
    <w:p>
      <w:pPr>
        <w:spacing w:after="0" w:line="62" w:lineRule="exact"/>
        <w:rPr>
          <w:sz w:val="20"/>
          <w:szCs w:val="20"/>
          <w:color w:val="auto"/>
        </w:rPr>
      </w:pPr>
    </w:p>
    <w:p>
      <w:pPr>
        <w:ind w:left="340"/>
        <w:spacing w:after="0"/>
        <w:rPr>
          <w:sz w:val="20"/>
          <w:szCs w:val="20"/>
          <w:color w:val="auto"/>
        </w:rPr>
      </w:pPr>
      <w:r>
        <w:rPr>
          <w:rFonts w:ascii="Arial" w:cs="Arial" w:eastAsia="Arial" w:hAnsi="Arial"/>
          <w:sz w:val="18"/>
          <w:szCs w:val="18"/>
          <w:i w:val="1"/>
          <w:iCs w:val="1"/>
          <w:u w:val="single" w:color="auto"/>
          <w:color w:val="auto"/>
        </w:rPr>
        <w:t>Nine Months Ended September 30, 2017 Compared with the Nine Months Ended September 30, 2016</w:t>
      </w:r>
    </w:p>
    <w:p>
      <w:pPr>
        <w:spacing w:after="0" w:line="117" w:lineRule="exact"/>
        <w:rPr>
          <w:sz w:val="20"/>
          <w:szCs w:val="20"/>
          <w:color w:val="auto"/>
        </w:rPr>
      </w:pPr>
    </w:p>
    <w:p>
      <w:pPr>
        <w:jc w:val="both"/>
        <w:ind w:left="340" w:firstLine="324"/>
        <w:spacing w:after="0" w:line="286" w:lineRule="auto"/>
        <w:rPr>
          <w:sz w:val="20"/>
          <w:szCs w:val="20"/>
          <w:color w:val="auto"/>
        </w:rPr>
      </w:pPr>
      <w:r>
        <w:rPr>
          <w:rFonts w:ascii="Arial" w:cs="Arial" w:eastAsia="Arial" w:hAnsi="Arial"/>
          <w:sz w:val="17"/>
          <w:szCs w:val="17"/>
          <w:color w:val="auto"/>
        </w:rPr>
        <w:t>Overall OTTI losses recognized in earnings on fixed maturity and equity securities were $1 million for the nine months ended September 30, 2017 as compared to $23 million for the nine months ended September 30, 2016. A decrease of $16 million in OTTI losses on U.S. and foreign corporate industrial securities in the current period primarily reflects impairments on energy sector securities in the prior period.</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113</w:t>
      </w:r>
    </w:p>
    <w:p>
      <w:pPr>
        <w:sectPr>
          <w:pgSz w:w="11900" w:h="16838" w:orient="portrait"/>
          <w:cols w:equalWidth="0" w:num="1">
            <w:col w:w="11420"/>
          </w:cols>
          <w:pgMar w:left="240" w:top="126" w:right="239" w:bottom="1440" w:gutter="0" w:footer="0" w:header="0"/>
        </w:sectPr>
      </w:pPr>
    </w:p>
    <w:bookmarkStart w:id="115" w:name="page116"/>
    <w:bookmarkEnd w:id="115"/>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Future Impairments</w:t>
      </w:r>
    </w:p>
    <w:p>
      <w:pPr>
        <w:spacing w:after="0" w:line="117" w:lineRule="exact"/>
        <w:rPr>
          <w:sz w:val="20"/>
          <w:szCs w:val="20"/>
          <w:color w:val="auto"/>
        </w:rPr>
      </w:pPr>
    </w:p>
    <w:p>
      <w:pPr>
        <w:jc w:val="both"/>
        <w:ind w:left="180" w:firstLine="324"/>
        <w:spacing w:after="0" w:line="259" w:lineRule="auto"/>
        <w:rPr>
          <w:sz w:val="20"/>
          <w:szCs w:val="20"/>
          <w:color w:val="auto"/>
        </w:rPr>
      </w:pPr>
      <w:r>
        <w:rPr>
          <w:rFonts w:ascii="Arial" w:cs="Arial" w:eastAsia="Arial" w:hAnsi="Arial"/>
          <w:sz w:val="18"/>
          <w:szCs w:val="18"/>
          <w:color w:val="auto"/>
        </w:rPr>
        <w:t>Future OTTI will depend primarily on economic fundamentals, issuer performance (including changes in the present value of future cash flows expected to be collected), and changes in credit ratings, collateral valuation, interest rates and credit spreads, as well as a change in our intention to hold or sell a security that is in an unrealized loss position. If economic fundamentals deteriorate or if there are adverse changes in the above factors, OTTI may be incurred in upcoming periods.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Securities Lending</w:t>
      </w:r>
    </w:p>
    <w:p>
      <w:pPr>
        <w:spacing w:after="0" w:line="117"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We participate in a securities lending program whereby securities are loaned to third parties, primarily brokerage firms and commercial banks. We obtain collateral, usually cash, in an amount generally equal to 102% of the estimated fair value of the securities loaned, which is obtained at the inception of a loan and maintained at a level greater than or equal to 100% for the duration of the loan. We monitor the estimated fair value of the securities loaned on a daily basis with additional collateral obtained as necessary throughout the duration of the loan. Securities loaned under such transactions may be sold or repledged by the transferee. We are liable to return to our counterparties the cash collateral under our control. Security collateral received from counterparties may not be sold or repledged, unless the counterparty is in default, and is not reflected in the financial statements. These transactions are treated as financing arrangements and the associated cash collateral liability is recorded at the amount of the cash received.</w:t>
      </w:r>
    </w:p>
    <w:p>
      <w:pPr>
        <w:spacing w:after="0" w:line="5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See “— Liquidity and Capital Resources — The Company — Liquidity and Capital Uses — Securities Lending” and Note 4 of the Notes to the Interim Condensed Consolidated and Combined Financial Statements for information regarding our securities lending program.</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Mortgage Loans</w:t>
      </w:r>
    </w:p>
    <w:p>
      <w:pPr>
        <w:spacing w:after="0" w:line="11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Our mortgage loans are principally collateralized by commercial, agricultural and residential properties. Mortgage loans and the related valuation allowances are summarized as follows at:</w:t>
      </w: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140"/>
        </w:trPr>
        <w:tc>
          <w:tcPr>
            <w:tcW w:w="2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140" w:type="dxa"/>
            <w:vAlign w:val="bottom"/>
            <w:gridSpan w:val="4"/>
          </w:tcPr>
          <w:p>
            <w:pPr>
              <w:jc w:val="right"/>
              <w:ind w:right="560"/>
              <w:spacing w:after="0"/>
              <w:rPr>
                <w:sz w:val="20"/>
                <w:szCs w:val="20"/>
                <w:color w:val="auto"/>
              </w:rPr>
            </w:pPr>
            <w:r>
              <w:rPr>
                <w:rFonts w:ascii="Arial" w:cs="Arial" w:eastAsia="Arial" w:hAnsi="Arial"/>
                <w:sz w:val="11"/>
                <w:szCs w:val="11"/>
                <w:b w:val="1"/>
                <w:bCs w:val="1"/>
                <w:color w:val="auto"/>
              </w:rPr>
              <w:t>September 30, 2017</w:t>
            </w: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120" w:type="dxa"/>
            <w:vAlign w:val="bottom"/>
            <w:gridSpan w:val="4"/>
          </w:tcPr>
          <w:p>
            <w:pPr>
              <w:jc w:val="right"/>
              <w:ind w:right="540"/>
              <w:spacing w:after="0"/>
              <w:rPr>
                <w:sz w:val="20"/>
                <w:szCs w:val="20"/>
                <w:color w:val="auto"/>
              </w:rPr>
            </w:pPr>
            <w:r>
              <w:rPr>
                <w:rFonts w:ascii="Arial" w:cs="Arial" w:eastAsia="Arial" w:hAnsi="Arial"/>
                <w:sz w:val="11"/>
                <w:szCs w:val="11"/>
                <w:b w:val="1"/>
                <w:bCs w:val="1"/>
                <w:color w:val="auto"/>
              </w:rPr>
              <w:t>December 31, 2016</w:t>
            </w:r>
          </w:p>
        </w:tc>
        <w:tc>
          <w:tcPr>
            <w:tcW w:w="1140" w:type="dxa"/>
            <w:vAlign w:val="bottom"/>
          </w:tcPr>
          <w:p>
            <w:pPr>
              <w:spacing w:after="0"/>
              <w:rPr>
                <w:sz w:val="12"/>
                <w:szCs w:val="12"/>
                <w:color w:val="auto"/>
              </w:rPr>
            </w:pPr>
          </w:p>
        </w:tc>
      </w:tr>
      <w:tr>
        <w:trPr>
          <w:trHeight w:val="22"/>
        </w:trPr>
        <w:tc>
          <w:tcPr>
            <w:tcW w:w="23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128"/>
        </w:trPr>
        <w:tc>
          <w:tcPr>
            <w:tcW w:w="23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40" w:type="dxa"/>
            <w:vAlign w:val="bottom"/>
            <w:gridSpan w:val="2"/>
          </w:tcPr>
          <w:p>
            <w:pPr>
              <w:jc w:val="center"/>
              <w:spacing w:after="0"/>
              <w:rPr>
                <w:sz w:val="20"/>
                <w:szCs w:val="20"/>
                <w:color w:val="auto"/>
              </w:rPr>
            </w:pPr>
            <w:r>
              <w:rPr>
                <w:rFonts w:ascii="Arial" w:cs="Arial" w:eastAsia="Arial" w:hAnsi="Arial"/>
                <w:sz w:val="11"/>
                <w:szCs w:val="11"/>
                <w:b w:val="1"/>
                <w:bCs w:val="1"/>
                <w:color w:val="auto"/>
              </w:rPr>
              <w:t>% of</w:t>
            </w:r>
          </w:p>
        </w:tc>
        <w:tc>
          <w:tcPr>
            <w:tcW w:w="1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jc w:val="center"/>
              <w:ind w:left="61"/>
              <w:spacing w:after="0"/>
              <w:rPr>
                <w:sz w:val="20"/>
                <w:szCs w:val="20"/>
                <w:color w:val="auto"/>
              </w:rPr>
            </w:pPr>
            <w:r>
              <w:rPr>
                <w:rFonts w:ascii="Arial" w:cs="Arial" w:eastAsia="Arial" w:hAnsi="Arial"/>
                <w:sz w:val="11"/>
                <w:szCs w:val="11"/>
                <w:b w:val="1"/>
                <w:bCs w:val="1"/>
                <w:color w:val="auto"/>
                <w:w w:val="94"/>
              </w:rPr>
              <w:t>% of</w:t>
            </w:r>
          </w:p>
        </w:tc>
      </w:tr>
      <w:tr>
        <w:trPr>
          <w:trHeight w:val="122"/>
        </w:trPr>
        <w:tc>
          <w:tcPr>
            <w:tcW w:w="23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80" w:type="dxa"/>
            <w:vAlign w:val="bottom"/>
            <w:gridSpan w:val="2"/>
          </w:tcPr>
          <w:p>
            <w:pPr>
              <w:jc w:val="center"/>
              <w:ind w:right="300"/>
              <w:spacing w:after="0" w:line="122" w:lineRule="exact"/>
              <w:rPr>
                <w:sz w:val="20"/>
                <w:szCs w:val="20"/>
                <w:color w:val="auto"/>
              </w:rPr>
            </w:pPr>
            <w:r>
              <w:rPr>
                <w:rFonts w:ascii="Arial" w:cs="Arial" w:eastAsia="Arial" w:hAnsi="Arial"/>
                <w:sz w:val="11"/>
                <w:szCs w:val="11"/>
                <w:b w:val="1"/>
                <w:bCs w:val="1"/>
                <w:color w:val="auto"/>
                <w:w w:val="86"/>
              </w:rPr>
              <w:t>Recorded</w:t>
            </w:r>
          </w:p>
        </w:tc>
        <w:tc>
          <w:tcPr>
            <w:tcW w:w="1140" w:type="dxa"/>
            <w:vAlign w:val="bottom"/>
            <w:gridSpan w:val="2"/>
          </w:tcPr>
          <w:p>
            <w:pPr>
              <w:ind w:left="400"/>
              <w:spacing w:after="0" w:line="122" w:lineRule="exact"/>
              <w:rPr>
                <w:sz w:val="20"/>
                <w:szCs w:val="20"/>
                <w:color w:val="auto"/>
              </w:rPr>
            </w:pPr>
            <w:r>
              <w:rPr>
                <w:rFonts w:ascii="Arial" w:cs="Arial" w:eastAsia="Arial" w:hAnsi="Arial"/>
                <w:sz w:val="11"/>
                <w:szCs w:val="11"/>
                <w:b w:val="1"/>
                <w:bCs w:val="1"/>
                <w:color w:val="auto"/>
              </w:rPr>
              <w:t>% of</w:t>
            </w:r>
          </w:p>
        </w:tc>
        <w:tc>
          <w:tcPr>
            <w:tcW w:w="180" w:type="dxa"/>
            <w:vAlign w:val="bottom"/>
          </w:tcPr>
          <w:p>
            <w:pPr>
              <w:spacing w:after="0"/>
              <w:rPr>
                <w:sz w:val="10"/>
                <w:szCs w:val="10"/>
                <w:color w:val="auto"/>
              </w:rPr>
            </w:pPr>
          </w:p>
        </w:tc>
        <w:tc>
          <w:tcPr>
            <w:tcW w:w="820" w:type="dxa"/>
            <w:vAlign w:val="bottom"/>
          </w:tcPr>
          <w:p>
            <w:pPr>
              <w:jc w:val="right"/>
              <w:ind w:right="220"/>
              <w:spacing w:after="0" w:line="122" w:lineRule="exact"/>
              <w:rPr>
                <w:sz w:val="20"/>
                <w:szCs w:val="20"/>
                <w:color w:val="auto"/>
              </w:rPr>
            </w:pPr>
            <w:r>
              <w:rPr>
                <w:rFonts w:ascii="Arial" w:cs="Arial" w:eastAsia="Arial" w:hAnsi="Arial"/>
                <w:sz w:val="11"/>
                <w:szCs w:val="11"/>
                <w:b w:val="1"/>
                <w:bCs w:val="1"/>
                <w:color w:val="auto"/>
              </w:rPr>
              <w:t>Valuation</w:t>
            </w:r>
          </w:p>
        </w:tc>
        <w:tc>
          <w:tcPr>
            <w:tcW w:w="1240" w:type="dxa"/>
            <w:vAlign w:val="bottom"/>
            <w:gridSpan w:val="2"/>
          </w:tcPr>
          <w:p>
            <w:pPr>
              <w:jc w:val="center"/>
              <w:spacing w:after="0" w:line="122" w:lineRule="exact"/>
              <w:rPr>
                <w:sz w:val="20"/>
                <w:szCs w:val="20"/>
                <w:color w:val="auto"/>
              </w:rPr>
            </w:pPr>
            <w:r>
              <w:rPr>
                <w:rFonts w:ascii="Arial" w:cs="Arial" w:eastAsia="Arial" w:hAnsi="Arial"/>
                <w:sz w:val="11"/>
                <w:szCs w:val="11"/>
                <w:b w:val="1"/>
                <w:bCs w:val="1"/>
                <w:color w:val="auto"/>
                <w:w w:val="86"/>
              </w:rPr>
              <w:t>Recorded</w:t>
            </w:r>
          </w:p>
        </w:tc>
        <w:tc>
          <w:tcPr>
            <w:tcW w:w="160" w:type="dxa"/>
            <w:vAlign w:val="bottom"/>
          </w:tcPr>
          <w:p>
            <w:pPr>
              <w:spacing w:after="0"/>
              <w:rPr>
                <w:sz w:val="10"/>
                <w:szCs w:val="10"/>
                <w:color w:val="auto"/>
              </w:rPr>
            </w:pPr>
          </w:p>
        </w:tc>
        <w:tc>
          <w:tcPr>
            <w:tcW w:w="960" w:type="dxa"/>
            <w:vAlign w:val="bottom"/>
            <w:gridSpan w:val="2"/>
          </w:tcPr>
          <w:p>
            <w:pPr>
              <w:jc w:val="center"/>
              <w:ind w:right="280"/>
              <w:spacing w:after="0" w:line="122" w:lineRule="exact"/>
              <w:rPr>
                <w:sz w:val="20"/>
                <w:szCs w:val="20"/>
                <w:color w:val="auto"/>
              </w:rPr>
            </w:pPr>
            <w:r>
              <w:rPr>
                <w:rFonts w:ascii="Arial" w:cs="Arial" w:eastAsia="Arial" w:hAnsi="Arial"/>
                <w:sz w:val="11"/>
                <w:szCs w:val="11"/>
                <w:b w:val="1"/>
                <w:bCs w:val="1"/>
                <w:color w:val="auto"/>
                <w:w w:val="86"/>
              </w:rPr>
              <w:t>Recorded</w:t>
            </w:r>
          </w:p>
        </w:tc>
        <w:tc>
          <w:tcPr>
            <w:tcW w:w="1120" w:type="dxa"/>
            <w:vAlign w:val="bottom"/>
            <w:gridSpan w:val="2"/>
          </w:tcPr>
          <w:p>
            <w:pPr>
              <w:ind w:left="400"/>
              <w:spacing w:after="0" w:line="122" w:lineRule="exact"/>
              <w:rPr>
                <w:sz w:val="20"/>
                <w:szCs w:val="20"/>
                <w:color w:val="auto"/>
              </w:rPr>
            </w:pPr>
            <w:r>
              <w:rPr>
                <w:rFonts w:ascii="Arial" w:cs="Arial" w:eastAsia="Arial" w:hAnsi="Arial"/>
                <w:sz w:val="11"/>
                <w:szCs w:val="11"/>
                <w:b w:val="1"/>
                <w:bCs w:val="1"/>
                <w:color w:val="auto"/>
              </w:rPr>
              <w:t>% of</w:t>
            </w:r>
          </w:p>
        </w:tc>
        <w:tc>
          <w:tcPr>
            <w:tcW w:w="180" w:type="dxa"/>
            <w:vAlign w:val="bottom"/>
          </w:tcPr>
          <w:p>
            <w:pPr>
              <w:spacing w:after="0"/>
              <w:rPr>
                <w:sz w:val="10"/>
                <w:szCs w:val="10"/>
                <w:color w:val="auto"/>
              </w:rPr>
            </w:pPr>
          </w:p>
        </w:tc>
        <w:tc>
          <w:tcPr>
            <w:tcW w:w="820" w:type="dxa"/>
            <w:vAlign w:val="bottom"/>
          </w:tcPr>
          <w:p>
            <w:pPr>
              <w:jc w:val="right"/>
              <w:ind w:right="220"/>
              <w:spacing w:after="0" w:line="122" w:lineRule="exact"/>
              <w:rPr>
                <w:sz w:val="20"/>
                <w:szCs w:val="20"/>
                <w:color w:val="auto"/>
              </w:rPr>
            </w:pPr>
            <w:r>
              <w:rPr>
                <w:rFonts w:ascii="Arial" w:cs="Arial" w:eastAsia="Arial" w:hAnsi="Arial"/>
                <w:sz w:val="11"/>
                <w:szCs w:val="11"/>
                <w:b w:val="1"/>
                <w:bCs w:val="1"/>
                <w:color w:val="auto"/>
              </w:rPr>
              <w:t>Valuation</w:t>
            </w:r>
          </w:p>
        </w:tc>
        <w:tc>
          <w:tcPr>
            <w:tcW w:w="1140" w:type="dxa"/>
            <w:vAlign w:val="bottom"/>
          </w:tcPr>
          <w:p>
            <w:pPr>
              <w:jc w:val="center"/>
              <w:ind w:left="41"/>
              <w:spacing w:after="0" w:line="122" w:lineRule="exact"/>
              <w:rPr>
                <w:sz w:val="20"/>
                <w:szCs w:val="20"/>
                <w:color w:val="auto"/>
              </w:rPr>
            </w:pPr>
            <w:r>
              <w:rPr>
                <w:rFonts w:ascii="Arial" w:cs="Arial" w:eastAsia="Arial" w:hAnsi="Arial"/>
                <w:sz w:val="11"/>
                <w:szCs w:val="11"/>
                <w:b w:val="1"/>
                <w:bCs w:val="1"/>
                <w:color w:val="auto"/>
                <w:w w:val="86"/>
              </w:rPr>
              <w:t>Recorded</w:t>
            </w:r>
          </w:p>
        </w:tc>
      </w:tr>
      <w:tr>
        <w:trPr>
          <w:trHeight w:val="140"/>
        </w:trPr>
        <w:tc>
          <w:tcPr>
            <w:tcW w:w="2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gridSpan w:val="2"/>
          </w:tcPr>
          <w:p>
            <w:pPr>
              <w:jc w:val="center"/>
              <w:ind w:right="300"/>
              <w:spacing w:after="0"/>
              <w:rPr>
                <w:sz w:val="20"/>
                <w:szCs w:val="20"/>
                <w:color w:val="auto"/>
              </w:rPr>
            </w:pPr>
            <w:r>
              <w:rPr>
                <w:rFonts w:ascii="Arial" w:cs="Arial" w:eastAsia="Arial" w:hAnsi="Arial"/>
                <w:sz w:val="11"/>
                <w:szCs w:val="11"/>
                <w:b w:val="1"/>
                <w:bCs w:val="1"/>
                <w:color w:val="auto"/>
                <w:w w:val="89"/>
              </w:rPr>
              <w:t>Investment</w:t>
            </w:r>
          </w:p>
        </w:tc>
        <w:tc>
          <w:tcPr>
            <w:tcW w:w="1140" w:type="dxa"/>
            <w:vAlign w:val="bottom"/>
            <w:gridSpan w:val="2"/>
          </w:tcPr>
          <w:p>
            <w:pPr>
              <w:ind w:left="400"/>
              <w:spacing w:after="0"/>
              <w:rPr>
                <w:sz w:val="20"/>
                <w:szCs w:val="20"/>
                <w:color w:val="auto"/>
              </w:rPr>
            </w:pPr>
            <w:r>
              <w:rPr>
                <w:rFonts w:ascii="Arial" w:cs="Arial" w:eastAsia="Arial" w:hAnsi="Arial"/>
                <w:sz w:val="11"/>
                <w:szCs w:val="11"/>
                <w:b w:val="1"/>
                <w:bCs w:val="1"/>
                <w:color w:val="auto"/>
              </w:rPr>
              <w:t>Total</w:t>
            </w:r>
          </w:p>
        </w:tc>
        <w:tc>
          <w:tcPr>
            <w:tcW w:w="180" w:type="dxa"/>
            <w:vAlign w:val="bottom"/>
          </w:tcPr>
          <w:p>
            <w:pPr>
              <w:spacing w:after="0"/>
              <w:rPr>
                <w:sz w:val="12"/>
                <w:szCs w:val="12"/>
                <w:color w:val="auto"/>
              </w:rPr>
            </w:pPr>
          </w:p>
        </w:tc>
        <w:tc>
          <w:tcPr>
            <w:tcW w:w="820" w:type="dxa"/>
            <w:vAlign w:val="bottom"/>
          </w:tcPr>
          <w:p>
            <w:pPr>
              <w:jc w:val="right"/>
              <w:ind w:right="200"/>
              <w:spacing w:after="0"/>
              <w:rPr>
                <w:sz w:val="20"/>
                <w:szCs w:val="20"/>
                <w:color w:val="auto"/>
              </w:rPr>
            </w:pPr>
            <w:r>
              <w:rPr>
                <w:rFonts w:ascii="Arial" w:cs="Arial" w:eastAsia="Arial" w:hAnsi="Arial"/>
                <w:sz w:val="11"/>
                <w:szCs w:val="11"/>
                <w:b w:val="1"/>
                <w:bCs w:val="1"/>
                <w:color w:val="auto"/>
                <w:w w:val="99"/>
              </w:rPr>
              <w:t>Allowance</w:t>
            </w:r>
          </w:p>
        </w:tc>
        <w:tc>
          <w:tcPr>
            <w:tcW w:w="1240" w:type="dxa"/>
            <w:vAlign w:val="bottom"/>
            <w:gridSpan w:val="2"/>
          </w:tcPr>
          <w:p>
            <w:pPr>
              <w:jc w:val="center"/>
              <w:spacing w:after="0"/>
              <w:rPr>
                <w:sz w:val="20"/>
                <w:szCs w:val="20"/>
                <w:color w:val="auto"/>
              </w:rPr>
            </w:pPr>
            <w:r>
              <w:rPr>
                <w:rFonts w:ascii="Arial" w:cs="Arial" w:eastAsia="Arial" w:hAnsi="Arial"/>
                <w:sz w:val="11"/>
                <w:szCs w:val="11"/>
                <w:b w:val="1"/>
                <w:bCs w:val="1"/>
                <w:color w:val="auto"/>
                <w:w w:val="89"/>
              </w:rPr>
              <w:t>Investment</w:t>
            </w:r>
          </w:p>
        </w:tc>
        <w:tc>
          <w:tcPr>
            <w:tcW w:w="160" w:type="dxa"/>
            <w:vAlign w:val="bottom"/>
          </w:tcPr>
          <w:p>
            <w:pPr>
              <w:spacing w:after="0"/>
              <w:rPr>
                <w:sz w:val="12"/>
                <w:szCs w:val="12"/>
                <w:color w:val="auto"/>
              </w:rPr>
            </w:pPr>
          </w:p>
        </w:tc>
        <w:tc>
          <w:tcPr>
            <w:tcW w:w="960" w:type="dxa"/>
            <w:vAlign w:val="bottom"/>
            <w:gridSpan w:val="2"/>
          </w:tcPr>
          <w:p>
            <w:pPr>
              <w:jc w:val="center"/>
              <w:ind w:right="280"/>
              <w:spacing w:after="0"/>
              <w:rPr>
                <w:sz w:val="20"/>
                <w:szCs w:val="20"/>
                <w:color w:val="auto"/>
              </w:rPr>
            </w:pPr>
            <w:r>
              <w:rPr>
                <w:rFonts w:ascii="Arial" w:cs="Arial" w:eastAsia="Arial" w:hAnsi="Arial"/>
                <w:sz w:val="11"/>
                <w:szCs w:val="11"/>
                <w:b w:val="1"/>
                <w:bCs w:val="1"/>
                <w:color w:val="auto"/>
                <w:w w:val="89"/>
              </w:rPr>
              <w:t>Investment</w:t>
            </w:r>
          </w:p>
        </w:tc>
        <w:tc>
          <w:tcPr>
            <w:tcW w:w="1120" w:type="dxa"/>
            <w:vAlign w:val="bottom"/>
            <w:gridSpan w:val="2"/>
          </w:tcPr>
          <w:p>
            <w:pPr>
              <w:ind w:left="380"/>
              <w:spacing w:after="0"/>
              <w:rPr>
                <w:sz w:val="20"/>
                <w:szCs w:val="20"/>
                <w:color w:val="auto"/>
              </w:rPr>
            </w:pPr>
            <w:r>
              <w:rPr>
                <w:rFonts w:ascii="Arial" w:cs="Arial" w:eastAsia="Arial" w:hAnsi="Arial"/>
                <w:sz w:val="11"/>
                <w:szCs w:val="11"/>
                <w:b w:val="1"/>
                <w:bCs w:val="1"/>
                <w:color w:val="auto"/>
              </w:rPr>
              <w:t>Total</w:t>
            </w:r>
          </w:p>
        </w:tc>
        <w:tc>
          <w:tcPr>
            <w:tcW w:w="180" w:type="dxa"/>
            <w:vAlign w:val="bottom"/>
          </w:tcPr>
          <w:p>
            <w:pPr>
              <w:spacing w:after="0"/>
              <w:rPr>
                <w:sz w:val="12"/>
                <w:szCs w:val="12"/>
                <w:color w:val="auto"/>
              </w:rPr>
            </w:pPr>
          </w:p>
        </w:tc>
        <w:tc>
          <w:tcPr>
            <w:tcW w:w="820" w:type="dxa"/>
            <w:vAlign w:val="bottom"/>
          </w:tcPr>
          <w:p>
            <w:pPr>
              <w:jc w:val="right"/>
              <w:ind w:right="200"/>
              <w:spacing w:after="0"/>
              <w:rPr>
                <w:sz w:val="20"/>
                <w:szCs w:val="20"/>
                <w:color w:val="auto"/>
              </w:rPr>
            </w:pPr>
            <w:r>
              <w:rPr>
                <w:rFonts w:ascii="Arial" w:cs="Arial" w:eastAsia="Arial" w:hAnsi="Arial"/>
                <w:sz w:val="11"/>
                <w:szCs w:val="11"/>
                <w:b w:val="1"/>
                <w:bCs w:val="1"/>
                <w:color w:val="auto"/>
                <w:w w:val="99"/>
              </w:rPr>
              <w:t>Allowance</w:t>
            </w:r>
          </w:p>
        </w:tc>
        <w:tc>
          <w:tcPr>
            <w:tcW w:w="1140" w:type="dxa"/>
            <w:vAlign w:val="bottom"/>
          </w:tcPr>
          <w:p>
            <w:pPr>
              <w:jc w:val="center"/>
              <w:ind w:left="41"/>
              <w:spacing w:after="0"/>
              <w:rPr>
                <w:sz w:val="20"/>
                <w:szCs w:val="20"/>
                <w:color w:val="auto"/>
              </w:rPr>
            </w:pPr>
            <w:r>
              <w:rPr>
                <w:rFonts w:ascii="Arial" w:cs="Arial" w:eastAsia="Arial" w:hAnsi="Arial"/>
                <w:sz w:val="11"/>
                <w:szCs w:val="11"/>
                <w:b w:val="1"/>
                <w:bCs w:val="1"/>
                <w:color w:val="auto"/>
                <w:w w:val="89"/>
              </w:rPr>
              <w:t>Investment</w:t>
            </w:r>
          </w:p>
        </w:tc>
      </w:tr>
      <w:tr>
        <w:trPr>
          <w:trHeight w:val="22"/>
        </w:trPr>
        <w:tc>
          <w:tcPr>
            <w:tcW w:w="23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gridSpan w:val="4"/>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167"/>
        </w:trPr>
        <w:tc>
          <w:tcPr>
            <w:tcW w:w="2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360" w:type="dxa"/>
            <w:vAlign w:val="bottom"/>
            <w:gridSpan w:val="5"/>
          </w:tcPr>
          <w:p>
            <w:pPr>
              <w:ind w:left="640"/>
              <w:spacing w:after="0"/>
              <w:rPr>
                <w:sz w:val="20"/>
                <w:szCs w:val="20"/>
                <w:color w:val="auto"/>
              </w:rPr>
            </w:pPr>
            <w:r>
              <w:rPr>
                <w:rFonts w:ascii="Arial" w:cs="Arial" w:eastAsia="Arial" w:hAnsi="Arial"/>
                <w:sz w:val="13"/>
                <w:szCs w:val="13"/>
                <w:b w:val="1"/>
                <w:bCs w:val="1"/>
                <w:color w:val="auto"/>
              </w:rPr>
              <w:t>(Dollars in millions)</w:t>
            </w: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413"/>
        </w:trPr>
        <w:tc>
          <w:tcPr>
            <w:tcW w:w="2380" w:type="dxa"/>
            <w:vAlign w:val="bottom"/>
          </w:tcPr>
          <w:p>
            <w:pPr>
              <w:ind w:left="40"/>
              <w:spacing w:after="0"/>
              <w:rPr>
                <w:sz w:val="20"/>
                <w:szCs w:val="20"/>
                <w:color w:val="auto"/>
              </w:rPr>
            </w:pPr>
            <w:r>
              <w:rPr>
                <w:rFonts w:ascii="Arial" w:cs="Arial" w:eastAsia="Arial" w:hAnsi="Arial"/>
                <w:sz w:val="13"/>
                <w:szCs w:val="13"/>
                <w:color w:val="auto"/>
              </w:rPr>
              <w:t>Commercial</w:t>
            </w:r>
          </w:p>
        </w:tc>
        <w:tc>
          <w:tcPr>
            <w:tcW w:w="18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860" w:type="dxa"/>
            <w:vAlign w:val="bottom"/>
          </w:tcPr>
          <w:p>
            <w:pPr>
              <w:jc w:val="right"/>
              <w:ind w:right="60"/>
              <w:spacing w:after="0"/>
              <w:rPr>
                <w:sz w:val="20"/>
                <w:szCs w:val="20"/>
                <w:color w:val="auto"/>
              </w:rPr>
            </w:pPr>
            <w:r>
              <w:rPr>
                <w:rFonts w:ascii="Arial" w:cs="Arial" w:eastAsia="Arial" w:hAnsi="Arial"/>
                <w:sz w:val="13"/>
                <w:szCs w:val="13"/>
                <w:color w:val="auto"/>
              </w:rPr>
              <w:t>7,039</w:t>
            </w:r>
          </w:p>
        </w:tc>
        <w:tc>
          <w:tcPr>
            <w:tcW w:w="12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68.0%</w:t>
            </w:r>
          </w:p>
        </w:tc>
        <w:tc>
          <w:tcPr>
            <w:tcW w:w="100" w:type="dxa"/>
            <w:vAlign w:val="bottom"/>
          </w:tcPr>
          <w:p>
            <w:pPr>
              <w:spacing w:after="0"/>
              <w:rPr>
                <w:sz w:val="24"/>
                <w:szCs w:val="24"/>
                <w:color w:val="auto"/>
              </w:rPr>
            </w:pPr>
          </w:p>
        </w:tc>
        <w:tc>
          <w:tcPr>
            <w:tcW w:w="18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820" w:type="dxa"/>
            <w:vAlign w:val="bottom"/>
          </w:tcPr>
          <w:p>
            <w:pPr>
              <w:jc w:val="right"/>
              <w:ind w:right="40"/>
              <w:spacing w:after="0"/>
              <w:rPr>
                <w:sz w:val="20"/>
                <w:szCs w:val="20"/>
                <w:color w:val="auto"/>
              </w:rPr>
            </w:pPr>
            <w:r>
              <w:rPr>
                <w:rFonts w:ascii="Arial" w:cs="Arial" w:eastAsia="Arial" w:hAnsi="Arial"/>
                <w:sz w:val="13"/>
                <w:szCs w:val="13"/>
                <w:color w:val="auto"/>
              </w:rPr>
              <w:t>34</w:t>
            </w:r>
          </w:p>
        </w:tc>
        <w:tc>
          <w:tcPr>
            <w:tcW w:w="1140" w:type="dxa"/>
            <w:vAlign w:val="bottom"/>
          </w:tcPr>
          <w:p>
            <w:pPr>
              <w:jc w:val="right"/>
              <w:spacing w:after="0"/>
              <w:rPr>
                <w:sz w:val="20"/>
                <w:szCs w:val="20"/>
                <w:color w:val="auto"/>
              </w:rPr>
            </w:pPr>
            <w:r>
              <w:rPr>
                <w:rFonts w:ascii="Arial" w:cs="Arial" w:eastAsia="Arial" w:hAnsi="Arial"/>
                <w:sz w:val="13"/>
                <w:szCs w:val="13"/>
                <w:color w:val="auto"/>
              </w:rPr>
              <w:t>0.5%</w:t>
            </w:r>
          </w:p>
        </w:tc>
        <w:tc>
          <w:tcPr>
            <w:tcW w:w="10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840" w:type="dxa"/>
            <w:vAlign w:val="bottom"/>
          </w:tcPr>
          <w:p>
            <w:pPr>
              <w:jc w:val="right"/>
              <w:ind w:right="40"/>
              <w:spacing w:after="0"/>
              <w:rPr>
                <w:sz w:val="20"/>
                <w:szCs w:val="20"/>
                <w:color w:val="auto"/>
              </w:rPr>
            </w:pPr>
            <w:r>
              <w:rPr>
                <w:rFonts w:ascii="Arial" w:cs="Arial" w:eastAsia="Arial" w:hAnsi="Arial"/>
                <w:sz w:val="13"/>
                <w:szCs w:val="13"/>
                <w:color w:val="auto"/>
              </w:rPr>
              <w:t>6,523</w:t>
            </w:r>
          </w:p>
        </w:tc>
        <w:tc>
          <w:tcPr>
            <w:tcW w:w="12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70.3%</w:t>
            </w:r>
          </w:p>
        </w:tc>
        <w:tc>
          <w:tcPr>
            <w:tcW w:w="100" w:type="dxa"/>
            <w:vAlign w:val="bottom"/>
          </w:tcPr>
          <w:p>
            <w:pPr>
              <w:spacing w:after="0"/>
              <w:rPr>
                <w:sz w:val="24"/>
                <w:szCs w:val="24"/>
                <w:color w:val="auto"/>
              </w:rPr>
            </w:pPr>
          </w:p>
        </w:tc>
        <w:tc>
          <w:tcPr>
            <w:tcW w:w="18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820" w:type="dxa"/>
            <w:vAlign w:val="bottom"/>
          </w:tcPr>
          <w:p>
            <w:pPr>
              <w:jc w:val="right"/>
              <w:ind w:right="40"/>
              <w:spacing w:after="0"/>
              <w:rPr>
                <w:sz w:val="20"/>
                <w:szCs w:val="20"/>
                <w:color w:val="auto"/>
              </w:rPr>
            </w:pPr>
            <w:r>
              <w:rPr>
                <w:rFonts w:ascii="Arial" w:cs="Arial" w:eastAsia="Arial" w:hAnsi="Arial"/>
                <w:sz w:val="13"/>
                <w:szCs w:val="13"/>
                <w:color w:val="auto"/>
              </w:rPr>
              <w:t>32</w:t>
            </w:r>
          </w:p>
        </w:tc>
        <w:tc>
          <w:tcPr>
            <w:tcW w:w="1140" w:type="dxa"/>
            <w:vAlign w:val="bottom"/>
          </w:tcPr>
          <w:p>
            <w:pPr>
              <w:jc w:val="right"/>
              <w:spacing w:after="0"/>
              <w:rPr>
                <w:sz w:val="20"/>
                <w:szCs w:val="20"/>
                <w:color w:val="auto"/>
              </w:rPr>
            </w:pPr>
            <w:r>
              <w:rPr>
                <w:rFonts w:ascii="Arial" w:cs="Arial" w:eastAsia="Arial" w:hAnsi="Arial"/>
                <w:sz w:val="13"/>
                <w:szCs w:val="13"/>
                <w:color w:val="auto"/>
              </w:rPr>
              <w:t>0.5%</w:t>
            </w:r>
          </w:p>
        </w:tc>
      </w:tr>
      <w:tr>
        <w:trPr>
          <w:trHeight w:val="278"/>
        </w:trPr>
        <w:tc>
          <w:tcPr>
            <w:tcW w:w="2380" w:type="dxa"/>
            <w:vAlign w:val="bottom"/>
            <w:shd w:val="clear" w:color="auto" w:fill="CCEEFF"/>
          </w:tcPr>
          <w:p>
            <w:pPr>
              <w:ind w:left="40"/>
              <w:spacing w:after="0"/>
              <w:rPr>
                <w:sz w:val="20"/>
                <w:szCs w:val="20"/>
                <w:color w:val="auto"/>
              </w:rPr>
            </w:pPr>
            <w:r>
              <w:rPr>
                <w:rFonts w:ascii="Arial" w:cs="Arial" w:eastAsia="Arial" w:hAnsi="Arial"/>
                <w:sz w:val="13"/>
                <w:szCs w:val="13"/>
                <w:color w:val="auto"/>
              </w:rPr>
              <w:t>Agricultural</w:t>
            </w:r>
          </w:p>
        </w:tc>
        <w:tc>
          <w:tcPr>
            <w:tcW w:w="18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60"/>
              <w:spacing w:after="0"/>
              <w:rPr>
                <w:sz w:val="20"/>
                <w:szCs w:val="20"/>
                <w:color w:val="auto"/>
              </w:rPr>
            </w:pPr>
            <w:r>
              <w:rPr>
                <w:rFonts w:ascii="Arial" w:cs="Arial" w:eastAsia="Arial" w:hAnsi="Arial"/>
                <w:sz w:val="13"/>
                <w:szCs w:val="13"/>
                <w:color w:val="auto"/>
              </w:rPr>
              <w:t>2,220</w:t>
            </w:r>
          </w:p>
        </w:tc>
        <w:tc>
          <w:tcPr>
            <w:tcW w:w="1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81"/>
              <w:spacing w:after="0"/>
              <w:rPr>
                <w:sz w:val="20"/>
                <w:szCs w:val="20"/>
                <w:color w:val="auto"/>
              </w:rPr>
            </w:pPr>
            <w:r>
              <w:rPr>
                <w:rFonts w:ascii="Arial" w:cs="Arial" w:eastAsia="Arial" w:hAnsi="Arial"/>
                <w:sz w:val="13"/>
                <w:szCs w:val="13"/>
                <w:color w:val="auto"/>
              </w:rPr>
              <w:t>21.4</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40"/>
              <w:spacing w:after="0"/>
              <w:rPr>
                <w:sz w:val="20"/>
                <w:szCs w:val="20"/>
                <w:color w:val="auto"/>
              </w:rPr>
            </w:pPr>
            <w:r>
              <w:rPr>
                <w:rFonts w:ascii="Arial" w:cs="Arial" w:eastAsia="Arial" w:hAnsi="Arial"/>
                <w:sz w:val="13"/>
                <w:szCs w:val="13"/>
                <w:color w:val="auto"/>
              </w:rPr>
              <w:t>7</w:t>
            </w: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0.3%</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40"/>
              <w:spacing w:after="0"/>
              <w:rPr>
                <w:sz w:val="20"/>
                <w:szCs w:val="20"/>
                <w:color w:val="auto"/>
              </w:rPr>
            </w:pPr>
            <w:r>
              <w:rPr>
                <w:rFonts w:ascii="Arial" w:cs="Arial" w:eastAsia="Arial" w:hAnsi="Arial"/>
                <w:sz w:val="13"/>
                <w:szCs w:val="13"/>
                <w:color w:val="auto"/>
              </w:rPr>
              <w:t>1,892</w:t>
            </w:r>
          </w:p>
        </w:tc>
        <w:tc>
          <w:tcPr>
            <w:tcW w:w="12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81"/>
              <w:spacing w:after="0"/>
              <w:rPr>
                <w:sz w:val="20"/>
                <w:szCs w:val="20"/>
                <w:color w:val="auto"/>
              </w:rPr>
            </w:pPr>
            <w:r>
              <w:rPr>
                <w:rFonts w:ascii="Arial" w:cs="Arial" w:eastAsia="Arial" w:hAnsi="Arial"/>
                <w:sz w:val="13"/>
                <w:szCs w:val="13"/>
                <w:color w:val="auto"/>
              </w:rPr>
              <w:t>20.4</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40"/>
              <w:spacing w:after="0"/>
              <w:rPr>
                <w:sz w:val="20"/>
                <w:szCs w:val="20"/>
                <w:color w:val="auto"/>
              </w:rPr>
            </w:pPr>
            <w:r>
              <w:rPr>
                <w:rFonts w:ascii="Arial" w:cs="Arial" w:eastAsia="Arial" w:hAnsi="Arial"/>
                <w:sz w:val="13"/>
                <w:szCs w:val="13"/>
                <w:color w:val="auto"/>
              </w:rPr>
              <w:t>5</w:t>
            </w: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0.3%</w:t>
            </w:r>
          </w:p>
        </w:tc>
      </w:tr>
      <w:tr>
        <w:trPr>
          <w:trHeight w:val="264"/>
        </w:trPr>
        <w:tc>
          <w:tcPr>
            <w:tcW w:w="2380" w:type="dxa"/>
            <w:vAlign w:val="bottom"/>
            <w:tcBorders>
              <w:bottom w:val="single" w:sz="8" w:color="CCEEFF"/>
            </w:tcBorders>
          </w:tcPr>
          <w:p>
            <w:pPr>
              <w:ind w:left="40"/>
              <w:spacing w:after="0"/>
              <w:rPr>
                <w:sz w:val="20"/>
                <w:szCs w:val="20"/>
                <w:color w:val="auto"/>
              </w:rPr>
            </w:pPr>
            <w:r>
              <w:rPr>
                <w:rFonts w:ascii="Arial" w:cs="Arial" w:eastAsia="Arial" w:hAnsi="Arial"/>
                <w:sz w:val="13"/>
                <w:szCs w:val="13"/>
                <w:color w:val="auto"/>
              </w:rPr>
              <w:t>Residential</w:t>
            </w:r>
          </w:p>
        </w:tc>
        <w:tc>
          <w:tcPr>
            <w:tcW w:w="1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60"/>
              <w:spacing w:after="0"/>
              <w:rPr>
                <w:sz w:val="20"/>
                <w:szCs w:val="20"/>
                <w:color w:val="auto"/>
              </w:rPr>
            </w:pPr>
            <w:r>
              <w:rPr>
                <w:rFonts w:ascii="Arial" w:cs="Arial" w:eastAsia="Arial" w:hAnsi="Arial"/>
                <w:sz w:val="13"/>
                <w:szCs w:val="13"/>
                <w:color w:val="auto"/>
              </w:rPr>
              <w:t>1,098</w:t>
            </w:r>
          </w:p>
        </w:tc>
        <w:tc>
          <w:tcPr>
            <w:tcW w:w="120" w:type="dxa"/>
            <w:vAlign w:val="bottom"/>
            <w:tcBorders>
              <w:bottom w:val="single" w:sz="8" w:color="CCEEFF"/>
            </w:tcBorders>
          </w:tcPr>
          <w:p>
            <w:pPr>
              <w:spacing w:after="0"/>
              <w:rPr>
                <w:sz w:val="22"/>
                <w:szCs w:val="22"/>
                <w:color w:val="auto"/>
              </w:rPr>
            </w:pPr>
          </w:p>
        </w:tc>
        <w:tc>
          <w:tcPr>
            <w:tcW w:w="1040" w:type="dxa"/>
            <w:vAlign w:val="bottom"/>
            <w:tcBorders>
              <w:bottom w:val="single" w:sz="8" w:color="auto"/>
            </w:tcBorders>
          </w:tcPr>
          <w:p>
            <w:pPr>
              <w:jc w:val="right"/>
              <w:ind w:right="81"/>
              <w:spacing w:after="0"/>
              <w:rPr>
                <w:sz w:val="20"/>
                <w:szCs w:val="20"/>
                <w:color w:val="auto"/>
              </w:rPr>
            </w:pPr>
            <w:r>
              <w:rPr>
                <w:rFonts w:ascii="Arial" w:cs="Arial" w:eastAsia="Arial" w:hAnsi="Arial"/>
                <w:sz w:val="13"/>
                <w:szCs w:val="13"/>
                <w:color w:val="auto"/>
              </w:rPr>
              <w:t>10.6</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40"/>
              <w:spacing w:after="0"/>
              <w:rPr>
                <w:sz w:val="20"/>
                <w:szCs w:val="20"/>
                <w:color w:val="auto"/>
              </w:rPr>
            </w:pPr>
            <w:r>
              <w:rPr>
                <w:rFonts w:ascii="Arial" w:cs="Arial" w:eastAsia="Arial" w:hAnsi="Arial"/>
                <w:sz w:val="13"/>
                <w:szCs w:val="13"/>
                <w:color w:val="auto"/>
              </w:rPr>
              <w:t>4</w:t>
            </w:r>
          </w:p>
        </w:tc>
        <w:tc>
          <w:tcPr>
            <w:tcW w:w="1140" w:type="dxa"/>
            <w:vAlign w:val="bottom"/>
            <w:tcBorders>
              <w:bottom w:val="single" w:sz="8" w:color="CCEEFF"/>
            </w:tcBorders>
          </w:tcPr>
          <w:p>
            <w:pPr>
              <w:jc w:val="right"/>
              <w:spacing w:after="0"/>
              <w:rPr>
                <w:sz w:val="20"/>
                <w:szCs w:val="20"/>
                <w:color w:val="auto"/>
              </w:rPr>
            </w:pPr>
            <w:r>
              <w:rPr>
                <w:rFonts w:ascii="Arial" w:cs="Arial" w:eastAsia="Arial" w:hAnsi="Arial"/>
                <w:sz w:val="13"/>
                <w:szCs w:val="13"/>
                <w:color w:val="auto"/>
              </w:rPr>
              <w:t>0.4%</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40"/>
              <w:spacing w:after="0"/>
              <w:rPr>
                <w:sz w:val="20"/>
                <w:szCs w:val="20"/>
                <w:color w:val="auto"/>
              </w:rPr>
            </w:pPr>
            <w:r>
              <w:rPr>
                <w:rFonts w:ascii="Arial" w:cs="Arial" w:eastAsia="Arial" w:hAnsi="Arial"/>
                <w:sz w:val="13"/>
                <w:szCs w:val="13"/>
                <w:color w:val="auto"/>
              </w:rPr>
              <w:t>867</w:t>
            </w:r>
          </w:p>
        </w:tc>
        <w:tc>
          <w:tcPr>
            <w:tcW w:w="120" w:type="dxa"/>
            <w:vAlign w:val="bottom"/>
            <w:tcBorders>
              <w:bottom w:val="single" w:sz="8" w:color="CCEEFF"/>
            </w:tcBorders>
          </w:tcPr>
          <w:p>
            <w:pPr>
              <w:spacing w:after="0"/>
              <w:rPr>
                <w:sz w:val="22"/>
                <w:szCs w:val="22"/>
                <w:color w:val="auto"/>
              </w:rPr>
            </w:pPr>
          </w:p>
        </w:tc>
        <w:tc>
          <w:tcPr>
            <w:tcW w:w="1020" w:type="dxa"/>
            <w:vAlign w:val="bottom"/>
            <w:tcBorders>
              <w:bottom w:val="single" w:sz="8" w:color="auto"/>
            </w:tcBorders>
          </w:tcPr>
          <w:p>
            <w:pPr>
              <w:jc w:val="right"/>
              <w:ind w:right="81"/>
              <w:spacing w:after="0"/>
              <w:rPr>
                <w:sz w:val="20"/>
                <w:szCs w:val="20"/>
                <w:color w:val="auto"/>
              </w:rPr>
            </w:pPr>
            <w:r>
              <w:rPr>
                <w:rFonts w:ascii="Arial" w:cs="Arial" w:eastAsia="Arial" w:hAnsi="Arial"/>
                <w:sz w:val="13"/>
                <w:szCs w:val="13"/>
                <w:color w:val="auto"/>
              </w:rPr>
              <w:t>9.3</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40"/>
              <w:spacing w:after="0"/>
              <w:rPr>
                <w:sz w:val="20"/>
                <w:szCs w:val="20"/>
                <w:color w:val="auto"/>
              </w:rPr>
            </w:pPr>
            <w:r>
              <w:rPr>
                <w:rFonts w:ascii="Arial" w:cs="Arial" w:eastAsia="Arial" w:hAnsi="Arial"/>
                <w:sz w:val="13"/>
                <w:szCs w:val="13"/>
                <w:color w:val="auto"/>
              </w:rPr>
              <w:t>3</w:t>
            </w:r>
          </w:p>
        </w:tc>
        <w:tc>
          <w:tcPr>
            <w:tcW w:w="1140" w:type="dxa"/>
            <w:vAlign w:val="bottom"/>
            <w:tcBorders>
              <w:bottom w:val="single" w:sz="8" w:color="CCEEFF"/>
            </w:tcBorders>
          </w:tcPr>
          <w:p>
            <w:pPr>
              <w:jc w:val="right"/>
              <w:spacing w:after="0"/>
              <w:rPr>
                <w:sz w:val="20"/>
                <w:szCs w:val="20"/>
                <w:color w:val="auto"/>
              </w:rPr>
            </w:pPr>
            <w:r>
              <w:rPr>
                <w:rFonts w:ascii="Arial" w:cs="Arial" w:eastAsia="Arial" w:hAnsi="Arial"/>
                <w:sz w:val="13"/>
                <w:szCs w:val="13"/>
                <w:color w:val="auto"/>
              </w:rPr>
              <w:t>0.3%</w:t>
            </w:r>
          </w:p>
        </w:tc>
      </w:tr>
      <w:tr>
        <w:trPr>
          <w:trHeight w:val="242"/>
        </w:trPr>
        <w:tc>
          <w:tcPr>
            <w:tcW w:w="23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3"/>
                <w:szCs w:val="13"/>
                <w:color w:val="auto"/>
              </w:rPr>
              <w:t>Total</w:t>
            </w:r>
          </w:p>
        </w:tc>
        <w:tc>
          <w:tcPr>
            <w:tcW w:w="18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86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3"/>
                <w:szCs w:val="13"/>
                <w:color w:val="auto"/>
              </w:rPr>
              <w:t>10,357</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100.0%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82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3"/>
                <w:szCs w:val="13"/>
                <w:color w:val="auto"/>
              </w:rPr>
              <w:t>45</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0.4%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4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3"/>
                <w:szCs w:val="13"/>
                <w:color w:val="auto"/>
              </w:rPr>
              <w:t>9,282</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100.0%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82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3"/>
                <w:szCs w:val="13"/>
                <w:color w:val="auto"/>
              </w:rPr>
              <w:t>40</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0.4%</w:t>
            </w:r>
          </w:p>
        </w:tc>
      </w:tr>
      <w:tr>
        <w:trPr>
          <w:trHeight w:val="20"/>
        </w:trPr>
        <w:tc>
          <w:tcPr>
            <w:tcW w:w="23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bl>
    <w:p>
      <w:pPr>
        <w:spacing w:after="0" w:line="9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information presented in the tables herein exclude mortgage loans where we elected the fair value option (“FVO”). Such amounts are presented in Note 4 of the Notes to the Interim Condensed Consolidated and Combined Financial Statements.</w:t>
      </w:r>
    </w:p>
    <w:p>
      <w:pPr>
        <w:spacing w:after="0" w:line="6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diversify our mortgage loan portfolio by both geographic region and property type to reduce the risk of concentration. Of our commercial and agricultural mortgage loan portfolios, at September 30, 2017 and December 31, 2016, 97% and 96%, respectively, were collateralized by properties located in the U.S. and the remainder was collateralized by properties located outside of the U.S. The carrying value as a percentage of total commercial and agricultural mortgage loans for the top three states in the U.S. is as follows at:</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80" w:type="dxa"/>
            <w:vAlign w:val="bottom"/>
          </w:tcPr>
          <w:p>
            <w:pPr>
              <w:spacing w:after="0"/>
              <w:rPr>
                <w:sz w:val="16"/>
                <w:szCs w:val="16"/>
                <w:color w:val="auto"/>
              </w:rPr>
            </w:pPr>
          </w:p>
        </w:tc>
        <w:tc>
          <w:tcPr>
            <w:tcW w:w="2760" w:type="dxa"/>
            <w:vAlign w:val="bottom"/>
            <w:gridSpan w:val="2"/>
          </w:tcPr>
          <w:p>
            <w:pPr>
              <w:ind w:left="720"/>
              <w:spacing w:after="0"/>
              <w:rPr>
                <w:sz w:val="20"/>
                <w:szCs w:val="20"/>
                <w:color w:val="auto"/>
              </w:rPr>
            </w:pPr>
            <w:r>
              <w:rPr>
                <w:rFonts w:ascii="Arial" w:cs="Arial" w:eastAsia="Arial" w:hAnsi="Arial"/>
                <w:sz w:val="14"/>
                <w:szCs w:val="14"/>
                <w:b w:val="1"/>
                <w:bCs w:val="1"/>
                <w:color w:val="auto"/>
              </w:rPr>
              <w:t>September 30, 2017</w:t>
            </w:r>
          </w:p>
        </w:tc>
        <w:tc>
          <w:tcPr>
            <w:tcW w:w="2520" w:type="dxa"/>
            <w:vAlign w:val="bottom"/>
          </w:tcPr>
          <w:p>
            <w:pPr>
              <w:jc w:val="right"/>
              <w:ind w:right="608"/>
              <w:spacing w:after="0"/>
              <w:rPr>
                <w:sz w:val="20"/>
                <w:szCs w:val="20"/>
                <w:color w:val="auto"/>
              </w:rPr>
            </w:pPr>
            <w:r>
              <w:rPr>
                <w:rFonts w:ascii="Arial" w:cs="Arial" w:eastAsia="Arial" w:hAnsi="Arial"/>
                <w:sz w:val="14"/>
                <w:szCs w:val="14"/>
                <w:b w:val="1"/>
                <w:bCs w:val="1"/>
                <w:color w:val="auto"/>
              </w:rPr>
              <w:t>December 31, 2016</w:t>
            </w:r>
          </w:p>
        </w:tc>
        <w:tc>
          <w:tcPr>
            <w:tcW w:w="0" w:type="dxa"/>
            <w:vAlign w:val="bottom"/>
          </w:tcPr>
          <w:p>
            <w:pPr>
              <w:spacing w:after="0"/>
              <w:rPr>
                <w:sz w:val="1"/>
                <w:szCs w:val="1"/>
                <w:color w:val="auto"/>
              </w:rPr>
            </w:pPr>
          </w:p>
        </w:tc>
      </w:tr>
      <w:tr>
        <w:trPr>
          <w:trHeight w:val="177"/>
        </w:trPr>
        <w:tc>
          <w:tcPr>
            <w:tcW w:w="6080" w:type="dxa"/>
            <w:vAlign w:val="bottom"/>
          </w:tcPr>
          <w:p>
            <w:pPr>
              <w:ind w:left="40"/>
              <w:spacing w:after="0"/>
              <w:rPr>
                <w:sz w:val="20"/>
                <w:szCs w:val="20"/>
                <w:color w:val="auto"/>
              </w:rPr>
            </w:pPr>
            <w:r>
              <w:rPr>
                <w:rFonts w:ascii="Arial" w:cs="Arial" w:eastAsia="Arial" w:hAnsi="Arial"/>
                <w:sz w:val="14"/>
                <w:szCs w:val="14"/>
                <w:b w:val="1"/>
                <w:bCs w:val="1"/>
                <w:color w:val="auto"/>
              </w:rPr>
              <w:t>State</w:t>
            </w:r>
          </w:p>
        </w:tc>
        <w:tc>
          <w:tcPr>
            <w:tcW w:w="26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52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6080" w:type="dxa"/>
            <w:vAlign w:val="bottom"/>
          </w:tcPr>
          <w:p>
            <w:pPr>
              <w:spacing w:after="0"/>
              <w:rPr>
                <w:sz w:val="8"/>
                <w:szCs w:val="8"/>
                <w:color w:val="auto"/>
              </w:rPr>
            </w:pPr>
          </w:p>
        </w:tc>
        <w:tc>
          <w:tcPr>
            <w:tcW w:w="2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5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1"/>
        </w:trPr>
        <w:tc>
          <w:tcPr>
            <w:tcW w:w="6080" w:type="dxa"/>
            <w:vAlign w:val="bottom"/>
            <w:shd w:val="clear" w:color="auto" w:fill="CCEEFF"/>
          </w:tcPr>
          <w:p>
            <w:pPr>
              <w:ind w:left="40"/>
              <w:spacing w:after="0"/>
              <w:rPr>
                <w:sz w:val="20"/>
                <w:szCs w:val="20"/>
                <w:color w:val="auto"/>
              </w:rPr>
            </w:pPr>
            <w:r>
              <w:rPr>
                <w:rFonts w:ascii="Arial" w:cs="Arial" w:eastAsia="Arial" w:hAnsi="Arial"/>
                <w:sz w:val="14"/>
                <w:szCs w:val="14"/>
                <w:color w:val="auto"/>
              </w:rPr>
              <w:t>California</w:t>
            </w:r>
          </w:p>
        </w:tc>
        <w:tc>
          <w:tcPr>
            <w:tcW w:w="26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25%</w:t>
            </w:r>
          </w:p>
        </w:tc>
        <w:tc>
          <w:tcPr>
            <w:tcW w:w="100" w:type="dxa"/>
            <w:vAlign w:val="bottom"/>
            <w:shd w:val="clear" w:color="auto" w:fill="CCEEFF"/>
          </w:tcPr>
          <w:p>
            <w:pPr>
              <w:spacing w:after="0"/>
              <w:rPr>
                <w:sz w:val="16"/>
                <w:szCs w:val="16"/>
                <w:color w:val="auto"/>
              </w:rPr>
            </w:pPr>
          </w:p>
        </w:tc>
        <w:tc>
          <w:tcPr>
            <w:tcW w:w="25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25%</w:t>
            </w:r>
          </w:p>
        </w:tc>
        <w:tc>
          <w:tcPr>
            <w:tcW w:w="0" w:type="dxa"/>
            <w:vAlign w:val="bottom"/>
          </w:tcPr>
          <w:p>
            <w:pPr>
              <w:spacing w:after="0"/>
              <w:rPr>
                <w:sz w:val="1"/>
                <w:szCs w:val="1"/>
                <w:color w:val="auto"/>
              </w:rPr>
            </w:pPr>
          </w:p>
        </w:tc>
      </w:tr>
      <w:tr>
        <w:trPr>
          <w:trHeight w:val="80"/>
        </w:trPr>
        <w:tc>
          <w:tcPr>
            <w:tcW w:w="6080" w:type="dxa"/>
            <w:vAlign w:val="bottom"/>
            <w:shd w:val="clear" w:color="auto" w:fill="CCEEFF"/>
          </w:tcPr>
          <w:p>
            <w:pPr>
              <w:spacing w:after="0"/>
              <w:rPr>
                <w:sz w:val="6"/>
                <w:szCs w:val="6"/>
                <w:color w:val="auto"/>
              </w:rPr>
            </w:pPr>
          </w:p>
        </w:tc>
        <w:tc>
          <w:tcPr>
            <w:tcW w:w="266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52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6080" w:type="dxa"/>
            <w:vAlign w:val="bottom"/>
          </w:tcPr>
          <w:p>
            <w:pPr>
              <w:ind w:left="40"/>
              <w:spacing w:after="0"/>
              <w:rPr>
                <w:sz w:val="20"/>
                <w:szCs w:val="20"/>
                <w:color w:val="auto"/>
              </w:rPr>
            </w:pPr>
            <w:r>
              <w:rPr>
                <w:rFonts w:ascii="Arial" w:cs="Arial" w:eastAsia="Arial" w:hAnsi="Arial"/>
                <w:sz w:val="14"/>
                <w:szCs w:val="14"/>
                <w:color w:val="auto"/>
              </w:rPr>
              <w:t>New York</w:t>
            </w:r>
          </w:p>
        </w:tc>
        <w:tc>
          <w:tcPr>
            <w:tcW w:w="2660" w:type="dxa"/>
            <w:vAlign w:val="bottom"/>
            <w:vMerge w:val="restart"/>
          </w:tcPr>
          <w:p>
            <w:pPr>
              <w:jc w:val="right"/>
              <w:spacing w:after="0"/>
              <w:rPr>
                <w:sz w:val="20"/>
                <w:szCs w:val="20"/>
                <w:color w:val="auto"/>
              </w:rPr>
            </w:pPr>
            <w:r>
              <w:rPr>
                <w:rFonts w:ascii="Arial" w:cs="Arial" w:eastAsia="Arial" w:hAnsi="Arial"/>
                <w:sz w:val="14"/>
                <w:szCs w:val="14"/>
                <w:color w:val="auto"/>
              </w:rPr>
              <w:t>16%</w:t>
            </w:r>
          </w:p>
        </w:tc>
        <w:tc>
          <w:tcPr>
            <w:tcW w:w="100" w:type="dxa"/>
            <w:vAlign w:val="bottom"/>
          </w:tcPr>
          <w:p>
            <w:pPr>
              <w:spacing w:after="0"/>
              <w:rPr>
                <w:sz w:val="16"/>
                <w:szCs w:val="16"/>
                <w:color w:val="auto"/>
              </w:rPr>
            </w:pPr>
          </w:p>
        </w:tc>
        <w:tc>
          <w:tcPr>
            <w:tcW w:w="2520" w:type="dxa"/>
            <w:vAlign w:val="bottom"/>
            <w:vMerge w:val="restart"/>
          </w:tcPr>
          <w:p>
            <w:pPr>
              <w:jc w:val="right"/>
              <w:spacing w:after="0"/>
              <w:rPr>
                <w:sz w:val="20"/>
                <w:szCs w:val="20"/>
                <w:color w:val="auto"/>
              </w:rPr>
            </w:pPr>
            <w:r>
              <w:rPr>
                <w:rFonts w:ascii="Arial" w:cs="Arial" w:eastAsia="Arial" w:hAnsi="Arial"/>
                <w:sz w:val="14"/>
                <w:szCs w:val="14"/>
                <w:color w:val="auto"/>
              </w:rPr>
              <w:t>15%</w:t>
            </w:r>
          </w:p>
        </w:tc>
        <w:tc>
          <w:tcPr>
            <w:tcW w:w="0" w:type="dxa"/>
            <w:vAlign w:val="bottom"/>
          </w:tcPr>
          <w:p>
            <w:pPr>
              <w:spacing w:after="0"/>
              <w:rPr>
                <w:sz w:val="1"/>
                <w:szCs w:val="1"/>
                <w:color w:val="auto"/>
              </w:rPr>
            </w:pPr>
          </w:p>
        </w:tc>
      </w:tr>
      <w:tr>
        <w:trPr>
          <w:trHeight w:val="74"/>
        </w:trPr>
        <w:tc>
          <w:tcPr>
            <w:tcW w:w="6080" w:type="dxa"/>
            <w:vAlign w:val="bottom"/>
          </w:tcPr>
          <w:p>
            <w:pPr>
              <w:spacing w:after="0"/>
              <w:rPr>
                <w:sz w:val="6"/>
                <w:szCs w:val="6"/>
                <w:color w:val="auto"/>
              </w:rPr>
            </w:pPr>
          </w:p>
        </w:tc>
        <w:tc>
          <w:tcPr>
            <w:tcW w:w="266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25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6080" w:type="dxa"/>
            <w:vAlign w:val="bottom"/>
            <w:shd w:val="clear" w:color="auto" w:fill="CCEEFF"/>
          </w:tcPr>
          <w:p>
            <w:pPr>
              <w:ind w:left="40"/>
              <w:spacing w:after="0"/>
              <w:rPr>
                <w:sz w:val="20"/>
                <w:szCs w:val="20"/>
                <w:color w:val="auto"/>
              </w:rPr>
            </w:pPr>
            <w:r>
              <w:rPr>
                <w:rFonts w:ascii="Arial" w:cs="Arial" w:eastAsia="Arial" w:hAnsi="Arial"/>
                <w:sz w:val="14"/>
                <w:szCs w:val="14"/>
                <w:color w:val="auto"/>
              </w:rPr>
              <w:t>Texas</w:t>
            </w:r>
          </w:p>
        </w:tc>
        <w:tc>
          <w:tcPr>
            <w:tcW w:w="26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9%</w:t>
            </w:r>
          </w:p>
        </w:tc>
        <w:tc>
          <w:tcPr>
            <w:tcW w:w="100" w:type="dxa"/>
            <w:vAlign w:val="bottom"/>
            <w:shd w:val="clear" w:color="auto" w:fill="CCEEFF"/>
          </w:tcPr>
          <w:p>
            <w:pPr>
              <w:spacing w:after="0"/>
              <w:rPr>
                <w:sz w:val="17"/>
                <w:szCs w:val="17"/>
                <w:color w:val="auto"/>
              </w:rPr>
            </w:pPr>
          </w:p>
        </w:tc>
        <w:tc>
          <w:tcPr>
            <w:tcW w:w="25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9%</w:t>
            </w:r>
          </w:p>
        </w:tc>
        <w:tc>
          <w:tcPr>
            <w:tcW w:w="0" w:type="dxa"/>
            <w:vAlign w:val="bottom"/>
          </w:tcPr>
          <w:p>
            <w:pPr>
              <w:spacing w:after="0"/>
              <w:rPr>
                <w:sz w:val="1"/>
                <w:szCs w:val="1"/>
                <w:color w:val="auto"/>
              </w:rPr>
            </w:pPr>
          </w:p>
        </w:tc>
      </w:tr>
      <w:tr>
        <w:trPr>
          <w:trHeight w:val="80"/>
        </w:trPr>
        <w:tc>
          <w:tcPr>
            <w:tcW w:w="6080" w:type="dxa"/>
            <w:vAlign w:val="bottom"/>
            <w:shd w:val="clear" w:color="auto" w:fill="CCEEFF"/>
          </w:tcPr>
          <w:p>
            <w:pPr>
              <w:spacing w:after="0"/>
              <w:rPr>
                <w:sz w:val="6"/>
                <w:szCs w:val="6"/>
                <w:color w:val="auto"/>
              </w:rPr>
            </w:pPr>
          </w:p>
        </w:tc>
        <w:tc>
          <w:tcPr>
            <w:tcW w:w="266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52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Additionally, we manage risk when originating commercial and agricultural mortgage loans by generally lending up to 75% of the estimated fair value of the underlying real estate collateral.</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114</w:t>
      </w:r>
    </w:p>
    <w:p>
      <w:pPr>
        <w:sectPr>
          <w:pgSz w:w="11900" w:h="16838" w:orient="portrait"/>
          <w:cols w:equalWidth="0" w:num="1">
            <w:col w:w="11420"/>
          </w:cols>
          <w:pgMar w:left="240" w:top="126" w:right="239" w:bottom="1440" w:gutter="0" w:footer="0" w:header="0"/>
        </w:sectPr>
      </w:pPr>
    </w:p>
    <w:bookmarkStart w:id="116" w:name="page117"/>
    <w:bookmarkEnd w:id="116"/>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We manage our residential mortgage loan portfolio in a similar manner to reduce risk of concentration. All residential mortgage loans were collateralized by properties located in the U.S. at both September 30, 2017 and December 31, 2016. The carrying value as a percentage of total residential mortgage loans for the top three states in the U.S. is as follows at:</w:t>
      </w: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200" w:type="dxa"/>
            <w:vAlign w:val="bottom"/>
          </w:tcPr>
          <w:p>
            <w:pPr>
              <w:spacing w:after="0"/>
              <w:rPr>
                <w:sz w:val="16"/>
                <w:szCs w:val="16"/>
                <w:color w:val="auto"/>
              </w:rPr>
            </w:pPr>
          </w:p>
        </w:tc>
        <w:tc>
          <w:tcPr>
            <w:tcW w:w="2660" w:type="dxa"/>
            <w:vAlign w:val="bottom"/>
            <w:gridSpan w:val="2"/>
          </w:tcPr>
          <w:p>
            <w:pPr>
              <w:ind w:left="680"/>
              <w:spacing w:after="0"/>
              <w:rPr>
                <w:sz w:val="20"/>
                <w:szCs w:val="20"/>
                <w:color w:val="auto"/>
              </w:rPr>
            </w:pPr>
            <w:r>
              <w:rPr>
                <w:rFonts w:ascii="Arial" w:cs="Arial" w:eastAsia="Arial" w:hAnsi="Arial"/>
                <w:sz w:val="14"/>
                <w:szCs w:val="14"/>
                <w:b w:val="1"/>
                <w:bCs w:val="1"/>
                <w:color w:val="auto"/>
              </w:rPr>
              <w:t>September 30, 2017</w:t>
            </w:r>
          </w:p>
        </w:tc>
        <w:tc>
          <w:tcPr>
            <w:tcW w:w="2540" w:type="dxa"/>
            <w:vAlign w:val="bottom"/>
          </w:tcPr>
          <w:p>
            <w:pPr>
              <w:jc w:val="right"/>
              <w:ind w:right="628"/>
              <w:spacing w:after="0"/>
              <w:rPr>
                <w:sz w:val="20"/>
                <w:szCs w:val="20"/>
                <w:color w:val="auto"/>
              </w:rPr>
            </w:pPr>
            <w:r>
              <w:rPr>
                <w:rFonts w:ascii="Arial" w:cs="Arial" w:eastAsia="Arial" w:hAnsi="Arial"/>
                <w:sz w:val="14"/>
                <w:szCs w:val="14"/>
                <w:b w:val="1"/>
                <w:bCs w:val="1"/>
                <w:color w:val="auto"/>
              </w:rPr>
              <w:t>December 31, 2016</w:t>
            </w:r>
          </w:p>
        </w:tc>
        <w:tc>
          <w:tcPr>
            <w:tcW w:w="0" w:type="dxa"/>
            <w:vAlign w:val="bottom"/>
          </w:tcPr>
          <w:p>
            <w:pPr>
              <w:spacing w:after="0"/>
              <w:rPr>
                <w:sz w:val="1"/>
                <w:szCs w:val="1"/>
                <w:color w:val="auto"/>
              </w:rPr>
            </w:pPr>
          </w:p>
        </w:tc>
      </w:tr>
      <w:tr>
        <w:trPr>
          <w:trHeight w:val="177"/>
        </w:trPr>
        <w:tc>
          <w:tcPr>
            <w:tcW w:w="6200" w:type="dxa"/>
            <w:vAlign w:val="bottom"/>
          </w:tcPr>
          <w:p>
            <w:pPr>
              <w:ind w:left="40"/>
              <w:spacing w:after="0"/>
              <w:rPr>
                <w:sz w:val="20"/>
                <w:szCs w:val="20"/>
                <w:color w:val="auto"/>
              </w:rPr>
            </w:pPr>
            <w:r>
              <w:rPr>
                <w:rFonts w:ascii="Arial" w:cs="Arial" w:eastAsia="Arial" w:hAnsi="Arial"/>
                <w:sz w:val="14"/>
                <w:szCs w:val="14"/>
                <w:b w:val="1"/>
                <w:bCs w:val="1"/>
                <w:color w:val="auto"/>
              </w:rPr>
              <w:t>State</w:t>
            </w:r>
          </w:p>
        </w:tc>
        <w:tc>
          <w:tcPr>
            <w:tcW w:w="254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54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6200" w:type="dxa"/>
            <w:vAlign w:val="bottom"/>
          </w:tcPr>
          <w:p>
            <w:pPr>
              <w:spacing w:after="0"/>
              <w:rPr>
                <w:sz w:val="8"/>
                <w:szCs w:val="8"/>
                <w:color w:val="auto"/>
              </w:rPr>
            </w:pPr>
          </w:p>
        </w:tc>
        <w:tc>
          <w:tcPr>
            <w:tcW w:w="25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5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1"/>
        </w:trPr>
        <w:tc>
          <w:tcPr>
            <w:tcW w:w="6200" w:type="dxa"/>
            <w:vAlign w:val="bottom"/>
            <w:shd w:val="clear" w:color="auto" w:fill="CCEEFF"/>
          </w:tcPr>
          <w:p>
            <w:pPr>
              <w:ind w:left="40"/>
              <w:spacing w:after="0"/>
              <w:rPr>
                <w:sz w:val="20"/>
                <w:szCs w:val="20"/>
                <w:color w:val="auto"/>
              </w:rPr>
            </w:pPr>
            <w:r>
              <w:rPr>
                <w:rFonts w:ascii="Arial" w:cs="Arial" w:eastAsia="Arial" w:hAnsi="Arial"/>
                <w:sz w:val="14"/>
                <w:szCs w:val="14"/>
                <w:color w:val="auto"/>
              </w:rPr>
              <w:t>California</w:t>
            </w:r>
          </w:p>
        </w:tc>
        <w:tc>
          <w:tcPr>
            <w:tcW w:w="25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33%</w:t>
            </w:r>
          </w:p>
        </w:tc>
        <w:tc>
          <w:tcPr>
            <w:tcW w:w="120" w:type="dxa"/>
            <w:vAlign w:val="bottom"/>
            <w:shd w:val="clear" w:color="auto" w:fill="CCEEFF"/>
          </w:tcPr>
          <w:p>
            <w:pPr>
              <w:spacing w:after="0"/>
              <w:rPr>
                <w:sz w:val="16"/>
                <w:szCs w:val="16"/>
                <w:color w:val="auto"/>
              </w:rPr>
            </w:pPr>
          </w:p>
        </w:tc>
        <w:tc>
          <w:tcPr>
            <w:tcW w:w="25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34%</w:t>
            </w:r>
          </w:p>
        </w:tc>
        <w:tc>
          <w:tcPr>
            <w:tcW w:w="0" w:type="dxa"/>
            <w:vAlign w:val="bottom"/>
          </w:tcPr>
          <w:p>
            <w:pPr>
              <w:spacing w:after="0"/>
              <w:rPr>
                <w:sz w:val="1"/>
                <w:szCs w:val="1"/>
                <w:color w:val="auto"/>
              </w:rPr>
            </w:pPr>
          </w:p>
        </w:tc>
      </w:tr>
      <w:tr>
        <w:trPr>
          <w:trHeight w:val="80"/>
        </w:trPr>
        <w:tc>
          <w:tcPr>
            <w:tcW w:w="6200" w:type="dxa"/>
            <w:vAlign w:val="bottom"/>
            <w:shd w:val="clear" w:color="auto" w:fill="CCEEFF"/>
          </w:tcPr>
          <w:p>
            <w:pPr>
              <w:spacing w:after="0"/>
              <w:rPr>
                <w:sz w:val="6"/>
                <w:szCs w:val="6"/>
                <w:color w:val="auto"/>
              </w:rPr>
            </w:pPr>
          </w:p>
        </w:tc>
        <w:tc>
          <w:tcPr>
            <w:tcW w:w="254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54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6200" w:type="dxa"/>
            <w:vAlign w:val="bottom"/>
          </w:tcPr>
          <w:p>
            <w:pPr>
              <w:ind w:left="40"/>
              <w:spacing w:after="0"/>
              <w:rPr>
                <w:sz w:val="20"/>
                <w:szCs w:val="20"/>
                <w:color w:val="auto"/>
              </w:rPr>
            </w:pPr>
            <w:r>
              <w:rPr>
                <w:rFonts w:ascii="Arial" w:cs="Arial" w:eastAsia="Arial" w:hAnsi="Arial"/>
                <w:sz w:val="14"/>
                <w:szCs w:val="14"/>
                <w:color w:val="auto"/>
              </w:rPr>
              <w:t>Florida</w:t>
            </w:r>
          </w:p>
        </w:tc>
        <w:tc>
          <w:tcPr>
            <w:tcW w:w="2540" w:type="dxa"/>
            <w:vAlign w:val="bottom"/>
            <w:vMerge w:val="restart"/>
          </w:tcPr>
          <w:p>
            <w:pPr>
              <w:jc w:val="right"/>
              <w:spacing w:after="0"/>
              <w:rPr>
                <w:sz w:val="20"/>
                <w:szCs w:val="20"/>
                <w:color w:val="auto"/>
              </w:rPr>
            </w:pPr>
            <w:r>
              <w:rPr>
                <w:rFonts w:ascii="Arial" w:cs="Arial" w:eastAsia="Arial" w:hAnsi="Arial"/>
                <w:sz w:val="14"/>
                <w:szCs w:val="14"/>
                <w:color w:val="auto"/>
              </w:rPr>
              <w:t>13%</w:t>
            </w:r>
          </w:p>
        </w:tc>
        <w:tc>
          <w:tcPr>
            <w:tcW w:w="120" w:type="dxa"/>
            <w:vAlign w:val="bottom"/>
          </w:tcPr>
          <w:p>
            <w:pPr>
              <w:spacing w:after="0"/>
              <w:rPr>
                <w:sz w:val="16"/>
                <w:szCs w:val="16"/>
                <w:color w:val="auto"/>
              </w:rPr>
            </w:pPr>
          </w:p>
        </w:tc>
        <w:tc>
          <w:tcPr>
            <w:tcW w:w="2540" w:type="dxa"/>
            <w:vAlign w:val="bottom"/>
            <w:vMerge w:val="restart"/>
          </w:tcPr>
          <w:p>
            <w:pPr>
              <w:jc w:val="right"/>
              <w:spacing w:after="0"/>
              <w:rPr>
                <w:sz w:val="20"/>
                <w:szCs w:val="20"/>
                <w:color w:val="auto"/>
              </w:rPr>
            </w:pPr>
            <w:r>
              <w:rPr>
                <w:rFonts w:ascii="Arial" w:cs="Arial" w:eastAsia="Arial" w:hAnsi="Arial"/>
                <w:sz w:val="14"/>
                <w:szCs w:val="14"/>
                <w:color w:val="auto"/>
              </w:rPr>
              <w:t>12%</w:t>
            </w:r>
          </w:p>
        </w:tc>
        <w:tc>
          <w:tcPr>
            <w:tcW w:w="0" w:type="dxa"/>
            <w:vAlign w:val="bottom"/>
          </w:tcPr>
          <w:p>
            <w:pPr>
              <w:spacing w:after="0"/>
              <w:rPr>
                <w:sz w:val="1"/>
                <w:szCs w:val="1"/>
                <w:color w:val="auto"/>
              </w:rPr>
            </w:pPr>
          </w:p>
        </w:tc>
      </w:tr>
      <w:tr>
        <w:trPr>
          <w:trHeight w:val="74"/>
        </w:trPr>
        <w:tc>
          <w:tcPr>
            <w:tcW w:w="6200" w:type="dxa"/>
            <w:vAlign w:val="bottom"/>
          </w:tcPr>
          <w:p>
            <w:pPr>
              <w:spacing w:after="0"/>
              <w:rPr>
                <w:sz w:val="6"/>
                <w:szCs w:val="6"/>
                <w:color w:val="auto"/>
              </w:rPr>
            </w:pPr>
          </w:p>
        </w:tc>
        <w:tc>
          <w:tcPr>
            <w:tcW w:w="25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25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620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New York</w:t>
            </w:r>
          </w:p>
        </w:tc>
        <w:tc>
          <w:tcPr>
            <w:tcW w:w="25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7%</w:t>
            </w:r>
          </w:p>
        </w:tc>
        <w:tc>
          <w:tcPr>
            <w:tcW w:w="120" w:type="dxa"/>
            <w:vAlign w:val="bottom"/>
            <w:shd w:val="clear" w:color="auto" w:fill="CCEEFF"/>
          </w:tcPr>
          <w:p>
            <w:pPr>
              <w:spacing w:after="0"/>
              <w:rPr>
                <w:sz w:val="17"/>
                <w:szCs w:val="17"/>
                <w:color w:val="auto"/>
              </w:rPr>
            </w:pPr>
          </w:p>
        </w:tc>
        <w:tc>
          <w:tcPr>
            <w:tcW w:w="25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8%</w:t>
            </w:r>
          </w:p>
        </w:tc>
        <w:tc>
          <w:tcPr>
            <w:tcW w:w="0" w:type="dxa"/>
            <w:vAlign w:val="bottom"/>
          </w:tcPr>
          <w:p>
            <w:pPr>
              <w:spacing w:after="0"/>
              <w:rPr>
                <w:sz w:val="1"/>
                <w:szCs w:val="1"/>
                <w:color w:val="auto"/>
              </w:rPr>
            </w:pPr>
          </w:p>
        </w:tc>
      </w:tr>
      <w:tr>
        <w:trPr>
          <w:trHeight w:val="80"/>
        </w:trPr>
        <w:tc>
          <w:tcPr>
            <w:tcW w:w="6200" w:type="dxa"/>
            <w:vAlign w:val="bottom"/>
            <w:shd w:val="clear" w:color="auto" w:fill="CCEEFF"/>
          </w:tcPr>
          <w:p>
            <w:pPr>
              <w:spacing w:after="0"/>
              <w:rPr>
                <w:sz w:val="6"/>
                <w:szCs w:val="6"/>
                <w:color w:val="auto"/>
              </w:rPr>
            </w:pPr>
          </w:p>
        </w:tc>
        <w:tc>
          <w:tcPr>
            <w:tcW w:w="254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54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jc w:val="both"/>
        <w:ind w:right="20" w:firstLine="324"/>
        <w:spacing w:after="0" w:line="308" w:lineRule="auto"/>
        <w:rPr>
          <w:sz w:val="20"/>
          <w:szCs w:val="20"/>
          <w:color w:val="auto"/>
        </w:rPr>
      </w:pPr>
      <w:r>
        <w:rPr>
          <w:rFonts w:ascii="Arial" w:cs="Arial" w:eastAsia="Arial" w:hAnsi="Arial"/>
          <w:sz w:val="17"/>
          <w:szCs w:val="17"/>
          <w:i w:val="1"/>
          <w:iCs w:val="1"/>
          <w:color w:val="auto"/>
        </w:rPr>
        <w:t>Commercial Mortgage Loans by Geographic Region and Property Type</w:t>
      </w:r>
      <w:r>
        <w:rPr>
          <w:rFonts w:ascii="Arial" w:cs="Arial" w:eastAsia="Arial" w:hAnsi="Arial"/>
          <w:sz w:val="17"/>
          <w:szCs w:val="17"/>
          <w:color w:val="auto"/>
        </w:rPr>
        <w:t>. Commercial mortgage loans are the largest component of the mortgage loan</w:t>
      </w:r>
      <w:r>
        <w:rPr>
          <w:rFonts w:ascii="Arial" w:cs="Arial" w:eastAsia="Arial" w:hAnsi="Arial"/>
          <w:sz w:val="17"/>
          <w:szCs w:val="17"/>
          <w:i w:val="1"/>
          <w:iCs w:val="1"/>
          <w:color w:val="auto"/>
        </w:rPr>
        <w:t xml:space="preserve"> </w:t>
      </w:r>
      <w:r>
        <w:rPr>
          <w:rFonts w:ascii="Arial" w:cs="Arial" w:eastAsia="Arial" w:hAnsi="Arial"/>
          <w:sz w:val="17"/>
          <w:szCs w:val="17"/>
          <w:color w:val="auto"/>
        </w:rPr>
        <w:t>invested asset class. The tables below present the diversification across geographic regions and property types of commercial mortgage loans at:</w:t>
      </w:r>
    </w:p>
    <w:p>
      <w:pPr>
        <w:sectPr>
          <w:pgSz w:w="11900" w:h="16838" w:orient="portrait"/>
          <w:cols w:equalWidth="0" w:num="1">
            <w:col w:w="11420"/>
          </w:cols>
          <w:pgMar w:left="240" w:top="126"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Region</w:t>
      </w:r>
    </w:p>
    <w:p>
      <w:pPr>
        <w:spacing w:after="0" w:line="113" w:lineRule="exact"/>
        <w:rPr>
          <w:sz w:val="20"/>
          <w:szCs w:val="20"/>
          <w:color w:val="auto"/>
        </w:rPr>
      </w:pPr>
    </w:p>
    <w:p>
      <w:pPr>
        <w:ind w:left="40"/>
        <w:spacing w:after="0"/>
        <w:rPr>
          <w:sz w:val="20"/>
          <w:szCs w:val="20"/>
          <w:color w:val="auto"/>
        </w:rPr>
      </w:pPr>
      <w:r>
        <w:rPr>
          <w:rFonts w:ascii="Arial" w:cs="Arial" w:eastAsia="Arial" w:hAnsi="Arial"/>
          <w:sz w:val="14"/>
          <w:szCs w:val="14"/>
          <w:color w:val="auto"/>
        </w:rPr>
        <w:t>Pacific</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Middle Atlantic</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South Atlantic</w:t>
      </w:r>
    </w:p>
    <w:p>
      <w:pPr>
        <w:spacing w:after="0" w:line="190" w:lineRule="exact"/>
        <w:rPr>
          <w:sz w:val="20"/>
          <w:szCs w:val="20"/>
          <w:color w:val="auto"/>
        </w:rPr>
      </w:pPr>
    </w:p>
    <w:p>
      <w:pPr>
        <w:ind w:left="40"/>
        <w:spacing w:after="0"/>
        <w:rPr>
          <w:sz w:val="20"/>
          <w:szCs w:val="20"/>
          <w:color w:val="auto"/>
        </w:rPr>
      </w:pPr>
      <w:r>
        <w:rPr>
          <w:rFonts w:ascii="Arial" w:cs="Arial" w:eastAsia="Arial" w:hAnsi="Arial"/>
          <w:sz w:val="14"/>
          <w:szCs w:val="14"/>
          <w:color w:val="auto"/>
        </w:rPr>
        <w:t>West South Central</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East North Central</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International</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Mountain</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New England</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West North Central</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East South Central</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Multi-Region and Other</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Total recorded investment</w:t>
      </w:r>
    </w:p>
    <w:p>
      <w:pPr>
        <w:spacing w:after="0" w:line="109" w:lineRule="exact"/>
        <w:rPr>
          <w:sz w:val="20"/>
          <w:szCs w:val="20"/>
          <w:color w:val="auto"/>
        </w:rPr>
      </w:pPr>
    </w:p>
    <w:p>
      <w:pPr>
        <w:ind w:left="180"/>
        <w:spacing w:after="0"/>
        <w:rPr>
          <w:sz w:val="20"/>
          <w:szCs w:val="20"/>
          <w:color w:val="auto"/>
        </w:rPr>
      </w:pPr>
      <w:r>
        <w:rPr>
          <w:rFonts w:ascii="Arial" w:cs="Arial" w:eastAsia="Arial" w:hAnsi="Arial"/>
          <w:sz w:val="14"/>
          <w:szCs w:val="14"/>
          <w:color w:val="auto"/>
        </w:rPr>
        <w:t>Less: valuation allowances</w:t>
      </w:r>
    </w:p>
    <w:p>
      <w:pPr>
        <w:spacing w:after="0" w:line="136" w:lineRule="exact"/>
        <w:rPr>
          <w:sz w:val="20"/>
          <w:szCs w:val="20"/>
          <w:color w:val="auto"/>
        </w:rPr>
      </w:pPr>
    </w:p>
    <w:p>
      <w:pPr>
        <w:ind w:left="180"/>
        <w:spacing w:after="0"/>
        <w:rPr>
          <w:sz w:val="20"/>
          <w:szCs w:val="20"/>
          <w:color w:val="auto"/>
        </w:rPr>
      </w:pPr>
      <w:r>
        <w:rPr>
          <w:rFonts w:ascii="Arial" w:cs="Arial" w:eastAsia="Arial" w:hAnsi="Arial"/>
          <w:sz w:val="13"/>
          <w:szCs w:val="13"/>
          <w:color w:val="auto"/>
        </w:rPr>
        <w:t>Carrying value, net of valuation allowances</w:t>
      </w:r>
    </w:p>
    <w:p>
      <w:pPr>
        <w:spacing w:after="0" w:line="117"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Property Type</w:t>
      </w:r>
    </w:p>
    <w:p>
      <w:pPr>
        <w:spacing w:after="0" w:line="140" w:lineRule="exact"/>
        <w:rPr>
          <w:sz w:val="20"/>
          <w:szCs w:val="20"/>
          <w:color w:val="auto"/>
        </w:rPr>
      </w:pPr>
    </w:p>
    <w:p>
      <w:pPr>
        <w:ind w:left="40"/>
        <w:spacing w:after="0"/>
        <w:rPr>
          <w:sz w:val="20"/>
          <w:szCs w:val="20"/>
          <w:color w:val="auto"/>
        </w:rPr>
      </w:pPr>
      <w:r>
        <w:rPr>
          <w:rFonts w:ascii="Arial" w:cs="Arial" w:eastAsia="Arial" w:hAnsi="Arial"/>
          <w:sz w:val="14"/>
          <w:szCs w:val="14"/>
          <w:color w:val="auto"/>
        </w:rPr>
        <w:t>Office</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Retail</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Apartment</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Hotel</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Industrial</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Other</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Total recorded investment</w:t>
      </w:r>
    </w:p>
    <w:p>
      <w:pPr>
        <w:spacing w:after="0" w:line="109" w:lineRule="exact"/>
        <w:rPr>
          <w:sz w:val="20"/>
          <w:szCs w:val="20"/>
          <w:color w:val="auto"/>
        </w:rPr>
      </w:pPr>
    </w:p>
    <w:p>
      <w:pPr>
        <w:ind w:left="180"/>
        <w:spacing w:after="0"/>
        <w:rPr>
          <w:sz w:val="20"/>
          <w:szCs w:val="20"/>
          <w:color w:val="auto"/>
        </w:rPr>
      </w:pPr>
      <w:r>
        <w:rPr>
          <w:rFonts w:ascii="Arial" w:cs="Arial" w:eastAsia="Arial" w:hAnsi="Arial"/>
          <w:sz w:val="14"/>
          <w:szCs w:val="14"/>
          <w:color w:val="auto"/>
        </w:rPr>
        <w:t>Less: valuation allowances</w:t>
      </w:r>
    </w:p>
    <w:p>
      <w:pPr>
        <w:spacing w:after="0" w:line="136" w:lineRule="exact"/>
        <w:rPr>
          <w:sz w:val="20"/>
          <w:szCs w:val="20"/>
          <w:color w:val="auto"/>
        </w:rPr>
      </w:pPr>
    </w:p>
    <w:p>
      <w:pPr>
        <w:ind w:left="180"/>
        <w:spacing w:after="0"/>
        <w:rPr>
          <w:sz w:val="20"/>
          <w:szCs w:val="20"/>
          <w:color w:val="auto"/>
        </w:rPr>
      </w:pPr>
      <w:r>
        <w:rPr>
          <w:rFonts w:ascii="Arial" w:cs="Arial" w:eastAsia="Arial" w:hAnsi="Arial"/>
          <w:sz w:val="13"/>
          <w:szCs w:val="13"/>
          <w:color w:val="auto"/>
        </w:rPr>
        <w:t>Carrying value, net of valuation allowances</w:t>
      </w:r>
    </w:p>
    <w:p>
      <w:pPr>
        <w:spacing w:after="0" w:line="20" w:lineRule="exact"/>
        <w:rPr>
          <w:sz w:val="20"/>
          <w:szCs w:val="20"/>
          <w:color w:val="auto"/>
        </w:rPr>
      </w:pPr>
      <w:r>
        <w:rPr>
          <w:sz w:val="20"/>
          <w:szCs w:val="20"/>
          <w:color w:val="auto"/>
        </w:rPr>
        <w:br w:type="column"/>
      </w:r>
    </w:p>
    <w:p>
      <w:pPr>
        <w:spacing w:after="0" w:line="25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4"/>
        </w:trPr>
        <w:tc>
          <w:tcPr>
            <w:tcW w:w="26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gridSpan w:val="3"/>
          </w:tcPr>
          <w:p>
            <w:pPr>
              <w:jc w:val="center"/>
              <w:ind w:left="549"/>
              <w:spacing w:after="0"/>
              <w:rPr>
                <w:sz w:val="20"/>
                <w:szCs w:val="20"/>
                <w:color w:val="auto"/>
              </w:rPr>
            </w:pPr>
            <w:r>
              <w:rPr>
                <w:rFonts w:ascii="Arial" w:cs="Arial" w:eastAsia="Arial" w:hAnsi="Arial"/>
                <w:sz w:val="13"/>
                <w:szCs w:val="13"/>
                <w:b w:val="1"/>
                <w:bCs w:val="1"/>
                <w:color w:val="auto"/>
                <w:w w:val="87"/>
              </w:rPr>
              <w:t>September 30,</w:t>
            </w:r>
          </w:p>
        </w:tc>
        <w:tc>
          <w:tcPr>
            <w:tcW w:w="36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gridSpan w:val="3"/>
          </w:tcPr>
          <w:p>
            <w:pPr>
              <w:jc w:val="center"/>
              <w:ind w:left="549"/>
              <w:spacing w:after="0"/>
              <w:rPr>
                <w:sz w:val="20"/>
                <w:szCs w:val="20"/>
                <w:color w:val="auto"/>
              </w:rPr>
            </w:pPr>
            <w:r>
              <w:rPr>
                <w:rFonts w:ascii="Arial" w:cs="Arial" w:eastAsia="Arial" w:hAnsi="Arial"/>
                <w:sz w:val="13"/>
                <w:szCs w:val="13"/>
                <w:b w:val="1"/>
                <w:bCs w:val="1"/>
                <w:color w:val="auto"/>
                <w:w w:val="87"/>
              </w:rPr>
              <w:t>December 31,</w:t>
            </w:r>
          </w:p>
        </w:tc>
        <w:tc>
          <w:tcPr>
            <w:tcW w:w="8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50"/>
        </w:trPr>
        <w:tc>
          <w:tcPr>
            <w:tcW w:w="260" w:type="dxa"/>
            <w:vAlign w:val="bottom"/>
            <w:tcBorders>
              <w:bottom w:val="single" w:sz="8" w:color="auto"/>
            </w:tcBorders>
          </w:tcPr>
          <w:p>
            <w:pPr>
              <w:spacing w:after="0"/>
              <w:rPr>
                <w:sz w:val="21"/>
                <w:szCs w:val="21"/>
                <w:color w:val="auto"/>
              </w:rPr>
            </w:pPr>
          </w:p>
        </w:tc>
        <w:tc>
          <w:tcPr>
            <w:tcW w:w="1520" w:type="dxa"/>
            <w:vAlign w:val="bottom"/>
            <w:tcBorders>
              <w:bottom w:val="single" w:sz="8" w:color="auto"/>
            </w:tcBorders>
            <w:gridSpan w:val="3"/>
          </w:tcPr>
          <w:p>
            <w:pPr>
              <w:jc w:val="right"/>
              <w:ind w:right="320"/>
              <w:spacing w:after="0"/>
              <w:rPr>
                <w:sz w:val="20"/>
                <w:szCs w:val="20"/>
                <w:color w:val="auto"/>
              </w:rPr>
            </w:pPr>
            <w:r>
              <w:rPr>
                <w:rFonts w:ascii="Arial" w:cs="Arial" w:eastAsia="Arial" w:hAnsi="Arial"/>
                <w:sz w:val="13"/>
                <w:szCs w:val="13"/>
                <w:b w:val="1"/>
                <w:bCs w:val="1"/>
                <w:color w:val="auto"/>
              </w:rPr>
              <w:t>2017</w:t>
            </w:r>
          </w:p>
        </w:tc>
        <w:tc>
          <w:tcPr>
            <w:tcW w:w="360" w:type="dxa"/>
            <w:vAlign w:val="bottom"/>
            <w:tcBorders>
              <w:bottom w:val="single" w:sz="8" w:color="auto"/>
            </w:tcBorders>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520" w:type="dxa"/>
            <w:vAlign w:val="bottom"/>
            <w:tcBorders>
              <w:bottom w:val="single" w:sz="8" w:color="auto"/>
            </w:tcBorders>
            <w:gridSpan w:val="3"/>
          </w:tcPr>
          <w:p>
            <w:pPr>
              <w:jc w:val="right"/>
              <w:ind w:right="320"/>
              <w:spacing w:after="0"/>
              <w:rPr>
                <w:sz w:val="20"/>
                <w:szCs w:val="20"/>
                <w:color w:val="auto"/>
              </w:rPr>
            </w:pPr>
            <w:r>
              <w:rPr>
                <w:rFonts w:ascii="Arial" w:cs="Arial" w:eastAsia="Arial" w:hAnsi="Arial"/>
                <w:sz w:val="13"/>
                <w:szCs w:val="13"/>
                <w:b w:val="1"/>
                <w:bCs w:val="1"/>
                <w:color w:val="auto"/>
              </w:rPr>
              <w:t>2016</w:t>
            </w:r>
          </w:p>
        </w:tc>
        <w:tc>
          <w:tcPr>
            <w:tcW w:w="86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44"/>
        </w:trPr>
        <w:tc>
          <w:tcPr>
            <w:tcW w:w="2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60" w:type="dxa"/>
            <w:vAlign w:val="bottom"/>
          </w:tcPr>
          <w:p>
            <w:pPr>
              <w:ind w:left="80"/>
              <w:spacing w:after="0" w:line="144" w:lineRule="exact"/>
              <w:rPr>
                <w:sz w:val="20"/>
                <w:szCs w:val="20"/>
                <w:color w:val="auto"/>
              </w:rPr>
            </w:pPr>
            <w:r>
              <w:rPr>
                <w:rFonts w:ascii="Arial" w:cs="Arial" w:eastAsia="Arial" w:hAnsi="Arial"/>
                <w:sz w:val="13"/>
                <w:szCs w:val="13"/>
                <w:b w:val="1"/>
                <w:bCs w:val="1"/>
                <w:color w:val="auto"/>
                <w:w w:val="94"/>
              </w:rPr>
              <w:t>% of</w:t>
            </w: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60" w:type="dxa"/>
            <w:vAlign w:val="bottom"/>
          </w:tcPr>
          <w:p>
            <w:pPr>
              <w:jc w:val="right"/>
              <w:ind w:right="449"/>
              <w:spacing w:after="0" w:line="144" w:lineRule="exact"/>
              <w:rPr>
                <w:sz w:val="20"/>
                <w:szCs w:val="20"/>
                <w:color w:val="auto"/>
              </w:rPr>
            </w:pPr>
            <w:r>
              <w:rPr>
                <w:rFonts w:ascii="Arial" w:cs="Arial" w:eastAsia="Arial" w:hAnsi="Arial"/>
                <w:sz w:val="13"/>
                <w:szCs w:val="13"/>
                <w:b w:val="1"/>
                <w:bCs w:val="1"/>
                <w:color w:val="auto"/>
              </w:rPr>
              <w:t>% of</w:t>
            </w:r>
          </w:p>
        </w:tc>
        <w:tc>
          <w:tcPr>
            <w:tcW w:w="0" w:type="dxa"/>
            <w:vAlign w:val="bottom"/>
          </w:tcPr>
          <w:p>
            <w:pPr>
              <w:spacing w:after="0"/>
              <w:rPr>
                <w:sz w:val="1"/>
                <w:szCs w:val="1"/>
                <w:color w:val="auto"/>
              </w:rPr>
            </w:pPr>
          </w:p>
        </w:tc>
      </w:tr>
      <w:tr>
        <w:trPr>
          <w:trHeight w:val="174"/>
        </w:trPr>
        <w:tc>
          <w:tcPr>
            <w:tcW w:w="26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gridSpan w:val="3"/>
          </w:tcPr>
          <w:p>
            <w:pPr>
              <w:ind w:left="140"/>
              <w:spacing w:after="0"/>
              <w:rPr>
                <w:sz w:val="20"/>
                <w:szCs w:val="20"/>
                <w:color w:val="auto"/>
              </w:rPr>
            </w:pPr>
            <w:r>
              <w:rPr>
                <w:rFonts w:ascii="Arial" w:cs="Arial" w:eastAsia="Arial" w:hAnsi="Arial"/>
                <w:sz w:val="13"/>
                <w:szCs w:val="13"/>
                <w:b w:val="1"/>
                <w:bCs w:val="1"/>
                <w:color w:val="auto"/>
              </w:rPr>
              <w:t>Amount</w:t>
            </w:r>
          </w:p>
        </w:tc>
        <w:tc>
          <w:tcPr>
            <w:tcW w:w="360" w:type="dxa"/>
            <w:vAlign w:val="bottom"/>
            <w:tcBorders>
              <w:bottom w:val="single" w:sz="8" w:color="auto"/>
            </w:tcBorders>
          </w:tcPr>
          <w:p>
            <w:pPr>
              <w:ind w:left="60"/>
              <w:spacing w:after="0"/>
              <w:rPr>
                <w:sz w:val="20"/>
                <w:szCs w:val="20"/>
                <w:color w:val="auto"/>
              </w:rPr>
            </w:pPr>
            <w:r>
              <w:rPr>
                <w:rFonts w:ascii="Arial" w:cs="Arial" w:eastAsia="Arial" w:hAnsi="Arial"/>
                <w:sz w:val="13"/>
                <w:szCs w:val="13"/>
                <w:b w:val="1"/>
                <w:bCs w:val="1"/>
                <w:color w:val="auto"/>
                <w:w w:val="89"/>
              </w:rPr>
              <w:t>Total</w:t>
            </w:r>
          </w:p>
        </w:tc>
        <w:tc>
          <w:tcPr>
            <w:tcW w:w="4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gridSpan w:val="3"/>
          </w:tcPr>
          <w:p>
            <w:pPr>
              <w:ind w:left="140"/>
              <w:spacing w:after="0"/>
              <w:rPr>
                <w:sz w:val="20"/>
                <w:szCs w:val="20"/>
                <w:color w:val="auto"/>
              </w:rPr>
            </w:pPr>
            <w:r>
              <w:rPr>
                <w:rFonts w:ascii="Arial" w:cs="Arial" w:eastAsia="Arial" w:hAnsi="Arial"/>
                <w:sz w:val="13"/>
                <w:szCs w:val="13"/>
                <w:b w:val="1"/>
                <w:bCs w:val="1"/>
                <w:color w:val="auto"/>
              </w:rPr>
              <w:t>Amount</w:t>
            </w:r>
          </w:p>
        </w:tc>
        <w:tc>
          <w:tcPr>
            <w:tcW w:w="860" w:type="dxa"/>
            <w:vAlign w:val="bottom"/>
            <w:tcBorders>
              <w:bottom w:val="single" w:sz="8" w:color="auto"/>
            </w:tcBorders>
          </w:tcPr>
          <w:p>
            <w:pPr>
              <w:jc w:val="right"/>
              <w:ind w:right="449"/>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73"/>
        </w:trPr>
        <w:tc>
          <w:tcPr>
            <w:tcW w:w="2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360" w:type="dxa"/>
            <w:vAlign w:val="bottom"/>
            <w:gridSpan w:val="6"/>
          </w:tcPr>
          <w:p>
            <w:pPr>
              <w:ind w:left="20"/>
              <w:spacing w:after="0"/>
              <w:rPr>
                <w:sz w:val="20"/>
                <w:szCs w:val="20"/>
                <w:color w:val="auto"/>
              </w:rPr>
            </w:pPr>
            <w:r>
              <w:rPr>
                <w:rFonts w:ascii="Arial" w:cs="Arial" w:eastAsia="Arial" w:hAnsi="Arial"/>
                <w:sz w:val="13"/>
                <w:szCs w:val="13"/>
                <w:b w:val="1"/>
                <w:bCs w:val="1"/>
                <w:color w:val="auto"/>
              </w:rPr>
              <w:t>(Dollars in millions)</w:t>
            </w: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93"/>
        </w:trPr>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49"/>
              <w:spacing w:after="0"/>
              <w:rPr>
                <w:sz w:val="20"/>
                <w:szCs w:val="20"/>
                <w:color w:val="auto"/>
              </w:rPr>
            </w:pPr>
            <w:r>
              <w:rPr>
                <w:rFonts w:ascii="Arial" w:cs="Arial" w:eastAsia="Arial" w:hAnsi="Arial"/>
                <w:sz w:val="14"/>
                <w:szCs w:val="14"/>
                <w:color w:val="auto"/>
              </w:rPr>
              <w:t>1,947</w:t>
            </w: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27.7%</w:t>
            </w:r>
          </w:p>
        </w:tc>
        <w:tc>
          <w:tcPr>
            <w:tcW w:w="120" w:type="dxa"/>
            <w:vAlign w:val="bottom"/>
          </w:tcPr>
          <w:p>
            <w:pPr>
              <w:spacing w:after="0"/>
              <w:rPr>
                <w:sz w:val="24"/>
                <w:szCs w:val="24"/>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29"/>
              <w:spacing w:after="0"/>
              <w:rPr>
                <w:sz w:val="20"/>
                <w:szCs w:val="20"/>
                <w:color w:val="auto"/>
              </w:rPr>
            </w:pPr>
            <w:r>
              <w:rPr>
                <w:rFonts w:ascii="Arial" w:cs="Arial" w:eastAsia="Arial" w:hAnsi="Arial"/>
                <w:sz w:val="14"/>
                <w:szCs w:val="14"/>
                <w:color w:val="auto"/>
              </w:rPr>
              <w:t>1,748</w:t>
            </w: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26.8%</w:t>
            </w:r>
          </w:p>
        </w:tc>
        <w:tc>
          <w:tcPr>
            <w:tcW w:w="0" w:type="dxa"/>
            <w:vAlign w:val="bottom"/>
          </w:tcPr>
          <w:p>
            <w:pPr>
              <w:spacing w:after="0"/>
              <w:rPr>
                <w:sz w:val="1"/>
                <w:szCs w:val="1"/>
                <w:color w:val="auto"/>
              </w:rPr>
            </w:pPr>
          </w:p>
        </w:tc>
      </w:tr>
      <w:tr>
        <w:trPr>
          <w:trHeight w:val="270"/>
        </w:trPr>
        <w:tc>
          <w:tcPr>
            <w:tcW w:w="260" w:type="dxa"/>
            <w:vAlign w:val="bottom"/>
          </w:tcPr>
          <w:p>
            <w:pPr>
              <w:spacing w:after="0"/>
              <w:rPr>
                <w:sz w:val="23"/>
                <w:szCs w:val="23"/>
                <w:color w:val="auto"/>
              </w:rPr>
            </w:pPr>
          </w:p>
        </w:tc>
        <w:tc>
          <w:tcPr>
            <w:tcW w:w="980" w:type="dxa"/>
            <w:vAlign w:val="bottom"/>
          </w:tcPr>
          <w:p>
            <w:pPr>
              <w:jc w:val="right"/>
              <w:ind w:right="49"/>
              <w:spacing w:after="0"/>
              <w:rPr>
                <w:sz w:val="20"/>
                <w:szCs w:val="20"/>
                <w:color w:val="auto"/>
              </w:rPr>
            </w:pPr>
            <w:r>
              <w:rPr>
                <w:rFonts w:ascii="Arial" w:cs="Arial" w:eastAsia="Arial" w:hAnsi="Arial"/>
                <w:sz w:val="14"/>
                <w:szCs w:val="14"/>
                <w:color w:val="auto"/>
              </w:rPr>
              <w:t>1,673</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480" w:type="dxa"/>
            <w:vAlign w:val="bottom"/>
          </w:tcPr>
          <w:p>
            <w:pPr>
              <w:jc w:val="right"/>
              <w:ind w:right="68"/>
              <w:spacing w:after="0"/>
              <w:rPr>
                <w:sz w:val="20"/>
                <w:szCs w:val="20"/>
                <w:color w:val="auto"/>
              </w:rPr>
            </w:pPr>
            <w:r>
              <w:rPr>
                <w:rFonts w:ascii="Arial" w:cs="Arial" w:eastAsia="Arial" w:hAnsi="Arial"/>
                <w:sz w:val="14"/>
                <w:szCs w:val="14"/>
                <w:color w:val="auto"/>
              </w:rPr>
              <w:t>23.7</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80" w:type="dxa"/>
            <w:vAlign w:val="bottom"/>
          </w:tcPr>
          <w:p>
            <w:pPr>
              <w:jc w:val="right"/>
              <w:ind w:right="29"/>
              <w:spacing w:after="0"/>
              <w:rPr>
                <w:sz w:val="20"/>
                <w:szCs w:val="20"/>
                <w:color w:val="auto"/>
              </w:rPr>
            </w:pPr>
            <w:r>
              <w:rPr>
                <w:rFonts w:ascii="Arial" w:cs="Arial" w:eastAsia="Arial" w:hAnsi="Arial"/>
                <w:sz w:val="14"/>
                <w:szCs w:val="14"/>
                <w:color w:val="auto"/>
              </w:rPr>
              <w:t>1,445</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860" w:type="dxa"/>
            <w:vAlign w:val="bottom"/>
          </w:tcPr>
          <w:p>
            <w:pPr>
              <w:jc w:val="right"/>
              <w:ind w:right="89"/>
              <w:spacing w:after="0"/>
              <w:rPr>
                <w:sz w:val="20"/>
                <w:szCs w:val="20"/>
                <w:color w:val="auto"/>
              </w:rPr>
            </w:pPr>
            <w:r>
              <w:rPr>
                <w:rFonts w:ascii="Arial" w:cs="Arial" w:eastAsia="Arial" w:hAnsi="Arial"/>
                <w:sz w:val="14"/>
                <w:szCs w:val="14"/>
                <w:color w:val="auto"/>
              </w:rPr>
              <w:t>22.1</w:t>
            </w:r>
          </w:p>
        </w:tc>
        <w:tc>
          <w:tcPr>
            <w:tcW w:w="0" w:type="dxa"/>
            <w:vAlign w:val="bottom"/>
          </w:tcPr>
          <w:p>
            <w:pPr>
              <w:spacing w:after="0"/>
              <w:rPr>
                <w:sz w:val="1"/>
                <w:szCs w:val="1"/>
                <w:color w:val="auto"/>
              </w:rPr>
            </w:pPr>
          </w:p>
        </w:tc>
      </w:tr>
      <w:tr>
        <w:trPr>
          <w:trHeight w:val="351"/>
        </w:trPr>
        <w:tc>
          <w:tcPr>
            <w:tcW w:w="260" w:type="dxa"/>
            <w:vAlign w:val="bottom"/>
          </w:tcPr>
          <w:p>
            <w:pPr>
              <w:spacing w:after="0"/>
              <w:rPr>
                <w:sz w:val="24"/>
                <w:szCs w:val="24"/>
                <w:color w:val="auto"/>
              </w:rPr>
            </w:pPr>
          </w:p>
        </w:tc>
        <w:tc>
          <w:tcPr>
            <w:tcW w:w="980" w:type="dxa"/>
            <w:vAlign w:val="bottom"/>
          </w:tcPr>
          <w:p>
            <w:pPr>
              <w:jc w:val="right"/>
              <w:ind w:right="49"/>
              <w:spacing w:after="0"/>
              <w:rPr>
                <w:sz w:val="20"/>
                <w:szCs w:val="20"/>
                <w:color w:val="auto"/>
              </w:rPr>
            </w:pPr>
            <w:r>
              <w:rPr>
                <w:rFonts w:ascii="Arial" w:cs="Arial" w:eastAsia="Arial" w:hAnsi="Arial"/>
                <w:sz w:val="14"/>
                <w:szCs w:val="14"/>
                <w:color w:val="auto"/>
              </w:rPr>
              <w:t>1,089</w:t>
            </w: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80" w:type="dxa"/>
            <w:vAlign w:val="bottom"/>
          </w:tcPr>
          <w:p>
            <w:pPr>
              <w:jc w:val="right"/>
              <w:ind w:right="68"/>
              <w:spacing w:after="0"/>
              <w:rPr>
                <w:sz w:val="20"/>
                <w:szCs w:val="20"/>
                <w:color w:val="auto"/>
              </w:rPr>
            </w:pPr>
            <w:r>
              <w:rPr>
                <w:rFonts w:ascii="Arial" w:cs="Arial" w:eastAsia="Arial" w:hAnsi="Arial"/>
                <w:sz w:val="14"/>
                <w:szCs w:val="14"/>
                <w:color w:val="auto"/>
              </w:rPr>
              <w:t>15.5</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tcPr>
          <w:p>
            <w:pPr>
              <w:jc w:val="right"/>
              <w:ind w:right="29"/>
              <w:spacing w:after="0"/>
              <w:rPr>
                <w:sz w:val="20"/>
                <w:szCs w:val="20"/>
                <w:color w:val="auto"/>
              </w:rPr>
            </w:pPr>
            <w:r>
              <w:rPr>
                <w:rFonts w:ascii="Arial" w:cs="Arial" w:eastAsia="Arial" w:hAnsi="Arial"/>
                <w:sz w:val="14"/>
                <w:szCs w:val="14"/>
                <w:color w:val="auto"/>
              </w:rPr>
              <w:t>1,112</w:t>
            </w: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60" w:type="dxa"/>
            <w:vAlign w:val="bottom"/>
          </w:tcPr>
          <w:p>
            <w:pPr>
              <w:jc w:val="right"/>
              <w:ind w:right="89"/>
              <w:spacing w:after="0"/>
              <w:rPr>
                <w:sz w:val="20"/>
                <w:szCs w:val="20"/>
                <w:color w:val="auto"/>
              </w:rPr>
            </w:pPr>
            <w:r>
              <w:rPr>
                <w:rFonts w:ascii="Arial" w:cs="Arial" w:eastAsia="Arial" w:hAnsi="Arial"/>
                <w:sz w:val="14"/>
                <w:szCs w:val="14"/>
                <w:color w:val="auto"/>
              </w:rPr>
              <w:t>17.0</w:t>
            </w:r>
          </w:p>
        </w:tc>
        <w:tc>
          <w:tcPr>
            <w:tcW w:w="0" w:type="dxa"/>
            <w:vAlign w:val="bottom"/>
          </w:tcPr>
          <w:p>
            <w:pPr>
              <w:spacing w:after="0"/>
              <w:rPr>
                <w:sz w:val="1"/>
                <w:szCs w:val="1"/>
                <w:color w:val="auto"/>
              </w:rPr>
            </w:pPr>
          </w:p>
        </w:tc>
      </w:tr>
      <w:tr>
        <w:trPr>
          <w:trHeight w:val="270"/>
        </w:trPr>
        <w:tc>
          <w:tcPr>
            <w:tcW w:w="260" w:type="dxa"/>
            <w:vAlign w:val="bottom"/>
          </w:tcPr>
          <w:p>
            <w:pPr>
              <w:spacing w:after="0"/>
              <w:rPr>
                <w:sz w:val="23"/>
                <w:szCs w:val="23"/>
                <w:color w:val="auto"/>
              </w:rPr>
            </w:pPr>
          </w:p>
        </w:tc>
        <w:tc>
          <w:tcPr>
            <w:tcW w:w="980" w:type="dxa"/>
            <w:vAlign w:val="bottom"/>
          </w:tcPr>
          <w:p>
            <w:pPr>
              <w:jc w:val="right"/>
              <w:ind w:right="49"/>
              <w:spacing w:after="0"/>
              <w:rPr>
                <w:sz w:val="20"/>
                <w:szCs w:val="20"/>
                <w:color w:val="auto"/>
              </w:rPr>
            </w:pPr>
            <w:r>
              <w:rPr>
                <w:rFonts w:ascii="Arial" w:cs="Arial" w:eastAsia="Arial" w:hAnsi="Arial"/>
                <w:sz w:val="14"/>
                <w:szCs w:val="14"/>
                <w:color w:val="auto"/>
              </w:rPr>
              <w:t>738</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480" w:type="dxa"/>
            <w:vAlign w:val="bottom"/>
          </w:tcPr>
          <w:p>
            <w:pPr>
              <w:jc w:val="right"/>
              <w:ind w:right="68"/>
              <w:spacing w:after="0"/>
              <w:rPr>
                <w:sz w:val="20"/>
                <w:szCs w:val="20"/>
                <w:color w:val="auto"/>
              </w:rPr>
            </w:pPr>
            <w:r>
              <w:rPr>
                <w:rFonts w:ascii="Arial" w:cs="Arial" w:eastAsia="Arial" w:hAnsi="Arial"/>
                <w:sz w:val="14"/>
                <w:szCs w:val="14"/>
                <w:color w:val="auto"/>
              </w:rPr>
              <w:t>10.5</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80" w:type="dxa"/>
            <w:vAlign w:val="bottom"/>
          </w:tcPr>
          <w:p>
            <w:pPr>
              <w:jc w:val="right"/>
              <w:ind w:right="29"/>
              <w:spacing w:after="0"/>
              <w:rPr>
                <w:sz w:val="20"/>
                <w:szCs w:val="20"/>
                <w:color w:val="auto"/>
              </w:rPr>
            </w:pPr>
            <w:r>
              <w:rPr>
                <w:rFonts w:ascii="Arial" w:cs="Arial" w:eastAsia="Arial" w:hAnsi="Arial"/>
                <w:sz w:val="14"/>
                <w:szCs w:val="14"/>
                <w:color w:val="auto"/>
              </w:rPr>
              <w:t>686</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860" w:type="dxa"/>
            <w:vAlign w:val="bottom"/>
          </w:tcPr>
          <w:p>
            <w:pPr>
              <w:jc w:val="right"/>
              <w:ind w:right="89"/>
              <w:spacing w:after="0"/>
              <w:rPr>
                <w:sz w:val="20"/>
                <w:szCs w:val="20"/>
                <w:color w:val="auto"/>
              </w:rPr>
            </w:pPr>
            <w:r>
              <w:rPr>
                <w:rFonts w:ascii="Arial" w:cs="Arial" w:eastAsia="Arial" w:hAnsi="Arial"/>
                <w:sz w:val="14"/>
                <w:szCs w:val="14"/>
                <w:color w:val="auto"/>
              </w:rPr>
              <w:t>10.5</w:t>
            </w:r>
          </w:p>
        </w:tc>
        <w:tc>
          <w:tcPr>
            <w:tcW w:w="0" w:type="dxa"/>
            <w:vAlign w:val="bottom"/>
          </w:tcPr>
          <w:p>
            <w:pPr>
              <w:spacing w:after="0"/>
              <w:rPr>
                <w:sz w:val="1"/>
                <w:szCs w:val="1"/>
                <w:color w:val="auto"/>
              </w:rPr>
            </w:pPr>
          </w:p>
        </w:tc>
      </w:tr>
      <w:tr>
        <w:trPr>
          <w:trHeight w:val="270"/>
        </w:trPr>
        <w:tc>
          <w:tcPr>
            <w:tcW w:w="260" w:type="dxa"/>
            <w:vAlign w:val="bottom"/>
          </w:tcPr>
          <w:p>
            <w:pPr>
              <w:spacing w:after="0"/>
              <w:rPr>
                <w:sz w:val="23"/>
                <w:szCs w:val="23"/>
                <w:color w:val="auto"/>
              </w:rPr>
            </w:pPr>
          </w:p>
        </w:tc>
        <w:tc>
          <w:tcPr>
            <w:tcW w:w="980" w:type="dxa"/>
            <w:vAlign w:val="bottom"/>
          </w:tcPr>
          <w:p>
            <w:pPr>
              <w:jc w:val="right"/>
              <w:ind w:right="49"/>
              <w:spacing w:after="0"/>
              <w:rPr>
                <w:sz w:val="20"/>
                <w:szCs w:val="20"/>
                <w:color w:val="auto"/>
              </w:rPr>
            </w:pPr>
            <w:r>
              <w:rPr>
                <w:rFonts w:ascii="Arial" w:cs="Arial" w:eastAsia="Arial" w:hAnsi="Arial"/>
                <w:sz w:val="14"/>
                <w:szCs w:val="14"/>
                <w:color w:val="auto"/>
              </w:rPr>
              <w:t>478</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480" w:type="dxa"/>
            <w:vAlign w:val="bottom"/>
          </w:tcPr>
          <w:p>
            <w:pPr>
              <w:jc w:val="right"/>
              <w:ind w:right="68"/>
              <w:spacing w:after="0"/>
              <w:rPr>
                <w:sz w:val="20"/>
                <w:szCs w:val="20"/>
                <w:color w:val="auto"/>
              </w:rPr>
            </w:pPr>
            <w:r>
              <w:rPr>
                <w:rFonts w:ascii="Arial" w:cs="Arial" w:eastAsia="Arial" w:hAnsi="Arial"/>
                <w:sz w:val="14"/>
                <w:szCs w:val="14"/>
                <w:color w:val="auto"/>
              </w:rPr>
              <w:t>6.8</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80" w:type="dxa"/>
            <w:vAlign w:val="bottom"/>
          </w:tcPr>
          <w:p>
            <w:pPr>
              <w:jc w:val="right"/>
              <w:ind w:right="29"/>
              <w:spacing w:after="0"/>
              <w:rPr>
                <w:sz w:val="20"/>
                <w:szCs w:val="20"/>
                <w:color w:val="auto"/>
              </w:rPr>
            </w:pPr>
            <w:r>
              <w:rPr>
                <w:rFonts w:ascii="Arial" w:cs="Arial" w:eastAsia="Arial" w:hAnsi="Arial"/>
                <w:sz w:val="14"/>
                <w:szCs w:val="14"/>
                <w:color w:val="auto"/>
              </w:rPr>
              <w:t>410</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860" w:type="dxa"/>
            <w:vAlign w:val="bottom"/>
          </w:tcPr>
          <w:p>
            <w:pPr>
              <w:jc w:val="right"/>
              <w:ind w:right="89"/>
              <w:spacing w:after="0"/>
              <w:rPr>
                <w:sz w:val="20"/>
                <w:szCs w:val="20"/>
                <w:color w:val="auto"/>
              </w:rPr>
            </w:pPr>
            <w:r>
              <w:rPr>
                <w:rFonts w:ascii="Arial" w:cs="Arial" w:eastAsia="Arial" w:hAnsi="Arial"/>
                <w:sz w:val="14"/>
                <w:szCs w:val="14"/>
                <w:color w:val="auto"/>
              </w:rPr>
              <w:t>6.3</w:t>
            </w:r>
          </w:p>
        </w:tc>
        <w:tc>
          <w:tcPr>
            <w:tcW w:w="0" w:type="dxa"/>
            <w:vAlign w:val="bottom"/>
          </w:tcPr>
          <w:p>
            <w:pPr>
              <w:spacing w:after="0"/>
              <w:rPr>
                <w:sz w:val="1"/>
                <w:szCs w:val="1"/>
                <w:color w:val="auto"/>
              </w:rPr>
            </w:pPr>
          </w:p>
        </w:tc>
      </w:tr>
      <w:tr>
        <w:trPr>
          <w:trHeight w:val="270"/>
        </w:trPr>
        <w:tc>
          <w:tcPr>
            <w:tcW w:w="260" w:type="dxa"/>
            <w:vAlign w:val="bottom"/>
          </w:tcPr>
          <w:p>
            <w:pPr>
              <w:spacing w:after="0"/>
              <w:rPr>
                <w:sz w:val="23"/>
                <w:szCs w:val="23"/>
                <w:color w:val="auto"/>
              </w:rPr>
            </w:pPr>
          </w:p>
        </w:tc>
        <w:tc>
          <w:tcPr>
            <w:tcW w:w="980" w:type="dxa"/>
            <w:vAlign w:val="bottom"/>
          </w:tcPr>
          <w:p>
            <w:pPr>
              <w:jc w:val="right"/>
              <w:ind w:right="49"/>
              <w:spacing w:after="0"/>
              <w:rPr>
                <w:sz w:val="20"/>
                <w:szCs w:val="20"/>
                <w:color w:val="auto"/>
              </w:rPr>
            </w:pPr>
            <w:r>
              <w:rPr>
                <w:rFonts w:ascii="Arial" w:cs="Arial" w:eastAsia="Arial" w:hAnsi="Arial"/>
                <w:sz w:val="14"/>
                <w:szCs w:val="14"/>
                <w:color w:val="auto"/>
              </w:rPr>
              <w:t>321</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480" w:type="dxa"/>
            <w:vAlign w:val="bottom"/>
          </w:tcPr>
          <w:p>
            <w:pPr>
              <w:jc w:val="right"/>
              <w:ind w:right="68"/>
              <w:spacing w:after="0"/>
              <w:rPr>
                <w:sz w:val="20"/>
                <w:szCs w:val="20"/>
                <w:color w:val="auto"/>
              </w:rPr>
            </w:pPr>
            <w:r>
              <w:rPr>
                <w:rFonts w:ascii="Arial" w:cs="Arial" w:eastAsia="Arial" w:hAnsi="Arial"/>
                <w:sz w:val="14"/>
                <w:szCs w:val="14"/>
                <w:color w:val="auto"/>
              </w:rPr>
              <w:t>4.5</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80" w:type="dxa"/>
            <w:vAlign w:val="bottom"/>
          </w:tcPr>
          <w:p>
            <w:pPr>
              <w:jc w:val="right"/>
              <w:ind w:right="29"/>
              <w:spacing w:after="0"/>
              <w:rPr>
                <w:sz w:val="20"/>
                <w:szCs w:val="20"/>
                <w:color w:val="auto"/>
              </w:rPr>
            </w:pPr>
            <w:r>
              <w:rPr>
                <w:rFonts w:ascii="Arial" w:cs="Arial" w:eastAsia="Arial" w:hAnsi="Arial"/>
                <w:sz w:val="14"/>
                <w:szCs w:val="14"/>
                <w:color w:val="auto"/>
              </w:rPr>
              <w:t>312</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860" w:type="dxa"/>
            <w:vAlign w:val="bottom"/>
          </w:tcPr>
          <w:p>
            <w:pPr>
              <w:jc w:val="right"/>
              <w:ind w:right="89"/>
              <w:spacing w:after="0"/>
              <w:rPr>
                <w:sz w:val="20"/>
                <w:szCs w:val="20"/>
                <w:color w:val="auto"/>
              </w:rPr>
            </w:pPr>
            <w:r>
              <w:rPr>
                <w:rFonts w:ascii="Arial" w:cs="Arial" w:eastAsia="Arial" w:hAnsi="Arial"/>
                <w:sz w:val="14"/>
                <w:szCs w:val="14"/>
                <w:color w:val="auto"/>
              </w:rPr>
              <w:t>4.8</w:t>
            </w:r>
          </w:p>
        </w:tc>
        <w:tc>
          <w:tcPr>
            <w:tcW w:w="0" w:type="dxa"/>
            <w:vAlign w:val="bottom"/>
          </w:tcPr>
          <w:p>
            <w:pPr>
              <w:spacing w:after="0"/>
              <w:rPr>
                <w:sz w:val="1"/>
                <w:szCs w:val="1"/>
                <w:color w:val="auto"/>
              </w:rPr>
            </w:pPr>
          </w:p>
        </w:tc>
      </w:tr>
      <w:tr>
        <w:trPr>
          <w:trHeight w:val="270"/>
        </w:trPr>
        <w:tc>
          <w:tcPr>
            <w:tcW w:w="260" w:type="dxa"/>
            <w:vAlign w:val="bottom"/>
          </w:tcPr>
          <w:p>
            <w:pPr>
              <w:spacing w:after="0"/>
              <w:rPr>
                <w:sz w:val="23"/>
                <w:szCs w:val="23"/>
                <w:color w:val="auto"/>
              </w:rPr>
            </w:pPr>
          </w:p>
        </w:tc>
        <w:tc>
          <w:tcPr>
            <w:tcW w:w="980" w:type="dxa"/>
            <w:vAlign w:val="bottom"/>
          </w:tcPr>
          <w:p>
            <w:pPr>
              <w:jc w:val="right"/>
              <w:ind w:right="49"/>
              <w:spacing w:after="0"/>
              <w:rPr>
                <w:sz w:val="20"/>
                <w:szCs w:val="20"/>
                <w:color w:val="auto"/>
              </w:rPr>
            </w:pPr>
            <w:r>
              <w:rPr>
                <w:rFonts w:ascii="Arial" w:cs="Arial" w:eastAsia="Arial" w:hAnsi="Arial"/>
                <w:sz w:val="14"/>
                <w:szCs w:val="14"/>
                <w:color w:val="auto"/>
              </w:rPr>
              <w:t>257</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480" w:type="dxa"/>
            <w:vAlign w:val="bottom"/>
          </w:tcPr>
          <w:p>
            <w:pPr>
              <w:jc w:val="right"/>
              <w:ind w:right="68"/>
              <w:spacing w:after="0"/>
              <w:rPr>
                <w:sz w:val="20"/>
                <w:szCs w:val="20"/>
                <w:color w:val="auto"/>
              </w:rPr>
            </w:pPr>
            <w:r>
              <w:rPr>
                <w:rFonts w:ascii="Arial" w:cs="Arial" w:eastAsia="Arial" w:hAnsi="Arial"/>
                <w:sz w:val="14"/>
                <w:szCs w:val="14"/>
                <w:color w:val="auto"/>
              </w:rPr>
              <w:t>3.7</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80" w:type="dxa"/>
            <w:vAlign w:val="bottom"/>
          </w:tcPr>
          <w:p>
            <w:pPr>
              <w:jc w:val="right"/>
              <w:ind w:right="29"/>
              <w:spacing w:after="0"/>
              <w:rPr>
                <w:sz w:val="20"/>
                <w:szCs w:val="20"/>
                <w:color w:val="auto"/>
              </w:rPr>
            </w:pPr>
            <w:r>
              <w:rPr>
                <w:rFonts w:ascii="Arial" w:cs="Arial" w:eastAsia="Arial" w:hAnsi="Arial"/>
                <w:sz w:val="14"/>
                <w:szCs w:val="14"/>
                <w:color w:val="auto"/>
              </w:rPr>
              <w:t>258</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860" w:type="dxa"/>
            <w:vAlign w:val="bottom"/>
          </w:tcPr>
          <w:p>
            <w:pPr>
              <w:jc w:val="right"/>
              <w:ind w:right="89"/>
              <w:spacing w:after="0"/>
              <w:rPr>
                <w:sz w:val="20"/>
                <w:szCs w:val="20"/>
                <w:color w:val="auto"/>
              </w:rPr>
            </w:pPr>
            <w:r>
              <w:rPr>
                <w:rFonts w:ascii="Arial" w:cs="Arial" w:eastAsia="Arial" w:hAnsi="Arial"/>
                <w:sz w:val="14"/>
                <w:szCs w:val="14"/>
                <w:color w:val="auto"/>
              </w:rPr>
              <w:t>4.0</w:t>
            </w:r>
          </w:p>
        </w:tc>
        <w:tc>
          <w:tcPr>
            <w:tcW w:w="0" w:type="dxa"/>
            <w:vAlign w:val="bottom"/>
          </w:tcPr>
          <w:p>
            <w:pPr>
              <w:spacing w:after="0"/>
              <w:rPr>
                <w:sz w:val="1"/>
                <w:szCs w:val="1"/>
                <w:color w:val="auto"/>
              </w:rPr>
            </w:pPr>
          </w:p>
        </w:tc>
      </w:tr>
      <w:tr>
        <w:trPr>
          <w:trHeight w:val="270"/>
        </w:trPr>
        <w:tc>
          <w:tcPr>
            <w:tcW w:w="260" w:type="dxa"/>
            <w:vAlign w:val="bottom"/>
          </w:tcPr>
          <w:p>
            <w:pPr>
              <w:spacing w:after="0"/>
              <w:rPr>
                <w:sz w:val="23"/>
                <w:szCs w:val="23"/>
                <w:color w:val="auto"/>
              </w:rPr>
            </w:pPr>
          </w:p>
        </w:tc>
        <w:tc>
          <w:tcPr>
            <w:tcW w:w="980" w:type="dxa"/>
            <w:vAlign w:val="bottom"/>
          </w:tcPr>
          <w:p>
            <w:pPr>
              <w:jc w:val="right"/>
              <w:ind w:right="49"/>
              <w:spacing w:after="0"/>
              <w:rPr>
                <w:sz w:val="20"/>
                <w:szCs w:val="20"/>
                <w:color w:val="auto"/>
              </w:rPr>
            </w:pPr>
            <w:r>
              <w:rPr>
                <w:rFonts w:ascii="Arial" w:cs="Arial" w:eastAsia="Arial" w:hAnsi="Arial"/>
                <w:sz w:val="14"/>
                <w:szCs w:val="14"/>
                <w:color w:val="auto"/>
              </w:rPr>
              <w:t>212</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480" w:type="dxa"/>
            <w:vAlign w:val="bottom"/>
          </w:tcPr>
          <w:p>
            <w:pPr>
              <w:jc w:val="right"/>
              <w:ind w:right="68"/>
              <w:spacing w:after="0"/>
              <w:rPr>
                <w:sz w:val="20"/>
                <w:szCs w:val="20"/>
                <w:color w:val="auto"/>
              </w:rPr>
            </w:pPr>
            <w:r>
              <w:rPr>
                <w:rFonts w:ascii="Arial" w:cs="Arial" w:eastAsia="Arial" w:hAnsi="Arial"/>
                <w:sz w:val="14"/>
                <w:szCs w:val="14"/>
                <w:color w:val="auto"/>
              </w:rPr>
              <w:t>3.0</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80" w:type="dxa"/>
            <w:vAlign w:val="bottom"/>
          </w:tcPr>
          <w:p>
            <w:pPr>
              <w:jc w:val="right"/>
              <w:ind w:right="29"/>
              <w:spacing w:after="0"/>
              <w:rPr>
                <w:sz w:val="20"/>
                <w:szCs w:val="20"/>
                <w:color w:val="auto"/>
              </w:rPr>
            </w:pPr>
            <w:r>
              <w:rPr>
                <w:rFonts w:ascii="Arial" w:cs="Arial" w:eastAsia="Arial" w:hAnsi="Arial"/>
                <w:sz w:val="14"/>
                <w:szCs w:val="14"/>
                <w:color w:val="auto"/>
              </w:rPr>
              <w:t>215</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860" w:type="dxa"/>
            <w:vAlign w:val="bottom"/>
          </w:tcPr>
          <w:p>
            <w:pPr>
              <w:jc w:val="right"/>
              <w:ind w:right="89"/>
              <w:spacing w:after="0"/>
              <w:rPr>
                <w:sz w:val="20"/>
                <w:szCs w:val="20"/>
                <w:color w:val="auto"/>
              </w:rPr>
            </w:pPr>
            <w:r>
              <w:rPr>
                <w:rFonts w:ascii="Arial" w:cs="Arial" w:eastAsia="Arial" w:hAnsi="Arial"/>
                <w:sz w:val="14"/>
                <w:szCs w:val="14"/>
                <w:color w:val="auto"/>
              </w:rPr>
              <w:t>3.3</w:t>
            </w:r>
          </w:p>
        </w:tc>
        <w:tc>
          <w:tcPr>
            <w:tcW w:w="0" w:type="dxa"/>
            <w:vAlign w:val="bottom"/>
          </w:tcPr>
          <w:p>
            <w:pPr>
              <w:spacing w:after="0"/>
              <w:rPr>
                <w:sz w:val="1"/>
                <w:szCs w:val="1"/>
                <w:color w:val="auto"/>
              </w:rPr>
            </w:pPr>
          </w:p>
        </w:tc>
      </w:tr>
      <w:tr>
        <w:trPr>
          <w:trHeight w:val="270"/>
        </w:trPr>
        <w:tc>
          <w:tcPr>
            <w:tcW w:w="260" w:type="dxa"/>
            <w:vAlign w:val="bottom"/>
          </w:tcPr>
          <w:p>
            <w:pPr>
              <w:spacing w:after="0"/>
              <w:rPr>
                <w:sz w:val="23"/>
                <w:szCs w:val="23"/>
                <w:color w:val="auto"/>
              </w:rPr>
            </w:pPr>
          </w:p>
        </w:tc>
        <w:tc>
          <w:tcPr>
            <w:tcW w:w="980" w:type="dxa"/>
            <w:vAlign w:val="bottom"/>
          </w:tcPr>
          <w:p>
            <w:pPr>
              <w:jc w:val="right"/>
              <w:ind w:right="49"/>
              <w:spacing w:after="0"/>
              <w:rPr>
                <w:sz w:val="20"/>
                <w:szCs w:val="20"/>
                <w:color w:val="auto"/>
              </w:rPr>
            </w:pPr>
            <w:r>
              <w:rPr>
                <w:rFonts w:ascii="Arial" w:cs="Arial" w:eastAsia="Arial" w:hAnsi="Arial"/>
                <w:sz w:val="14"/>
                <w:szCs w:val="14"/>
                <w:color w:val="auto"/>
              </w:rPr>
              <w:t>131</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480" w:type="dxa"/>
            <w:vAlign w:val="bottom"/>
          </w:tcPr>
          <w:p>
            <w:pPr>
              <w:jc w:val="right"/>
              <w:ind w:right="68"/>
              <w:spacing w:after="0"/>
              <w:rPr>
                <w:sz w:val="20"/>
                <w:szCs w:val="20"/>
                <w:color w:val="auto"/>
              </w:rPr>
            </w:pPr>
            <w:r>
              <w:rPr>
                <w:rFonts w:ascii="Arial" w:cs="Arial" w:eastAsia="Arial" w:hAnsi="Arial"/>
                <w:sz w:val="14"/>
                <w:szCs w:val="14"/>
                <w:color w:val="auto"/>
              </w:rPr>
              <w:t>1.9</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80" w:type="dxa"/>
            <w:vAlign w:val="bottom"/>
          </w:tcPr>
          <w:p>
            <w:pPr>
              <w:jc w:val="right"/>
              <w:ind w:right="29"/>
              <w:spacing w:after="0"/>
              <w:rPr>
                <w:sz w:val="20"/>
                <w:szCs w:val="20"/>
                <w:color w:val="auto"/>
              </w:rPr>
            </w:pPr>
            <w:r>
              <w:rPr>
                <w:rFonts w:ascii="Arial" w:cs="Arial" w:eastAsia="Arial" w:hAnsi="Arial"/>
                <w:sz w:val="14"/>
                <w:szCs w:val="14"/>
                <w:color w:val="auto"/>
              </w:rPr>
              <w:t>102</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860" w:type="dxa"/>
            <w:vAlign w:val="bottom"/>
          </w:tcPr>
          <w:p>
            <w:pPr>
              <w:jc w:val="right"/>
              <w:ind w:right="89"/>
              <w:spacing w:after="0"/>
              <w:rPr>
                <w:sz w:val="20"/>
                <w:szCs w:val="20"/>
                <w:color w:val="auto"/>
              </w:rPr>
            </w:pPr>
            <w:r>
              <w:rPr>
                <w:rFonts w:ascii="Arial" w:cs="Arial" w:eastAsia="Arial" w:hAnsi="Arial"/>
                <w:sz w:val="14"/>
                <w:szCs w:val="14"/>
                <w:color w:val="auto"/>
              </w:rPr>
              <w:t>1.6</w:t>
            </w:r>
          </w:p>
        </w:tc>
        <w:tc>
          <w:tcPr>
            <w:tcW w:w="0" w:type="dxa"/>
            <w:vAlign w:val="bottom"/>
          </w:tcPr>
          <w:p>
            <w:pPr>
              <w:spacing w:after="0"/>
              <w:rPr>
                <w:sz w:val="1"/>
                <w:szCs w:val="1"/>
                <w:color w:val="auto"/>
              </w:rPr>
            </w:pPr>
          </w:p>
        </w:tc>
      </w:tr>
      <w:tr>
        <w:trPr>
          <w:trHeight w:val="270"/>
        </w:trPr>
        <w:tc>
          <w:tcPr>
            <w:tcW w:w="260" w:type="dxa"/>
            <w:vAlign w:val="bottom"/>
          </w:tcPr>
          <w:p>
            <w:pPr>
              <w:spacing w:after="0"/>
              <w:rPr>
                <w:sz w:val="23"/>
                <w:szCs w:val="23"/>
                <w:color w:val="auto"/>
              </w:rPr>
            </w:pPr>
          </w:p>
        </w:tc>
        <w:tc>
          <w:tcPr>
            <w:tcW w:w="980" w:type="dxa"/>
            <w:vAlign w:val="bottom"/>
          </w:tcPr>
          <w:p>
            <w:pPr>
              <w:jc w:val="right"/>
              <w:ind w:right="49"/>
              <w:spacing w:after="0"/>
              <w:rPr>
                <w:sz w:val="20"/>
                <w:szCs w:val="20"/>
                <w:color w:val="auto"/>
              </w:rPr>
            </w:pPr>
            <w:r>
              <w:rPr>
                <w:rFonts w:ascii="Arial" w:cs="Arial" w:eastAsia="Arial" w:hAnsi="Arial"/>
                <w:sz w:val="14"/>
                <w:szCs w:val="14"/>
                <w:color w:val="auto"/>
              </w:rPr>
              <w:t>48</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480" w:type="dxa"/>
            <w:vAlign w:val="bottom"/>
          </w:tcPr>
          <w:p>
            <w:pPr>
              <w:jc w:val="right"/>
              <w:ind w:right="68"/>
              <w:spacing w:after="0"/>
              <w:rPr>
                <w:sz w:val="20"/>
                <w:szCs w:val="20"/>
                <w:color w:val="auto"/>
              </w:rPr>
            </w:pPr>
            <w:r>
              <w:rPr>
                <w:rFonts w:ascii="Arial" w:cs="Arial" w:eastAsia="Arial" w:hAnsi="Arial"/>
                <w:sz w:val="14"/>
                <w:szCs w:val="14"/>
                <w:color w:val="auto"/>
              </w:rPr>
              <w:t>0.7</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80" w:type="dxa"/>
            <w:vAlign w:val="bottom"/>
          </w:tcPr>
          <w:p>
            <w:pPr>
              <w:jc w:val="right"/>
              <w:ind w:right="29"/>
              <w:spacing w:after="0"/>
              <w:rPr>
                <w:sz w:val="20"/>
                <w:szCs w:val="20"/>
                <w:color w:val="auto"/>
              </w:rPr>
            </w:pPr>
            <w:r>
              <w:rPr>
                <w:rFonts w:ascii="Arial" w:cs="Arial" w:eastAsia="Arial" w:hAnsi="Arial"/>
                <w:sz w:val="14"/>
                <w:szCs w:val="14"/>
                <w:color w:val="auto"/>
              </w:rPr>
              <w:t>26</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860" w:type="dxa"/>
            <w:vAlign w:val="bottom"/>
          </w:tcPr>
          <w:p>
            <w:pPr>
              <w:jc w:val="right"/>
              <w:ind w:right="89"/>
              <w:spacing w:after="0"/>
              <w:rPr>
                <w:sz w:val="20"/>
                <w:szCs w:val="20"/>
                <w:color w:val="auto"/>
              </w:rPr>
            </w:pPr>
            <w:r>
              <w:rPr>
                <w:rFonts w:ascii="Arial" w:cs="Arial" w:eastAsia="Arial" w:hAnsi="Arial"/>
                <w:sz w:val="14"/>
                <w:szCs w:val="14"/>
                <w:color w:val="auto"/>
              </w:rPr>
              <w:t>0.4</w:t>
            </w:r>
          </w:p>
        </w:tc>
        <w:tc>
          <w:tcPr>
            <w:tcW w:w="0" w:type="dxa"/>
            <w:vAlign w:val="bottom"/>
          </w:tcPr>
          <w:p>
            <w:pPr>
              <w:spacing w:after="0"/>
              <w:rPr>
                <w:sz w:val="1"/>
                <w:szCs w:val="1"/>
                <w:color w:val="auto"/>
              </w:rPr>
            </w:pPr>
          </w:p>
        </w:tc>
      </w:tr>
      <w:tr>
        <w:trPr>
          <w:trHeight w:val="276"/>
        </w:trPr>
        <w:tc>
          <w:tcPr>
            <w:tcW w:w="2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145</w:t>
            </w:r>
          </w:p>
        </w:tc>
        <w:tc>
          <w:tcPr>
            <w:tcW w:w="10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2.0</w:t>
            </w:r>
          </w:p>
        </w:tc>
        <w:tc>
          <w:tcPr>
            <w:tcW w:w="1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209</w:t>
            </w:r>
          </w:p>
        </w:tc>
        <w:tc>
          <w:tcPr>
            <w:tcW w:w="10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89"/>
              <w:spacing w:after="0"/>
              <w:rPr>
                <w:sz w:val="20"/>
                <w:szCs w:val="20"/>
                <w:color w:val="auto"/>
              </w:rPr>
            </w:pPr>
            <w:r>
              <w:rPr>
                <w:rFonts w:ascii="Arial" w:cs="Arial" w:eastAsia="Arial" w:hAnsi="Arial"/>
                <w:sz w:val="14"/>
                <w:szCs w:val="14"/>
                <w:color w:val="auto"/>
              </w:rPr>
              <w:t>3.2</w:t>
            </w:r>
          </w:p>
        </w:tc>
        <w:tc>
          <w:tcPr>
            <w:tcW w:w="0" w:type="dxa"/>
            <w:vAlign w:val="bottom"/>
          </w:tcPr>
          <w:p>
            <w:pPr>
              <w:spacing w:after="0"/>
              <w:rPr>
                <w:sz w:val="1"/>
                <w:szCs w:val="1"/>
                <w:color w:val="auto"/>
              </w:rPr>
            </w:pPr>
          </w:p>
        </w:tc>
      </w:tr>
      <w:tr>
        <w:trPr>
          <w:trHeight w:val="243"/>
        </w:trPr>
        <w:tc>
          <w:tcPr>
            <w:tcW w:w="260" w:type="dxa"/>
            <w:vAlign w:val="bottom"/>
          </w:tcPr>
          <w:p>
            <w:pPr>
              <w:spacing w:after="0"/>
              <w:rPr>
                <w:sz w:val="21"/>
                <w:szCs w:val="21"/>
                <w:color w:val="auto"/>
              </w:rPr>
            </w:pPr>
          </w:p>
        </w:tc>
        <w:tc>
          <w:tcPr>
            <w:tcW w:w="980" w:type="dxa"/>
            <w:vAlign w:val="bottom"/>
          </w:tcPr>
          <w:p>
            <w:pPr>
              <w:jc w:val="right"/>
              <w:ind w:right="49"/>
              <w:spacing w:after="0"/>
              <w:rPr>
                <w:sz w:val="20"/>
                <w:szCs w:val="20"/>
                <w:color w:val="auto"/>
              </w:rPr>
            </w:pPr>
            <w:r>
              <w:rPr>
                <w:rFonts w:ascii="Arial" w:cs="Arial" w:eastAsia="Arial" w:hAnsi="Arial"/>
                <w:sz w:val="14"/>
                <w:szCs w:val="14"/>
                <w:color w:val="auto"/>
              </w:rPr>
              <w:t>7,039</w:t>
            </w:r>
          </w:p>
        </w:tc>
        <w:tc>
          <w:tcPr>
            <w:tcW w:w="100" w:type="dxa"/>
            <w:vAlign w:val="bottom"/>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2"/>
              </w:rPr>
              <w:t>100.0%</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80" w:type="dxa"/>
            <w:vAlign w:val="bottom"/>
          </w:tcPr>
          <w:p>
            <w:pPr>
              <w:jc w:val="right"/>
              <w:ind w:right="29"/>
              <w:spacing w:after="0"/>
              <w:rPr>
                <w:sz w:val="20"/>
                <w:szCs w:val="20"/>
                <w:color w:val="auto"/>
              </w:rPr>
            </w:pPr>
            <w:r>
              <w:rPr>
                <w:rFonts w:ascii="Arial" w:cs="Arial" w:eastAsia="Arial" w:hAnsi="Arial"/>
                <w:sz w:val="14"/>
                <w:szCs w:val="14"/>
                <w:color w:val="auto"/>
              </w:rPr>
              <w:t>6,523</w:t>
            </w:r>
          </w:p>
        </w:tc>
        <w:tc>
          <w:tcPr>
            <w:tcW w:w="100" w:type="dxa"/>
            <w:vAlign w:val="bottom"/>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100.0%</w:t>
            </w:r>
          </w:p>
        </w:tc>
        <w:tc>
          <w:tcPr>
            <w:tcW w:w="0" w:type="dxa"/>
            <w:vAlign w:val="bottom"/>
          </w:tcPr>
          <w:p>
            <w:pPr>
              <w:spacing w:after="0"/>
              <w:rPr>
                <w:sz w:val="1"/>
                <w:szCs w:val="1"/>
                <w:color w:val="auto"/>
              </w:rPr>
            </w:pPr>
          </w:p>
        </w:tc>
      </w:tr>
      <w:tr>
        <w:trPr>
          <w:trHeight w:val="20"/>
        </w:trPr>
        <w:tc>
          <w:tcPr>
            <w:tcW w:w="260" w:type="dxa"/>
            <w:vAlign w:val="bottom"/>
          </w:tcPr>
          <w:p>
            <w:pPr>
              <w:spacing w:after="0" w:line="20" w:lineRule="exact"/>
              <w:rPr>
                <w:sz w:val="1"/>
                <w:szCs w:val="1"/>
                <w:color w:val="auto"/>
              </w:rPr>
            </w:pPr>
          </w:p>
        </w:tc>
        <w:tc>
          <w:tcPr>
            <w:tcW w:w="980" w:type="dxa"/>
            <w:vAlign w:val="bottom"/>
            <w:vMerge w:val="restart"/>
          </w:tcPr>
          <w:p>
            <w:pPr>
              <w:jc w:val="right"/>
              <w:ind w:right="49"/>
              <w:spacing w:after="0"/>
              <w:rPr>
                <w:sz w:val="20"/>
                <w:szCs w:val="20"/>
                <w:color w:val="auto"/>
              </w:rPr>
            </w:pPr>
            <w:r>
              <w:rPr>
                <w:rFonts w:ascii="Arial" w:cs="Arial" w:eastAsia="Arial" w:hAnsi="Arial"/>
                <w:sz w:val="14"/>
                <w:szCs w:val="14"/>
                <w:color w:val="auto"/>
              </w:rPr>
              <w:t>34</w:t>
            </w: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80" w:type="dxa"/>
            <w:vAlign w:val="bottom"/>
            <w:vMerge w:val="restart"/>
          </w:tcPr>
          <w:p>
            <w:pPr>
              <w:jc w:val="right"/>
              <w:ind w:right="29"/>
              <w:spacing w:after="0"/>
              <w:rPr>
                <w:sz w:val="20"/>
                <w:szCs w:val="20"/>
                <w:color w:val="auto"/>
              </w:rPr>
            </w:pPr>
            <w:r>
              <w:rPr>
                <w:rFonts w:ascii="Arial" w:cs="Arial" w:eastAsia="Arial" w:hAnsi="Arial"/>
                <w:sz w:val="14"/>
                <w:szCs w:val="14"/>
                <w:color w:val="auto"/>
              </w:rPr>
              <w:t>32</w:t>
            </w: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26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vMerge w:val="continue"/>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vMerge w:val="continue"/>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7"/>
        </w:trPr>
        <w:tc>
          <w:tcPr>
            <w:tcW w:w="2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7,005</w:t>
            </w: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6,491</w:t>
            </w: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15"/>
        </w:trPr>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49"/>
              <w:spacing w:after="0"/>
              <w:rPr>
                <w:sz w:val="20"/>
                <w:szCs w:val="20"/>
                <w:color w:val="auto"/>
              </w:rPr>
            </w:pPr>
            <w:r>
              <w:rPr>
                <w:rFonts w:ascii="Arial" w:cs="Arial" w:eastAsia="Arial" w:hAnsi="Arial"/>
                <w:sz w:val="14"/>
                <w:szCs w:val="14"/>
                <w:color w:val="auto"/>
              </w:rPr>
              <w:t>3,176</w:t>
            </w: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45.1%</w:t>
            </w:r>
          </w:p>
        </w:tc>
        <w:tc>
          <w:tcPr>
            <w:tcW w:w="120" w:type="dxa"/>
            <w:vAlign w:val="bottom"/>
          </w:tcPr>
          <w:p>
            <w:pPr>
              <w:spacing w:after="0"/>
              <w:rPr>
                <w:sz w:val="24"/>
                <w:szCs w:val="24"/>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29"/>
              <w:spacing w:after="0"/>
              <w:rPr>
                <w:sz w:val="20"/>
                <w:szCs w:val="20"/>
                <w:color w:val="auto"/>
              </w:rPr>
            </w:pPr>
            <w:r>
              <w:rPr>
                <w:rFonts w:ascii="Arial" w:cs="Arial" w:eastAsia="Arial" w:hAnsi="Arial"/>
                <w:sz w:val="14"/>
                <w:szCs w:val="14"/>
                <w:color w:val="auto"/>
              </w:rPr>
              <w:t>2,975</w:t>
            </w: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45.6%</w:t>
            </w:r>
          </w:p>
        </w:tc>
        <w:tc>
          <w:tcPr>
            <w:tcW w:w="0" w:type="dxa"/>
            <w:vAlign w:val="bottom"/>
          </w:tcPr>
          <w:p>
            <w:pPr>
              <w:spacing w:after="0"/>
              <w:rPr>
                <w:sz w:val="1"/>
                <w:szCs w:val="1"/>
                <w:color w:val="auto"/>
              </w:rPr>
            </w:pPr>
          </w:p>
        </w:tc>
      </w:tr>
      <w:tr>
        <w:trPr>
          <w:trHeight w:val="270"/>
        </w:trPr>
        <w:tc>
          <w:tcPr>
            <w:tcW w:w="260" w:type="dxa"/>
            <w:vAlign w:val="bottom"/>
          </w:tcPr>
          <w:p>
            <w:pPr>
              <w:spacing w:after="0"/>
              <w:rPr>
                <w:sz w:val="23"/>
                <w:szCs w:val="23"/>
                <w:color w:val="auto"/>
              </w:rPr>
            </w:pPr>
          </w:p>
        </w:tc>
        <w:tc>
          <w:tcPr>
            <w:tcW w:w="980" w:type="dxa"/>
            <w:vAlign w:val="bottom"/>
          </w:tcPr>
          <w:p>
            <w:pPr>
              <w:jc w:val="right"/>
              <w:ind w:right="49"/>
              <w:spacing w:after="0"/>
              <w:rPr>
                <w:sz w:val="20"/>
                <w:szCs w:val="20"/>
                <w:color w:val="auto"/>
              </w:rPr>
            </w:pPr>
            <w:r>
              <w:rPr>
                <w:rFonts w:ascii="Arial" w:cs="Arial" w:eastAsia="Arial" w:hAnsi="Arial"/>
                <w:sz w:val="14"/>
                <w:szCs w:val="14"/>
                <w:color w:val="auto"/>
              </w:rPr>
              <w:t>1,936</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480" w:type="dxa"/>
            <w:vAlign w:val="bottom"/>
          </w:tcPr>
          <w:p>
            <w:pPr>
              <w:jc w:val="right"/>
              <w:ind w:right="68"/>
              <w:spacing w:after="0"/>
              <w:rPr>
                <w:sz w:val="20"/>
                <w:szCs w:val="20"/>
                <w:color w:val="auto"/>
              </w:rPr>
            </w:pPr>
            <w:r>
              <w:rPr>
                <w:rFonts w:ascii="Arial" w:cs="Arial" w:eastAsia="Arial" w:hAnsi="Arial"/>
                <w:sz w:val="14"/>
                <w:szCs w:val="14"/>
                <w:color w:val="auto"/>
              </w:rPr>
              <w:t>27.6</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80" w:type="dxa"/>
            <w:vAlign w:val="bottom"/>
          </w:tcPr>
          <w:p>
            <w:pPr>
              <w:jc w:val="right"/>
              <w:ind w:right="29"/>
              <w:spacing w:after="0"/>
              <w:rPr>
                <w:sz w:val="20"/>
                <w:szCs w:val="20"/>
                <w:color w:val="auto"/>
              </w:rPr>
            </w:pPr>
            <w:r>
              <w:rPr>
                <w:rFonts w:ascii="Arial" w:cs="Arial" w:eastAsia="Arial" w:hAnsi="Arial"/>
                <w:sz w:val="14"/>
                <w:szCs w:val="14"/>
                <w:color w:val="auto"/>
              </w:rPr>
              <w:t>1,911</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860" w:type="dxa"/>
            <w:vAlign w:val="bottom"/>
          </w:tcPr>
          <w:p>
            <w:pPr>
              <w:jc w:val="right"/>
              <w:ind w:right="89"/>
              <w:spacing w:after="0"/>
              <w:rPr>
                <w:sz w:val="20"/>
                <w:szCs w:val="20"/>
                <w:color w:val="auto"/>
              </w:rPr>
            </w:pPr>
            <w:r>
              <w:rPr>
                <w:rFonts w:ascii="Arial" w:cs="Arial" w:eastAsia="Arial" w:hAnsi="Arial"/>
                <w:sz w:val="14"/>
                <w:szCs w:val="14"/>
                <w:color w:val="auto"/>
              </w:rPr>
              <w:t>29.3</w:t>
            </w:r>
          </w:p>
        </w:tc>
        <w:tc>
          <w:tcPr>
            <w:tcW w:w="0" w:type="dxa"/>
            <w:vAlign w:val="bottom"/>
          </w:tcPr>
          <w:p>
            <w:pPr>
              <w:spacing w:after="0"/>
              <w:rPr>
                <w:sz w:val="1"/>
                <w:szCs w:val="1"/>
                <w:color w:val="auto"/>
              </w:rPr>
            </w:pPr>
          </w:p>
        </w:tc>
      </w:tr>
      <w:tr>
        <w:trPr>
          <w:trHeight w:val="270"/>
        </w:trPr>
        <w:tc>
          <w:tcPr>
            <w:tcW w:w="260" w:type="dxa"/>
            <w:vAlign w:val="bottom"/>
          </w:tcPr>
          <w:p>
            <w:pPr>
              <w:spacing w:after="0"/>
              <w:rPr>
                <w:sz w:val="23"/>
                <w:szCs w:val="23"/>
                <w:color w:val="auto"/>
              </w:rPr>
            </w:pPr>
          </w:p>
        </w:tc>
        <w:tc>
          <w:tcPr>
            <w:tcW w:w="980" w:type="dxa"/>
            <w:vAlign w:val="bottom"/>
          </w:tcPr>
          <w:p>
            <w:pPr>
              <w:jc w:val="right"/>
              <w:ind w:right="49"/>
              <w:spacing w:after="0"/>
              <w:rPr>
                <w:sz w:val="20"/>
                <w:szCs w:val="20"/>
                <w:color w:val="auto"/>
              </w:rPr>
            </w:pPr>
            <w:r>
              <w:rPr>
                <w:rFonts w:ascii="Arial" w:cs="Arial" w:eastAsia="Arial" w:hAnsi="Arial"/>
                <w:sz w:val="14"/>
                <w:szCs w:val="14"/>
                <w:color w:val="auto"/>
              </w:rPr>
              <w:t>867</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480" w:type="dxa"/>
            <w:vAlign w:val="bottom"/>
          </w:tcPr>
          <w:p>
            <w:pPr>
              <w:jc w:val="right"/>
              <w:ind w:right="68"/>
              <w:spacing w:after="0"/>
              <w:rPr>
                <w:sz w:val="20"/>
                <w:szCs w:val="20"/>
                <w:color w:val="auto"/>
              </w:rPr>
            </w:pPr>
            <w:r>
              <w:rPr>
                <w:rFonts w:ascii="Arial" w:cs="Arial" w:eastAsia="Arial" w:hAnsi="Arial"/>
                <w:sz w:val="14"/>
                <w:szCs w:val="14"/>
                <w:color w:val="auto"/>
              </w:rPr>
              <w:t>12.3</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80" w:type="dxa"/>
            <w:vAlign w:val="bottom"/>
          </w:tcPr>
          <w:p>
            <w:pPr>
              <w:jc w:val="right"/>
              <w:ind w:right="29"/>
              <w:spacing w:after="0"/>
              <w:rPr>
                <w:sz w:val="20"/>
                <w:szCs w:val="20"/>
                <w:color w:val="auto"/>
              </w:rPr>
            </w:pPr>
            <w:r>
              <w:rPr>
                <w:rFonts w:ascii="Arial" w:cs="Arial" w:eastAsia="Arial" w:hAnsi="Arial"/>
                <w:sz w:val="14"/>
                <w:szCs w:val="14"/>
                <w:color w:val="auto"/>
              </w:rPr>
              <w:t>630</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860" w:type="dxa"/>
            <w:vAlign w:val="bottom"/>
          </w:tcPr>
          <w:p>
            <w:pPr>
              <w:jc w:val="right"/>
              <w:ind w:right="89"/>
              <w:spacing w:after="0"/>
              <w:rPr>
                <w:sz w:val="20"/>
                <w:szCs w:val="20"/>
                <w:color w:val="auto"/>
              </w:rPr>
            </w:pPr>
            <w:r>
              <w:rPr>
                <w:rFonts w:ascii="Arial" w:cs="Arial" w:eastAsia="Arial" w:hAnsi="Arial"/>
                <w:sz w:val="14"/>
                <w:szCs w:val="14"/>
                <w:color w:val="auto"/>
              </w:rPr>
              <w:t>9.7</w:t>
            </w:r>
          </w:p>
        </w:tc>
        <w:tc>
          <w:tcPr>
            <w:tcW w:w="0" w:type="dxa"/>
            <w:vAlign w:val="bottom"/>
          </w:tcPr>
          <w:p>
            <w:pPr>
              <w:spacing w:after="0"/>
              <w:rPr>
                <w:sz w:val="1"/>
                <w:szCs w:val="1"/>
                <w:color w:val="auto"/>
              </w:rPr>
            </w:pPr>
          </w:p>
        </w:tc>
      </w:tr>
      <w:tr>
        <w:trPr>
          <w:trHeight w:val="270"/>
        </w:trPr>
        <w:tc>
          <w:tcPr>
            <w:tcW w:w="260" w:type="dxa"/>
            <w:vAlign w:val="bottom"/>
          </w:tcPr>
          <w:p>
            <w:pPr>
              <w:spacing w:after="0"/>
              <w:rPr>
                <w:sz w:val="23"/>
                <w:szCs w:val="23"/>
                <w:color w:val="auto"/>
              </w:rPr>
            </w:pPr>
          </w:p>
        </w:tc>
        <w:tc>
          <w:tcPr>
            <w:tcW w:w="980" w:type="dxa"/>
            <w:vAlign w:val="bottom"/>
          </w:tcPr>
          <w:p>
            <w:pPr>
              <w:jc w:val="right"/>
              <w:ind w:right="49"/>
              <w:spacing w:after="0"/>
              <w:rPr>
                <w:sz w:val="20"/>
                <w:szCs w:val="20"/>
                <w:color w:val="auto"/>
              </w:rPr>
            </w:pPr>
            <w:r>
              <w:rPr>
                <w:rFonts w:ascii="Arial" w:cs="Arial" w:eastAsia="Arial" w:hAnsi="Arial"/>
                <w:sz w:val="14"/>
                <w:szCs w:val="14"/>
                <w:color w:val="auto"/>
              </w:rPr>
              <w:t>657</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480" w:type="dxa"/>
            <w:vAlign w:val="bottom"/>
          </w:tcPr>
          <w:p>
            <w:pPr>
              <w:jc w:val="right"/>
              <w:ind w:right="68"/>
              <w:spacing w:after="0"/>
              <w:rPr>
                <w:sz w:val="20"/>
                <w:szCs w:val="20"/>
                <w:color w:val="auto"/>
              </w:rPr>
            </w:pPr>
            <w:r>
              <w:rPr>
                <w:rFonts w:ascii="Arial" w:cs="Arial" w:eastAsia="Arial" w:hAnsi="Arial"/>
                <w:sz w:val="14"/>
                <w:szCs w:val="14"/>
                <w:color w:val="auto"/>
              </w:rPr>
              <w:t>9.3</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80" w:type="dxa"/>
            <w:vAlign w:val="bottom"/>
          </w:tcPr>
          <w:p>
            <w:pPr>
              <w:jc w:val="right"/>
              <w:ind w:right="29"/>
              <w:spacing w:after="0"/>
              <w:rPr>
                <w:sz w:val="20"/>
                <w:szCs w:val="20"/>
                <w:color w:val="auto"/>
              </w:rPr>
            </w:pPr>
            <w:r>
              <w:rPr>
                <w:rFonts w:ascii="Arial" w:cs="Arial" w:eastAsia="Arial" w:hAnsi="Arial"/>
                <w:sz w:val="14"/>
                <w:szCs w:val="14"/>
                <w:color w:val="auto"/>
              </w:rPr>
              <w:t>620</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860" w:type="dxa"/>
            <w:vAlign w:val="bottom"/>
          </w:tcPr>
          <w:p>
            <w:pPr>
              <w:jc w:val="right"/>
              <w:ind w:right="89"/>
              <w:spacing w:after="0"/>
              <w:rPr>
                <w:sz w:val="20"/>
                <w:szCs w:val="20"/>
                <w:color w:val="auto"/>
              </w:rPr>
            </w:pPr>
            <w:r>
              <w:rPr>
                <w:rFonts w:ascii="Arial" w:cs="Arial" w:eastAsia="Arial" w:hAnsi="Arial"/>
                <w:sz w:val="14"/>
                <w:szCs w:val="14"/>
                <w:color w:val="auto"/>
              </w:rPr>
              <w:t>9.5</w:t>
            </w:r>
          </w:p>
        </w:tc>
        <w:tc>
          <w:tcPr>
            <w:tcW w:w="0" w:type="dxa"/>
            <w:vAlign w:val="bottom"/>
          </w:tcPr>
          <w:p>
            <w:pPr>
              <w:spacing w:after="0"/>
              <w:rPr>
                <w:sz w:val="1"/>
                <w:szCs w:val="1"/>
                <w:color w:val="auto"/>
              </w:rPr>
            </w:pPr>
          </w:p>
        </w:tc>
      </w:tr>
      <w:tr>
        <w:trPr>
          <w:trHeight w:val="270"/>
        </w:trPr>
        <w:tc>
          <w:tcPr>
            <w:tcW w:w="260" w:type="dxa"/>
            <w:vAlign w:val="bottom"/>
          </w:tcPr>
          <w:p>
            <w:pPr>
              <w:spacing w:after="0"/>
              <w:rPr>
                <w:sz w:val="23"/>
                <w:szCs w:val="23"/>
                <w:color w:val="auto"/>
              </w:rPr>
            </w:pPr>
          </w:p>
        </w:tc>
        <w:tc>
          <w:tcPr>
            <w:tcW w:w="980" w:type="dxa"/>
            <w:vAlign w:val="bottom"/>
          </w:tcPr>
          <w:p>
            <w:pPr>
              <w:jc w:val="right"/>
              <w:ind w:right="49"/>
              <w:spacing w:after="0"/>
              <w:rPr>
                <w:sz w:val="20"/>
                <w:szCs w:val="20"/>
                <w:color w:val="auto"/>
              </w:rPr>
            </w:pPr>
            <w:r>
              <w:rPr>
                <w:rFonts w:ascii="Arial" w:cs="Arial" w:eastAsia="Arial" w:hAnsi="Arial"/>
                <w:sz w:val="14"/>
                <w:szCs w:val="14"/>
                <w:color w:val="auto"/>
              </w:rPr>
              <w:t>357</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480" w:type="dxa"/>
            <w:vAlign w:val="bottom"/>
          </w:tcPr>
          <w:p>
            <w:pPr>
              <w:jc w:val="right"/>
              <w:ind w:right="68"/>
              <w:spacing w:after="0"/>
              <w:rPr>
                <w:sz w:val="20"/>
                <w:szCs w:val="20"/>
                <w:color w:val="auto"/>
              </w:rPr>
            </w:pPr>
            <w:r>
              <w:rPr>
                <w:rFonts w:ascii="Arial" w:cs="Arial" w:eastAsia="Arial" w:hAnsi="Arial"/>
                <w:sz w:val="14"/>
                <w:szCs w:val="14"/>
                <w:color w:val="auto"/>
              </w:rPr>
              <w:t>5.0</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80" w:type="dxa"/>
            <w:vAlign w:val="bottom"/>
          </w:tcPr>
          <w:p>
            <w:pPr>
              <w:jc w:val="right"/>
              <w:ind w:right="29"/>
              <w:spacing w:after="0"/>
              <w:rPr>
                <w:sz w:val="20"/>
                <w:szCs w:val="20"/>
                <w:color w:val="auto"/>
              </w:rPr>
            </w:pPr>
            <w:r>
              <w:rPr>
                <w:rFonts w:ascii="Arial" w:cs="Arial" w:eastAsia="Arial" w:hAnsi="Arial"/>
                <w:sz w:val="14"/>
                <w:szCs w:val="14"/>
                <w:color w:val="auto"/>
              </w:rPr>
              <w:t>339</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860" w:type="dxa"/>
            <w:vAlign w:val="bottom"/>
          </w:tcPr>
          <w:p>
            <w:pPr>
              <w:jc w:val="right"/>
              <w:ind w:right="89"/>
              <w:spacing w:after="0"/>
              <w:rPr>
                <w:sz w:val="20"/>
                <w:szCs w:val="20"/>
                <w:color w:val="auto"/>
              </w:rPr>
            </w:pPr>
            <w:r>
              <w:rPr>
                <w:rFonts w:ascii="Arial" w:cs="Arial" w:eastAsia="Arial" w:hAnsi="Arial"/>
                <w:sz w:val="14"/>
                <w:szCs w:val="14"/>
                <w:color w:val="auto"/>
              </w:rPr>
              <w:t>5.2</w:t>
            </w:r>
          </w:p>
        </w:tc>
        <w:tc>
          <w:tcPr>
            <w:tcW w:w="0" w:type="dxa"/>
            <w:vAlign w:val="bottom"/>
          </w:tcPr>
          <w:p>
            <w:pPr>
              <w:spacing w:after="0"/>
              <w:rPr>
                <w:sz w:val="1"/>
                <w:szCs w:val="1"/>
                <w:color w:val="auto"/>
              </w:rPr>
            </w:pPr>
          </w:p>
        </w:tc>
      </w:tr>
      <w:tr>
        <w:trPr>
          <w:trHeight w:val="276"/>
        </w:trPr>
        <w:tc>
          <w:tcPr>
            <w:tcW w:w="2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46</w:t>
            </w:r>
          </w:p>
        </w:tc>
        <w:tc>
          <w:tcPr>
            <w:tcW w:w="10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0.7</w:t>
            </w:r>
          </w:p>
        </w:tc>
        <w:tc>
          <w:tcPr>
            <w:tcW w:w="1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48</w:t>
            </w:r>
          </w:p>
        </w:tc>
        <w:tc>
          <w:tcPr>
            <w:tcW w:w="10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89"/>
              <w:spacing w:after="0"/>
              <w:rPr>
                <w:sz w:val="20"/>
                <w:szCs w:val="20"/>
                <w:color w:val="auto"/>
              </w:rPr>
            </w:pPr>
            <w:r>
              <w:rPr>
                <w:rFonts w:ascii="Arial" w:cs="Arial" w:eastAsia="Arial" w:hAnsi="Arial"/>
                <w:sz w:val="14"/>
                <w:szCs w:val="14"/>
                <w:color w:val="auto"/>
              </w:rPr>
              <w:t>0.7</w:t>
            </w:r>
          </w:p>
        </w:tc>
        <w:tc>
          <w:tcPr>
            <w:tcW w:w="0" w:type="dxa"/>
            <w:vAlign w:val="bottom"/>
          </w:tcPr>
          <w:p>
            <w:pPr>
              <w:spacing w:after="0"/>
              <w:rPr>
                <w:sz w:val="1"/>
                <w:szCs w:val="1"/>
                <w:color w:val="auto"/>
              </w:rPr>
            </w:pPr>
          </w:p>
        </w:tc>
      </w:tr>
      <w:tr>
        <w:trPr>
          <w:trHeight w:val="243"/>
        </w:trPr>
        <w:tc>
          <w:tcPr>
            <w:tcW w:w="260" w:type="dxa"/>
            <w:vAlign w:val="bottom"/>
          </w:tcPr>
          <w:p>
            <w:pPr>
              <w:spacing w:after="0"/>
              <w:rPr>
                <w:sz w:val="21"/>
                <w:szCs w:val="21"/>
                <w:color w:val="auto"/>
              </w:rPr>
            </w:pPr>
          </w:p>
        </w:tc>
        <w:tc>
          <w:tcPr>
            <w:tcW w:w="980" w:type="dxa"/>
            <w:vAlign w:val="bottom"/>
          </w:tcPr>
          <w:p>
            <w:pPr>
              <w:jc w:val="right"/>
              <w:ind w:right="49"/>
              <w:spacing w:after="0"/>
              <w:rPr>
                <w:sz w:val="20"/>
                <w:szCs w:val="20"/>
                <w:color w:val="auto"/>
              </w:rPr>
            </w:pPr>
            <w:r>
              <w:rPr>
                <w:rFonts w:ascii="Arial" w:cs="Arial" w:eastAsia="Arial" w:hAnsi="Arial"/>
                <w:sz w:val="14"/>
                <w:szCs w:val="14"/>
                <w:color w:val="auto"/>
              </w:rPr>
              <w:t>7,039</w:t>
            </w:r>
          </w:p>
        </w:tc>
        <w:tc>
          <w:tcPr>
            <w:tcW w:w="100" w:type="dxa"/>
            <w:vAlign w:val="bottom"/>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2"/>
              </w:rPr>
              <w:t>100.0%</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80" w:type="dxa"/>
            <w:vAlign w:val="bottom"/>
          </w:tcPr>
          <w:p>
            <w:pPr>
              <w:jc w:val="right"/>
              <w:ind w:right="29"/>
              <w:spacing w:after="0"/>
              <w:rPr>
                <w:sz w:val="20"/>
                <w:szCs w:val="20"/>
                <w:color w:val="auto"/>
              </w:rPr>
            </w:pPr>
            <w:r>
              <w:rPr>
                <w:rFonts w:ascii="Arial" w:cs="Arial" w:eastAsia="Arial" w:hAnsi="Arial"/>
                <w:sz w:val="14"/>
                <w:szCs w:val="14"/>
                <w:color w:val="auto"/>
              </w:rPr>
              <w:t>6,523</w:t>
            </w:r>
          </w:p>
        </w:tc>
        <w:tc>
          <w:tcPr>
            <w:tcW w:w="100" w:type="dxa"/>
            <w:vAlign w:val="bottom"/>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100.0%</w:t>
            </w:r>
          </w:p>
        </w:tc>
        <w:tc>
          <w:tcPr>
            <w:tcW w:w="0" w:type="dxa"/>
            <w:vAlign w:val="bottom"/>
          </w:tcPr>
          <w:p>
            <w:pPr>
              <w:spacing w:after="0"/>
              <w:rPr>
                <w:sz w:val="1"/>
                <w:szCs w:val="1"/>
                <w:color w:val="auto"/>
              </w:rPr>
            </w:pPr>
          </w:p>
        </w:tc>
      </w:tr>
      <w:tr>
        <w:trPr>
          <w:trHeight w:val="20"/>
        </w:trPr>
        <w:tc>
          <w:tcPr>
            <w:tcW w:w="260" w:type="dxa"/>
            <w:vAlign w:val="bottom"/>
          </w:tcPr>
          <w:p>
            <w:pPr>
              <w:spacing w:after="0" w:line="20" w:lineRule="exact"/>
              <w:rPr>
                <w:sz w:val="1"/>
                <w:szCs w:val="1"/>
                <w:color w:val="auto"/>
              </w:rPr>
            </w:pPr>
          </w:p>
        </w:tc>
        <w:tc>
          <w:tcPr>
            <w:tcW w:w="980" w:type="dxa"/>
            <w:vAlign w:val="bottom"/>
            <w:vMerge w:val="restart"/>
          </w:tcPr>
          <w:p>
            <w:pPr>
              <w:jc w:val="right"/>
              <w:ind w:right="49"/>
              <w:spacing w:after="0"/>
              <w:rPr>
                <w:sz w:val="20"/>
                <w:szCs w:val="20"/>
                <w:color w:val="auto"/>
              </w:rPr>
            </w:pPr>
            <w:r>
              <w:rPr>
                <w:rFonts w:ascii="Arial" w:cs="Arial" w:eastAsia="Arial" w:hAnsi="Arial"/>
                <w:sz w:val="14"/>
                <w:szCs w:val="14"/>
                <w:color w:val="auto"/>
              </w:rPr>
              <w:t>34</w:t>
            </w: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80" w:type="dxa"/>
            <w:vAlign w:val="bottom"/>
            <w:vMerge w:val="restart"/>
          </w:tcPr>
          <w:p>
            <w:pPr>
              <w:jc w:val="right"/>
              <w:ind w:right="29"/>
              <w:spacing w:after="0"/>
              <w:rPr>
                <w:sz w:val="20"/>
                <w:szCs w:val="20"/>
                <w:color w:val="auto"/>
              </w:rPr>
            </w:pPr>
            <w:r>
              <w:rPr>
                <w:rFonts w:ascii="Arial" w:cs="Arial" w:eastAsia="Arial" w:hAnsi="Arial"/>
                <w:sz w:val="14"/>
                <w:szCs w:val="14"/>
                <w:color w:val="auto"/>
              </w:rPr>
              <w:t>32</w:t>
            </w: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26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vMerge w:val="continue"/>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vMerge w:val="continue"/>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7,005</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6,491</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-3804285</wp:posOffset>
            </wp:positionH>
            <wp:positionV relativeFrom="paragraph">
              <wp:posOffset>-4407535</wp:posOffset>
            </wp:positionV>
            <wp:extent cx="7203440" cy="17145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03440" cy="171450"/>
                    </a:xfrm>
                    <a:prstGeom prst="rect">
                      <a:avLst/>
                    </a:prstGeom>
                    <a:noFill/>
                  </pic:spPr>
                </pic:pic>
              </a:graphicData>
            </a:graphic>
          </wp:anchor>
        </w:drawing>
        <w:drawing>
          <wp:anchor simplePos="0" relativeHeight="251657728" behindDoc="1" locked="0" layoutInCell="0" allowOverlap="1">
            <wp:simplePos x="0" y="0"/>
            <wp:positionH relativeFrom="column">
              <wp:posOffset>-3804285</wp:posOffset>
            </wp:positionH>
            <wp:positionV relativeFrom="paragraph">
              <wp:posOffset>-4064000</wp:posOffset>
            </wp:positionV>
            <wp:extent cx="7203440" cy="17145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03440" cy="171450"/>
                    </a:xfrm>
                    <a:prstGeom prst="rect">
                      <a:avLst/>
                    </a:prstGeom>
                    <a:noFill/>
                  </pic:spPr>
                </pic:pic>
              </a:graphicData>
            </a:graphic>
          </wp:anchor>
        </w:drawing>
        <w:drawing>
          <wp:anchor simplePos="0" relativeHeight="251657728" behindDoc="1" locked="0" layoutInCell="0" allowOverlap="1">
            <wp:simplePos x="0" y="0"/>
            <wp:positionH relativeFrom="column">
              <wp:posOffset>-3804285</wp:posOffset>
            </wp:positionH>
            <wp:positionV relativeFrom="paragraph">
              <wp:posOffset>-3669665</wp:posOffset>
            </wp:positionV>
            <wp:extent cx="7203440" cy="17145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03440" cy="171450"/>
                    </a:xfrm>
                    <a:prstGeom prst="rect">
                      <a:avLst/>
                    </a:prstGeom>
                    <a:noFill/>
                  </pic:spPr>
                </pic:pic>
              </a:graphicData>
            </a:graphic>
          </wp:anchor>
        </w:drawing>
        <w:drawing>
          <wp:anchor simplePos="0" relativeHeight="251657728" behindDoc="1" locked="0" layoutInCell="0" allowOverlap="1">
            <wp:simplePos x="0" y="0"/>
            <wp:positionH relativeFrom="column">
              <wp:posOffset>-3804285</wp:posOffset>
            </wp:positionH>
            <wp:positionV relativeFrom="paragraph">
              <wp:posOffset>-3326765</wp:posOffset>
            </wp:positionV>
            <wp:extent cx="7203440" cy="17145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03440" cy="171450"/>
                    </a:xfrm>
                    <a:prstGeom prst="rect">
                      <a:avLst/>
                    </a:prstGeom>
                    <a:noFill/>
                  </pic:spPr>
                </pic:pic>
              </a:graphicData>
            </a:graphic>
          </wp:anchor>
        </w:drawing>
        <w:drawing>
          <wp:anchor simplePos="0" relativeHeight="251657728" behindDoc="1" locked="0" layoutInCell="0" allowOverlap="1">
            <wp:simplePos x="0" y="0"/>
            <wp:positionH relativeFrom="column">
              <wp:posOffset>-3804285</wp:posOffset>
            </wp:positionH>
            <wp:positionV relativeFrom="paragraph">
              <wp:posOffset>-2983865</wp:posOffset>
            </wp:positionV>
            <wp:extent cx="7203440" cy="17145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03440" cy="171450"/>
                    </a:xfrm>
                    <a:prstGeom prst="rect">
                      <a:avLst/>
                    </a:prstGeom>
                    <a:noFill/>
                  </pic:spPr>
                </pic:pic>
              </a:graphicData>
            </a:graphic>
          </wp:anchor>
        </w:drawing>
        <w:drawing>
          <wp:anchor simplePos="0" relativeHeight="251657728" behindDoc="1" locked="0" layoutInCell="0" allowOverlap="1">
            <wp:simplePos x="0" y="0"/>
            <wp:positionH relativeFrom="column">
              <wp:posOffset>-3804285</wp:posOffset>
            </wp:positionH>
            <wp:positionV relativeFrom="paragraph">
              <wp:posOffset>-2640965</wp:posOffset>
            </wp:positionV>
            <wp:extent cx="7203440" cy="17145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03440" cy="171450"/>
                    </a:xfrm>
                    <a:prstGeom prst="rect">
                      <a:avLst/>
                    </a:prstGeom>
                    <a:noFill/>
                  </pic:spPr>
                </pic:pic>
              </a:graphicData>
            </a:graphic>
          </wp:anchor>
        </w:drawing>
        <w:drawing>
          <wp:anchor simplePos="0" relativeHeight="251657728" behindDoc="1" locked="0" layoutInCell="0" allowOverlap="1">
            <wp:simplePos x="0" y="0"/>
            <wp:positionH relativeFrom="column">
              <wp:posOffset>-3804285</wp:posOffset>
            </wp:positionH>
            <wp:positionV relativeFrom="paragraph">
              <wp:posOffset>-2297430</wp:posOffset>
            </wp:positionV>
            <wp:extent cx="7203440" cy="17145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03440" cy="171450"/>
                    </a:xfrm>
                    <a:prstGeom prst="rect">
                      <a:avLst/>
                    </a:prstGeom>
                    <a:noFill/>
                  </pic:spPr>
                </pic:pic>
              </a:graphicData>
            </a:graphic>
          </wp:anchor>
        </w:drawing>
        <w:drawing>
          <wp:anchor simplePos="0" relativeHeight="251657728" behindDoc="1" locked="0" layoutInCell="0" allowOverlap="1">
            <wp:simplePos x="0" y="0"/>
            <wp:positionH relativeFrom="column">
              <wp:posOffset>-3804285</wp:posOffset>
            </wp:positionH>
            <wp:positionV relativeFrom="paragraph">
              <wp:posOffset>-1937385</wp:posOffset>
            </wp:positionV>
            <wp:extent cx="7203440" cy="17145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03440" cy="171450"/>
                    </a:xfrm>
                    <a:prstGeom prst="rect">
                      <a:avLst/>
                    </a:prstGeom>
                    <a:noFill/>
                  </pic:spPr>
                </pic:pic>
              </a:graphicData>
            </a:graphic>
          </wp:anchor>
        </w:drawing>
        <w:drawing>
          <wp:anchor simplePos="0" relativeHeight="251657728" behindDoc="1" locked="0" layoutInCell="0" allowOverlap="1">
            <wp:simplePos x="0" y="0"/>
            <wp:positionH relativeFrom="column">
              <wp:posOffset>-3804285</wp:posOffset>
            </wp:positionH>
            <wp:positionV relativeFrom="paragraph">
              <wp:posOffset>-1577340</wp:posOffset>
            </wp:positionV>
            <wp:extent cx="7203440" cy="17145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03440" cy="171450"/>
                    </a:xfrm>
                    <a:prstGeom prst="rect">
                      <a:avLst/>
                    </a:prstGeom>
                    <a:noFill/>
                  </pic:spPr>
                </pic:pic>
              </a:graphicData>
            </a:graphic>
          </wp:anchor>
        </w:drawing>
        <w:drawing>
          <wp:anchor simplePos="0" relativeHeight="251657728" behindDoc="1" locked="0" layoutInCell="0" allowOverlap="1">
            <wp:simplePos x="0" y="0"/>
            <wp:positionH relativeFrom="column">
              <wp:posOffset>-3804285</wp:posOffset>
            </wp:positionH>
            <wp:positionV relativeFrom="paragraph">
              <wp:posOffset>-1234440</wp:posOffset>
            </wp:positionV>
            <wp:extent cx="7203440" cy="17145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03440" cy="171450"/>
                    </a:xfrm>
                    <a:prstGeom prst="rect">
                      <a:avLst/>
                    </a:prstGeom>
                    <a:noFill/>
                  </pic:spPr>
                </pic:pic>
              </a:graphicData>
            </a:graphic>
          </wp:anchor>
        </w:drawing>
        <w:drawing>
          <wp:anchor simplePos="0" relativeHeight="251657728" behindDoc="1" locked="0" layoutInCell="0" allowOverlap="1">
            <wp:simplePos x="0" y="0"/>
            <wp:positionH relativeFrom="column">
              <wp:posOffset>-3804285</wp:posOffset>
            </wp:positionH>
            <wp:positionV relativeFrom="paragraph">
              <wp:posOffset>-891540</wp:posOffset>
            </wp:positionV>
            <wp:extent cx="7203440" cy="17145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03440" cy="171450"/>
                    </a:xfrm>
                    <a:prstGeom prst="rect">
                      <a:avLst/>
                    </a:prstGeom>
                    <a:noFill/>
                  </pic:spPr>
                </pic:pic>
              </a:graphicData>
            </a:graphic>
          </wp:anchor>
        </w:drawing>
        <w:drawing>
          <wp:anchor simplePos="0" relativeHeight="251657728" behindDoc="1" locked="0" layoutInCell="0" allowOverlap="1">
            <wp:simplePos x="0" y="0"/>
            <wp:positionH relativeFrom="column">
              <wp:posOffset>-3804285</wp:posOffset>
            </wp:positionH>
            <wp:positionV relativeFrom="paragraph">
              <wp:posOffset>-548005</wp:posOffset>
            </wp:positionV>
            <wp:extent cx="7203440" cy="17145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03440" cy="171450"/>
                    </a:xfrm>
                    <a:prstGeom prst="rect">
                      <a:avLst/>
                    </a:prstGeom>
                    <a:noFill/>
                  </pic:spPr>
                </pic:pic>
              </a:graphicData>
            </a:graphic>
          </wp:anchor>
        </w:drawing>
        <w:drawing>
          <wp:anchor simplePos="0" relativeHeight="251657728" behindDoc="1" locked="0" layoutInCell="0" allowOverlap="1">
            <wp:simplePos x="0" y="0"/>
            <wp:positionH relativeFrom="column">
              <wp:posOffset>-3804285</wp:posOffset>
            </wp:positionH>
            <wp:positionV relativeFrom="paragraph">
              <wp:posOffset>-187960</wp:posOffset>
            </wp:positionV>
            <wp:extent cx="7203440" cy="17145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03440" cy="1714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280" w:space="720"/>
            <w:col w:w="5420"/>
          </w:cols>
          <w:pgMar w:left="240" w:top="126" w:right="239" w:bottom="1440" w:gutter="0" w:footer="0" w:header="0"/>
          <w:type w:val="continuous"/>
        </w:sectPr>
      </w:pPr>
    </w:p>
    <w:p>
      <w:pPr>
        <w:spacing w:after="0" w:line="218"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i w:val="1"/>
          <w:iCs w:val="1"/>
          <w:color w:val="auto"/>
        </w:rPr>
        <w:t>Mortgage Loan Credit Quality — Monitoring Process</w:t>
      </w:r>
      <w:r>
        <w:rPr>
          <w:rFonts w:ascii="Arial" w:cs="Arial" w:eastAsia="Arial" w:hAnsi="Arial"/>
          <w:sz w:val="18"/>
          <w:szCs w:val="18"/>
          <w:color w:val="auto"/>
        </w:rPr>
        <w:t>. We monitor our mortgage loan investments on an ongoing basis, including a review of loans that</w:t>
      </w:r>
      <w:r>
        <w:rPr>
          <w:rFonts w:ascii="Arial" w:cs="Arial" w:eastAsia="Arial" w:hAnsi="Arial"/>
          <w:sz w:val="18"/>
          <w:szCs w:val="18"/>
          <w:i w:val="1"/>
          <w:iCs w:val="1"/>
          <w:color w:val="auto"/>
        </w:rPr>
        <w:t xml:space="preserve"> </w:t>
      </w:r>
      <w:r>
        <w:rPr>
          <w:rFonts w:ascii="Arial" w:cs="Arial" w:eastAsia="Arial" w:hAnsi="Arial"/>
          <w:sz w:val="18"/>
          <w:szCs w:val="18"/>
          <w:color w:val="auto"/>
        </w:rPr>
        <w:t>are current, past due, restructured and under foreclosure. See Note 4 of the Notes to the Interim</w:t>
      </w:r>
    </w:p>
    <w:p>
      <w:pPr>
        <w:sectPr>
          <w:pgSz w:w="11900" w:h="16838" w:orient="portrait"/>
          <w:cols w:equalWidth="0" w:num="1">
            <w:col w:w="11420"/>
          </w:cols>
          <w:pgMar w:left="240" w:top="126" w:right="239" w:bottom="1440" w:gutter="0" w:footer="0" w:header="0"/>
          <w:type w:val="continuous"/>
        </w:sectPr>
      </w:pP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115</w:t>
      </w:r>
    </w:p>
    <w:p>
      <w:pPr>
        <w:sectPr>
          <w:pgSz w:w="11900" w:h="16838" w:orient="portrait"/>
          <w:cols w:equalWidth="0" w:num="1">
            <w:col w:w="11420"/>
          </w:cols>
          <w:pgMar w:left="240" w:top="126" w:right="239" w:bottom="1440" w:gutter="0" w:footer="0" w:header="0"/>
          <w:type w:val="continuous"/>
        </w:sectPr>
      </w:pPr>
    </w:p>
    <w:bookmarkStart w:id="117" w:name="page118"/>
    <w:bookmarkEnd w:id="117"/>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Condensed Consolidated and Combined Financial Statements for information on mortgage loans by credit quality indicator, past due and nonaccrual mortgage loans, as well as impaired mortgage loans.</w:t>
      </w:r>
    </w:p>
    <w:p>
      <w:pPr>
        <w:spacing w:after="0" w:line="62"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We review our commercial mortgage loans on an ongoing basis. These reviews may include an analysis of the property financial statements and rent roll, lease rollover analysis, property inspections, market analysis, estimated valuations of the underlying collateral, loan-to-value ratios, debt service coverage ratios and tenant creditworthiness. The monitoring process focuses on higher risk loans, which include those that are classified as restructured, delinquent or in foreclosure, as well as loans with higher loan-to-value ratios and lower debt service coverage ratios. The monitoring process for agricultural mortgage loans is generally similar, with a focus on higher risk loans, such as loans with higher loan-to-value ratios, including reviews on a geographic and sector basis. We review our residential mortgage loans on an ongoing basis. See Note 7 of the Notes to the Combined Financial Statements included in the Form 10 for information on our evaluation of residential mortgage loans and related valuation allowance methodology.</w:t>
      </w:r>
    </w:p>
    <w:p>
      <w:pPr>
        <w:spacing w:after="0" w:line="59"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7"/>
          <w:szCs w:val="17"/>
          <w:color w:val="auto"/>
        </w:rPr>
        <w:t>Loan-to-value ratios and debt service coverage ratios are common measures in the assessment of the quality of commercial mortgage loans. Loan-to-value ratios are a common measure in the assessment of the quality of agricultural mortgage loans. Loan-to-value ratios compare the amount of the loan to the estimated fair value of the underlying collateral. A loan-to-value ratio greater than 100% indicates that the loan amount is greater than the collateral value. A loan-to-value ratio of less than 100% indicates an excess of collateral value over the loan amount. Generally, the higher the loan-to-value ratio, the higher the risk of experiencing a credit loss. The debt service coverage ratio compares a property’s net operating income to amounts needed to service the principal and interest due under the loan. Generally, the lower the debt service coverage ratio, the higher the risk of experiencing a credit loss. For our commercial mortgage loans, our average loan-to-value ratio was 50% and 49% at September 30, 2017 and December 31, 2016, respectively, and our average debt service coverage ratio was 2.3x and 2.2x at September 30, 2017 and December 31, 2016, respectively. The debt service coverage ratio, as well as the values utilized in calculating the ratio, is updated annually on a rolling basis, with a portion of the portfolio updated each quarter. In addition, the loan-to-value ratio is routinely updated for all but the lowest risk loans as part of our ongoing review of our commercial mortgage loan portfolio. For our agricultural mortgage loans, our average loan-to-value ratio was 42% and 40% at September 30, 2017 and December 31, 2016, respectively. The values utilized in calculating the agricultural mortgage loan loan-to-value ratio are developed in connection with the ongoing review of the agricultural loan portfolio and are routinely updated.</w:t>
      </w:r>
    </w:p>
    <w:p>
      <w:pPr>
        <w:spacing w:after="0" w:line="8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i w:val="1"/>
          <w:iCs w:val="1"/>
          <w:color w:val="auto"/>
        </w:rPr>
        <w:t>Mortgage Loan Valuation Allowances</w:t>
      </w:r>
      <w:r>
        <w:rPr>
          <w:rFonts w:ascii="Arial" w:cs="Arial" w:eastAsia="Arial" w:hAnsi="Arial"/>
          <w:sz w:val="18"/>
          <w:szCs w:val="18"/>
          <w:color w:val="auto"/>
        </w:rPr>
        <w:t>. Our valuation allowances are established both on a loan specific basis for those loans considered impaired where a</w:t>
      </w:r>
      <w:r>
        <w:rPr>
          <w:rFonts w:ascii="Arial" w:cs="Arial" w:eastAsia="Arial" w:hAnsi="Arial"/>
          <w:sz w:val="18"/>
          <w:szCs w:val="18"/>
          <w:i w:val="1"/>
          <w:iCs w:val="1"/>
          <w:color w:val="auto"/>
        </w:rPr>
        <w:t xml:space="preserve"> </w:t>
      </w:r>
      <w:r>
        <w:rPr>
          <w:rFonts w:ascii="Arial" w:cs="Arial" w:eastAsia="Arial" w:hAnsi="Arial"/>
          <w:sz w:val="18"/>
          <w:szCs w:val="18"/>
          <w:color w:val="auto"/>
        </w:rPr>
        <w:t>property specific or market specific risk has been identified that could likely result in a future loss, as well as for pools of loans with similar risk characteristics where a property specific or market specific risk has not been identified, but for which we expect to incur a loss. Accordingly, a valuation allowance is provided to absorb these estimated probable credit losses.</w:t>
      </w:r>
    </w:p>
    <w:p>
      <w:pPr>
        <w:spacing w:after="0" w:line="79"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The determination of the amount of valuation allowances is based upon our periodic evaluation and assessment of known and inherent risks associated with our loan portfolios. Such evaluations and assessments are based upon several factors, including our experience for loan losses, defaults and loss severity, and loss expectations for loans with similar risk characteristics. These evaluations and assessments are revised as conditions change and new information becomes available, which can cause the valuation allowances to increase or decrease over time as such evaluations are revised. Negative credit migration, including an actual or expected increase in the level of problem loans, will result in an increase in the valuation allowance. Positive credit migration, including an actual or expected decrease in the level of problem loans, will result in a decrease in the valuation allowance.</w:t>
      </w:r>
    </w:p>
    <w:p>
      <w:pPr>
        <w:spacing w:after="0" w:line="57"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See Notes 4 and 6 of the Notes to the Interim Condensed Consolidated and Combined Financial Statements for information about how valuation allowances are established and monitored, activity in and balances of the valuation allowance, and the estimated fair value of impaired mortgage loans and related impairments included within net investment gains (losses) at and for the nine months ended September 30, 2017 and 2016.</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Real Estate and Real Estate Joint Ventures</w:t>
      </w:r>
    </w:p>
    <w:p>
      <w:pPr>
        <w:spacing w:after="0" w:line="117"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Real estate and real estate joint ventures is comprised of wholly-owned real estate and joint ventures with interests in single property income-producing real estate, and to a lesser extent joint ventures with interests in multi-property projects with varying strategies ranging from the development of properties to the operation of income-producing properties, as well as a runoff portfolio of real estate private equity funds. The carrying values of real estate and real estate joint ventures was $407 million and $215 million, or 0.5% and 0.3% of cash and invested assets, at September 30, 2017 and December 31, 2016, respectively. The Company had less than $1 million in real estate and real estate joint venture properties acquired through foreclosure at September 30, 2017. The Company did not have any real estate or real estate joint venture properties acquired through foreclosure at December 31, 2016.</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116</w:t>
      </w:r>
    </w:p>
    <w:p>
      <w:pPr>
        <w:sectPr>
          <w:pgSz w:w="11900" w:h="16838" w:orient="portrait"/>
          <w:cols w:equalWidth="0" w:num="1">
            <w:col w:w="11420"/>
          </w:cols>
          <w:pgMar w:left="240" w:top="126" w:right="239" w:bottom="1440" w:gutter="0" w:footer="0" w:header="0"/>
        </w:sectPr>
      </w:pPr>
    </w:p>
    <w:bookmarkStart w:id="118" w:name="page119"/>
    <w:bookmarkEnd w:id="118"/>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estimated fair value of the real estate and real estate joint venture investment portfolios was $568 million and $377 million at September 30, 2017 and December 31, 2016, respectively.</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Limited Partnership Interests</w:t>
      </w:r>
    </w:p>
    <w:p>
      <w:pPr>
        <w:spacing w:after="0" w:line="117"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Other limited partnership interests are comprised of private equity funds and hedge funds. The carrying value of other limited partnership interests was $1.7 billion and $1.6 billion at September 30, 2017 and December 31, 2016, respectively, which included $105 million and $210 million of hedge funds at September 30, 2017 and December 31, 2016, respectively. Cash distributions on these investments are generated from investment gains, operating income from the underlying investments of the funds and liquidation of the underlying investments of the funds. We estimate that the underlying investments of the funds will be liquidated over the next two to 10 years.</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Invested Assets</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the carrying value of our other invested assets by type at:</w:t>
      </w:r>
    </w:p>
    <w:p>
      <w:pPr>
        <w:spacing w:after="0" w:line="338" w:lineRule="exact"/>
        <w:rPr>
          <w:sz w:val="20"/>
          <w:szCs w:val="20"/>
          <w:color w:val="auto"/>
        </w:rPr>
      </w:pPr>
    </w:p>
    <w:tbl>
      <w:tblPr>
        <w:tblLayout w:type="fixed"/>
        <w:tblInd w:w="60" w:type="dxa"/>
        <w:tblCellMar>
          <w:top w:w="0" w:type="dxa"/>
          <w:left w:w="0" w:type="dxa"/>
          <w:bottom w:w="0" w:type="dxa"/>
          <w:right w:w="0" w:type="dxa"/>
        </w:tblCellMar>
      </w:tblPr>
      <w:tr>
        <w:trPr>
          <w:trHeight w:val="192"/>
        </w:trPr>
        <w:tc>
          <w:tcPr>
            <w:tcW w:w="58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380" w:type="dxa"/>
            <w:vAlign w:val="bottom"/>
            <w:tcBorders>
              <w:bottom w:val="single" w:sz="8" w:color="auto"/>
            </w:tcBorders>
            <w:gridSpan w:val="3"/>
          </w:tcPr>
          <w:p>
            <w:pPr>
              <w:jc w:val="right"/>
              <w:ind w:right="602"/>
              <w:spacing w:after="0"/>
              <w:rPr>
                <w:sz w:val="20"/>
                <w:szCs w:val="20"/>
                <w:color w:val="auto"/>
              </w:rPr>
            </w:pPr>
            <w:r>
              <w:rPr>
                <w:rFonts w:ascii="Arial" w:cs="Arial" w:eastAsia="Arial" w:hAnsi="Arial"/>
                <w:sz w:val="14"/>
                <w:szCs w:val="14"/>
                <w:b w:val="1"/>
                <w:bCs w:val="1"/>
                <w:color w:val="auto"/>
              </w:rPr>
              <w:t>September 30, 2017</w:t>
            </w: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400" w:type="dxa"/>
            <w:vAlign w:val="bottom"/>
            <w:tcBorders>
              <w:bottom w:val="single" w:sz="8" w:color="auto"/>
            </w:tcBorders>
            <w:gridSpan w:val="3"/>
          </w:tcPr>
          <w:p>
            <w:pPr>
              <w:jc w:val="right"/>
              <w:ind w:right="641"/>
              <w:spacing w:after="0"/>
              <w:rPr>
                <w:sz w:val="20"/>
                <w:szCs w:val="20"/>
                <w:color w:val="auto"/>
              </w:rPr>
            </w:pPr>
            <w:r>
              <w:rPr>
                <w:rFonts w:ascii="Arial" w:cs="Arial" w:eastAsia="Arial" w:hAnsi="Arial"/>
                <w:sz w:val="14"/>
                <w:szCs w:val="14"/>
                <w:b w:val="1"/>
                <w:bCs w:val="1"/>
                <w:color w:val="auto"/>
              </w:rPr>
              <w:t>December 31, 2016</w:t>
            </w:r>
          </w:p>
        </w:tc>
      </w:tr>
      <w:tr>
        <w:trPr>
          <w:trHeight w:val="220"/>
        </w:trPr>
        <w:tc>
          <w:tcPr>
            <w:tcW w:w="5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7"/>
              </w:rPr>
              <w:t>Carrying</w:t>
            </w:r>
          </w:p>
        </w:tc>
        <w:tc>
          <w:tcPr>
            <w:tcW w:w="1400" w:type="dxa"/>
            <w:vAlign w:val="bottom"/>
            <w:gridSpan w:val="2"/>
          </w:tcPr>
          <w:p>
            <w:pPr>
              <w:ind w:left="500"/>
              <w:spacing w:after="0"/>
              <w:rPr>
                <w:sz w:val="20"/>
                <w:szCs w:val="20"/>
                <w:color w:val="auto"/>
              </w:rPr>
            </w:pPr>
            <w:r>
              <w:rPr>
                <w:rFonts w:ascii="Arial" w:cs="Arial" w:eastAsia="Arial" w:hAnsi="Arial"/>
                <w:sz w:val="14"/>
                <w:szCs w:val="14"/>
                <w:b w:val="1"/>
                <w:bCs w:val="1"/>
                <w:color w:val="auto"/>
              </w:rPr>
              <w:t>% of</w:t>
            </w:r>
          </w:p>
        </w:tc>
        <w:tc>
          <w:tcPr>
            <w:tcW w:w="200" w:type="dxa"/>
            <w:vAlign w:val="bottom"/>
          </w:tcPr>
          <w:p>
            <w:pPr>
              <w:spacing w:after="0"/>
              <w:rPr>
                <w:sz w:val="19"/>
                <w:szCs w:val="19"/>
                <w:color w:val="auto"/>
              </w:rPr>
            </w:pPr>
          </w:p>
        </w:tc>
        <w:tc>
          <w:tcPr>
            <w:tcW w:w="11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7"/>
              </w:rPr>
              <w:t>Carrying</w:t>
            </w:r>
          </w:p>
        </w:tc>
        <w:tc>
          <w:tcPr>
            <w:tcW w:w="1280" w:type="dxa"/>
            <w:vAlign w:val="bottom"/>
          </w:tcPr>
          <w:p>
            <w:pPr>
              <w:jc w:val="right"/>
              <w:ind w:right="421"/>
              <w:spacing w:after="0"/>
              <w:rPr>
                <w:sz w:val="20"/>
                <w:szCs w:val="20"/>
                <w:color w:val="auto"/>
              </w:rPr>
            </w:pPr>
            <w:r>
              <w:rPr>
                <w:rFonts w:ascii="Arial" w:cs="Arial" w:eastAsia="Arial" w:hAnsi="Arial"/>
                <w:sz w:val="14"/>
                <w:szCs w:val="14"/>
                <w:b w:val="1"/>
                <w:bCs w:val="1"/>
                <w:color w:val="auto"/>
              </w:rPr>
              <w:t>% of</w:t>
            </w:r>
          </w:p>
        </w:tc>
      </w:tr>
      <w:tr>
        <w:trPr>
          <w:trHeight w:val="192"/>
        </w:trPr>
        <w:tc>
          <w:tcPr>
            <w:tcW w:w="58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w w:val="90"/>
              </w:rPr>
              <w:t>Value</w:t>
            </w:r>
          </w:p>
        </w:tc>
        <w:tc>
          <w:tcPr>
            <w:tcW w:w="1400" w:type="dxa"/>
            <w:vAlign w:val="bottom"/>
            <w:tcBorders>
              <w:bottom w:val="single" w:sz="8" w:color="auto"/>
            </w:tcBorders>
            <w:gridSpan w:val="2"/>
          </w:tcPr>
          <w:p>
            <w:pPr>
              <w:ind w:left="480"/>
              <w:spacing w:after="0"/>
              <w:rPr>
                <w:sz w:val="20"/>
                <w:szCs w:val="20"/>
                <w:color w:val="auto"/>
              </w:rPr>
            </w:pPr>
            <w:r>
              <w:rPr>
                <w:rFonts w:ascii="Arial" w:cs="Arial" w:eastAsia="Arial" w:hAnsi="Arial"/>
                <w:sz w:val="14"/>
                <w:szCs w:val="14"/>
                <w:b w:val="1"/>
                <w:bCs w:val="1"/>
                <w:color w:val="auto"/>
              </w:rPr>
              <w:t>Total</w:t>
            </w:r>
          </w:p>
        </w:tc>
        <w:tc>
          <w:tcPr>
            <w:tcW w:w="2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w w:val="96"/>
              </w:rPr>
              <w:t>Value</w:t>
            </w:r>
          </w:p>
        </w:tc>
        <w:tc>
          <w:tcPr>
            <w:tcW w:w="1280" w:type="dxa"/>
            <w:vAlign w:val="bottom"/>
            <w:tcBorders>
              <w:bottom w:val="single" w:sz="8" w:color="auto"/>
            </w:tcBorders>
          </w:tcPr>
          <w:p>
            <w:pPr>
              <w:jc w:val="right"/>
              <w:ind w:right="401"/>
              <w:spacing w:after="0"/>
              <w:rPr>
                <w:sz w:val="20"/>
                <w:szCs w:val="20"/>
                <w:color w:val="auto"/>
              </w:rPr>
            </w:pPr>
            <w:r>
              <w:rPr>
                <w:rFonts w:ascii="Arial" w:cs="Arial" w:eastAsia="Arial" w:hAnsi="Arial"/>
                <w:sz w:val="14"/>
                <w:szCs w:val="14"/>
                <w:b w:val="1"/>
                <w:bCs w:val="1"/>
                <w:color w:val="auto"/>
              </w:rPr>
              <w:t>Total</w:t>
            </w:r>
          </w:p>
        </w:tc>
      </w:tr>
      <w:tr>
        <w:trPr>
          <w:trHeight w:val="190"/>
        </w:trPr>
        <w:tc>
          <w:tcPr>
            <w:tcW w:w="5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720" w:type="dxa"/>
            <w:vAlign w:val="bottom"/>
            <w:gridSpan w:val="5"/>
          </w:tcPr>
          <w:p>
            <w:pPr>
              <w:ind w:left="740"/>
              <w:spacing w:after="0"/>
              <w:rPr>
                <w:sz w:val="20"/>
                <w:szCs w:val="20"/>
                <w:color w:val="auto"/>
              </w:rPr>
            </w:pPr>
            <w:r>
              <w:rPr>
                <w:rFonts w:ascii="Arial" w:cs="Arial" w:eastAsia="Arial" w:hAnsi="Arial"/>
                <w:sz w:val="14"/>
                <w:szCs w:val="14"/>
                <w:b w:val="1"/>
                <w:bCs w:val="1"/>
                <w:color w:val="auto"/>
              </w:rPr>
              <w:t>(Dollars in millions)</w:t>
            </w:r>
          </w:p>
        </w:tc>
        <w:tc>
          <w:tcPr>
            <w:tcW w:w="1280" w:type="dxa"/>
            <w:vAlign w:val="bottom"/>
          </w:tcPr>
          <w:p>
            <w:pPr>
              <w:spacing w:after="0"/>
              <w:rPr>
                <w:sz w:val="16"/>
                <w:szCs w:val="16"/>
                <w:color w:val="auto"/>
              </w:rPr>
            </w:pPr>
          </w:p>
        </w:tc>
      </w:tr>
      <w:tr>
        <w:trPr>
          <w:trHeight w:val="398"/>
        </w:trPr>
        <w:tc>
          <w:tcPr>
            <w:tcW w:w="5880" w:type="dxa"/>
            <w:vAlign w:val="bottom"/>
          </w:tcPr>
          <w:p>
            <w:pPr>
              <w:ind w:left="20"/>
              <w:spacing w:after="0"/>
              <w:rPr>
                <w:sz w:val="20"/>
                <w:szCs w:val="20"/>
                <w:color w:val="auto"/>
              </w:rPr>
            </w:pPr>
            <w:r>
              <w:rPr>
                <w:rFonts w:ascii="Arial" w:cs="Arial" w:eastAsia="Arial" w:hAnsi="Arial"/>
                <w:sz w:val="16"/>
                <w:szCs w:val="16"/>
                <w:color w:val="auto"/>
              </w:rPr>
              <w:t>Freestanding derivatives with positive estimated fair values</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ind w:right="42"/>
              <w:spacing w:after="0"/>
              <w:rPr>
                <w:sz w:val="20"/>
                <w:szCs w:val="20"/>
                <w:color w:val="auto"/>
              </w:rPr>
            </w:pPr>
            <w:r>
              <w:rPr>
                <w:rFonts w:ascii="Arial" w:cs="Arial" w:eastAsia="Arial" w:hAnsi="Arial"/>
                <w:sz w:val="16"/>
                <w:szCs w:val="16"/>
                <w:color w:val="auto"/>
              </w:rPr>
              <w:t>2,477</w:t>
            </w:r>
          </w:p>
        </w:tc>
        <w:tc>
          <w:tcPr>
            <w:tcW w:w="10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92.9%</w:t>
            </w:r>
          </w:p>
        </w:tc>
        <w:tc>
          <w:tcPr>
            <w:tcW w:w="120" w:type="dxa"/>
            <w:vAlign w:val="bottom"/>
          </w:tcPr>
          <w:p>
            <w:pPr>
              <w:spacing w:after="0"/>
              <w:rPr>
                <w:sz w:val="24"/>
                <w:szCs w:val="24"/>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ind w:right="22"/>
              <w:spacing w:after="0"/>
              <w:rPr>
                <w:sz w:val="20"/>
                <w:szCs w:val="20"/>
                <w:color w:val="auto"/>
              </w:rPr>
            </w:pPr>
            <w:r>
              <w:rPr>
                <w:rFonts w:ascii="Arial" w:cs="Arial" w:eastAsia="Arial" w:hAnsi="Arial"/>
                <w:sz w:val="16"/>
                <w:szCs w:val="16"/>
                <w:color w:val="auto"/>
              </w:rPr>
              <w:t>3,622</w:t>
            </w:r>
          </w:p>
        </w:tc>
        <w:tc>
          <w:tcPr>
            <w:tcW w:w="12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73.9%</w:t>
            </w:r>
          </w:p>
        </w:tc>
      </w:tr>
      <w:tr>
        <w:trPr>
          <w:trHeight w:val="33"/>
        </w:trPr>
        <w:tc>
          <w:tcPr>
            <w:tcW w:w="5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5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Loans to affiliates (primarily MetLife, Inc.) (1)</w:t>
            </w: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1,090</w:t>
            </w: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rPr>
              <w:t>22.2</w:t>
            </w:r>
          </w:p>
        </w:tc>
      </w:tr>
      <w:tr>
        <w:trPr>
          <w:trHeight w:val="237"/>
        </w:trPr>
        <w:tc>
          <w:tcPr>
            <w:tcW w:w="5880" w:type="dxa"/>
            <w:vAlign w:val="bottom"/>
          </w:tcPr>
          <w:p>
            <w:pPr>
              <w:ind w:left="20"/>
              <w:spacing w:after="0"/>
              <w:rPr>
                <w:sz w:val="20"/>
                <w:szCs w:val="20"/>
                <w:color w:val="auto"/>
              </w:rPr>
            </w:pPr>
            <w:r>
              <w:rPr>
                <w:rFonts w:ascii="Arial" w:cs="Arial" w:eastAsia="Arial" w:hAnsi="Arial"/>
                <w:sz w:val="16"/>
                <w:szCs w:val="16"/>
                <w:color w:val="auto"/>
              </w:rPr>
              <w:t>Tax credit and renewable energy partnerships</w:t>
            </w:r>
          </w:p>
        </w:tc>
        <w:tc>
          <w:tcPr>
            <w:tcW w:w="220" w:type="dxa"/>
            <w:vAlign w:val="bottom"/>
          </w:tcPr>
          <w:p>
            <w:pPr>
              <w:spacing w:after="0"/>
              <w:rPr>
                <w:sz w:val="20"/>
                <w:szCs w:val="20"/>
                <w:color w:val="auto"/>
              </w:rPr>
            </w:pPr>
          </w:p>
        </w:tc>
        <w:tc>
          <w:tcPr>
            <w:tcW w:w="1000" w:type="dxa"/>
            <w:vAlign w:val="bottom"/>
          </w:tcPr>
          <w:p>
            <w:pPr>
              <w:jc w:val="right"/>
              <w:ind w:right="42"/>
              <w:spacing w:after="0"/>
              <w:rPr>
                <w:sz w:val="20"/>
                <w:szCs w:val="20"/>
                <w:color w:val="auto"/>
              </w:rPr>
            </w:pPr>
            <w:r>
              <w:rPr>
                <w:rFonts w:ascii="Arial" w:cs="Arial" w:eastAsia="Arial" w:hAnsi="Arial"/>
                <w:sz w:val="16"/>
                <w:szCs w:val="16"/>
                <w:color w:val="auto"/>
              </w:rPr>
              <w:t>107</w:t>
            </w:r>
          </w:p>
        </w:tc>
        <w:tc>
          <w:tcPr>
            <w:tcW w:w="100" w:type="dxa"/>
            <w:vAlign w:val="bottom"/>
          </w:tcPr>
          <w:p>
            <w:pPr>
              <w:spacing w:after="0"/>
              <w:rPr>
                <w:sz w:val="20"/>
                <w:szCs w:val="20"/>
                <w:color w:val="auto"/>
              </w:rPr>
            </w:pPr>
          </w:p>
        </w:tc>
        <w:tc>
          <w:tcPr>
            <w:tcW w:w="1280" w:type="dxa"/>
            <w:vAlign w:val="bottom"/>
          </w:tcPr>
          <w:p>
            <w:pPr>
              <w:jc w:val="right"/>
              <w:ind w:right="82"/>
              <w:spacing w:after="0"/>
              <w:rPr>
                <w:sz w:val="20"/>
                <w:szCs w:val="20"/>
                <w:color w:val="auto"/>
              </w:rPr>
            </w:pPr>
            <w:r>
              <w:rPr>
                <w:rFonts w:ascii="Arial" w:cs="Arial" w:eastAsia="Arial" w:hAnsi="Arial"/>
                <w:sz w:val="16"/>
                <w:szCs w:val="16"/>
                <w:color w:val="auto"/>
              </w:rPr>
              <w:t>4.0</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jc w:val="right"/>
              <w:ind w:right="22"/>
              <w:spacing w:after="0"/>
              <w:rPr>
                <w:sz w:val="20"/>
                <w:szCs w:val="20"/>
                <w:color w:val="auto"/>
              </w:rPr>
            </w:pPr>
            <w:r>
              <w:rPr>
                <w:rFonts w:ascii="Arial" w:cs="Arial" w:eastAsia="Arial" w:hAnsi="Arial"/>
                <w:sz w:val="16"/>
                <w:szCs w:val="16"/>
                <w:color w:val="auto"/>
              </w:rPr>
              <w:t>113</w:t>
            </w:r>
          </w:p>
        </w:tc>
        <w:tc>
          <w:tcPr>
            <w:tcW w:w="120" w:type="dxa"/>
            <w:vAlign w:val="bottom"/>
          </w:tcPr>
          <w:p>
            <w:pPr>
              <w:spacing w:after="0"/>
              <w:rPr>
                <w:sz w:val="20"/>
                <w:szCs w:val="20"/>
                <w:color w:val="auto"/>
              </w:rPr>
            </w:pPr>
          </w:p>
        </w:tc>
        <w:tc>
          <w:tcPr>
            <w:tcW w:w="1280" w:type="dxa"/>
            <w:vAlign w:val="bottom"/>
          </w:tcPr>
          <w:p>
            <w:pPr>
              <w:jc w:val="right"/>
              <w:ind w:right="81"/>
              <w:spacing w:after="0"/>
              <w:rPr>
                <w:sz w:val="20"/>
                <w:szCs w:val="20"/>
                <w:color w:val="auto"/>
              </w:rPr>
            </w:pPr>
            <w:r>
              <w:rPr>
                <w:rFonts w:ascii="Arial" w:cs="Arial" w:eastAsia="Arial" w:hAnsi="Arial"/>
                <w:sz w:val="16"/>
                <w:szCs w:val="16"/>
                <w:color w:val="auto"/>
              </w:rPr>
              <w:t>2.3</w:t>
            </w:r>
          </w:p>
        </w:tc>
      </w:tr>
      <w:tr>
        <w:trPr>
          <w:trHeight w:val="33"/>
        </w:trPr>
        <w:tc>
          <w:tcPr>
            <w:tcW w:w="5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5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Leveraged leases, net of non-recourse debt</w:t>
            </w:r>
          </w:p>
        </w:tc>
        <w:tc>
          <w:tcPr>
            <w:tcW w:w="2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69</w:t>
            </w:r>
          </w:p>
        </w:tc>
        <w:tc>
          <w:tcPr>
            <w:tcW w:w="1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82"/>
              <w:spacing w:after="0"/>
              <w:rPr>
                <w:sz w:val="20"/>
                <w:szCs w:val="20"/>
                <w:color w:val="auto"/>
              </w:rPr>
            </w:pPr>
            <w:r>
              <w:rPr>
                <w:rFonts w:ascii="Arial" w:cs="Arial" w:eastAsia="Arial" w:hAnsi="Arial"/>
                <w:sz w:val="16"/>
                <w:szCs w:val="16"/>
                <w:color w:val="auto"/>
              </w:rPr>
              <w:t>2.6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69</w:t>
            </w: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rPr>
              <w:t>1.4</w:t>
            </w:r>
          </w:p>
        </w:tc>
      </w:tr>
      <w:tr>
        <w:trPr>
          <w:trHeight w:val="237"/>
        </w:trPr>
        <w:tc>
          <w:tcPr>
            <w:tcW w:w="5880" w:type="dxa"/>
            <w:vAlign w:val="bottom"/>
          </w:tcPr>
          <w:p>
            <w:pPr>
              <w:ind w:left="20"/>
              <w:spacing w:after="0"/>
              <w:rPr>
                <w:sz w:val="20"/>
                <w:szCs w:val="20"/>
                <w:color w:val="auto"/>
              </w:rPr>
            </w:pPr>
            <w:r>
              <w:rPr>
                <w:rFonts w:ascii="Arial" w:cs="Arial" w:eastAsia="Arial" w:hAnsi="Arial"/>
                <w:sz w:val="16"/>
                <w:szCs w:val="16"/>
                <w:color w:val="auto"/>
              </w:rPr>
              <w:t>Other</w:t>
            </w:r>
          </w:p>
        </w:tc>
        <w:tc>
          <w:tcPr>
            <w:tcW w:w="220" w:type="dxa"/>
            <w:vAlign w:val="bottom"/>
          </w:tcPr>
          <w:p>
            <w:pPr>
              <w:spacing w:after="0"/>
              <w:rPr>
                <w:sz w:val="20"/>
                <w:szCs w:val="20"/>
                <w:color w:val="auto"/>
              </w:rPr>
            </w:pPr>
          </w:p>
        </w:tc>
        <w:tc>
          <w:tcPr>
            <w:tcW w:w="1000" w:type="dxa"/>
            <w:vAlign w:val="bottom"/>
          </w:tcPr>
          <w:p>
            <w:pPr>
              <w:jc w:val="right"/>
              <w:ind w:right="42"/>
              <w:spacing w:after="0"/>
              <w:rPr>
                <w:sz w:val="20"/>
                <w:szCs w:val="20"/>
                <w:color w:val="auto"/>
              </w:rPr>
            </w:pPr>
            <w:r>
              <w:rPr>
                <w:rFonts w:ascii="Arial" w:cs="Arial" w:eastAsia="Arial" w:hAnsi="Arial"/>
                <w:sz w:val="16"/>
                <w:szCs w:val="16"/>
                <w:color w:val="auto"/>
              </w:rPr>
              <w:t>13</w:t>
            </w:r>
          </w:p>
        </w:tc>
        <w:tc>
          <w:tcPr>
            <w:tcW w:w="100" w:type="dxa"/>
            <w:vAlign w:val="bottom"/>
          </w:tcPr>
          <w:p>
            <w:pPr>
              <w:spacing w:after="0"/>
              <w:rPr>
                <w:sz w:val="20"/>
                <w:szCs w:val="20"/>
                <w:color w:val="auto"/>
              </w:rPr>
            </w:pPr>
          </w:p>
        </w:tc>
        <w:tc>
          <w:tcPr>
            <w:tcW w:w="1280" w:type="dxa"/>
            <w:vAlign w:val="bottom"/>
          </w:tcPr>
          <w:p>
            <w:pPr>
              <w:jc w:val="right"/>
              <w:ind w:right="82"/>
              <w:spacing w:after="0"/>
              <w:rPr>
                <w:sz w:val="20"/>
                <w:szCs w:val="20"/>
                <w:color w:val="auto"/>
              </w:rPr>
            </w:pPr>
            <w:r>
              <w:rPr>
                <w:rFonts w:ascii="Arial" w:cs="Arial" w:eastAsia="Arial" w:hAnsi="Arial"/>
                <w:sz w:val="16"/>
                <w:szCs w:val="16"/>
                <w:color w:val="auto"/>
              </w:rPr>
              <w:t>0.5</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jc w:val="right"/>
              <w:ind w:right="22"/>
              <w:spacing w:after="0"/>
              <w:rPr>
                <w:sz w:val="20"/>
                <w:szCs w:val="20"/>
                <w:color w:val="auto"/>
              </w:rPr>
            </w:pPr>
            <w:r>
              <w:rPr>
                <w:rFonts w:ascii="Arial" w:cs="Arial" w:eastAsia="Arial" w:hAnsi="Arial"/>
                <w:sz w:val="16"/>
                <w:szCs w:val="16"/>
                <w:color w:val="auto"/>
              </w:rPr>
              <w:t>10</w:t>
            </w:r>
          </w:p>
        </w:tc>
        <w:tc>
          <w:tcPr>
            <w:tcW w:w="120" w:type="dxa"/>
            <w:vAlign w:val="bottom"/>
          </w:tcPr>
          <w:p>
            <w:pPr>
              <w:spacing w:after="0"/>
              <w:rPr>
                <w:sz w:val="20"/>
                <w:szCs w:val="20"/>
                <w:color w:val="auto"/>
              </w:rPr>
            </w:pPr>
          </w:p>
        </w:tc>
        <w:tc>
          <w:tcPr>
            <w:tcW w:w="1280" w:type="dxa"/>
            <w:vAlign w:val="bottom"/>
          </w:tcPr>
          <w:p>
            <w:pPr>
              <w:jc w:val="right"/>
              <w:ind w:right="81"/>
              <w:spacing w:after="0"/>
              <w:rPr>
                <w:sz w:val="20"/>
                <w:szCs w:val="20"/>
                <w:color w:val="auto"/>
              </w:rPr>
            </w:pPr>
            <w:r>
              <w:rPr>
                <w:rFonts w:ascii="Arial" w:cs="Arial" w:eastAsia="Arial" w:hAnsi="Arial"/>
                <w:sz w:val="16"/>
                <w:szCs w:val="16"/>
                <w:color w:val="auto"/>
              </w:rPr>
              <w:t>0.2</w:t>
            </w:r>
          </w:p>
        </w:tc>
      </w:tr>
      <w:tr>
        <w:trPr>
          <w:trHeight w:val="33"/>
        </w:trPr>
        <w:tc>
          <w:tcPr>
            <w:tcW w:w="58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55"/>
        </w:trPr>
        <w:tc>
          <w:tcPr>
            <w:tcW w:w="58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Total</w:t>
            </w: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2,666</w:t>
            </w:r>
          </w:p>
        </w:tc>
        <w:tc>
          <w:tcPr>
            <w:tcW w:w="1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4,904</w:t>
            </w: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100.0%</w:t>
            </w:r>
          </w:p>
        </w:tc>
      </w:tr>
      <w:tr>
        <w:trPr>
          <w:trHeight w:val="20"/>
        </w:trPr>
        <w:tc>
          <w:tcPr>
            <w:tcW w:w="58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left="660" w:hanging="328"/>
        <w:spacing w:after="0" w:line="277" w:lineRule="auto"/>
        <w:tabs>
          <w:tab w:leader="none" w:pos="660" w:val="left"/>
        </w:tabs>
        <w:numPr>
          <w:ilvl w:val="0"/>
          <w:numId w:val="79"/>
        </w:numPr>
        <w:rPr>
          <w:rFonts w:ascii="Arial" w:cs="Arial" w:eastAsia="Arial" w:hAnsi="Arial"/>
          <w:sz w:val="18"/>
          <w:szCs w:val="18"/>
          <w:color w:val="auto"/>
        </w:rPr>
      </w:pPr>
      <w:r>
        <w:rPr>
          <w:rFonts w:ascii="Arial" w:cs="Arial" w:eastAsia="Arial" w:hAnsi="Arial"/>
          <w:sz w:val="18"/>
          <w:szCs w:val="18"/>
          <w:color w:val="auto"/>
        </w:rPr>
        <w:t>In April 2017, MetLife, Inc. repaid its loans to the Company. See Note 4 of the Notes to the Interim Condensed Consolidated and Combined Financial Statements.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Derivatives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Derivative Risks</w:t>
      </w:r>
    </w:p>
    <w:p>
      <w:pPr>
        <w:spacing w:after="0" w:line="117"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We are exposed to various risks relating to our ongoing business operations, including interest rate, foreign currency exchange rate, credit and equity market. We use a variety of strategies to manage these risks, including the use of derivatives. See Note 5 of the Notes to the Interim Condensed Consolidated and Combined Financial Statements for:</w:t>
      </w:r>
    </w:p>
    <w:p>
      <w:pPr>
        <w:spacing w:after="0" w:line="73" w:lineRule="exact"/>
        <w:rPr>
          <w:sz w:val="20"/>
          <w:szCs w:val="20"/>
          <w:color w:val="auto"/>
        </w:rPr>
      </w:pPr>
    </w:p>
    <w:p>
      <w:pPr>
        <w:ind w:left="660" w:hanging="328"/>
        <w:spacing w:after="0"/>
        <w:tabs>
          <w:tab w:leader="none" w:pos="660" w:val="left"/>
        </w:tabs>
        <w:numPr>
          <w:ilvl w:val="0"/>
          <w:numId w:val="80"/>
        </w:numPr>
        <w:rPr>
          <w:rFonts w:ascii="Arial" w:cs="Arial" w:eastAsia="Arial" w:hAnsi="Arial"/>
          <w:sz w:val="17"/>
          <w:szCs w:val="17"/>
          <w:color w:val="auto"/>
        </w:rPr>
      </w:pPr>
      <w:r>
        <w:rPr>
          <w:rFonts w:ascii="Arial" w:cs="Arial" w:eastAsia="Arial" w:hAnsi="Arial"/>
          <w:sz w:val="17"/>
          <w:szCs w:val="17"/>
          <w:color w:val="auto"/>
        </w:rPr>
        <w:t>A comprehensive description of the nature of our derivatives, including the strategies for which derivatives are used in managing various risks.</w:t>
      </w:r>
    </w:p>
    <w:p>
      <w:pPr>
        <w:spacing w:after="0" w:line="128" w:lineRule="exact"/>
        <w:rPr>
          <w:rFonts w:ascii="Arial" w:cs="Arial" w:eastAsia="Arial" w:hAnsi="Arial"/>
          <w:sz w:val="17"/>
          <w:szCs w:val="17"/>
          <w:color w:val="auto"/>
        </w:rPr>
      </w:pPr>
    </w:p>
    <w:p>
      <w:pPr>
        <w:ind w:left="660" w:hanging="328"/>
        <w:spacing w:after="0" w:line="277" w:lineRule="auto"/>
        <w:tabs>
          <w:tab w:leader="none" w:pos="660" w:val="left"/>
        </w:tabs>
        <w:numPr>
          <w:ilvl w:val="0"/>
          <w:numId w:val="80"/>
        </w:numPr>
        <w:rPr>
          <w:rFonts w:ascii="Arial" w:cs="Arial" w:eastAsia="Arial" w:hAnsi="Arial"/>
          <w:sz w:val="18"/>
          <w:szCs w:val="18"/>
          <w:color w:val="auto"/>
        </w:rPr>
      </w:pPr>
      <w:r>
        <w:rPr>
          <w:rFonts w:ascii="Arial" w:cs="Arial" w:eastAsia="Arial" w:hAnsi="Arial"/>
          <w:sz w:val="18"/>
          <w:szCs w:val="18"/>
          <w:color w:val="auto"/>
        </w:rPr>
        <w:t>Information about the gross notional amount, estimated fair value, and primary underlying risk exposure of our derivatives by type of hedge designation, excluding embedded derivatives held at September 30, 2017, December 31, 2016 and 2015.</w:t>
      </w:r>
    </w:p>
    <w:p>
      <w:pPr>
        <w:spacing w:after="0" w:line="62"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80"/>
        </w:numPr>
        <w:rPr>
          <w:rFonts w:ascii="Arial" w:cs="Arial" w:eastAsia="Arial" w:hAnsi="Arial"/>
          <w:sz w:val="18"/>
          <w:szCs w:val="18"/>
          <w:color w:val="auto"/>
        </w:rPr>
      </w:pPr>
      <w:r>
        <w:rPr>
          <w:rFonts w:ascii="Arial" w:cs="Arial" w:eastAsia="Arial" w:hAnsi="Arial"/>
          <w:sz w:val="18"/>
          <w:szCs w:val="18"/>
          <w:color w:val="auto"/>
        </w:rPr>
        <w:t>The statement of operations effects of derivatives in cash flow, fair value, or nonqualifying hedge relationships for the three months ended September 30, 2017 and 2016 and the years ended December 31, 2016, 2015 and 2014.</w:t>
      </w:r>
    </w:p>
    <w:p>
      <w:pPr>
        <w:spacing w:after="0" w:line="62"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See “Business — Description of our Segments, Products and Operations — Variable Annuity Risk Management” and “Business — Description of our Segments, Products and Operations — Run-off — ULSG Market Risk Exposure Management” both included in the Form 10 for more information about our use of derivatives by major hedge programs, as well as “Management’s Discussion and Analysis of Financial Condition and Results of Operations — Executive Summary — Actuarial Assumption Review.”</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Hierarchy</w:t>
      </w:r>
    </w:p>
    <w:p>
      <w:pPr>
        <w:spacing w:after="0" w:line="103"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See Note 5 of the Notes to the Interim Condensed Consolidated and Combined Financial Statements for derivatives measured at estimated fair value on a recurring basis and their corresponding fair value hierarchy.</w:t>
      </w:r>
    </w:p>
    <w:p>
      <w:pPr>
        <w:spacing w:after="0" w:line="62"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The valuation of Level 3 derivatives involves the use of significant unobservable inputs and generally requires a higher degree of management judgment or estimation than the valuations of Level 1 and Level 2 derivatives. Although Level 3 inputs are unobservable, management believes they are consistent with what other market participants would use when pricing such instruments and are considered appropriate given the circumstances. The use of different inputs or methodologies could have a material effect on the estimated fair value of Level 3 derivatives and could materially affect net income.</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117</w:t>
      </w:r>
    </w:p>
    <w:p>
      <w:pPr>
        <w:sectPr>
          <w:pgSz w:w="11900" w:h="16838" w:orient="portrait"/>
          <w:cols w:equalWidth="0" w:num="1">
            <w:col w:w="11420"/>
          </w:cols>
          <w:pgMar w:left="240" w:top="126" w:right="239" w:bottom="1440" w:gutter="0" w:footer="0" w:header="0"/>
        </w:sectPr>
      </w:pPr>
    </w:p>
    <w:bookmarkStart w:id="119" w:name="page120"/>
    <w:bookmarkEnd w:id="119"/>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Derivatives categorized as Level 3 at September 30, 2017 include: interest rate total return swaps with unobservable repurchase rates; credit default swaps priced using unobservable credit spreads, or that are priced through independent broker quotations; equity variance swaps with unobservable volatility inputs; and equity index options with unobservable correlation inputs. The estimated fair value of our derivatives priced through independent broker quotations were 1% and 3% at September 30, 2017 and December 31, 2016, respectively.</w:t>
      </w:r>
    </w:p>
    <w:p>
      <w:pPr>
        <w:spacing w:after="0" w:line="7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See Note 6 of the Notes to Interim Condensed Consolidated and Combined Financial Statements for a rollforward of the fair value measurements for derivatives measured at estimated fair value on a recurring basis using significant unobservable (Level 3) inputs.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Risk</w:t>
      </w:r>
    </w:p>
    <w:p>
      <w:pPr>
        <w:spacing w:after="0" w:line="117"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See Note 5 of the Notes to the Interim Condensed Consolidated and Combined Financial Statements for information about how we manage credit risk related to derivatives and for the estimated fair value of our net derivative assets and net derivative liabilities after the application of master netting agreements and collateral.</w:t>
      </w:r>
    </w:p>
    <w:p>
      <w:pPr>
        <w:spacing w:after="0" w:line="73"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Our policy is not to offset the fair value amounts recognized for derivatives executed with the same counterparty under the same master netting agreement. This policy applies to the recognition of derivatives in the balance sheets, and does not affect our legal right of offset.</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Derivatives</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tables present the gross notional amount and estimated fair value of credit default swaps at:</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3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800" w:type="dxa"/>
            <w:vAlign w:val="bottom"/>
            <w:tcBorders>
              <w:bottom w:val="single" w:sz="8" w:color="auto"/>
            </w:tcBorders>
            <w:gridSpan w:val="4"/>
          </w:tcPr>
          <w:p>
            <w:pPr>
              <w:ind w:left="640"/>
              <w:spacing w:after="0"/>
              <w:rPr>
                <w:sz w:val="20"/>
                <w:szCs w:val="20"/>
                <w:color w:val="auto"/>
              </w:rPr>
            </w:pPr>
            <w:r>
              <w:rPr>
                <w:rFonts w:ascii="Arial" w:cs="Arial" w:eastAsia="Arial" w:hAnsi="Arial"/>
                <w:sz w:val="14"/>
                <w:szCs w:val="14"/>
                <w:b w:val="1"/>
                <w:bCs w:val="1"/>
                <w:color w:val="auto"/>
              </w:rPr>
              <w:t>September 30, 2017</w:t>
            </w:r>
          </w:p>
        </w:tc>
        <w:tc>
          <w:tcPr>
            <w:tcW w:w="10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2640" w:type="dxa"/>
            <w:vAlign w:val="bottom"/>
            <w:tcBorders>
              <w:bottom w:val="single" w:sz="8" w:color="auto"/>
            </w:tcBorders>
            <w:gridSpan w:val="4"/>
          </w:tcPr>
          <w:p>
            <w:pPr>
              <w:ind w:left="540"/>
              <w:spacing w:after="0"/>
              <w:rPr>
                <w:sz w:val="20"/>
                <w:szCs w:val="20"/>
                <w:color w:val="auto"/>
              </w:rPr>
            </w:pPr>
            <w:r>
              <w:rPr>
                <w:rFonts w:ascii="Arial" w:cs="Arial" w:eastAsia="Arial" w:hAnsi="Arial"/>
                <w:sz w:val="14"/>
                <w:szCs w:val="14"/>
                <w:b w:val="1"/>
                <w:bCs w:val="1"/>
                <w:color w:val="auto"/>
              </w:rPr>
              <w:t>December 31, 2016</w:t>
            </w:r>
          </w:p>
        </w:tc>
        <w:tc>
          <w:tcPr>
            <w:tcW w:w="0" w:type="dxa"/>
            <w:vAlign w:val="bottom"/>
          </w:tcPr>
          <w:p>
            <w:pPr>
              <w:spacing w:after="0"/>
              <w:rPr>
                <w:sz w:val="1"/>
                <w:szCs w:val="1"/>
                <w:color w:val="auto"/>
              </w:rPr>
            </w:pPr>
          </w:p>
        </w:tc>
      </w:tr>
      <w:tr>
        <w:trPr>
          <w:trHeight w:val="152"/>
        </w:trPr>
        <w:tc>
          <w:tcPr>
            <w:tcW w:w="4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320" w:type="dxa"/>
            <w:vAlign w:val="bottom"/>
            <w:gridSpan w:val="2"/>
          </w:tcPr>
          <w:p>
            <w:pPr>
              <w:jc w:val="center"/>
              <w:ind w:right="320"/>
              <w:spacing w:after="0" w:line="153" w:lineRule="exact"/>
              <w:rPr>
                <w:sz w:val="20"/>
                <w:szCs w:val="20"/>
                <w:color w:val="auto"/>
              </w:rPr>
            </w:pPr>
            <w:r>
              <w:rPr>
                <w:rFonts w:ascii="Arial" w:cs="Arial" w:eastAsia="Arial" w:hAnsi="Arial"/>
                <w:sz w:val="14"/>
                <w:szCs w:val="14"/>
                <w:b w:val="1"/>
                <w:bCs w:val="1"/>
                <w:color w:val="auto"/>
                <w:w w:val="88"/>
              </w:rPr>
              <w:t>Gross</w:t>
            </w:r>
          </w:p>
        </w:tc>
        <w:tc>
          <w:tcPr>
            <w:tcW w:w="300" w:type="dxa"/>
            <w:vAlign w:val="bottom"/>
          </w:tcPr>
          <w:p>
            <w:pPr>
              <w:spacing w:after="0"/>
              <w:rPr>
                <w:sz w:val="13"/>
                <w:szCs w:val="13"/>
                <w:color w:val="auto"/>
              </w:rPr>
            </w:pPr>
          </w:p>
        </w:tc>
        <w:tc>
          <w:tcPr>
            <w:tcW w:w="128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Estimated</w:t>
            </w:r>
          </w:p>
        </w:tc>
        <w:tc>
          <w:tcPr>
            <w:tcW w:w="440" w:type="dxa"/>
            <w:vAlign w:val="bottom"/>
          </w:tcPr>
          <w:p>
            <w:pPr>
              <w:spacing w:after="0"/>
              <w:rPr>
                <w:sz w:val="13"/>
                <w:szCs w:val="13"/>
                <w:color w:val="auto"/>
              </w:rPr>
            </w:pPr>
          </w:p>
        </w:tc>
        <w:tc>
          <w:tcPr>
            <w:tcW w:w="1160" w:type="dxa"/>
            <w:vAlign w:val="bottom"/>
            <w:gridSpan w:val="2"/>
          </w:tcPr>
          <w:p>
            <w:pPr>
              <w:jc w:val="center"/>
              <w:ind w:right="380"/>
              <w:spacing w:after="0" w:line="153" w:lineRule="exact"/>
              <w:rPr>
                <w:sz w:val="20"/>
                <w:szCs w:val="20"/>
                <w:color w:val="auto"/>
              </w:rPr>
            </w:pPr>
            <w:r>
              <w:rPr>
                <w:rFonts w:ascii="Arial" w:cs="Arial" w:eastAsia="Arial" w:hAnsi="Arial"/>
                <w:sz w:val="14"/>
                <w:szCs w:val="14"/>
                <w:b w:val="1"/>
                <w:bCs w:val="1"/>
                <w:color w:val="auto"/>
                <w:w w:val="83"/>
              </w:rPr>
              <w:t>Gross</w:t>
            </w:r>
          </w:p>
        </w:tc>
        <w:tc>
          <w:tcPr>
            <w:tcW w:w="300" w:type="dxa"/>
            <w:vAlign w:val="bottom"/>
          </w:tcPr>
          <w:p>
            <w:pPr>
              <w:spacing w:after="0"/>
              <w:rPr>
                <w:sz w:val="13"/>
                <w:szCs w:val="13"/>
                <w:color w:val="auto"/>
              </w:rPr>
            </w:pPr>
          </w:p>
        </w:tc>
        <w:tc>
          <w:tcPr>
            <w:tcW w:w="1180" w:type="dxa"/>
            <w:vAlign w:val="bottom"/>
            <w:vMerge w:val="restart"/>
          </w:tcPr>
          <w:p>
            <w:pPr>
              <w:ind w:left="220"/>
              <w:spacing w:after="0"/>
              <w:rPr>
                <w:sz w:val="20"/>
                <w:szCs w:val="20"/>
                <w:color w:val="auto"/>
              </w:rPr>
            </w:pPr>
            <w:r>
              <w:rPr>
                <w:rFonts w:ascii="Arial" w:cs="Arial" w:eastAsia="Arial" w:hAnsi="Arial"/>
                <w:sz w:val="14"/>
                <w:szCs w:val="14"/>
                <w:b w:val="1"/>
                <w:bCs w:val="1"/>
                <w:color w:val="auto"/>
              </w:rPr>
              <w:t>Estimated</w:t>
            </w:r>
          </w:p>
        </w:tc>
        <w:tc>
          <w:tcPr>
            <w:tcW w:w="0" w:type="dxa"/>
            <w:vAlign w:val="bottom"/>
          </w:tcPr>
          <w:p>
            <w:pPr>
              <w:spacing w:after="0"/>
              <w:rPr>
                <w:sz w:val="1"/>
                <w:szCs w:val="1"/>
                <w:color w:val="auto"/>
              </w:rPr>
            </w:pPr>
          </w:p>
        </w:tc>
      </w:tr>
      <w:tr>
        <w:trPr>
          <w:trHeight w:val="149"/>
        </w:trPr>
        <w:tc>
          <w:tcPr>
            <w:tcW w:w="44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Credit Default Swaps</w:t>
            </w:r>
          </w:p>
        </w:tc>
        <w:tc>
          <w:tcPr>
            <w:tcW w:w="340" w:type="dxa"/>
            <w:vAlign w:val="bottom"/>
          </w:tcPr>
          <w:p>
            <w:pPr>
              <w:spacing w:after="0"/>
              <w:rPr>
                <w:sz w:val="12"/>
                <w:szCs w:val="12"/>
                <w:color w:val="auto"/>
              </w:rPr>
            </w:pPr>
          </w:p>
        </w:tc>
        <w:tc>
          <w:tcPr>
            <w:tcW w:w="132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2"/>
              </w:rPr>
              <w:t>Notional</w:t>
            </w:r>
          </w:p>
        </w:tc>
        <w:tc>
          <w:tcPr>
            <w:tcW w:w="30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440" w:type="dxa"/>
            <w:vAlign w:val="bottom"/>
          </w:tcPr>
          <w:p>
            <w:pPr>
              <w:spacing w:after="0"/>
              <w:rPr>
                <w:sz w:val="12"/>
                <w:szCs w:val="12"/>
                <w:color w:val="auto"/>
              </w:rPr>
            </w:pPr>
          </w:p>
        </w:tc>
        <w:tc>
          <w:tcPr>
            <w:tcW w:w="116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6"/>
              </w:rPr>
              <w:t>Notional</w:t>
            </w:r>
          </w:p>
        </w:tc>
        <w:tc>
          <w:tcPr>
            <w:tcW w:w="300" w:type="dxa"/>
            <w:vAlign w:val="bottom"/>
          </w:tcPr>
          <w:p>
            <w:pPr>
              <w:spacing w:after="0"/>
              <w:rPr>
                <w:sz w:val="12"/>
                <w:szCs w:val="12"/>
                <w:color w:val="auto"/>
              </w:rPr>
            </w:pPr>
          </w:p>
        </w:tc>
        <w:tc>
          <w:tcPr>
            <w:tcW w:w="11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4460" w:type="dxa"/>
            <w:vAlign w:val="bottom"/>
            <w:gridSpan w:val="2"/>
            <w:vMerge w:val="continue"/>
          </w:tcPr>
          <w:p>
            <w:pPr>
              <w:spacing w:after="0"/>
              <w:rPr>
                <w:sz w:val="16"/>
                <w:szCs w:val="16"/>
                <w:color w:val="auto"/>
              </w:rPr>
            </w:pPr>
          </w:p>
        </w:tc>
        <w:tc>
          <w:tcPr>
            <w:tcW w:w="340" w:type="dxa"/>
            <w:vAlign w:val="bottom"/>
          </w:tcPr>
          <w:p>
            <w:pPr>
              <w:spacing w:after="0"/>
              <w:rPr>
                <w:sz w:val="16"/>
                <w:szCs w:val="16"/>
                <w:color w:val="auto"/>
              </w:rPr>
            </w:pPr>
          </w:p>
        </w:tc>
        <w:tc>
          <w:tcPr>
            <w:tcW w:w="13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Amount</w:t>
            </w:r>
          </w:p>
        </w:tc>
        <w:tc>
          <w:tcPr>
            <w:tcW w:w="300" w:type="dxa"/>
            <w:vAlign w:val="bottom"/>
          </w:tcPr>
          <w:p>
            <w:pPr>
              <w:spacing w:after="0"/>
              <w:rPr>
                <w:sz w:val="16"/>
                <w:szCs w:val="16"/>
                <w:color w:val="auto"/>
              </w:rPr>
            </w:pPr>
          </w:p>
        </w:tc>
        <w:tc>
          <w:tcPr>
            <w:tcW w:w="1280" w:type="dxa"/>
            <w:vAlign w:val="bottom"/>
            <w:gridSpan w:val="2"/>
          </w:tcPr>
          <w:p>
            <w:pPr>
              <w:ind w:left="200"/>
              <w:spacing w:after="0"/>
              <w:rPr>
                <w:sz w:val="20"/>
                <w:szCs w:val="20"/>
                <w:color w:val="auto"/>
              </w:rPr>
            </w:pPr>
            <w:r>
              <w:rPr>
                <w:rFonts w:ascii="Arial" w:cs="Arial" w:eastAsia="Arial" w:hAnsi="Arial"/>
                <w:sz w:val="14"/>
                <w:szCs w:val="14"/>
                <w:b w:val="1"/>
                <w:bCs w:val="1"/>
                <w:color w:val="auto"/>
              </w:rPr>
              <w:t>Fair Value</w:t>
            </w:r>
          </w:p>
        </w:tc>
        <w:tc>
          <w:tcPr>
            <w:tcW w:w="440" w:type="dxa"/>
            <w:vAlign w:val="bottom"/>
          </w:tcPr>
          <w:p>
            <w:pPr>
              <w:spacing w:after="0"/>
              <w:rPr>
                <w:sz w:val="16"/>
                <w:szCs w:val="16"/>
                <w:color w:val="auto"/>
              </w:rPr>
            </w:pPr>
          </w:p>
        </w:tc>
        <w:tc>
          <w:tcPr>
            <w:tcW w:w="11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4"/>
              </w:rPr>
              <w:t>Amount</w:t>
            </w:r>
          </w:p>
        </w:tc>
        <w:tc>
          <w:tcPr>
            <w:tcW w:w="300" w:type="dxa"/>
            <w:vAlign w:val="bottom"/>
          </w:tcPr>
          <w:p>
            <w:pPr>
              <w:spacing w:after="0"/>
              <w:rPr>
                <w:sz w:val="16"/>
                <w:szCs w:val="16"/>
                <w:color w:val="auto"/>
              </w:rPr>
            </w:pPr>
          </w:p>
        </w:tc>
        <w:tc>
          <w:tcPr>
            <w:tcW w:w="1180" w:type="dxa"/>
            <w:vAlign w:val="bottom"/>
          </w:tcPr>
          <w:p>
            <w:pPr>
              <w:ind w:left="20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264"/>
        </w:trPr>
        <w:tc>
          <w:tcPr>
            <w:tcW w:w="4320" w:type="dxa"/>
            <w:vAlign w:val="bottom"/>
            <w:tcBorders>
              <w:top w:val="single" w:sz="8" w:color="auto"/>
            </w:tcBorders>
          </w:tcPr>
          <w:p>
            <w:pPr>
              <w:spacing w:after="0"/>
              <w:rPr>
                <w:sz w:val="22"/>
                <w:szCs w:val="22"/>
                <w:color w:val="auto"/>
              </w:rPr>
            </w:pPr>
          </w:p>
        </w:tc>
        <w:tc>
          <w:tcPr>
            <w:tcW w:w="140" w:type="dxa"/>
            <w:vAlign w:val="bottom"/>
          </w:tcPr>
          <w:p>
            <w:pPr>
              <w:spacing w:after="0"/>
              <w:rPr>
                <w:sz w:val="22"/>
                <w:szCs w:val="22"/>
                <w:color w:val="auto"/>
              </w:rPr>
            </w:pPr>
          </w:p>
        </w:tc>
        <w:tc>
          <w:tcPr>
            <w:tcW w:w="340" w:type="dxa"/>
            <w:vAlign w:val="bottom"/>
            <w:tcBorders>
              <w:top w:val="single" w:sz="8" w:color="auto"/>
            </w:tcBorders>
          </w:tcPr>
          <w:p>
            <w:pPr>
              <w:spacing w:after="0"/>
              <w:rPr>
                <w:sz w:val="22"/>
                <w:szCs w:val="22"/>
                <w:color w:val="auto"/>
              </w:rPr>
            </w:pPr>
          </w:p>
        </w:tc>
        <w:tc>
          <w:tcPr>
            <w:tcW w:w="1200" w:type="dxa"/>
            <w:vAlign w:val="bottom"/>
            <w:tcBorders>
              <w:top w:val="single" w:sz="8" w:color="auto"/>
            </w:tcBorders>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300" w:type="dxa"/>
            <w:vAlign w:val="bottom"/>
            <w:tcBorders>
              <w:top w:val="single" w:sz="8" w:color="auto"/>
            </w:tcBorders>
          </w:tcPr>
          <w:p>
            <w:pPr>
              <w:spacing w:after="0"/>
              <w:rPr>
                <w:sz w:val="22"/>
                <w:szCs w:val="22"/>
                <w:color w:val="auto"/>
              </w:rPr>
            </w:pPr>
          </w:p>
        </w:tc>
        <w:tc>
          <w:tcPr>
            <w:tcW w:w="1720" w:type="dxa"/>
            <w:vAlign w:val="bottom"/>
            <w:tcBorders>
              <w:top w:val="single" w:sz="8" w:color="auto"/>
            </w:tcBorders>
            <w:gridSpan w:val="3"/>
          </w:tcPr>
          <w:p>
            <w:pPr>
              <w:ind w:left="840"/>
              <w:spacing w:after="0"/>
              <w:rPr>
                <w:sz w:val="20"/>
                <w:szCs w:val="20"/>
                <w:color w:val="auto"/>
              </w:rPr>
            </w:pPr>
            <w:r>
              <w:rPr>
                <w:rFonts w:ascii="Arial" w:cs="Arial" w:eastAsia="Arial" w:hAnsi="Arial"/>
                <w:sz w:val="14"/>
                <w:szCs w:val="14"/>
                <w:b w:val="1"/>
                <w:bCs w:val="1"/>
                <w:color w:val="auto"/>
              </w:rPr>
              <w:t>(In millions)</w:t>
            </w:r>
          </w:p>
        </w:tc>
        <w:tc>
          <w:tcPr>
            <w:tcW w:w="1060" w:type="dxa"/>
            <w:vAlign w:val="bottom"/>
            <w:tcBorders>
              <w:top w:val="single" w:sz="8" w:color="auto"/>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300" w:type="dxa"/>
            <w:vAlign w:val="bottom"/>
            <w:tcBorders>
              <w:top w:val="single" w:sz="8" w:color="auto"/>
            </w:tcBorders>
          </w:tcPr>
          <w:p>
            <w:pPr>
              <w:spacing w:after="0"/>
              <w:rPr>
                <w:sz w:val="22"/>
                <w:szCs w:val="22"/>
                <w:color w:val="auto"/>
              </w:rPr>
            </w:pPr>
          </w:p>
        </w:tc>
        <w:tc>
          <w:tcPr>
            <w:tcW w:w="118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44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Purchased</w:t>
            </w:r>
          </w:p>
        </w:tc>
        <w:tc>
          <w:tcPr>
            <w:tcW w:w="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37</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CCEEFF"/>
            </w:tcBorders>
            <w:gridSpan w:val="2"/>
            <w:shd w:val="clear" w:color="auto" w:fill="CCEEFF"/>
          </w:tcPr>
          <w:p>
            <w:pPr>
              <w:ind w:left="920"/>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shd w:val="clear" w:color="auto" w:fill="CCEEFF"/>
          </w:tcPr>
          <w:p>
            <w:pPr>
              <w:jc w:val="right"/>
              <w:ind w:right="24"/>
              <w:spacing w:after="0"/>
              <w:rPr>
                <w:sz w:val="20"/>
                <w:szCs w:val="20"/>
                <w:color w:val="auto"/>
              </w:rPr>
            </w:pPr>
            <w:r>
              <w:rPr>
                <w:rFonts w:ascii="Arial" w:cs="Arial" w:eastAsia="Arial" w:hAnsi="Arial"/>
                <w:sz w:val="16"/>
                <w:szCs w:val="16"/>
                <w:color w:val="auto"/>
              </w:rPr>
              <w:t>37</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CCEEFF"/>
            </w:tcBorders>
            <w:shd w:val="clear" w:color="auto" w:fill="CCEEFF"/>
          </w:tcPr>
          <w:p>
            <w:pPr>
              <w:ind w:left="9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4460" w:type="dxa"/>
            <w:vAlign w:val="bottom"/>
            <w:gridSpan w:val="2"/>
          </w:tcPr>
          <w:p>
            <w:pPr>
              <w:ind w:left="40"/>
              <w:spacing w:after="0"/>
              <w:rPr>
                <w:sz w:val="20"/>
                <w:szCs w:val="20"/>
                <w:color w:val="auto"/>
              </w:rPr>
            </w:pPr>
            <w:r>
              <w:rPr>
                <w:rFonts w:ascii="Arial" w:cs="Arial" w:eastAsia="Arial" w:hAnsi="Arial"/>
                <w:sz w:val="16"/>
                <w:szCs w:val="16"/>
                <w:color w:val="auto"/>
              </w:rPr>
              <w:t>Written</w:t>
            </w:r>
          </w:p>
        </w:tc>
        <w:tc>
          <w:tcPr>
            <w:tcW w:w="340" w:type="dxa"/>
            <w:vAlign w:val="bottom"/>
          </w:tcPr>
          <w:p>
            <w:pPr>
              <w:spacing w:after="0"/>
              <w:rPr>
                <w:sz w:val="20"/>
                <w:szCs w:val="20"/>
                <w:color w:val="auto"/>
              </w:rPr>
            </w:pPr>
          </w:p>
        </w:tc>
        <w:tc>
          <w:tcPr>
            <w:tcW w:w="1200" w:type="dxa"/>
            <w:vAlign w:val="bottom"/>
          </w:tcPr>
          <w:p>
            <w:pPr>
              <w:jc w:val="right"/>
              <w:ind w:right="43"/>
              <w:spacing w:after="0"/>
              <w:rPr>
                <w:sz w:val="20"/>
                <w:szCs w:val="20"/>
                <w:color w:val="auto"/>
              </w:rPr>
            </w:pPr>
            <w:r>
              <w:rPr>
                <w:rFonts w:ascii="Arial" w:cs="Arial" w:eastAsia="Arial" w:hAnsi="Arial"/>
                <w:sz w:val="16"/>
                <w:szCs w:val="16"/>
                <w:color w:val="auto"/>
              </w:rPr>
              <w:t>1,901</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tcPr>
          <w:p>
            <w:pPr>
              <w:ind w:left="920"/>
              <w:spacing w:after="0"/>
              <w:rPr>
                <w:sz w:val="20"/>
                <w:szCs w:val="20"/>
                <w:color w:val="auto"/>
              </w:rPr>
            </w:pPr>
            <w:r>
              <w:rPr>
                <w:rFonts w:ascii="Arial" w:cs="Arial" w:eastAsia="Arial" w:hAnsi="Arial"/>
                <w:sz w:val="16"/>
                <w:szCs w:val="16"/>
                <w:color w:val="auto"/>
              </w:rPr>
              <w:t>37</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60" w:type="dxa"/>
            <w:vAlign w:val="bottom"/>
          </w:tcPr>
          <w:p>
            <w:pPr>
              <w:jc w:val="right"/>
              <w:ind w:right="24"/>
              <w:spacing w:after="0"/>
              <w:rPr>
                <w:sz w:val="20"/>
                <w:szCs w:val="20"/>
                <w:color w:val="auto"/>
              </w:rPr>
            </w:pPr>
            <w:r>
              <w:rPr>
                <w:rFonts w:ascii="Arial" w:cs="Arial" w:eastAsia="Arial" w:hAnsi="Arial"/>
                <w:sz w:val="16"/>
                <w:szCs w:val="16"/>
                <w:color w:val="auto"/>
              </w:rPr>
              <w:t>1,913</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tcPr>
          <w:p>
            <w:pPr>
              <w:ind w:left="920"/>
              <w:spacing w:after="0"/>
              <w:rPr>
                <w:sz w:val="20"/>
                <w:szCs w:val="20"/>
                <w:color w:val="auto"/>
              </w:rPr>
            </w:pPr>
            <w:r>
              <w:rPr>
                <w:rFonts w:ascii="Arial" w:cs="Arial" w:eastAsia="Arial" w:hAnsi="Arial"/>
                <w:sz w:val="16"/>
                <w:szCs w:val="16"/>
                <w:color w:val="auto"/>
              </w:rPr>
              <w:t>28</w:t>
            </w:r>
          </w:p>
        </w:tc>
        <w:tc>
          <w:tcPr>
            <w:tcW w:w="0" w:type="dxa"/>
            <w:vAlign w:val="bottom"/>
          </w:tcPr>
          <w:p>
            <w:pPr>
              <w:spacing w:after="0"/>
              <w:rPr>
                <w:sz w:val="1"/>
                <w:szCs w:val="1"/>
                <w:color w:val="auto"/>
              </w:rPr>
            </w:pPr>
          </w:p>
        </w:tc>
      </w:tr>
      <w:tr>
        <w:trPr>
          <w:trHeight w:val="33"/>
        </w:trPr>
        <w:tc>
          <w:tcPr>
            <w:tcW w:w="43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4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6"/>
                <w:szCs w:val="16"/>
                <w:color w:val="auto"/>
              </w:rPr>
              <w:t>Total</w:t>
            </w:r>
          </w:p>
        </w:tc>
        <w:tc>
          <w:tcPr>
            <w:tcW w:w="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8"/>
                <w:szCs w:val="18"/>
                <w:color w:val="auto"/>
              </w:rPr>
              <w:t>1,938</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CCEEFF"/>
            </w:tcBorders>
            <w:shd w:val="clear" w:color="auto" w:fill="CCEEFF"/>
          </w:tcPr>
          <w:p>
            <w:pPr>
              <w:ind w:left="920"/>
              <w:spacing w:after="0"/>
              <w:rPr>
                <w:sz w:val="20"/>
                <w:szCs w:val="20"/>
                <w:color w:val="auto"/>
              </w:rPr>
            </w:pPr>
            <w:r>
              <w:rPr>
                <w:rFonts w:ascii="Arial" w:cs="Arial" w:eastAsia="Arial" w:hAnsi="Arial"/>
                <w:sz w:val="16"/>
                <w:szCs w:val="16"/>
                <w:color w:val="auto"/>
              </w:rPr>
              <w:t>37</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shd w:val="clear" w:color="auto" w:fill="CCEEFF"/>
          </w:tcPr>
          <w:p>
            <w:pPr>
              <w:jc w:val="right"/>
              <w:ind w:right="24"/>
              <w:spacing w:after="0"/>
              <w:rPr>
                <w:sz w:val="20"/>
                <w:szCs w:val="20"/>
                <w:color w:val="auto"/>
              </w:rPr>
            </w:pPr>
            <w:r>
              <w:rPr>
                <w:rFonts w:ascii="Arial" w:cs="Arial" w:eastAsia="Arial" w:hAnsi="Arial"/>
                <w:sz w:val="16"/>
                <w:szCs w:val="16"/>
                <w:color w:val="auto"/>
              </w:rPr>
              <w:t>1,950</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CCEEFF"/>
            </w:tcBorders>
            <w:shd w:val="clear" w:color="auto" w:fill="CCEEFF"/>
          </w:tcPr>
          <w:p>
            <w:pPr>
              <w:ind w:left="920"/>
              <w:spacing w:after="0"/>
              <w:rPr>
                <w:sz w:val="20"/>
                <w:szCs w:val="20"/>
                <w:color w:val="auto"/>
              </w:rPr>
            </w:pPr>
            <w:r>
              <w:rPr>
                <w:rFonts w:ascii="Arial" w:cs="Arial" w:eastAsia="Arial" w:hAnsi="Arial"/>
                <w:sz w:val="16"/>
                <w:szCs w:val="16"/>
                <w:color w:val="auto"/>
              </w:rPr>
              <w:t>28</w:t>
            </w:r>
          </w:p>
        </w:tc>
        <w:tc>
          <w:tcPr>
            <w:tcW w:w="0" w:type="dxa"/>
            <w:vAlign w:val="bottom"/>
          </w:tcPr>
          <w:p>
            <w:pPr>
              <w:spacing w:after="0"/>
              <w:rPr>
                <w:sz w:val="1"/>
                <w:szCs w:val="1"/>
                <w:color w:val="auto"/>
              </w:rPr>
            </w:pPr>
          </w:p>
        </w:tc>
      </w:tr>
      <w:tr>
        <w:trPr>
          <w:trHeight w:val="20"/>
        </w:trPr>
        <w:tc>
          <w:tcPr>
            <w:tcW w:w="43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The maximum amount at risk related to our written credit default swaps is equal to the corresponding gross notional amount. In a replication transaction, we pair an asset on our balance sheet with a written credit default swap to synthetically replicate a corporate bond, a core asset holding of life insurance companies. Replications are entered into in accordance with the guidelines approved by state insurance regulators and the NAIC and are an important tool in managing the overall corporate credit risk within the Company. In order to match our long-dated insurance liabilities, we seek to buy long-dated corporate bonds. In some instances, these may not be readily available in the market, or they may be issued by corporations to which we already have significant corporate credit exposure. For example, by purchasing Treasury bonds (or other high-quality assets) and associating them with written credit default swaps on the desired corporate credit name, we, can replicate the desired bond exposures and meet our ALM needs. In addition, given the shorter tenor of the credit default swaps (generally five-year tenors) versus a long-dated corporate bond, we have more flexibility in managing our credit exposures.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Embedded Derivatives</w:t>
      </w:r>
    </w:p>
    <w:p>
      <w:pPr>
        <w:spacing w:after="0" w:line="117"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See Note 6 of the Notes to the Interim Condensed Consolidated and Combined Financial Statements for information about embedded derivatives measured at estimated fair value on a recurring basis and their corresponding fair value hierarchy.</w:t>
      </w:r>
    </w:p>
    <w:p>
      <w:pPr>
        <w:spacing w:after="0" w:line="6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See Note 6 of the Notes to the Interim Condensed Consolidated and Combined Financial Statements for a rollforward of the fair value measurements for embedded derivatives measured at estimated fair value on a recurring basis using significant unobservable (Level 3) inputs.</w:t>
      </w:r>
    </w:p>
    <w:p>
      <w:pPr>
        <w:spacing w:after="0" w:line="6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See Note 5 of the Notes to the Interim Condensed Consolidated and Combined Financial Statements for information about the nonperformance risk adjustment included in the valuation of guaranteed minimum benefits accounted for as embedded derivatives.</w:t>
      </w:r>
    </w:p>
    <w:p>
      <w:pPr>
        <w:spacing w:after="0" w:line="62" w:lineRule="exact"/>
        <w:rPr>
          <w:sz w:val="20"/>
          <w:szCs w:val="20"/>
          <w:color w:val="auto"/>
        </w:rPr>
      </w:pPr>
    </w:p>
    <w:p>
      <w:pPr>
        <w:ind w:left="340"/>
        <w:spacing w:after="0"/>
        <w:rPr>
          <w:sz w:val="20"/>
          <w:szCs w:val="20"/>
          <w:color w:val="auto"/>
        </w:rPr>
      </w:pPr>
      <w:r>
        <w:rPr>
          <w:rFonts w:ascii="Arial" w:cs="Arial" w:eastAsia="Arial" w:hAnsi="Arial"/>
          <w:sz w:val="17"/>
          <w:szCs w:val="17"/>
          <w:color w:val="auto"/>
        </w:rPr>
        <w:t>See “Management’s Discussion and Analysis of Financial Condition and Results of Operations — Summary of Critical Accounting Estimates</w:t>
      </w:r>
    </w:p>
    <w:p>
      <w:pPr>
        <w:spacing w:after="0" w:line="35" w:lineRule="exact"/>
        <w:rPr>
          <w:sz w:val="20"/>
          <w:szCs w:val="20"/>
          <w:color w:val="auto"/>
        </w:rPr>
      </w:pPr>
    </w:p>
    <w:p>
      <w:pPr>
        <w:ind w:left="5580" w:right="1940" w:hanging="5574"/>
        <w:spacing w:after="0" w:line="542" w:lineRule="auto"/>
        <w:rPr>
          <w:sz w:val="20"/>
          <w:szCs w:val="20"/>
          <w:color w:val="auto"/>
        </w:rPr>
      </w:pPr>
      <w:r>
        <w:rPr>
          <w:rFonts w:ascii="Arial" w:cs="Arial" w:eastAsia="Arial" w:hAnsi="Arial"/>
          <w:sz w:val="18"/>
          <w:szCs w:val="18"/>
          <w:color w:val="auto"/>
        </w:rPr>
        <w:t>— Derivatives” included in the Form 10 for further information on the estimates and assumptions that affect embedded derivatives. 118</w:t>
      </w:r>
    </w:p>
    <w:p>
      <w:pPr>
        <w:sectPr>
          <w:pgSz w:w="11900" w:h="16838" w:orient="portrait"/>
          <w:cols w:equalWidth="0" w:num="1">
            <w:col w:w="11420"/>
          </w:cols>
          <w:pgMar w:left="240" w:top="126" w:right="239" w:bottom="1440" w:gutter="0" w:footer="0" w:header="0"/>
        </w:sectPr>
      </w:pPr>
    </w:p>
    <w:bookmarkStart w:id="120" w:name="page121"/>
    <w:bookmarkEnd w:id="120"/>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 Balance Sheet Arrangements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and Committed Facilities</w:t>
      </w:r>
    </w:p>
    <w:p>
      <w:pPr>
        <w:spacing w:after="0" w:line="117"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In connection with the Separation, we entered into a term loan facility and a revolving credit facility, which we had access to in connection with the Separation as well as subsequently to support our ongoing operations. Historically, we had access to an unsecured credit facility and certain committed facilities from various banks available to MetLife, Inc. for the benefit of certain companies of Brighthouse Financial, Inc., MetLife, Inc. and certain other subsidiaries of MetLife, Inc. See “—Liquidity and Capital Resources — The Company — Primary Sources of Liquidity and Capital — Credit and Committed Facilities” for further descriptions of such arrangements. For the classification of expenses on such credit and committed facilities and the nature of the associated liability for letters of credit issued and drawdowns on these credit and committed facilities, see Note 11 of the Notes to the Combined Financial Statements included in the Form 10.</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Collateral for Securities Lending, Repurchase Programs and Derivatives</w:t>
      </w:r>
    </w:p>
    <w:p>
      <w:pPr>
        <w:spacing w:after="0" w:line="117"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We participate in a securities lending program in the normal course of business for the purpose of enhancing the total return on our investment portfolio. Periodically we receive non-cash collateral for securities lending from counterparties, which cannot be sold or repledged, and which is not recorded on our balance sheets. The amount of this collateral was $0 million and $27 million at estimated fair value at September 30, 2017 and December 31, 2016, respectively. See Note 4 of the Notes to the Interim Condensed Consolidated and Combined Financial Statements, as well as “—Investments — Securities Lending” for discussion of our securities lending program, the classification of revenues and expenses, and the nature of the secured financing arrangement and associated liability.</w:t>
      </w:r>
    </w:p>
    <w:p>
      <w:pPr>
        <w:spacing w:after="0" w:line="8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From time to time we participate in repurchase and reverse repurchase programs. In connection with these transactions, we obtain fixed maturity securities as collateral from unaffiliated financial institutions, which can be repledged, and which are not recorded on our balance sheets. We had no pledged or repledged securities at either September 30, 2017 or December 31, 2016.</w:t>
      </w:r>
    </w:p>
    <w:p>
      <w:pPr>
        <w:spacing w:after="0" w:line="73"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We enter into derivatives to manage various risks relating to our ongoing business operations. We have non-cash collateral from counterparties for derivatives, which can be sold or repledged subject to certain constraints, and which has not been recorded on our balance sheets. The amount of this non-cash collateral was $266 million, and $564 million at September 30, 2017 and December 31, 2016, respectively. See “— Liquidity and Capital Resources — The Company — Liquidity and Capital Uses — Pledged Collateral” and Note 5 of the Notes to the Interim Condensed Consolidated and Combined Financial Statements for information regarding the earned income on and the gross notional amount, estimated fair value of assets and liabilities and primary underlying risk exposure of our derivatives.</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Guarantees</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See “Guarantees” in Note 11 of the Notes to the Interim Condensed Consolidated and Combined Financial Statements.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w:t>
      </w:r>
    </w:p>
    <w:p>
      <w:pPr>
        <w:spacing w:after="0" w:line="117"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Additionally, we enter into commitments in the normal course of business for the purpose of enhancing the total return on our investment portfolio: mortgage loan commitments and commitments to fund partnerships, bank credit facilities and private corporate bond investments. See “Net Investment Income” and “Net Investment Gains (Losses)” in Note 4 of the Notes to the Interim Condensed Consolidated and Combined Financial Statements for information on the investment income, investment expense, gains and losses from such investments. See also “— Investments — Fixed Maturity and Equity Securities AFS” and “— Investments—Mortgage Loans” for information on our investments in fixed maturity securities and mortgage loans. See “— Investments — Real Estate and Real Estate Joint Ventures” and “— Investments — Other Limited Partnership Interests” for information on our partnership investments.</w:t>
      </w:r>
    </w:p>
    <w:p>
      <w:pPr>
        <w:spacing w:after="0" w:line="8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Other than the commitments disclosed in Note 11 of the Notes to the Interim Condensed Consolidated and Combined Financial Statements, there are no other material obligations or liabilities arising from the commitments to fund mortgage loans, partnerships, bank credit facilities, and private corporate bond investments. For further information on commitments to fund partnership investments, mortgage loans, bank credit facilities and private corporate bond investments, see “Management’s Discussion and Analysis of Financial Condition and Results of Operations — Liquidity and Capital Resources — The Company — Contractual Obligations” included in the Form 10.</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Policyholder Liabilities</w:t>
      </w:r>
    </w:p>
    <w:p>
      <w:pPr>
        <w:spacing w:after="0" w:line="17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We establish, and carry as liabilities, actuarially determined amounts that are calculated to meet policy obligations or to provide for future annuity payments. Amounts for actuarial liabilities are computed and reported in the interim condensed consolidated and combined financial statements in conformity with GAAP. For more details on Policyholder Liabilities, see “Management’s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119</w:t>
      </w:r>
    </w:p>
    <w:p>
      <w:pPr>
        <w:sectPr>
          <w:pgSz w:w="11900" w:h="16838" w:orient="portrait"/>
          <w:cols w:equalWidth="0" w:num="1">
            <w:col w:w="11420"/>
          </w:cols>
          <w:pgMar w:left="240" w:top="126" w:right="239" w:bottom="1440" w:gutter="0" w:footer="0" w:header="0"/>
        </w:sectPr>
      </w:pPr>
    </w:p>
    <w:bookmarkStart w:id="121" w:name="page122"/>
    <w:bookmarkEnd w:id="121"/>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Discussion and Analysis of Financial Condition and Results of Operations — Summary of Critical Accounting Estimates” and “Management’s Discussion and Analysis of Financial Condition and Results of Operations — Policyholder Liabilities” included in the Form 10. Except as otherwise discussed below, there have been no material changes to our actuarial liabilities.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Future Policy Benefits</w:t>
      </w:r>
    </w:p>
    <w:p>
      <w:pPr>
        <w:spacing w:after="0" w:line="117"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We establish liabilities for amounts payable under insurance policies. See Note 3 of the Notes to the Interim Condensed Consolidated and Combined Financial Statements. A discussion of future policy benefits by segment (as well as Corporate &amp; Other) can be found in “Management’s Discussion and Analysis of Financial Condition and Results of Operations — Policyholder Liabilities” included in the Form 10.</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Policyholder Account Balances</w:t>
      </w:r>
    </w:p>
    <w:p>
      <w:pPr>
        <w:spacing w:after="0" w:line="11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Policyholder account balances are generally equal to the account value, which includes accrued interest credited, but excludes the impact of any applicable charge that may be incurred upon surrender. See Note 3 of the Notes to the Interim Condensed Consolidated and Combined Financial Statements. A discussion of policyholder account balances by segment (as well as Corporate &amp; Other) can be found in “Management’s Discussion and Analysis of Financial Condition and Results of Operations — Policyholder Liabilities” included in the Form 10.</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Variable Annuity Guarantees</w:t>
      </w:r>
    </w:p>
    <w:p>
      <w:pPr>
        <w:spacing w:after="0" w:line="117"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We issue certain variable annuity products with guaranteed minimum benefits that provide the policyholder a minimum return based on their initial deposit (i.e., the Benefit base) less withdrawals. In some cases, the Benefit base may be increased by additional deposits, bonus amounts, accruals or optional market value resets. See Note 3 of the Notes to the Interim Condensed Consolidated and Combined Financial Statements. See also “Quantitative and Qualitative Disclosures About Market Risk — Market Risk - Fair Value Exposures — Interest Rates” and “Business — Description of our Segments, Products and Operations — Annuities — Variable Annuities” included in the Form 10 for additional information.</w:t>
      </w:r>
    </w:p>
    <w:p>
      <w:pPr>
        <w:spacing w:after="0" w:line="64" w:lineRule="exact"/>
        <w:rPr>
          <w:sz w:val="20"/>
          <w:szCs w:val="20"/>
          <w:color w:val="auto"/>
        </w:rPr>
      </w:pPr>
    </w:p>
    <w:p>
      <w:pPr>
        <w:ind w:right="640" w:firstLine="324"/>
        <w:spacing w:after="0" w:line="375" w:lineRule="auto"/>
        <w:rPr>
          <w:sz w:val="20"/>
          <w:szCs w:val="20"/>
          <w:color w:val="auto"/>
        </w:rPr>
      </w:pPr>
      <w:r>
        <w:rPr>
          <w:rFonts w:ascii="Arial" w:cs="Arial" w:eastAsia="Arial" w:hAnsi="Arial"/>
          <w:sz w:val="18"/>
          <w:szCs w:val="18"/>
          <w:color w:val="auto"/>
        </w:rPr>
        <w:t xml:space="preserve">Select information that management considers relevant to understanding our variable annuity risk management strategy has been included below. </w:t>
      </w:r>
      <w:r>
        <w:rPr>
          <w:rFonts w:ascii="Arial" w:cs="Arial" w:eastAsia="Arial" w:hAnsi="Arial"/>
          <w:sz w:val="18"/>
          <w:szCs w:val="18"/>
          <w:b w:val="1"/>
          <w:bCs w:val="1"/>
          <w:i w:val="1"/>
          <w:iCs w:val="1"/>
          <w:color w:val="auto"/>
        </w:rPr>
        <w:t>Net Amount at Risk (“NAR”)</w:t>
      </w:r>
    </w:p>
    <w:p>
      <w:pPr>
        <w:spacing w:after="0" w:line="1"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NAR for the GMDB is the amount of death benefit in excess of the account value (if any) at the balance sheet date. It represents the amount of the claim we would incur if death claims were made on all contracts on the balance sheet date and includes any additional contractual claims associated with riders purchased to assist with covering income taxes payable upon death.</w:t>
      </w:r>
    </w:p>
    <w:p>
      <w:pPr>
        <w:spacing w:after="0" w:line="73"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NAR for the GMWB and guaranteed minimum accumulation benefits (“GMAB”) is the amount of guaranteed benefits in excess of the account values (if any) at the balance sheet date. The NAR assumes utilization of benefits by all contractholders at the balance sheet date. For the GMWB benefits, only a small portion of the Benefit base is available for withdrawal on an annual basis. For the GMAB, the NAR would not be available until the GMAB maturity date.</w:t>
      </w:r>
    </w:p>
    <w:p>
      <w:pPr>
        <w:spacing w:after="0" w:line="79"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NAR for the GMWB with lifetime payments (“GMWB4L”) is the amount (if any) that would be required to be added to the total account value to purchase a lifetime income stream based on current annuity rates, equal to the lifetime amount provided under the guaranteed benefit. For contracts where the GMWB4L provides for a guaranteed cumulative dollar amount of payments, the NAR is based on the purchase of a lifetime with period certain income stream where the period certain ensures payment of this cumulative dollar amount. The NAR represents our potential economic exposure to such guarantees in the event all contractholders were to begin lifetime withdrawals on the balance sheet date regardless of age. Only a small portion of the Benefit base is available for withdrawal on an annual basis.</w:t>
      </w:r>
    </w:p>
    <w:p>
      <w:pPr>
        <w:spacing w:after="0" w:line="8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NAR for the GMIB is the amount (if any) that would be required to be added to the total account value to purchase a lifetime income stream, based on current annuity rates, equal to the minimum amount provided under the guaranteed benefit. This amount represents our potential economic exposure to such guarantees in the event all contractholders were to annuitize on the balance sheet date, even though the guaranteed amount under the contracts may not be annuitized until after the waiting period of the contract.</w:t>
      </w:r>
    </w:p>
    <w:p>
      <w:pPr>
        <w:spacing w:after="0" w:line="7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 detailed description of NAR by type of guaranteed minimum benefit can be found in “Business — Description of our Segments, Products and Operations — Annuities — Variable Annuities — Net Amount at Risk” included in the Form 10.</w:t>
      </w:r>
    </w:p>
    <w:p>
      <w:pPr>
        <w:spacing w:after="0" w:line="62"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account values and NAR of contract owners by type of guaranteed minimum benefit for variable annuity contracts are summarized below at</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2017 and December 31, 2016:</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120</w:t>
      </w:r>
    </w:p>
    <w:p>
      <w:pPr>
        <w:sectPr>
          <w:pgSz w:w="11900" w:h="16838" w:orient="portrait"/>
          <w:cols w:equalWidth="0" w:num="1">
            <w:col w:w="11420"/>
          </w:cols>
          <w:pgMar w:left="240" w:top="126" w:right="239" w:bottom="1440" w:gutter="0" w:footer="0" w:header="0"/>
        </w:sectPr>
      </w:pPr>
    </w:p>
    <w:bookmarkStart w:id="122" w:name="page123"/>
    <w:bookmarkEnd w:id="122"/>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tbl>
      <w:tblPr>
        <w:tblLayout w:type="fixed"/>
        <w:tblInd w:w="260" w:type="dxa"/>
        <w:tblCellMar>
          <w:top w:w="0" w:type="dxa"/>
          <w:left w:w="0" w:type="dxa"/>
          <w:bottom w:w="0" w:type="dxa"/>
          <w:right w:w="0" w:type="dxa"/>
        </w:tblCellMar>
      </w:tblPr>
      <w:tr>
        <w:trPr>
          <w:trHeight w:val="192"/>
        </w:trPr>
        <w:tc>
          <w:tcPr>
            <w:tcW w:w="2500" w:type="dxa"/>
            <w:vAlign w:val="bottom"/>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 2017 (1)</w:t>
            </w:r>
          </w:p>
        </w:tc>
        <w:tc>
          <w:tcPr>
            <w:tcW w:w="13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 2016 (1)</w:t>
            </w:r>
          </w:p>
        </w:tc>
        <w:tc>
          <w:tcPr>
            <w:tcW w:w="13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500" w:type="dxa"/>
            <w:vAlign w:val="bottom"/>
          </w:tcPr>
          <w:p>
            <w:pPr>
              <w:spacing w:after="0"/>
              <w:rPr>
                <w:sz w:val="13"/>
                <w:szCs w:val="13"/>
                <w:color w:val="auto"/>
              </w:rPr>
            </w:pPr>
          </w:p>
        </w:tc>
        <w:tc>
          <w:tcPr>
            <w:tcW w:w="98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2"/>
              </w:rPr>
              <w:t>Account</w:t>
            </w:r>
          </w:p>
        </w:tc>
        <w:tc>
          <w:tcPr>
            <w:tcW w:w="96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w w:val="97"/>
              </w:rPr>
              <w:t>Death</w:t>
            </w:r>
          </w:p>
        </w:tc>
        <w:tc>
          <w:tcPr>
            <w:tcW w:w="88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6"/>
              </w:rPr>
              <w:t>Living</w:t>
            </w:r>
          </w:p>
        </w:tc>
        <w:tc>
          <w:tcPr>
            <w:tcW w:w="1440" w:type="dxa"/>
            <w:vAlign w:val="bottom"/>
            <w:gridSpan w:val="2"/>
          </w:tcPr>
          <w:p>
            <w:pPr>
              <w:jc w:val="center"/>
              <w:spacing w:after="0" w:line="153" w:lineRule="exact"/>
              <w:rPr>
                <w:sz w:val="20"/>
                <w:szCs w:val="20"/>
                <w:color w:val="auto"/>
              </w:rPr>
            </w:pPr>
            <w:r>
              <w:rPr>
                <w:rFonts w:ascii="Arial" w:cs="Arial" w:eastAsia="Arial" w:hAnsi="Arial"/>
                <w:sz w:val="14"/>
                <w:szCs w:val="14"/>
                <w:b w:val="1"/>
                <w:bCs w:val="1"/>
                <w:color w:val="auto"/>
                <w:w w:val="93"/>
              </w:rPr>
              <w:t>% of Account</w:t>
            </w:r>
          </w:p>
        </w:tc>
        <w:tc>
          <w:tcPr>
            <w:tcW w:w="96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89"/>
              </w:rPr>
              <w:t>Account</w:t>
            </w:r>
          </w:p>
        </w:tc>
        <w:tc>
          <w:tcPr>
            <w:tcW w:w="98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w w:val="92"/>
              </w:rPr>
              <w:t>Death</w:t>
            </w:r>
          </w:p>
        </w:tc>
        <w:tc>
          <w:tcPr>
            <w:tcW w:w="86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6"/>
              </w:rPr>
              <w:t>Living</w:t>
            </w:r>
          </w:p>
        </w:tc>
        <w:tc>
          <w:tcPr>
            <w:tcW w:w="1340" w:type="dxa"/>
            <w:vAlign w:val="bottom"/>
          </w:tcPr>
          <w:p>
            <w:pPr>
              <w:jc w:val="center"/>
              <w:ind w:left="48"/>
              <w:spacing w:after="0" w:line="153" w:lineRule="exact"/>
              <w:rPr>
                <w:sz w:val="20"/>
                <w:szCs w:val="20"/>
                <w:color w:val="auto"/>
              </w:rPr>
            </w:pPr>
            <w:r>
              <w:rPr>
                <w:rFonts w:ascii="Arial" w:cs="Arial" w:eastAsia="Arial" w:hAnsi="Arial"/>
                <w:sz w:val="14"/>
                <w:szCs w:val="14"/>
                <w:b w:val="1"/>
                <w:bCs w:val="1"/>
                <w:color w:val="auto"/>
                <w:w w:val="96"/>
              </w:rPr>
              <w:t>% of Account</w:t>
            </w:r>
          </w:p>
        </w:tc>
        <w:tc>
          <w:tcPr>
            <w:tcW w:w="0" w:type="dxa"/>
            <w:vAlign w:val="bottom"/>
          </w:tcPr>
          <w:p>
            <w:pPr>
              <w:spacing w:after="0"/>
              <w:rPr>
                <w:sz w:val="1"/>
                <w:szCs w:val="1"/>
                <w:color w:val="auto"/>
              </w:rPr>
            </w:pPr>
          </w:p>
        </w:tc>
      </w:tr>
      <w:tr>
        <w:trPr>
          <w:trHeight w:val="149"/>
        </w:trPr>
        <w:tc>
          <w:tcPr>
            <w:tcW w:w="250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9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5"/>
              </w:rPr>
              <w:t>Benefit NAR</w:t>
            </w:r>
          </w:p>
        </w:tc>
        <w:tc>
          <w:tcPr>
            <w:tcW w:w="8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7"/>
              </w:rPr>
              <w:t>Benefit NAR</w:t>
            </w:r>
          </w:p>
        </w:tc>
        <w:tc>
          <w:tcPr>
            <w:tcW w:w="14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5"/>
              </w:rPr>
              <w:t>Value In-the-</w:t>
            </w:r>
          </w:p>
        </w:tc>
        <w:tc>
          <w:tcPr>
            <w:tcW w:w="960" w:type="dxa"/>
            <w:vAlign w:val="bottom"/>
            <w:gridSpan w:val="2"/>
            <w:vMerge w:val="continue"/>
          </w:tcPr>
          <w:p>
            <w:pPr>
              <w:spacing w:after="0"/>
              <w:rPr>
                <w:sz w:val="12"/>
                <w:szCs w:val="12"/>
                <w:color w:val="auto"/>
              </w:rPr>
            </w:pPr>
          </w:p>
        </w:tc>
        <w:tc>
          <w:tcPr>
            <w:tcW w:w="9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7"/>
              </w:rPr>
              <w:t>Benefit NAR</w:t>
            </w:r>
          </w:p>
        </w:tc>
        <w:tc>
          <w:tcPr>
            <w:tcW w:w="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Benefit NAR</w:t>
            </w:r>
          </w:p>
        </w:tc>
        <w:tc>
          <w:tcPr>
            <w:tcW w:w="1340" w:type="dxa"/>
            <w:vAlign w:val="bottom"/>
          </w:tcPr>
          <w:p>
            <w:pPr>
              <w:jc w:val="center"/>
              <w:ind w:left="48"/>
              <w:spacing w:after="0" w:line="149" w:lineRule="exact"/>
              <w:rPr>
                <w:sz w:val="20"/>
                <w:szCs w:val="20"/>
                <w:color w:val="auto"/>
              </w:rPr>
            </w:pPr>
            <w:r>
              <w:rPr>
                <w:rFonts w:ascii="Arial" w:cs="Arial" w:eastAsia="Arial" w:hAnsi="Arial"/>
                <w:sz w:val="14"/>
                <w:szCs w:val="14"/>
                <w:b w:val="1"/>
                <w:bCs w:val="1"/>
                <w:color w:val="auto"/>
                <w:w w:val="97"/>
              </w:rPr>
              <w:t>Value In-the-</w:t>
            </w:r>
          </w:p>
        </w:tc>
        <w:tc>
          <w:tcPr>
            <w:tcW w:w="0" w:type="dxa"/>
            <w:vAlign w:val="bottom"/>
          </w:tcPr>
          <w:p>
            <w:pPr>
              <w:spacing w:after="0"/>
              <w:rPr>
                <w:sz w:val="1"/>
                <w:szCs w:val="1"/>
                <w:color w:val="auto"/>
              </w:rPr>
            </w:pPr>
          </w:p>
        </w:tc>
      </w:tr>
      <w:tr>
        <w:trPr>
          <w:trHeight w:val="192"/>
        </w:trPr>
        <w:tc>
          <w:tcPr>
            <w:tcW w:w="2500" w:type="dxa"/>
            <w:vAlign w:val="bottom"/>
          </w:tcPr>
          <w:p>
            <w:pPr>
              <w:spacing w:after="0"/>
              <w:rPr>
                <w:sz w:val="16"/>
                <w:szCs w:val="16"/>
                <w:color w:val="auto"/>
              </w:rPr>
            </w:pPr>
          </w:p>
        </w:tc>
        <w:tc>
          <w:tcPr>
            <w:tcW w:w="980" w:type="dxa"/>
            <w:vAlign w:val="bottom"/>
            <w:tcBorders>
              <w:bottom w:val="single" w:sz="8" w:color="auto"/>
            </w:tcBorders>
            <w:gridSpan w:val="2"/>
          </w:tcPr>
          <w:p>
            <w:pPr>
              <w:jc w:val="center"/>
              <w:ind w:right="120"/>
              <w:spacing w:after="0"/>
              <w:rPr>
                <w:sz w:val="20"/>
                <w:szCs w:val="20"/>
                <w:color w:val="auto"/>
              </w:rPr>
            </w:pPr>
            <w:r>
              <w:rPr>
                <w:rFonts w:ascii="Arial" w:cs="Arial" w:eastAsia="Arial" w:hAnsi="Arial"/>
                <w:sz w:val="14"/>
                <w:szCs w:val="14"/>
                <w:b w:val="1"/>
                <w:bCs w:val="1"/>
                <w:color w:val="auto"/>
                <w:w w:val="90"/>
              </w:rPr>
              <w:t>Value</w:t>
            </w: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(1)</w:t>
            </w:r>
          </w:p>
        </w:tc>
        <w:tc>
          <w:tcPr>
            <w:tcW w:w="1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(1)</w:t>
            </w:r>
          </w:p>
        </w:tc>
        <w:tc>
          <w:tcPr>
            <w:tcW w:w="1440" w:type="dxa"/>
            <w:vAlign w:val="bottom"/>
            <w:tcBorders>
              <w:bottom w:val="single" w:sz="8" w:color="auto"/>
            </w:tcBorders>
            <w:gridSpan w:val="2"/>
          </w:tcPr>
          <w:p>
            <w:pPr>
              <w:jc w:val="center"/>
              <w:ind w:right="20"/>
              <w:spacing w:after="0"/>
              <w:rPr>
                <w:sz w:val="20"/>
                <w:szCs w:val="20"/>
                <w:color w:val="auto"/>
              </w:rPr>
            </w:pPr>
            <w:r>
              <w:rPr>
                <w:rFonts w:ascii="Arial" w:cs="Arial" w:eastAsia="Arial" w:hAnsi="Arial"/>
                <w:sz w:val="14"/>
                <w:szCs w:val="14"/>
                <w:b w:val="1"/>
                <w:bCs w:val="1"/>
                <w:color w:val="auto"/>
                <w:w w:val="94"/>
              </w:rPr>
              <w:t>Money (2)</w:t>
            </w:r>
          </w:p>
        </w:tc>
        <w:tc>
          <w:tcPr>
            <w:tcW w:w="96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4"/>
                <w:szCs w:val="14"/>
                <w:b w:val="1"/>
                <w:bCs w:val="1"/>
                <w:color w:val="auto"/>
                <w:w w:val="90"/>
              </w:rPr>
              <w:t>Value</w:t>
            </w: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(1)</w:t>
            </w:r>
          </w:p>
        </w:tc>
        <w:tc>
          <w:tcPr>
            <w:tcW w:w="1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(1)</w:t>
            </w:r>
          </w:p>
        </w:tc>
        <w:tc>
          <w:tcPr>
            <w:tcW w:w="1340" w:type="dxa"/>
            <w:vAlign w:val="bottom"/>
            <w:tcBorders>
              <w:bottom w:val="single" w:sz="8" w:color="auto"/>
            </w:tcBorders>
          </w:tcPr>
          <w:p>
            <w:pPr>
              <w:jc w:val="center"/>
              <w:ind w:left="48"/>
              <w:spacing w:after="0"/>
              <w:rPr>
                <w:sz w:val="20"/>
                <w:szCs w:val="20"/>
                <w:color w:val="auto"/>
              </w:rPr>
            </w:pPr>
            <w:r>
              <w:rPr>
                <w:rFonts w:ascii="Arial" w:cs="Arial" w:eastAsia="Arial" w:hAnsi="Arial"/>
                <w:sz w:val="14"/>
                <w:szCs w:val="14"/>
                <w:b w:val="1"/>
                <w:bCs w:val="1"/>
                <w:color w:val="auto"/>
                <w:w w:val="94"/>
              </w:rPr>
              <w:t>Money (2)</w:t>
            </w:r>
          </w:p>
        </w:tc>
        <w:tc>
          <w:tcPr>
            <w:tcW w:w="0" w:type="dxa"/>
            <w:vAlign w:val="bottom"/>
          </w:tcPr>
          <w:p>
            <w:pPr>
              <w:spacing w:after="0"/>
              <w:rPr>
                <w:sz w:val="1"/>
                <w:szCs w:val="1"/>
                <w:color w:val="auto"/>
              </w:rPr>
            </w:pPr>
          </w:p>
        </w:tc>
      </w:tr>
      <w:tr>
        <w:trPr>
          <w:trHeight w:val="196"/>
        </w:trPr>
        <w:tc>
          <w:tcPr>
            <w:tcW w:w="25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400" w:type="dxa"/>
            <w:vAlign w:val="bottom"/>
            <w:gridSpan w:val="4"/>
          </w:tcPr>
          <w:p>
            <w:pPr>
              <w:ind w:left="780"/>
              <w:spacing w:after="0"/>
              <w:rPr>
                <w:sz w:val="20"/>
                <w:szCs w:val="20"/>
                <w:color w:val="auto"/>
              </w:rPr>
            </w:pPr>
            <w:r>
              <w:rPr>
                <w:rFonts w:ascii="Arial" w:cs="Arial" w:eastAsia="Arial" w:hAnsi="Arial"/>
                <w:sz w:val="14"/>
                <w:szCs w:val="14"/>
                <w:b w:val="1"/>
                <w:bCs w:val="1"/>
                <w:color w:val="auto"/>
              </w:rPr>
              <w:t>(Dollars in millions)</w:t>
            </w: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6"/>
        </w:trPr>
        <w:tc>
          <w:tcPr>
            <w:tcW w:w="2500" w:type="dxa"/>
            <w:vAlign w:val="bottom"/>
            <w:shd w:val="clear" w:color="auto" w:fill="BFE4FF"/>
          </w:tcPr>
          <w:p>
            <w:pPr>
              <w:ind w:left="40"/>
              <w:spacing w:after="0"/>
              <w:rPr>
                <w:sz w:val="20"/>
                <w:szCs w:val="20"/>
                <w:color w:val="auto"/>
              </w:rPr>
            </w:pPr>
            <w:r>
              <w:rPr>
                <w:rFonts w:ascii="Arial" w:cs="Arial" w:eastAsia="Arial" w:hAnsi="Arial"/>
                <w:sz w:val="14"/>
                <w:szCs w:val="14"/>
                <w:color w:val="auto"/>
              </w:rPr>
              <w:t>GMIB</w:t>
            </w:r>
          </w:p>
        </w:tc>
        <w:tc>
          <w:tcPr>
            <w:tcW w:w="860" w:type="dxa"/>
            <w:vAlign w:val="bottom"/>
            <w:shd w:val="clear" w:color="auto" w:fill="BFE4FF"/>
          </w:tcPr>
          <w:p>
            <w:pPr>
              <w:jc w:val="right"/>
              <w:spacing w:after="0"/>
              <w:rPr>
                <w:sz w:val="20"/>
                <w:szCs w:val="20"/>
                <w:color w:val="auto"/>
              </w:rPr>
            </w:pPr>
            <w:r>
              <w:rPr>
                <w:rFonts w:ascii="Arial" w:cs="Arial" w:eastAsia="Arial" w:hAnsi="Arial"/>
                <w:sz w:val="14"/>
                <w:szCs w:val="14"/>
                <w:color w:val="auto"/>
              </w:rPr>
              <w:t>$46,279</w:t>
            </w:r>
          </w:p>
        </w:tc>
        <w:tc>
          <w:tcPr>
            <w:tcW w:w="120" w:type="dxa"/>
            <w:vAlign w:val="bottom"/>
            <w:shd w:val="clear" w:color="auto" w:fill="BFE4FF"/>
          </w:tcPr>
          <w:p>
            <w:pPr>
              <w:spacing w:after="0"/>
              <w:rPr>
                <w:sz w:val="24"/>
                <w:szCs w:val="24"/>
                <w:color w:val="auto"/>
              </w:rPr>
            </w:pPr>
          </w:p>
        </w:tc>
        <w:tc>
          <w:tcPr>
            <w:tcW w:w="860" w:type="dxa"/>
            <w:vAlign w:val="bottom"/>
            <w:shd w:val="clear" w:color="auto" w:fill="BFE4FF"/>
          </w:tcPr>
          <w:p>
            <w:pPr>
              <w:jc w:val="right"/>
              <w:spacing w:after="0"/>
              <w:rPr>
                <w:sz w:val="20"/>
                <w:szCs w:val="20"/>
                <w:color w:val="auto"/>
              </w:rPr>
            </w:pPr>
            <w:r>
              <w:rPr>
                <w:rFonts w:ascii="Arial" w:cs="Arial" w:eastAsia="Arial" w:hAnsi="Arial"/>
                <w:sz w:val="14"/>
                <w:szCs w:val="14"/>
                <w:color w:val="auto"/>
              </w:rPr>
              <w:t>$1,730</w:t>
            </w:r>
          </w:p>
        </w:tc>
        <w:tc>
          <w:tcPr>
            <w:tcW w:w="100" w:type="dxa"/>
            <w:vAlign w:val="bottom"/>
            <w:shd w:val="clear" w:color="auto" w:fill="BFE4FF"/>
          </w:tcPr>
          <w:p>
            <w:pPr>
              <w:spacing w:after="0"/>
              <w:rPr>
                <w:sz w:val="24"/>
                <w:szCs w:val="24"/>
                <w:color w:val="auto"/>
              </w:rPr>
            </w:pPr>
          </w:p>
        </w:tc>
        <w:tc>
          <w:tcPr>
            <w:tcW w:w="880" w:type="dxa"/>
            <w:vAlign w:val="bottom"/>
            <w:shd w:val="clear" w:color="auto" w:fill="BFE4FF"/>
          </w:tcPr>
          <w:p>
            <w:pPr>
              <w:jc w:val="right"/>
              <w:spacing w:after="0"/>
              <w:rPr>
                <w:sz w:val="20"/>
                <w:szCs w:val="20"/>
                <w:color w:val="auto"/>
              </w:rPr>
            </w:pPr>
            <w:r>
              <w:rPr>
                <w:rFonts w:ascii="Arial" w:cs="Arial" w:eastAsia="Arial" w:hAnsi="Arial"/>
                <w:sz w:val="14"/>
                <w:szCs w:val="14"/>
                <w:color w:val="auto"/>
              </w:rPr>
              <w:t>$2,979</w:t>
            </w:r>
          </w:p>
        </w:tc>
        <w:tc>
          <w:tcPr>
            <w:tcW w:w="1320" w:type="dxa"/>
            <w:vAlign w:val="bottom"/>
            <w:shd w:val="clear" w:color="auto" w:fill="BFE4FF"/>
          </w:tcPr>
          <w:p>
            <w:pPr>
              <w:jc w:val="right"/>
              <w:spacing w:after="0"/>
              <w:rPr>
                <w:sz w:val="20"/>
                <w:szCs w:val="20"/>
                <w:color w:val="auto"/>
              </w:rPr>
            </w:pPr>
            <w:r>
              <w:rPr>
                <w:rFonts w:ascii="Arial" w:cs="Arial" w:eastAsia="Arial" w:hAnsi="Arial"/>
                <w:sz w:val="14"/>
                <w:szCs w:val="14"/>
                <w:color w:val="auto"/>
              </w:rPr>
              <w:t>28.6%</w:t>
            </w:r>
          </w:p>
        </w:tc>
        <w:tc>
          <w:tcPr>
            <w:tcW w:w="120" w:type="dxa"/>
            <w:vAlign w:val="bottom"/>
            <w:shd w:val="clear" w:color="auto" w:fill="BFE4FF"/>
          </w:tcPr>
          <w:p>
            <w:pPr>
              <w:spacing w:after="0"/>
              <w:rPr>
                <w:sz w:val="24"/>
                <w:szCs w:val="24"/>
                <w:color w:val="auto"/>
              </w:rPr>
            </w:pPr>
          </w:p>
        </w:tc>
        <w:tc>
          <w:tcPr>
            <w:tcW w:w="860" w:type="dxa"/>
            <w:vAlign w:val="bottom"/>
            <w:shd w:val="clear" w:color="auto" w:fill="BFE4FF"/>
          </w:tcPr>
          <w:p>
            <w:pPr>
              <w:jc w:val="right"/>
              <w:spacing w:after="0"/>
              <w:rPr>
                <w:sz w:val="20"/>
                <w:szCs w:val="20"/>
                <w:color w:val="auto"/>
              </w:rPr>
            </w:pPr>
            <w:r>
              <w:rPr>
                <w:rFonts w:ascii="Arial" w:cs="Arial" w:eastAsia="Arial" w:hAnsi="Arial"/>
                <w:sz w:val="14"/>
                <w:szCs w:val="14"/>
                <w:color w:val="auto"/>
              </w:rPr>
              <w:t>$44,945</w:t>
            </w:r>
          </w:p>
        </w:tc>
        <w:tc>
          <w:tcPr>
            <w:tcW w:w="100" w:type="dxa"/>
            <w:vAlign w:val="bottom"/>
            <w:shd w:val="clear" w:color="auto" w:fill="BFE4FF"/>
          </w:tcPr>
          <w:p>
            <w:pPr>
              <w:spacing w:after="0"/>
              <w:rPr>
                <w:sz w:val="24"/>
                <w:szCs w:val="24"/>
                <w:color w:val="auto"/>
              </w:rPr>
            </w:pPr>
          </w:p>
        </w:tc>
        <w:tc>
          <w:tcPr>
            <w:tcW w:w="880" w:type="dxa"/>
            <w:vAlign w:val="bottom"/>
            <w:shd w:val="clear" w:color="auto" w:fill="BFE4FF"/>
          </w:tcPr>
          <w:p>
            <w:pPr>
              <w:jc w:val="right"/>
              <w:spacing w:after="0"/>
              <w:rPr>
                <w:sz w:val="20"/>
                <w:szCs w:val="20"/>
                <w:color w:val="auto"/>
              </w:rPr>
            </w:pPr>
            <w:r>
              <w:rPr>
                <w:rFonts w:ascii="Arial" w:cs="Arial" w:eastAsia="Arial" w:hAnsi="Arial"/>
                <w:sz w:val="14"/>
                <w:szCs w:val="14"/>
                <w:color w:val="auto"/>
              </w:rPr>
              <w:t>$2,334</w:t>
            </w:r>
          </w:p>
        </w:tc>
        <w:tc>
          <w:tcPr>
            <w:tcW w:w="100" w:type="dxa"/>
            <w:vAlign w:val="bottom"/>
            <w:shd w:val="clear" w:color="auto" w:fill="BFE4FF"/>
          </w:tcPr>
          <w:p>
            <w:pPr>
              <w:spacing w:after="0"/>
              <w:rPr>
                <w:sz w:val="24"/>
                <w:szCs w:val="24"/>
                <w:color w:val="auto"/>
              </w:rPr>
            </w:pPr>
          </w:p>
        </w:tc>
        <w:tc>
          <w:tcPr>
            <w:tcW w:w="860" w:type="dxa"/>
            <w:vAlign w:val="bottom"/>
            <w:shd w:val="clear" w:color="auto" w:fill="BFE4FF"/>
          </w:tcPr>
          <w:p>
            <w:pPr>
              <w:jc w:val="right"/>
              <w:spacing w:after="0"/>
              <w:rPr>
                <w:sz w:val="20"/>
                <w:szCs w:val="20"/>
                <w:color w:val="auto"/>
              </w:rPr>
            </w:pPr>
            <w:r>
              <w:rPr>
                <w:rFonts w:ascii="Arial" w:cs="Arial" w:eastAsia="Arial" w:hAnsi="Arial"/>
                <w:sz w:val="14"/>
                <w:szCs w:val="14"/>
                <w:color w:val="auto"/>
              </w:rPr>
              <w:t>$3,006</w:t>
            </w:r>
          </w:p>
        </w:tc>
        <w:tc>
          <w:tcPr>
            <w:tcW w:w="1340" w:type="dxa"/>
            <w:vAlign w:val="bottom"/>
            <w:shd w:val="clear" w:color="auto" w:fill="BFE4FF"/>
          </w:tcPr>
          <w:p>
            <w:pPr>
              <w:jc w:val="right"/>
              <w:ind w:right="68"/>
              <w:spacing w:after="0"/>
              <w:rPr>
                <w:sz w:val="20"/>
                <w:szCs w:val="20"/>
                <w:color w:val="auto"/>
              </w:rPr>
            </w:pPr>
            <w:r>
              <w:rPr>
                <w:rFonts w:ascii="Arial" w:cs="Arial" w:eastAsia="Arial" w:hAnsi="Arial"/>
                <w:sz w:val="14"/>
                <w:szCs w:val="14"/>
                <w:color w:val="auto"/>
              </w:rPr>
              <w:t>31.0%</w:t>
            </w:r>
          </w:p>
        </w:tc>
        <w:tc>
          <w:tcPr>
            <w:tcW w:w="0" w:type="dxa"/>
            <w:vAlign w:val="bottom"/>
          </w:tcPr>
          <w:p>
            <w:pPr>
              <w:spacing w:after="0"/>
              <w:rPr>
                <w:sz w:val="1"/>
                <w:szCs w:val="1"/>
                <w:color w:val="auto"/>
              </w:rPr>
            </w:pPr>
          </w:p>
        </w:tc>
      </w:tr>
      <w:tr>
        <w:trPr>
          <w:trHeight w:val="264"/>
        </w:trPr>
        <w:tc>
          <w:tcPr>
            <w:tcW w:w="2500" w:type="dxa"/>
            <w:vAlign w:val="bottom"/>
          </w:tcPr>
          <w:p>
            <w:pPr>
              <w:ind w:left="40"/>
              <w:spacing w:after="0"/>
              <w:rPr>
                <w:sz w:val="20"/>
                <w:szCs w:val="20"/>
                <w:color w:val="auto"/>
              </w:rPr>
            </w:pPr>
            <w:r>
              <w:rPr>
                <w:rFonts w:ascii="Arial" w:cs="Arial" w:eastAsia="Arial" w:hAnsi="Arial"/>
                <w:sz w:val="14"/>
                <w:szCs w:val="14"/>
                <w:color w:val="auto"/>
              </w:rPr>
              <w:t>GMIB Max w/ Enhanced DB</w:t>
            </w: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12,873</w:t>
            </w:r>
          </w:p>
        </w:tc>
        <w:tc>
          <w:tcPr>
            <w:tcW w:w="120" w:type="dxa"/>
            <w:vAlign w:val="bottom"/>
          </w:tcPr>
          <w:p>
            <w:pPr>
              <w:spacing w:after="0"/>
              <w:rPr>
                <w:sz w:val="22"/>
                <w:szCs w:val="22"/>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2,021</w:t>
            </w:r>
          </w:p>
        </w:tc>
        <w:tc>
          <w:tcPr>
            <w:tcW w:w="100" w:type="dxa"/>
            <w:vAlign w:val="bottom"/>
          </w:tcPr>
          <w:p>
            <w:pPr>
              <w:spacing w:after="0"/>
              <w:rPr>
                <w:sz w:val="22"/>
                <w:szCs w:val="22"/>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1</w:t>
            </w:r>
          </w:p>
        </w:tc>
        <w:tc>
          <w:tcPr>
            <w:tcW w:w="1320" w:type="dxa"/>
            <w:vAlign w:val="bottom"/>
          </w:tcPr>
          <w:p>
            <w:pPr>
              <w:jc w:val="right"/>
              <w:ind w:right="68"/>
              <w:spacing w:after="0"/>
              <w:rPr>
                <w:sz w:val="20"/>
                <w:szCs w:val="20"/>
                <w:color w:val="auto"/>
              </w:rPr>
            </w:pPr>
            <w:r>
              <w:rPr>
                <w:rFonts w:ascii="Arial" w:cs="Arial" w:eastAsia="Arial" w:hAnsi="Arial"/>
                <w:sz w:val="14"/>
                <w:szCs w:val="14"/>
                <w:color w:val="auto"/>
              </w:rPr>
              <w:t>0.2%</w:t>
            </w:r>
          </w:p>
        </w:tc>
        <w:tc>
          <w:tcPr>
            <w:tcW w:w="120" w:type="dxa"/>
            <w:vAlign w:val="bottom"/>
          </w:tcPr>
          <w:p>
            <w:pPr>
              <w:spacing w:after="0"/>
              <w:rPr>
                <w:sz w:val="22"/>
                <w:szCs w:val="22"/>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12,461</w:t>
            </w:r>
          </w:p>
        </w:tc>
        <w:tc>
          <w:tcPr>
            <w:tcW w:w="100" w:type="dxa"/>
            <w:vAlign w:val="bottom"/>
          </w:tcPr>
          <w:p>
            <w:pPr>
              <w:spacing w:after="0"/>
              <w:rPr>
                <w:sz w:val="22"/>
                <w:szCs w:val="22"/>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2,407</w:t>
            </w:r>
          </w:p>
        </w:tc>
        <w:tc>
          <w:tcPr>
            <w:tcW w:w="100" w:type="dxa"/>
            <w:vAlign w:val="bottom"/>
          </w:tcPr>
          <w:p>
            <w:pPr>
              <w:spacing w:after="0"/>
              <w:rPr>
                <w:sz w:val="22"/>
                <w:szCs w:val="22"/>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340" w:type="dxa"/>
            <w:vAlign w:val="bottom"/>
          </w:tcPr>
          <w:p>
            <w:pPr>
              <w:jc w:val="right"/>
              <w:ind w:right="68"/>
              <w:spacing w:after="0"/>
              <w:rPr>
                <w:sz w:val="20"/>
                <w:szCs w:val="20"/>
                <w:color w:val="auto"/>
              </w:rPr>
            </w:pPr>
            <w:r>
              <w:rPr>
                <w:rFonts w:ascii="Arial" w:cs="Arial" w:eastAsia="Arial" w:hAnsi="Arial"/>
                <w:sz w:val="14"/>
                <w:szCs w:val="14"/>
                <w:color w:val="auto"/>
              </w:rPr>
              <w:t>&lt;0.1%</w:t>
            </w:r>
          </w:p>
        </w:tc>
        <w:tc>
          <w:tcPr>
            <w:tcW w:w="0" w:type="dxa"/>
            <w:vAlign w:val="bottom"/>
          </w:tcPr>
          <w:p>
            <w:pPr>
              <w:spacing w:after="0"/>
              <w:rPr>
                <w:sz w:val="1"/>
                <w:szCs w:val="1"/>
                <w:color w:val="auto"/>
              </w:rPr>
            </w:pPr>
          </w:p>
        </w:tc>
      </w:tr>
      <w:tr>
        <w:trPr>
          <w:trHeight w:val="276"/>
        </w:trPr>
        <w:tc>
          <w:tcPr>
            <w:tcW w:w="2500" w:type="dxa"/>
            <w:vAlign w:val="bottom"/>
            <w:shd w:val="clear" w:color="auto" w:fill="BFE4FF"/>
          </w:tcPr>
          <w:p>
            <w:pPr>
              <w:ind w:left="40"/>
              <w:spacing w:after="0"/>
              <w:rPr>
                <w:sz w:val="20"/>
                <w:szCs w:val="20"/>
                <w:color w:val="auto"/>
              </w:rPr>
            </w:pPr>
            <w:r>
              <w:rPr>
                <w:rFonts w:ascii="Arial" w:cs="Arial" w:eastAsia="Arial" w:hAnsi="Arial"/>
                <w:sz w:val="14"/>
                <w:szCs w:val="14"/>
                <w:color w:val="auto"/>
              </w:rPr>
              <w:t>GMIB Max w/o Enhanced DB</w:t>
            </w:r>
          </w:p>
        </w:tc>
        <w:tc>
          <w:tcPr>
            <w:tcW w:w="860" w:type="dxa"/>
            <w:vAlign w:val="bottom"/>
            <w:shd w:val="clear" w:color="auto" w:fill="BFE4FF"/>
          </w:tcPr>
          <w:p>
            <w:pPr>
              <w:jc w:val="right"/>
              <w:ind w:right="28"/>
              <w:spacing w:after="0"/>
              <w:rPr>
                <w:sz w:val="20"/>
                <w:szCs w:val="20"/>
                <w:color w:val="auto"/>
              </w:rPr>
            </w:pPr>
            <w:r>
              <w:rPr>
                <w:rFonts w:ascii="Arial" w:cs="Arial" w:eastAsia="Arial" w:hAnsi="Arial"/>
                <w:sz w:val="14"/>
                <w:szCs w:val="14"/>
                <w:color w:val="auto"/>
              </w:rPr>
              <w:t>7,371</w:t>
            </w:r>
          </w:p>
        </w:tc>
        <w:tc>
          <w:tcPr>
            <w:tcW w:w="120" w:type="dxa"/>
            <w:vAlign w:val="bottom"/>
            <w:shd w:val="clear" w:color="auto" w:fill="BFE4FF"/>
          </w:tcPr>
          <w:p>
            <w:pPr>
              <w:spacing w:after="0"/>
              <w:rPr>
                <w:sz w:val="24"/>
                <w:szCs w:val="24"/>
                <w:color w:val="auto"/>
              </w:rPr>
            </w:pPr>
          </w:p>
        </w:tc>
        <w:tc>
          <w:tcPr>
            <w:tcW w:w="860" w:type="dxa"/>
            <w:vAlign w:val="bottom"/>
            <w:shd w:val="clear" w:color="auto" w:fill="BFE4FF"/>
          </w:tcPr>
          <w:p>
            <w:pPr>
              <w:jc w:val="right"/>
              <w:ind w:right="28"/>
              <w:spacing w:after="0"/>
              <w:rPr>
                <w:sz w:val="20"/>
                <w:szCs w:val="20"/>
                <w:color w:val="auto"/>
              </w:rPr>
            </w:pPr>
            <w:r>
              <w:rPr>
                <w:rFonts w:ascii="Arial" w:cs="Arial" w:eastAsia="Arial" w:hAnsi="Arial"/>
                <w:sz w:val="14"/>
                <w:szCs w:val="14"/>
                <w:color w:val="auto"/>
              </w:rPr>
              <w:t>4</w:t>
            </w:r>
          </w:p>
        </w:tc>
        <w:tc>
          <w:tcPr>
            <w:tcW w:w="100" w:type="dxa"/>
            <w:vAlign w:val="bottom"/>
            <w:shd w:val="clear" w:color="auto" w:fill="BFE4FF"/>
          </w:tcPr>
          <w:p>
            <w:pPr>
              <w:spacing w:after="0"/>
              <w:rPr>
                <w:sz w:val="24"/>
                <w:szCs w:val="24"/>
                <w:color w:val="auto"/>
              </w:rPr>
            </w:pPr>
          </w:p>
        </w:tc>
        <w:tc>
          <w:tcPr>
            <w:tcW w:w="880" w:type="dxa"/>
            <w:vAlign w:val="bottom"/>
            <w:shd w:val="clear" w:color="auto" w:fill="BFE4FF"/>
          </w:tcPr>
          <w:p>
            <w:pPr>
              <w:jc w:val="right"/>
              <w:ind w:right="48"/>
              <w:spacing w:after="0"/>
              <w:rPr>
                <w:sz w:val="20"/>
                <w:szCs w:val="20"/>
                <w:color w:val="auto"/>
              </w:rPr>
            </w:pPr>
            <w:r>
              <w:rPr>
                <w:rFonts w:ascii="Arial" w:cs="Arial" w:eastAsia="Arial" w:hAnsi="Arial"/>
                <w:sz w:val="14"/>
                <w:szCs w:val="14"/>
                <w:color w:val="auto"/>
              </w:rPr>
              <w:t>—</w:t>
            </w:r>
          </w:p>
        </w:tc>
        <w:tc>
          <w:tcPr>
            <w:tcW w:w="1320" w:type="dxa"/>
            <w:vAlign w:val="bottom"/>
            <w:shd w:val="clear" w:color="auto" w:fill="BFE4FF"/>
          </w:tcPr>
          <w:p>
            <w:pPr>
              <w:jc w:val="right"/>
              <w:ind w:right="68"/>
              <w:spacing w:after="0"/>
              <w:rPr>
                <w:sz w:val="20"/>
                <w:szCs w:val="20"/>
                <w:color w:val="auto"/>
              </w:rPr>
            </w:pPr>
            <w:r>
              <w:rPr>
                <w:rFonts w:ascii="Arial" w:cs="Arial" w:eastAsia="Arial" w:hAnsi="Arial"/>
                <w:sz w:val="14"/>
                <w:szCs w:val="14"/>
                <w:color w:val="auto"/>
              </w:rPr>
              <w:t>&lt;0.1%</w:t>
            </w:r>
          </w:p>
        </w:tc>
        <w:tc>
          <w:tcPr>
            <w:tcW w:w="120" w:type="dxa"/>
            <w:vAlign w:val="bottom"/>
            <w:shd w:val="clear" w:color="auto" w:fill="BFE4FF"/>
          </w:tcPr>
          <w:p>
            <w:pPr>
              <w:spacing w:after="0"/>
              <w:rPr>
                <w:sz w:val="24"/>
                <w:szCs w:val="24"/>
                <w:color w:val="auto"/>
              </w:rPr>
            </w:pPr>
          </w:p>
        </w:tc>
        <w:tc>
          <w:tcPr>
            <w:tcW w:w="860" w:type="dxa"/>
            <w:vAlign w:val="bottom"/>
            <w:shd w:val="clear" w:color="auto" w:fill="BFE4FF"/>
          </w:tcPr>
          <w:p>
            <w:pPr>
              <w:jc w:val="right"/>
              <w:ind w:right="28"/>
              <w:spacing w:after="0"/>
              <w:rPr>
                <w:sz w:val="20"/>
                <w:szCs w:val="20"/>
                <w:color w:val="auto"/>
              </w:rPr>
            </w:pPr>
            <w:r>
              <w:rPr>
                <w:rFonts w:ascii="Arial" w:cs="Arial" w:eastAsia="Arial" w:hAnsi="Arial"/>
                <w:sz w:val="14"/>
                <w:szCs w:val="14"/>
                <w:color w:val="auto"/>
              </w:rPr>
              <w:t>7,098</w:t>
            </w:r>
          </w:p>
        </w:tc>
        <w:tc>
          <w:tcPr>
            <w:tcW w:w="100" w:type="dxa"/>
            <w:vAlign w:val="bottom"/>
            <w:shd w:val="clear" w:color="auto" w:fill="BFE4FF"/>
          </w:tcPr>
          <w:p>
            <w:pPr>
              <w:spacing w:after="0"/>
              <w:rPr>
                <w:sz w:val="24"/>
                <w:szCs w:val="24"/>
                <w:color w:val="auto"/>
              </w:rPr>
            </w:pPr>
          </w:p>
        </w:tc>
        <w:tc>
          <w:tcPr>
            <w:tcW w:w="880" w:type="dxa"/>
            <w:vAlign w:val="bottom"/>
            <w:shd w:val="clear" w:color="auto" w:fill="BFE4FF"/>
          </w:tcPr>
          <w:p>
            <w:pPr>
              <w:jc w:val="right"/>
              <w:ind w:right="48"/>
              <w:spacing w:after="0"/>
              <w:rPr>
                <w:sz w:val="20"/>
                <w:szCs w:val="20"/>
                <w:color w:val="auto"/>
              </w:rPr>
            </w:pPr>
            <w:r>
              <w:rPr>
                <w:rFonts w:ascii="Arial" w:cs="Arial" w:eastAsia="Arial" w:hAnsi="Arial"/>
                <w:sz w:val="14"/>
                <w:szCs w:val="14"/>
                <w:color w:val="auto"/>
              </w:rPr>
              <w:t>37</w:t>
            </w:r>
          </w:p>
        </w:tc>
        <w:tc>
          <w:tcPr>
            <w:tcW w:w="100" w:type="dxa"/>
            <w:vAlign w:val="bottom"/>
            <w:shd w:val="clear" w:color="auto" w:fill="BFE4FF"/>
          </w:tcPr>
          <w:p>
            <w:pPr>
              <w:spacing w:after="0"/>
              <w:rPr>
                <w:sz w:val="24"/>
                <w:szCs w:val="24"/>
                <w:color w:val="auto"/>
              </w:rPr>
            </w:pPr>
          </w:p>
        </w:tc>
        <w:tc>
          <w:tcPr>
            <w:tcW w:w="860" w:type="dxa"/>
            <w:vAlign w:val="bottom"/>
            <w:shd w:val="clear" w:color="auto" w:fill="BFE4FF"/>
          </w:tcPr>
          <w:p>
            <w:pPr>
              <w:jc w:val="right"/>
              <w:ind w:right="28"/>
              <w:spacing w:after="0"/>
              <w:rPr>
                <w:sz w:val="20"/>
                <w:szCs w:val="20"/>
                <w:color w:val="auto"/>
              </w:rPr>
            </w:pPr>
            <w:r>
              <w:rPr>
                <w:rFonts w:ascii="Arial" w:cs="Arial" w:eastAsia="Arial" w:hAnsi="Arial"/>
                <w:sz w:val="14"/>
                <w:szCs w:val="14"/>
                <w:color w:val="auto"/>
              </w:rPr>
              <w:t>—</w:t>
            </w:r>
          </w:p>
        </w:tc>
        <w:tc>
          <w:tcPr>
            <w:tcW w:w="1340" w:type="dxa"/>
            <w:vAlign w:val="bottom"/>
            <w:shd w:val="clear" w:color="auto" w:fill="BFE4FF"/>
          </w:tcPr>
          <w:p>
            <w:pPr>
              <w:jc w:val="right"/>
              <w:ind w:right="68"/>
              <w:spacing w:after="0"/>
              <w:rPr>
                <w:sz w:val="20"/>
                <w:szCs w:val="20"/>
                <w:color w:val="auto"/>
              </w:rPr>
            </w:pPr>
            <w:r>
              <w:rPr>
                <w:rFonts w:ascii="Arial" w:cs="Arial" w:eastAsia="Arial" w:hAnsi="Arial"/>
                <w:sz w:val="14"/>
                <w:szCs w:val="14"/>
                <w:color w:val="auto"/>
              </w:rPr>
              <w:t>&lt;0.1%</w:t>
            </w:r>
          </w:p>
        </w:tc>
        <w:tc>
          <w:tcPr>
            <w:tcW w:w="0" w:type="dxa"/>
            <w:vAlign w:val="bottom"/>
          </w:tcPr>
          <w:p>
            <w:pPr>
              <w:spacing w:after="0"/>
              <w:rPr>
                <w:sz w:val="1"/>
                <w:szCs w:val="1"/>
                <w:color w:val="auto"/>
              </w:rPr>
            </w:pPr>
          </w:p>
        </w:tc>
      </w:tr>
      <w:tr>
        <w:trPr>
          <w:trHeight w:val="264"/>
        </w:trPr>
        <w:tc>
          <w:tcPr>
            <w:tcW w:w="2500" w:type="dxa"/>
            <w:vAlign w:val="bottom"/>
          </w:tcPr>
          <w:p>
            <w:pPr>
              <w:ind w:left="40"/>
              <w:spacing w:after="0"/>
              <w:rPr>
                <w:sz w:val="20"/>
                <w:szCs w:val="20"/>
                <w:color w:val="auto"/>
              </w:rPr>
            </w:pPr>
            <w:r>
              <w:rPr>
                <w:rFonts w:ascii="Arial" w:cs="Arial" w:eastAsia="Arial" w:hAnsi="Arial"/>
                <w:sz w:val="14"/>
                <w:szCs w:val="14"/>
                <w:color w:val="auto"/>
              </w:rPr>
              <w:t>GMWB4L (FlexChoice</w:t>
            </w:r>
            <w:r>
              <w:rPr>
                <w:rFonts w:ascii="Arial" w:cs="Arial" w:eastAsia="Arial" w:hAnsi="Arial"/>
                <w:sz w:val="8"/>
                <w:szCs w:val="8"/>
                <w:color w:val="auto"/>
              </w:rPr>
              <w:t>SM</w:t>
            </w:r>
            <w:r>
              <w:rPr>
                <w:rFonts w:ascii="Arial" w:cs="Arial" w:eastAsia="Arial" w:hAnsi="Arial"/>
                <w:sz w:val="14"/>
                <w:szCs w:val="14"/>
                <w:color w:val="auto"/>
              </w:rPr>
              <w:t>)</w:t>
            </w: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2,158</w:t>
            </w:r>
          </w:p>
        </w:tc>
        <w:tc>
          <w:tcPr>
            <w:tcW w:w="120" w:type="dxa"/>
            <w:vAlign w:val="bottom"/>
          </w:tcPr>
          <w:p>
            <w:pPr>
              <w:spacing w:after="0"/>
              <w:rPr>
                <w:sz w:val="22"/>
                <w:szCs w:val="22"/>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22"/>
                <w:szCs w:val="22"/>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2</w:t>
            </w:r>
          </w:p>
        </w:tc>
        <w:tc>
          <w:tcPr>
            <w:tcW w:w="1320" w:type="dxa"/>
            <w:vAlign w:val="bottom"/>
          </w:tcPr>
          <w:p>
            <w:pPr>
              <w:jc w:val="right"/>
              <w:spacing w:after="0"/>
              <w:rPr>
                <w:sz w:val="20"/>
                <w:szCs w:val="20"/>
                <w:color w:val="auto"/>
              </w:rPr>
            </w:pPr>
            <w:r>
              <w:rPr>
                <w:rFonts w:ascii="Arial" w:cs="Arial" w:eastAsia="Arial" w:hAnsi="Arial"/>
                <w:sz w:val="14"/>
                <w:szCs w:val="14"/>
                <w:color w:val="auto"/>
              </w:rPr>
              <w:t>3.0%</w:t>
            </w:r>
          </w:p>
        </w:tc>
        <w:tc>
          <w:tcPr>
            <w:tcW w:w="120" w:type="dxa"/>
            <w:vAlign w:val="bottom"/>
          </w:tcPr>
          <w:p>
            <w:pPr>
              <w:spacing w:after="0"/>
              <w:rPr>
                <w:sz w:val="22"/>
                <w:szCs w:val="22"/>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1,519</w:t>
            </w:r>
          </w:p>
        </w:tc>
        <w:tc>
          <w:tcPr>
            <w:tcW w:w="100" w:type="dxa"/>
            <w:vAlign w:val="bottom"/>
          </w:tcPr>
          <w:p>
            <w:pPr>
              <w:spacing w:after="0"/>
              <w:rPr>
                <w:sz w:val="22"/>
                <w:szCs w:val="22"/>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9</w:t>
            </w:r>
          </w:p>
        </w:tc>
        <w:tc>
          <w:tcPr>
            <w:tcW w:w="100" w:type="dxa"/>
            <w:vAlign w:val="bottom"/>
          </w:tcPr>
          <w:p>
            <w:pPr>
              <w:spacing w:after="0"/>
              <w:rPr>
                <w:sz w:val="22"/>
                <w:szCs w:val="22"/>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3</w:t>
            </w:r>
          </w:p>
        </w:tc>
        <w:tc>
          <w:tcPr>
            <w:tcW w:w="1340" w:type="dxa"/>
            <w:vAlign w:val="bottom"/>
          </w:tcPr>
          <w:p>
            <w:pPr>
              <w:jc w:val="right"/>
              <w:spacing w:after="0"/>
              <w:rPr>
                <w:sz w:val="20"/>
                <w:szCs w:val="20"/>
                <w:color w:val="auto"/>
              </w:rPr>
            </w:pPr>
            <w:r>
              <w:rPr>
                <w:rFonts w:ascii="Arial" w:cs="Arial" w:eastAsia="Arial" w:hAnsi="Arial"/>
                <w:sz w:val="14"/>
                <w:szCs w:val="14"/>
                <w:color w:val="auto"/>
              </w:rPr>
              <w:t>5.0%</w:t>
            </w:r>
          </w:p>
        </w:tc>
        <w:tc>
          <w:tcPr>
            <w:tcW w:w="0" w:type="dxa"/>
            <w:vAlign w:val="bottom"/>
          </w:tcPr>
          <w:p>
            <w:pPr>
              <w:spacing w:after="0"/>
              <w:rPr>
                <w:sz w:val="1"/>
                <w:szCs w:val="1"/>
                <w:color w:val="auto"/>
              </w:rPr>
            </w:pPr>
          </w:p>
        </w:tc>
      </w:tr>
      <w:tr>
        <w:trPr>
          <w:trHeight w:val="276"/>
        </w:trPr>
        <w:tc>
          <w:tcPr>
            <w:tcW w:w="2500" w:type="dxa"/>
            <w:vAlign w:val="bottom"/>
            <w:shd w:val="clear" w:color="auto" w:fill="BFE4FF"/>
          </w:tcPr>
          <w:p>
            <w:pPr>
              <w:ind w:left="40"/>
              <w:spacing w:after="0"/>
              <w:rPr>
                <w:sz w:val="20"/>
                <w:szCs w:val="20"/>
                <w:color w:val="auto"/>
              </w:rPr>
            </w:pPr>
            <w:r>
              <w:rPr>
                <w:rFonts w:ascii="Arial" w:cs="Arial" w:eastAsia="Arial" w:hAnsi="Arial"/>
                <w:sz w:val="14"/>
                <w:szCs w:val="14"/>
                <w:color w:val="auto"/>
              </w:rPr>
              <w:t>GMAB</w:t>
            </w:r>
          </w:p>
        </w:tc>
        <w:tc>
          <w:tcPr>
            <w:tcW w:w="860" w:type="dxa"/>
            <w:vAlign w:val="bottom"/>
            <w:shd w:val="clear" w:color="auto" w:fill="BFE4FF"/>
          </w:tcPr>
          <w:p>
            <w:pPr>
              <w:jc w:val="right"/>
              <w:ind w:right="28"/>
              <w:spacing w:after="0"/>
              <w:rPr>
                <w:sz w:val="20"/>
                <w:szCs w:val="20"/>
                <w:color w:val="auto"/>
              </w:rPr>
            </w:pPr>
            <w:r>
              <w:rPr>
                <w:rFonts w:ascii="Arial" w:cs="Arial" w:eastAsia="Arial" w:hAnsi="Arial"/>
                <w:sz w:val="14"/>
                <w:szCs w:val="14"/>
                <w:color w:val="auto"/>
              </w:rPr>
              <w:t>686</w:t>
            </w:r>
          </w:p>
        </w:tc>
        <w:tc>
          <w:tcPr>
            <w:tcW w:w="120" w:type="dxa"/>
            <w:vAlign w:val="bottom"/>
            <w:shd w:val="clear" w:color="auto" w:fill="BFE4FF"/>
          </w:tcPr>
          <w:p>
            <w:pPr>
              <w:spacing w:after="0"/>
              <w:rPr>
                <w:sz w:val="24"/>
                <w:szCs w:val="24"/>
                <w:color w:val="auto"/>
              </w:rPr>
            </w:pPr>
          </w:p>
        </w:tc>
        <w:tc>
          <w:tcPr>
            <w:tcW w:w="860" w:type="dxa"/>
            <w:vAlign w:val="bottom"/>
            <w:shd w:val="clear" w:color="auto" w:fill="BFE4FF"/>
          </w:tcPr>
          <w:p>
            <w:pPr>
              <w:jc w:val="right"/>
              <w:ind w:right="28"/>
              <w:spacing w:after="0"/>
              <w:rPr>
                <w:sz w:val="20"/>
                <w:szCs w:val="20"/>
                <w:color w:val="auto"/>
              </w:rPr>
            </w:pPr>
            <w:r>
              <w:rPr>
                <w:rFonts w:ascii="Arial" w:cs="Arial" w:eastAsia="Arial" w:hAnsi="Arial"/>
                <w:sz w:val="14"/>
                <w:szCs w:val="14"/>
                <w:color w:val="auto"/>
              </w:rPr>
              <w:t>1</w:t>
            </w:r>
          </w:p>
        </w:tc>
        <w:tc>
          <w:tcPr>
            <w:tcW w:w="100" w:type="dxa"/>
            <w:vAlign w:val="bottom"/>
            <w:shd w:val="clear" w:color="auto" w:fill="BFE4FF"/>
          </w:tcPr>
          <w:p>
            <w:pPr>
              <w:spacing w:after="0"/>
              <w:rPr>
                <w:sz w:val="24"/>
                <w:szCs w:val="24"/>
                <w:color w:val="auto"/>
              </w:rPr>
            </w:pPr>
          </w:p>
        </w:tc>
        <w:tc>
          <w:tcPr>
            <w:tcW w:w="880" w:type="dxa"/>
            <w:vAlign w:val="bottom"/>
            <w:shd w:val="clear" w:color="auto" w:fill="BFE4FF"/>
          </w:tcPr>
          <w:p>
            <w:pPr>
              <w:jc w:val="right"/>
              <w:ind w:right="48"/>
              <w:spacing w:after="0"/>
              <w:rPr>
                <w:sz w:val="20"/>
                <w:szCs w:val="20"/>
                <w:color w:val="auto"/>
              </w:rPr>
            </w:pPr>
            <w:r>
              <w:rPr>
                <w:rFonts w:ascii="Arial" w:cs="Arial" w:eastAsia="Arial" w:hAnsi="Arial"/>
                <w:sz w:val="14"/>
                <w:szCs w:val="14"/>
                <w:color w:val="auto"/>
              </w:rPr>
              <w:t>1</w:t>
            </w:r>
          </w:p>
        </w:tc>
        <w:tc>
          <w:tcPr>
            <w:tcW w:w="1320" w:type="dxa"/>
            <w:vAlign w:val="bottom"/>
            <w:shd w:val="clear" w:color="auto" w:fill="BFE4FF"/>
          </w:tcPr>
          <w:p>
            <w:pPr>
              <w:jc w:val="right"/>
              <w:ind w:right="68"/>
              <w:spacing w:after="0"/>
              <w:rPr>
                <w:sz w:val="20"/>
                <w:szCs w:val="20"/>
                <w:color w:val="auto"/>
              </w:rPr>
            </w:pPr>
            <w:r>
              <w:rPr>
                <w:rFonts w:ascii="Arial" w:cs="Arial" w:eastAsia="Arial" w:hAnsi="Arial"/>
                <w:sz w:val="14"/>
                <w:szCs w:val="14"/>
                <w:color w:val="auto"/>
              </w:rPr>
              <w:t>0.3%</w:t>
            </w:r>
          </w:p>
        </w:tc>
        <w:tc>
          <w:tcPr>
            <w:tcW w:w="120" w:type="dxa"/>
            <w:vAlign w:val="bottom"/>
            <w:shd w:val="clear" w:color="auto" w:fill="BFE4FF"/>
          </w:tcPr>
          <w:p>
            <w:pPr>
              <w:spacing w:after="0"/>
              <w:rPr>
                <w:sz w:val="24"/>
                <w:szCs w:val="24"/>
                <w:color w:val="auto"/>
              </w:rPr>
            </w:pPr>
          </w:p>
        </w:tc>
        <w:tc>
          <w:tcPr>
            <w:tcW w:w="860" w:type="dxa"/>
            <w:vAlign w:val="bottom"/>
            <w:shd w:val="clear" w:color="auto" w:fill="BFE4FF"/>
          </w:tcPr>
          <w:p>
            <w:pPr>
              <w:jc w:val="right"/>
              <w:ind w:right="28"/>
              <w:spacing w:after="0"/>
              <w:rPr>
                <w:sz w:val="20"/>
                <w:szCs w:val="20"/>
                <w:color w:val="auto"/>
              </w:rPr>
            </w:pPr>
            <w:r>
              <w:rPr>
                <w:rFonts w:ascii="Arial" w:cs="Arial" w:eastAsia="Arial" w:hAnsi="Arial"/>
                <w:sz w:val="14"/>
                <w:szCs w:val="14"/>
                <w:color w:val="auto"/>
              </w:rPr>
              <w:t>697</w:t>
            </w:r>
          </w:p>
        </w:tc>
        <w:tc>
          <w:tcPr>
            <w:tcW w:w="100" w:type="dxa"/>
            <w:vAlign w:val="bottom"/>
            <w:shd w:val="clear" w:color="auto" w:fill="BFE4FF"/>
          </w:tcPr>
          <w:p>
            <w:pPr>
              <w:spacing w:after="0"/>
              <w:rPr>
                <w:sz w:val="24"/>
                <w:szCs w:val="24"/>
                <w:color w:val="auto"/>
              </w:rPr>
            </w:pPr>
          </w:p>
        </w:tc>
        <w:tc>
          <w:tcPr>
            <w:tcW w:w="880" w:type="dxa"/>
            <w:vAlign w:val="bottom"/>
            <w:shd w:val="clear" w:color="auto" w:fill="BFE4FF"/>
          </w:tcPr>
          <w:p>
            <w:pPr>
              <w:jc w:val="right"/>
              <w:ind w:right="48"/>
              <w:spacing w:after="0"/>
              <w:rPr>
                <w:sz w:val="20"/>
                <w:szCs w:val="20"/>
                <w:color w:val="auto"/>
              </w:rPr>
            </w:pPr>
            <w:r>
              <w:rPr>
                <w:rFonts w:ascii="Arial" w:cs="Arial" w:eastAsia="Arial" w:hAnsi="Arial"/>
                <w:sz w:val="14"/>
                <w:szCs w:val="14"/>
                <w:color w:val="auto"/>
              </w:rPr>
              <w:t>6</w:t>
            </w:r>
          </w:p>
        </w:tc>
        <w:tc>
          <w:tcPr>
            <w:tcW w:w="100" w:type="dxa"/>
            <w:vAlign w:val="bottom"/>
            <w:shd w:val="clear" w:color="auto" w:fill="BFE4FF"/>
          </w:tcPr>
          <w:p>
            <w:pPr>
              <w:spacing w:after="0"/>
              <w:rPr>
                <w:sz w:val="24"/>
                <w:szCs w:val="24"/>
                <w:color w:val="auto"/>
              </w:rPr>
            </w:pPr>
          </w:p>
        </w:tc>
        <w:tc>
          <w:tcPr>
            <w:tcW w:w="860" w:type="dxa"/>
            <w:vAlign w:val="bottom"/>
            <w:shd w:val="clear" w:color="auto" w:fill="BFE4FF"/>
          </w:tcPr>
          <w:p>
            <w:pPr>
              <w:jc w:val="right"/>
              <w:ind w:right="28"/>
              <w:spacing w:after="0"/>
              <w:rPr>
                <w:sz w:val="20"/>
                <w:szCs w:val="20"/>
                <w:color w:val="auto"/>
              </w:rPr>
            </w:pPr>
            <w:r>
              <w:rPr>
                <w:rFonts w:ascii="Arial" w:cs="Arial" w:eastAsia="Arial" w:hAnsi="Arial"/>
                <w:sz w:val="14"/>
                <w:szCs w:val="14"/>
                <w:color w:val="auto"/>
              </w:rPr>
              <w:t>6</w:t>
            </w:r>
          </w:p>
        </w:tc>
        <w:tc>
          <w:tcPr>
            <w:tcW w:w="1340" w:type="dxa"/>
            <w:vAlign w:val="bottom"/>
            <w:shd w:val="clear" w:color="auto" w:fill="BFE4FF"/>
          </w:tcPr>
          <w:p>
            <w:pPr>
              <w:jc w:val="right"/>
              <w:ind w:right="68"/>
              <w:spacing w:after="0"/>
              <w:rPr>
                <w:sz w:val="20"/>
                <w:szCs w:val="20"/>
                <w:color w:val="auto"/>
              </w:rPr>
            </w:pPr>
            <w:r>
              <w:rPr>
                <w:rFonts w:ascii="Arial" w:cs="Arial" w:eastAsia="Arial" w:hAnsi="Arial"/>
                <w:sz w:val="14"/>
                <w:szCs w:val="14"/>
                <w:color w:val="auto"/>
              </w:rPr>
              <w:t>42.6%</w:t>
            </w:r>
          </w:p>
        </w:tc>
        <w:tc>
          <w:tcPr>
            <w:tcW w:w="0" w:type="dxa"/>
            <w:vAlign w:val="bottom"/>
          </w:tcPr>
          <w:p>
            <w:pPr>
              <w:spacing w:after="0"/>
              <w:rPr>
                <w:sz w:val="1"/>
                <w:szCs w:val="1"/>
                <w:color w:val="auto"/>
              </w:rPr>
            </w:pPr>
          </w:p>
        </w:tc>
      </w:tr>
      <w:tr>
        <w:trPr>
          <w:trHeight w:val="264"/>
        </w:trPr>
        <w:tc>
          <w:tcPr>
            <w:tcW w:w="2500" w:type="dxa"/>
            <w:vAlign w:val="bottom"/>
          </w:tcPr>
          <w:p>
            <w:pPr>
              <w:ind w:left="40"/>
              <w:spacing w:after="0"/>
              <w:rPr>
                <w:sz w:val="20"/>
                <w:szCs w:val="20"/>
                <w:color w:val="auto"/>
              </w:rPr>
            </w:pPr>
            <w:r>
              <w:rPr>
                <w:rFonts w:ascii="Arial" w:cs="Arial" w:eastAsia="Arial" w:hAnsi="Arial"/>
                <w:sz w:val="14"/>
                <w:szCs w:val="14"/>
                <w:color w:val="auto"/>
              </w:rPr>
              <w:t>GMWB</w:t>
            </w: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3,364</w:t>
            </w:r>
          </w:p>
        </w:tc>
        <w:tc>
          <w:tcPr>
            <w:tcW w:w="120" w:type="dxa"/>
            <w:vAlign w:val="bottom"/>
          </w:tcPr>
          <w:p>
            <w:pPr>
              <w:spacing w:after="0"/>
              <w:rPr>
                <w:sz w:val="22"/>
                <w:szCs w:val="22"/>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21</w:t>
            </w:r>
          </w:p>
        </w:tc>
        <w:tc>
          <w:tcPr>
            <w:tcW w:w="100" w:type="dxa"/>
            <w:vAlign w:val="bottom"/>
          </w:tcPr>
          <w:p>
            <w:pPr>
              <w:spacing w:after="0"/>
              <w:rPr>
                <w:sz w:val="22"/>
                <w:szCs w:val="22"/>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14</w:t>
            </w:r>
          </w:p>
        </w:tc>
        <w:tc>
          <w:tcPr>
            <w:tcW w:w="1320" w:type="dxa"/>
            <w:vAlign w:val="bottom"/>
          </w:tcPr>
          <w:p>
            <w:pPr>
              <w:jc w:val="right"/>
              <w:spacing w:after="0"/>
              <w:rPr>
                <w:sz w:val="20"/>
                <w:szCs w:val="20"/>
                <w:color w:val="auto"/>
              </w:rPr>
            </w:pPr>
            <w:r>
              <w:rPr>
                <w:rFonts w:ascii="Arial" w:cs="Arial" w:eastAsia="Arial" w:hAnsi="Arial"/>
                <w:sz w:val="14"/>
                <w:szCs w:val="14"/>
                <w:color w:val="auto"/>
              </w:rPr>
              <w:t>2.1%</w:t>
            </w:r>
          </w:p>
        </w:tc>
        <w:tc>
          <w:tcPr>
            <w:tcW w:w="120" w:type="dxa"/>
            <w:vAlign w:val="bottom"/>
          </w:tcPr>
          <w:p>
            <w:pPr>
              <w:spacing w:after="0"/>
              <w:rPr>
                <w:sz w:val="22"/>
                <w:szCs w:val="22"/>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3,373</w:t>
            </w:r>
          </w:p>
        </w:tc>
        <w:tc>
          <w:tcPr>
            <w:tcW w:w="100" w:type="dxa"/>
            <w:vAlign w:val="bottom"/>
          </w:tcPr>
          <w:p>
            <w:pPr>
              <w:spacing w:after="0"/>
              <w:rPr>
                <w:sz w:val="22"/>
                <w:szCs w:val="22"/>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41</w:t>
            </w:r>
          </w:p>
        </w:tc>
        <w:tc>
          <w:tcPr>
            <w:tcW w:w="100" w:type="dxa"/>
            <w:vAlign w:val="bottom"/>
          </w:tcPr>
          <w:p>
            <w:pPr>
              <w:spacing w:after="0"/>
              <w:rPr>
                <w:sz w:val="22"/>
                <w:szCs w:val="22"/>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29</w:t>
            </w:r>
          </w:p>
        </w:tc>
        <w:tc>
          <w:tcPr>
            <w:tcW w:w="1340" w:type="dxa"/>
            <w:vAlign w:val="bottom"/>
          </w:tcPr>
          <w:p>
            <w:pPr>
              <w:jc w:val="right"/>
              <w:ind w:right="68"/>
              <w:spacing w:after="0"/>
              <w:rPr>
                <w:sz w:val="20"/>
                <w:szCs w:val="20"/>
                <w:color w:val="auto"/>
              </w:rPr>
            </w:pPr>
            <w:r>
              <w:rPr>
                <w:rFonts w:ascii="Arial" w:cs="Arial" w:eastAsia="Arial" w:hAnsi="Arial"/>
                <w:sz w:val="14"/>
                <w:szCs w:val="14"/>
                <w:color w:val="auto"/>
              </w:rPr>
              <w:t>15.0%</w:t>
            </w:r>
          </w:p>
        </w:tc>
        <w:tc>
          <w:tcPr>
            <w:tcW w:w="0" w:type="dxa"/>
            <w:vAlign w:val="bottom"/>
          </w:tcPr>
          <w:p>
            <w:pPr>
              <w:spacing w:after="0"/>
              <w:rPr>
                <w:sz w:val="1"/>
                <w:szCs w:val="1"/>
                <w:color w:val="auto"/>
              </w:rPr>
            </w:pPr>
          </w:p>
        </w:tc>
      </w:tr>
      <w:tr>
        <w:trPr>
          <w:trHeight w:val="276"/>
        </w:trPr>
        <w:tc>
          <w:tcPr>
            <w:tcW w:w="2500" w:type="dxa"/>
            <w:vAlign w:val="bottom"/>
            <w:shd w:val="clear" w:color="auto" w:fill="BFE4FF"/>
          </w:tcPr>
          <w:p>
            <w:pPr>
              <w:ind w:left="40"/>
              <w:spacing w:after="0"/>
              <w:rPr>
                <w:sz w:val="20"/>
                <w:szCs w:val="20"/>
                <w:color w:val="auto"/>
              </w:rPr>
            </w:pPr>
            <w:r>
              <w:rPr>
                <w:rFonts w:ascii="Arial" w:cs="Arial" w:eastAsia="Arial" w:hAnsi="Arial"/>
                <w:sz w:val="14"/>
                <w:szCs w:val="14"/>
                <w:color w:val="auto"/>
              </w:rPr>
              <w:t>GMWB4L</w:t>
            </w:r>
          </w:p>
        </w:tc>
        <w:tc>
          <w:tcPr>
            <w:tcW w:w="860" w:type="dxa"/>
            <w:vAlign w:val="bottom"/>
            <w:shd w:val="clear" w:color="auto" w:fill="BFE4FF"/>
          </w:tcPr>
          <w:p>
            <w:pPr>
              <w:jc w:val="right"/>
              <w:ind w:right="28"/>
              <w:spacing w:after="0"/>
              <w:rPr>
                <w:sz w:val="20"/>
                <w:szCs w:val="20"/>
                <w:color w:val="auto"/>
              </w:rPr>
            </w:pPr>
            <w:r>
              <w:rPr>
                <w:rFonts w:ascii="Arial" w:cs="Arial" w:eastAsia="Arial" w:hAnsi="Arial"/>
                <w:sz w:val="14"/>
                <w:szCs w:val="14"/>
                <w:color w:val="auto"/>
              </w:rPr>
              <w:t>17,976</w:t>
            </w:r>
          </w:p>
        </w:tc>
        <w:tc>
          <w:tcPr>
            <w:tcW w:w="120" w:type="dxa"/>
            <w:vAlign w:val="bottom"/>
            <w:shd w:val="clear" w:color="auto" w:fill="BFE4FF"/>
          </w:tcPr>
          <w:p>
            <w:pPr>
              <w:spacing w:after="0"/>
              <w:rPr>
                <w:sz w:val="24"/>
                <w:szCs w:val="24"/>
                <w:color w:val="auto"/>
              </w:rPr>
            </w:pPr>
          </w:p>
        </w:tc>
        <w:tc>
          <w:tcPr>
            <w:tcW w:w="860" w:type="dxa"/>
            <w:vAlign w:val="bottom"/>
            <w:shd w:val="clear" w:color="auto" w:fill="BFE4FF"/>
          </w:tcPr>
          <w:p>
            <w:pPr>
              <w:jc w:val="right"/>
              <w:ind w:right="28"/>
              <w:spacing w:after="0"/>
              <w:rPr>
                <w:sz w:val="20"/>
                <w:szCs w:val="20"/>
                <w:color w:val="auto"/>
              </w:rPr>
            </w:pPr>
            <w:r>
              <w:rPr>
                <w:rFonts w:ascii="Arial" w:cs="Arial" w:eastAsia="Arial" w:hAnsi="Arial"/>
                <w:sz w:val="14"/>
                <w:szCs w:val="14"/>
                <w:color w:val="auto"/>
              </w:rPr>
              <w:t>34</w:t>
            </w:r>
          </w:p>
        </w:tc>
        <w:tc>
          <w:tcPr>
            <w:tcW w:w="100" w:type="dxa"/>
            <w:vAlign w:val="bottom"/>
            <w:shd w:val="clear" w:color="auto" w:fill="BFE4FF"/>
          </w:tcPr>
          <w:p>
            <w:pPr>
              <w:spacing w:after="0"/>
              <w:rPr>
                <w:sz w:val="24"/>
                <w:szCs w:val="24"/>
                <w:color w:val="auto"/>
              </w:rPr>
            </w:pPr>
          </w:p>
        </w:tc>
        <w:tc>
          <w:tcPr>
            <w:tcW w:w="880" w:type="dxa"/>
            <w:vAlign w:val="bottom"/>
            <w:shd w:val="clear" w:color="auto" w:fill="BFE4FF"/>
          </w:tcPr>
          <w:p>
            <w:pPr>
              <w:jc w:val="right"/>
              <w:ind w:right="48"/>
              <w:spacing w:after="0"/>
              <w:rPr>
                <w:sz w:val="20"/>
                <w:szCs w:val="20"/>
                <w:color w:val="auto"/>
              </w:rPr>
            </w:pPr>
            <w:r>
              <w:rPr>
                <w:rFonts w:ascii="Arial" w:cs="Arial" w:eastAsia="Arial" w:hAnsi="Arial"/>
                <w:sz w:val="14"/>
                <w:szCs w:val="14"/>
                <w:color w:val="auto"/>
              </w:rPr>
              <w:t>398</w:t>
            </w:r>
          </w:p>
        </w:tc>
        <w:tc>
          <w:tcPr>
            <w:tcW w:w="1320" w:type="dxa"/>
            <w:vAlign w:val="bottom"/>
            <w:shd w:val="clear" w:color="auto" w:fill="BFE4FF"/>
          </w:tcPr>
          <w:p>
            <w:pPr>
              <w:jc w:val="right"/>
              <w:spacing w:after="0"/>
              <w:rPr>
                <w:sz w:val="20"/>
                <w:szCs w:val="20"/>
                <w:color w:val="auto"/>
              </w:rPr>
            </w:pPr>
            <w:r>
              <w:rPr>
                <w:rFonts w:ascii="Arial" w:cs="Arial" w:eastAsia="Arial" w:hAnsi="Arial"/>
                <w:sz w:val="14"/>
                <w:szCs w:val="14"/>
                <w:color w:val="auto"/>
              </w:rPr>
              <w:t>18.5%</w:t>
            </w:r>
          </w:p>
        </w:tc>
        <w:tc>
          <w:tcPr>
            <w:tcW w:w="120" w:type="dxa"/>
            <w:vAlign w:val="bottom"/>
            <w:shd w:val="clear" w:color="auto" w:fill="BFE4FF"/>
          </w:tcPr>
          <w:p>
            <w:pPr>
              <w:spacing w:after="0"/>
              <w:rPr>
                <w:sz w:val="24"/>
                <w:szCs w:val="24"/>
                <w:color w:val="auto"/>
              </w:rPr>
            </w:pPr>
          </w:p>
        </w:tc>
        <w:tc>
          <w:tcPr>
            <w:tcW w:w="860" w:type="dxa"/>
            <w:vAlign w:val="bottom"/>
            <w:shd w:val="clear" w:color="auto" w:fill="BFE4FF"/>
          </w:tcPr>
          <w:p>
            <w:pPr>
              <w:jc w:val="right"/>
              <w:ind w:right="28"/>
              <w:spacing w:after="0"/>
              <w:rPr>
                <w:sz w:val="20"/>
                <w:szCs w:val="20"/>
                <w:color w:val="auto"/>
              </w:rPr>
            </w:pPr>
            <w:r>
              <w:rPr>
                <w:rFonts w:ascii="Arial" w:cs="Arial" w:eastAsia="Arial" w:hAnsi="Arial"/>
                <w:sz w:val="14"/>
                <w:szCs w:val="14"/>
                <w:color w:val="auto"/>
              </w:rPr>
              <w:t>17,689</w:t>
            </w:r>
          </w:p>
        </w:tc>
        <w:tc>
          <w:tcPr>
            <w:tcW w:w="100" w:type="dxa"/>
            <w:vAlign w:val="bottom"/>
            <w:shd w:val="clear" w:color="auto" w:fill="BFE4FF"/>
          </w:tcPr>
          <w:p>
            <w:pPr>
              <w:spacing w:after="0"/>
              <w:rPr>
                <w:sz w:val="24"/>
                <w:szCs w:val="24"/>
                <w:color w:val="auto"/>
              </w:rPr>
            </w:pPr>
          </w:p>
        </w:tc>
        <w:tc>
          <w:tcPr>
            <w:tcW w:w="880" w:type="dxa"/>
            <w:vAlign w:val="bottom"/>
            <w:shd w:val="clear" w:color="auto" w:fill="BFE4FF"/>
          </w:tcPr>
          <w:p>
            <w:pPr>
              <w:jc w:val="right"/>
              <w:ind w:right="48"/>
              <w:spacing w:after="0"/>
              <w:rPr>
                <w:sz w:val="20"/>
                <w:szCs w:val="20"/>
                <w:color w:val="auto"/>
              </w:rPr>
            </w:pPr>
            <w:r>
              <w:rPr>
                <w:rFonts w:ascii="Arial" w:cs="Arial" w:eastAsia="Arial" w:hAnsi="Arial"/>
                <w:sz w:val="14"/>
                <w:szCs w:val="14"/>
                <w:color w:val="auto"/>
              </w:rPr>
              <w:t>96</w:t>
            </w:r>
          </w:p>
        </w:tc>
        <w:tc>
          <w:tcPr>
            <w:tcW w:w="100" w:type="dxa"/>
            <w:vAlign w:val="bottom"/>
            <w:shd w:val="clear" w:color="auto" w:fill="BFE4FF"/>
          </w:tcPr>
          <w:p>
            <w:pPr>
              <w:spacing w:after="0"/>
              <w:rPr>
                <w:sz w:val="24"/>
                <w:szCs w:val="24"/>
                <w:color w:val="auto"/>
              </w:rPr>
            </w:pPr>
          </w:p>
        </w:tc>
        <w:tc>
          <w:tcPr>
            <w:tcW w:w="860" w:type="dxa"/>
            <w:vAlign w:val="bottom"/>
            <w:shd w:val="clear" w:color="auto" w:fill="BFE4FF"/>
          </w:tcPr>
          <w:p>
            <w:pPr>
              <w:jc w:val="right"/>
              <w:ind w:right="28"/>
              <w:spacing w:after="0"/>
              <w:rPr>
                <w:sz w:val="20"/>
                <w:szCs w:val="20"/>
                <w:color w:val="auto"/>
              </w:rPr>
            </w:pPr>
            <w:r>
              <w:rPr>
                <w:rFonts w:ascii="Arial" w:cs="Arial" w:eastAsia="Arial" w:hAnsi="Arial"/>
                <w:sz w:val="14"/>
                <w:szCs w:val="14"/>
                <w:color w:val="auto"/>
              </w:rPr>
              <w:t>524</w:t>
            </w:r>
          </w:p>
        </w:tc>
        <w:tc>
          <w:tcPr>
            <w:tcW w:w="1340" w:type="dxa"/>
            <w:vAlign w:val="bottom"/>
            <w:shd w:val="clear" w:color="auto" w:fill="BFE4FF"/>
          </w:tcPr>
          <w:p>
            <w:pPr>
              <w:jc w:val="right"/>
              <w:ind w:right="68"/>
              <w:spacing w:after="0"/>
              <w:rPr>
                <w:sz w:val="20"/>
                <w:szCs w:val="20"/>
                <w:color w:val="auto"/>
              </w:rPr>
            </w:pPr>
            <w:r>
              <w:rPr>
                <w:rFonts w:ascii="Arial" w:cs="Arial" w:eastAsia="Arial" w:hAnsi="Arial"/>
                <w:sz w:val="14"/>
                <w:szCs w:val="14"/>
                <w:color w:val="auto"/>
              </w:rPr>
              <w:t>24.0%</w:t>
            </w:r>
          </w:p>
        </w:tc>
        <w:tc>
          <w:tcPr>
            <w:tcW w:w="0" w:type="dxa"/>
            <w:vAlign w:val="bottom"/>
          </w:tcPr>
          <w:p>
            <w:pPr>
              <w:spacing w:after="0"/>
              <w:rPr>
                <w:sz w:val="1"/>
                <w:szCs w:val="1"/>
                <w:color w:val="auto"/>
              </w:rPr>
            </w:pPr>
          </w:p>
        </w:tc>
      </w:tr>
      <w:tr>
        <w:trPr>
          <w:trHeight w:val="264"/>
        </w:trPr>
        <w:tc>
          <w:tcPr>
            <w:tcW w:w="2500" w:type="dxa"/>
            <w:vAlign w:val="bottom"/>
          </w:tcPr>
          <w:p>
            <w:pPr>
              <w:ind w:left="40"/>
              <w:spacing w:after="0"/>
              <w:rPr>
                <w:sz w:val="20"/>
                <w:szCs w:val="20"/>
                <w:color w:val="auto"/>
              </w:rPr>
            </w:pPr>
            <w:r>
              <w:rPr>
                <w:rFonts w:ascii="Arial" w:cs="Arial" w:eastAsia="Arial" w:hAnsi="Arial"/>
                <w:sz w:val="14"/>
                <w:szCs w:val="14"/>
                <w:color w:val="auto"/>
              </w:rPr>
              <w:t>EDB Only</w:t>
            </w: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3,973</w:t>
            </w:r>
          </w:p>
        </w:tc>
        <w:tc>
          <w:tcPr>
            <w:tcW w:w="120" w:type="dxa"/>
            <w:vAlign w:val="bottom"/>
          </w:tcPr>
          <w:p>
            <w:pPr>
              <w:spacing w:after="0"/>
              <w:rPr>
                <w:sz w:val="22"/>
                <w:szCs w:val="22"/>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397</w:t>
            </w:r>
          </w:p>
        </w:tc>
        <w:tc>
          <w:tcPr>
            <w:tcW w:w="100" w:type="dxa"/>
            <w:vAlign w:val="bottom"/>
          </w:tcPr>
          <w:p>
            <w:pPr>
              <w:spacing w:after="0"/>
              <w:rPr>
                <w:sz w:val="22"/>
                <w:szCs w:val="22"/>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440" w:type="dxa"/>
            <w:vAlign w:val="bottom"/>
            <w:gridSpan w:val="2"/>
          </w:tcPr>
          <w:p>
            <w:pPr>
              <w:ind w:left="940"/>
              <w:spacing w:after="0"/>
              <w:rPr>
                <w:sz w:val="20"/>
                <w:szCs w:val="20"/>
                <w:color w:val="auto"/>
              </w:rPr>
            </w:pPr>
            <w:r>
              <w:rPr>
                <w:rFonts w:ascii="Arial" w:cs="Arial" w:eastAsia="Arial" w:hAnsi="Arial"/>
                <w:sz w:val="14"/>
                <w:szCs w:val="14"/>
                <w:color w:val="auto"/>
              </w:rPr>
              <w:t>N/A</w:t>
            </w: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3,814</w:t>
            </w:r>
          </w:p>
        </w:tc>
        <w:tc>
          <w:tcPr>
            <w:tcW w:w="100" w:type="dxa"/>
            <w:vAlign w:val="bottom"/>
          </w:tcPr>
          <w:p>
            <w:pPr>
              <w:spacing w:after="0"/>
              <w:rPr>
                <w:sz w:val="22"/>
                <w:szCs w:val="22"/>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560</w:t>
            </w:r>
          </w:p>
        </w:tc>
        <w:tc>
          <w:tcPr>
            <w:tcW w:w="100" w:type="dxa"/>
            <w:vAlign w:val="bottom"/>
          </w:tcPr>
          <w:p>
            <w:pPr>
              <w:spacing w:after="0"/>
              <w:rPr>
                <w:sz w:val="22"/>
                <w:szCs w:val="22"/>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340" w:type="dxa"/>
            <w:vAlign w:val="bottom"/>
          </w:tcPr>
          <w:p>
            <w:pPr>
              <w:jc w:val="right"/>
              <w:ind w:right="68"/>
              <w:spacing w:after="0"/>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270"/>
        </w:trPr>
        <w:tc>
          <w:tcPr>
            <w:tcW w:w="2500" w:type="dxa"/>
            <w:vAlign w:val="bottom"/>
            <w:shd w:val="clear" w:color="auto" w:fill="BFE4FF"/>
          </w:tcPr>
          <w:p>
            <w:pPr>
              <w:ind w:left="40"/>
              <w:spacing w:after="0"/>
              <w:rPr>
                <w:sz w:val="20"/>
                <w:szCs w:val="20"/>
                <w:color w:val="auto"/>
              </w:rPr>
            </w:pPr>
            <w:r>
              <w:rPr>
                <w:rFonts w:ascii="Arial" w:cs="Arial" w:eastAsia="Arial" w:hAnsi="Arial"/>
                <w:sz w:val="14"/>
                <w:szCs w:val="14"/>
                <w:color w:val="auto"/>
              </w:rPr>
              <w:t>GMDB Only (Other than EDB)</w:t>
            </w:r>
          </w:p>
        </w:tc>
        <w:tc>
          <w:tcPr>
            <w:tcW w:w="860" w:type="dxa"/>
            <w:vAlign w:val="bottom"/>
            <w:tcBorders>
              <w:bottom w:val="single" w:sz="8" w:color="auto"/>
            </w:tcBorders>
            <w:shd w:val="clear" w:color="auto" w:fill="BFE4FF"/>
          </w:tcPr>
          <w:p>
            <w:pPr>
              <w:jc w:val="right"/>
              <w:ind w:right="28"/>
              <w:spacing w:after="0"/>
              <w:rPr>
                <w:sz w:val="20"/>
                <w:szCs w:val="20"/>
                <w:color w:val="auto"/>
              </w:rPr>
            </w:pPr>
            <w:r>
              <w:rPr>
                <w:rFonts w:ascii="Arial" w:cs="Arial" w:eastAsia="Arial" w:hAnsi="Arial"/>
                <w:sz w:val="14"/>
                <w:szCs w:val="14"/>
                <w:color w:val="auto"/>
              </w:rPr>
              <w:t>19,488</w:t>
            </w:r>
          </w:p>
        </w:tc>
        <w:tc>
          <w:tcPr>
            <w:tcW w:w="120" w:type="dxa"/>
            <w:vAlign w:val="bottom"/>
            <w:shd w:val="clear" w:color="auto" w:fill="BFE4FF"/>
          </w:tcPr>
          <w:p>
            <w:pPr>
              <w:spacing w:after="0"/>
              <w:rPr>
                <w:sz w:val="23"/>
                <w:szCs w:val="23"/>
                <w:color w:val="auto"/>
              </w:rPr>
            </w:pPr>
          </w:p>
        </w:tc>
        <w:tc>
          <w:tcPr>
            <w:tcW w:w="860" w:type="dxa"/>
            <w:vAlign w:val="bottom"/>
            <w:tcBorders>
              <w:bottom w:val="single" w:sz="8" w:color="auto"/>
            </w:tcBorders>
            <w:shd w:val="clear" w:color="auto" w:fill="BFE4FF"/>
          </w:tcPr>
          <w:p>
            <w:pPr>
              <w:jc w:val="right"/>
              <w:ind w:right="28"/>
              <w:spacing w:after="0"/>
              <w:rPr>
                <w:sz w:val="20"/>
                <w:szCs w:val="20"/>
                <w:color w:val="auto"/>
              </w:rPr>
            </w:pPr>
            <w:r>
              <w:rPr>
                <w:rFonts w:ascii="Arial" w:cs="Arial" w:eastAsia="Arial" w:hAnsi="Arial"/>
                <w:sz w:val="14"/>
                <w:szCs w:val="14"/>
                <w:color w:val="auto"/>
              </w:rPr>
              <w:t>271</w:t>
            </w:r>
          </w:p>
        </w:tc>
        <w:tc>
          <w:tcPr>
            <w:tcW w:w="100" w:type="dxa"/>
            <w:vAlign w:val="bottom"/>
            <w:shd w:val="clear" w:color="auto" w:fill="BFE4FF"/>
          </w:tcPr>
          <w:p>
            <w:pPr>
              <w:spacing w:after="0"/>
              <w:rPr>
                <w:sz w:val="23"/>
                <w:szCs w:val="23"/>
                <w:color w:val="auto"/>
              </w:rPr>
            </w:pPr>
          </w:p>
        </w:tc>
        <w:tc>
          <w:tcPr>
            <w:tcW w:w="880" w:type="dxa"/>
            <w:vAlign w:val="bottom"/>
            <w:tcBorders>
              <w:bottom w:val="single" w:sz="8" w:color="auto"/>
            </w:tcBorders>
            <w:shd w:val="clear" w:color="auto" w:fill="BFE4FF"/>
          </w:tcPr>
          <w:p>
            <w:pPr>
              <w:jc w:val="right"/>
              <w:ind w:right="48"/>
              <w:spacing w:after="0"/>
              <w:rPr>
                <w:sz w:val="20"/>
                <w:szCs w:val="20"/>
                <w:color w:val="auto"/>
              </w:rPr>
            </w:pPr>
            <w:r>
              <w:rPr>
                <w:rFonts w:ascii="Arial" w:cs="Arial" w:eastAsia="Arial" w:hAnsi="Arial"/>
                <w:sz w:val="14"/>
                <w:szCs w:val="14"/>
                <w:color w:val="auto"/>
              </w:rPr>
              <w:t>—</w:t>
            </w:r>
          </w:p>
        </w:tc>
        <w:tc>
          <w:tcPr>
            <w:tcW w:w="1440" w:type="dxa"/>
            <w:vAlign w:val="bottom"/>
            <w:gridSpan w:val="2"/>
            <w:shd w:val="clear" w:color="auto" w:fill="BFE4FF"/>
          </w:tcPr>
          <w:p>
            <w:pPr>
              <w:ind w:left="940"/>
              <w:spacing w:after="0"/>
              <w:rPr>
                <w:sz w:val="20"/>
                <w:szCs w:val="20"/>
                <w:color w:val="auto"/>
              </w:rPr>
            </w:pPr>
            <w:r>
              <w:rPr>
                <w:rFonts w:ascii="Arial" w:cs="Arial" w:eastAsia="Arial" w:hAnsi="Arial"/>
                <w:sz w:val="14"/>
                <w:szCs w:val="14"/>
                <w:color w:val="auto"/>
              </w:rPr>
              <w:t>N/A</w:t>
            </w:r>
          </w:p>
        </w:tc>
        <w:tc>
          <w:tcPr>
            <w:tcW w:w="860" w:type="dxa"/>
            <w:vAlign w:val="bottom"/>
            <w:tcBorders>
              <w:bottom w:val="single" w:sz="8" w:color="auto"/>
            </w:tcBorders>
            <w:shd w:val="clear" w:color="auto" w:fill="BFE4FF"/>
          </w:tcPr>
          <w:p>
            <w:pPr>
              <w:jc w:val="right"/>
              <w:ind w:right="28"/>
              <w:spacing w:after="0"/>
              <w:rPr>
                <w:sz w:val="20"/>
                <w:szCs w:val="20"/>
                <w:color w:val="auto"/>
              </w:rPr>
            </w:pPr>
            <w:r>
              <w:rPr>
                <w:rFonts w:ascii="Arial" w:cs="Arial" w:eastAsia="Arial" w:hAnsi="Arial"/>
                <w:sz w:val="14"/>
                <w:szCs w:val="14"/>
                <w:color w:val="auto"/>
              </w:rPr>
              <w:t>18,922</w:t>
            </w:r>
          </w:p>
        </w:tc>
        <w:tc>
          <w:tcPr>
            <w:tcW w:w="100" w:type="dxa"/>
            <w:vAlign w:val="bottom"/>
            <w:shd w:val="clear" w:color="auto" w:fill="BFE4FF"/>
          </w:tcPr>
          <w:p>
            <w:pPr>
              <w:spacing w:after="0"/>
              <w:rPr>
                <w:sz w:val="23"/>
                <w:szCs w:val="23"/>
                <w:color w:val="auto"/>
              </w:rPr>
            </w:pPr>
          </w:p>
        </w:tc>
        <w:tc>
          <w:tcPr>
            <w:tcW w:w="880" w:type="dxa"/>
            <w:vAlign w:val="bottom"/>
            <w:tcBorders>
              <w:bottom w:val="single" w:sz="8" w:color="auto"/>
            </w:tcBorders>
            <w:shd w:val="clear" w:color="auto" w:fill="BFE4FF"/>
          </w:tcPr>
          <w:p>
            <w:pPr>
              <w:jc w:val="right"/>
              <w:ind w:right="48"/>
              <w:spacing w:after="0"/>
              <w:rPr>
                <w:sz w:val="20"/>
                <w:szCs w:val="20"/>
                <w:color w:val="auto"/>
              </w:rPr>
            </w:pPr>
            <w:r>
              <w:rPr>
                <w:rFonts w:ascii="Arial" w:cs="Arial" w:eastAsia="Arial" w:hAnsi="Arial"/>
                <w:sz w:val="14"/>
                <w:szCs w:val="14"/>
                <w:color w:val="auto"/>
              </w:rPr>
              <w:t>348</w:t>
            </w:r>
          </w:p>
        </w:tc>
        <w:tc>
          <w:tcPr>
            <w:tcW w:w="100" w:type="dxa"/>
            <w:vAlign w:val="bottom"/>
            <w:shd w:val="clear" w:color="auto" w:fill="BFE4FF"/>
          </w:tcPr>
          <w:p>
            <w:pPr>
              <w:spacing w:after="0"/>
              <w:rPr>
                <w:sz w:val="23"/>
                <w:szCs w:val="23"/>
                <w:color w:val="auto"/>
              </w:rPr>
            </w:pPr>
          </w:p>
        </w:tc>
        <w:tc>
          <w:tcPr>
            <w:tcW w:w="860" w:type="dxa"/>
            <w:vAlign w:val="bottom"/>
            <w:tcBorders>
              <w:bottom w:val="single" w:sz="8" w:color="auto"/>
            </w:tcBorders>
            <w:shd w:val="clear" w:color="auto" w:fill="BFE4FF"/>
          </w:tcPr>
          <w:p>
            <w:pPr>
              <w:jc w:val="right"/>
              <w:ind w:right="28"/>
              <w:spacing w:after="0"/>
              <w:rPr>
                <w:sz w:val="20"/>
                <w:szCs w:val="20"/>
                <w:color w:val="auto"/>
              </w:rPr>
            </w:pPr>
            <w:r>
              <w:rPr>
                <w:rFonts w:ascii="Arial" w:cs="Arial" w:eastAsia="Arial" w:hAnsi="Arial"/>
                <w:sz w:val="14"/>
                <w:szCs w:val="14"/>
                <w:color w:val="auto"/>
              </w:rPr>
              <w:t>—</w:t>
            </w:r>
          </w:p>
        </w:tc>
        <w:tc>
          <w:tcPr>
            <w:tcW w:w="1340" w:type="dxa"/>
            <w:vAlign w:val="bottom"/>
            <w:shd w:val="clear" w:color="auto" w:fill="BFE4FF"/>
          </w:tcPr>
          <w:p>
            <w:pPr>
              <w:jc w:val="right"/>
              <w:ind w:right="68"/>
              <w:spacing w:after="0"/>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243"/>
        </w:trPr>
        <w:tc>
          <w:tcPr>
            <w:tcW w:w="2500" w:type="dxa"/>
            <w:vAlign w:val="bottom"/>
          </w:tcPr>
          <w:p>
            <w:pPr>
              <w:ind w:left="280"/>
              <w:spacing w:after="0"/>
              <w:rPr>
                <w:sz w:val="20"/>
                <w:szCs w:val="20"/>
                <w:color w:val="auto"/>
              </w:rPr>
            </w:pPr>
            <w:r>
              <w:rPr>
                <w:rFonts w:ascii="Arial" w:cs="Arial" w:eastAsia="Arial" w:hAnsi="Arial"/>
                <w:sz w:val="14"/>
                <w:szCs w:val="14"/>
                <w:color w:val="auto"/>
              </w:rPr>
              <w:t>Total</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$114,168</w:t>
            </w:r>
          </w:p>
        </w:tc>
        <w:tc>
          <w:tcPr>
            <w:tcW w:w="120" w:type="dxa"/>
            <w:vAlign w:val="bottom"/>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$4,480</w:t>
            </w:r>
          </w:p>
        </w:tc>
        <w:tc>
          <w:tcPr>
            <w:tcW w:w="100" w:type="dxa"/>
            <w:vAlign w:val="bottom"/>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$3,395</w:t>
            </w:r>
          </w:p>
        </w:tc>
        <w:tc>
          <w:tcPr>
            <w:tcW w:w="1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$110,518</w:t>
            </w:r>
          </w:p>
        </w:tc>
        <w:tc>
          <w:tcPr>
            <w:tcW w:w="100" w:type="dxa"/>
            <w:vAlign w:val="bottom"/>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$5,838</w:t>
            </w:r>
          </w:p>
        </w:tc>
        <w:tc>
          <w:tcPr>
            <w:tcW w:w="100" w:type="dxa"/>
            <w:vAlign w:val="bottom"/>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$3,568</w:t>
            </w:r>
          </w:p>
        </w:tc>
        <w:tc>
          <w:tcPr>
            <w:tcW w:w="1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5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__________</w:t>
      </w:r>
    </w:p>
    <w:p>
      <w:pPr>
        <w:spacing w:after="0" w:line="117" w:lineRule="exact"/>
        <w:rPr>
          <w:sz w:val="20"/>
          <w:szCs w:val="20"/>
          <w:color w:val="auto"/>
        </w:rPr>
      </w:pPr>
    </w:p>
    <w:p>
      <w:pPr>
        <w:ind w:left="340" w:hanging="332"/>
        <w:spacing w:after="0"/>
        <w:tabs>
          <w:tab w:leader="none" w:pos="340" w:val="left"/>
        </w:tabs>
        <w:numPr>
          <w:ilvl w:val="0"/>
          <w:numId w:val="82"/>
        </w:numPr>
        <w:rPr>
          <w:rFonts w:ascii="Arial" w:cs="Arial" w:eastAsia="Arial" w:hAnsi="Arial"/>
          <w:sz w:val="18"/>
          <w:szCs w:val="18"/>
          <w:color w:val="auto"/>
        </w:rPr>
      </w:pPr>
      <w:r>
        <w:rPr>
          <w:rFonts w:ascii="Arial" w:cs="Arial" w:eastAsia="Arial" w:hAnsi="Arial"/>
          <w:sz w:val="18"/>
          <w:szCs w:val="18"/>
          <w:color w:val="auto"/>
        </w:rPr>
        <w:t>The “Death Benefit NAR” and “Living Benefit NAR” are not additive at the contract level.</w:t>
      </w:r>
    </w:p>
    <w:p>
      <w:pPr>
        <w:spacing w:after="0" w:line="117" w:lineRule="exact"/>
        <w:rPr>
          <w:rFonts w:ascii="Arial" w:cs="Arial" w:eastAsia="Arial" w:hAnsi="Arial"/>
          <w:sz w:val="18"/>
          <w:szCs w:val="18"/>
          <w:color w:val="auto"/>
        </w:rPr>
      </w:pPr>
    </w:p>
    <w:p>
      <w:pPr>
        <w:ind w:left="340" w:hanging="332"/>
        <w:spacing w:after="0"/>
        <w:tabs>
          <w:tab w:leader="none" w:pos="340" w:val="left"/>
        </w:tabs>
        <w:numPr>
          <w:ilvl w:val="0"/>
          <w:numId w:val="82"/>
        </w:numPr>
        <w:rPr>
          <w:rFonts w:ascii="Arial" w:cs="Arial" w:eastAsia="Arial" w:hAnsi="Arial"/>
          <w:sz w:val="18"/>
          <w:szCs w:val="18"/>
          <w:color w:val="auto"/>
        </w:rPr>
      </w:pPr>
      <w:r>
        <w:rPr>
          <w:rFonts w:ascii="Arial" w:cs="Arial" w:eastAsia="Arial" w:hAnsi="Arial"/>
          <w:sz w:val="18"/>
          <w:szCs w:val="18"/>
          <w:color w:val="auto"/>
        </w:rPr>
        <w:t>In-the-Money is defined as any contract with a living benefit NAR in excess of zero.</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Reserves</w:t>
      </w:r>
    </w:p>
    <w:p>
      <w:pPr>
        <w:spacing w:after="0" w:line="117" w:lineRule="exact"/>
        <w:rPr>
          <w:sz w:val="20"/>
          <w:szCs w:val="20"/>
          <w:color w:val="auto"/>
        </w:rPr>
      </w:pPr>
    </w:p>
    <w:p>
      <w:pPr>
        <w:jc w:val="both"/>
        <w:ind w:left="180" w:firstLine="324"/>
        <w:spacing w:after="0" w:line="288" w:lineRule="auto"/>
        <w:rPr>
          <w:sz w:val="20"/>
          <w:szCs w:val="20"/>
          <w:color w:val="auto"/>
        </w:rPr>
      </w:pPr>
      <w:r>
        <w:rPr>
          <w:rFonts w:ascii="Arial" w:cs="Arial" w:eastAsia="Arial" w:hAnsi="Arial"/>
          <w:sz w:val="16"/>
          <w:szCs w:val="16"/>
          <w:color w:val="auto"/>
        </w:rPr>
        <w:t>Under GAAP, certain of our variable annuity guarantee features are accounted for as insurance liabilities and recorded on the balance sheet in future policy benefits with changes reported in policyholder benefits and claims. These liabilities are accounted for using long term assumptions of equity and bond market returns and the level of interest rates. Therefore, these liabilities, valued at $4.1 billion at September 30, 2017, are less sensitive than derivative instruments to periodic changes to equity and fixed income market returns and the level of interest rates. Guarantees accounted for in this manner include GMDBs as well as the life contingent portion of GMIBs and certain GMWBs. Other guarantees are accounted for as embedded derivatives and recorded on the balance sheet in policyholder account balances with changes reported in net derivative gains (losses). These liabilities, valued at $1.4 billion at September 30, 2017, are accounted for at fair value. Guarantees accounted for in this manner include GMABs, GMWBs and the non-life contingent portions of GMIBs. In some cases, a guarantee will have multiple features or options that require separate accounting such that the guarantee is not fully accounted for under only one of the accounting models (known as “split accounting”). See “Management’s Discussion and Analysis of Financial Condition and Results of Operations — Summary of Critical Accounting Estimates” included in the Form 10.</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121</w:t>
      </w:r>
    </w:p>
    <w:p>
      <w:pPr>
        <w:sectPr>
          <w:pgSz w:w="11900" w:h="16838" w:orient="portrait"/>
          <w:cols w:equalWidth="0" w:num="1">
            <w:col w:w="11420"/>
          </w:cols>
          <w:pgMar w:left="240" w:top="126" w:right="239" w:bottom="1440" w:gutter="0" w:footer="0" w:header="0"/>
        </w:sectPr>
      </w:pPr>
    </w:p>
    <w:bookmarkStart w:id="123" w:name="page124"/>
    <w:bookmarkEnd w:id="123"/>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500"/>
        <w:spacing w:after="0"/>
        <w:rPr>
          <w:sz w:val="20"/>
          <w:szCs w:val="20"/>
          <w:color w:val="auto"/>
        </w:rPr>
      </w:pPr>
      <w:r>
        <w:rPr>
          <w:rFonts w:ascii="Arial" w:cs="Arial" w:eastAsia="Arial" w:hAnsi="Arial"/>
          <w:sz w:val="17"/>
          <w:szCs w:val="17"/>
          <w:color w:val="auto"/>
        </w:rPr>
        <w:t>The table below presents the GAAP reserve balances by guarantee type and accounting model at September 30, 2017 and December 31, 2016:</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920" w:type="dxa"/>
            <w:vAlign w:val="bottom"/>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gridSpan w:val="3"/>
          </w:tcPr>
          <w:p>
            <w:pPr>
              <w:jc w:val="right"/>
              <w:ind w:right="728"/>
              <w:spacing w:after="0"/>
              <w:rPr>
                <w:sz w:val="20"/>
                <w:szCs w:val="20"/>
                <w:color w:val="auto"/>
              </w:rPr>
            </w:pPr>
            <w:r>
              <w:rPr>
                <w:rFonts w:ascii="Arial" w:cs="Arial" w:eastAsia="Arial" w:hAnsi="Arial"/>
                <w:sz w:val="14"/>
                <w:szCs w:val="14"/>
                <w:b w:val="1"/>
                <w:bCs w:val="1"/>
                <w:color w:val="auto"/>
              </w:rPr>
              <w:t>Reserves</w:t>
            </w: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4920" w:type="dxa"/>
            <w:vAlign w:val="bottom"/>
          </w:tcPr>
          <w:p>
            <w:pPr>
              <w:spacing w:after="0"/>
              <w:rPr>
                <w:sz w:val="22"/>
                <w:szCs w:val="22"/>
                <w:color w:val="auto"/>
              </w:rPr>
            </w:pPr>
          </w:p>
        </w:tc>
        <w:tc>
          <w:tcPr>
            <w:tcW w:w="102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gridSpan w:val="4"/>
          </w:tcPr>
          <w:p>
            <w:pPr>
              <w:ind w:left="20"/>
              <w:spacing w:after="0"/>
              <w:rPr>
                <w:sz w:val="20"/>
                <w:szCs w:val="20"/>
                <w:color w:val="auto"/>
              </w:rPr>
            </w:pPr>
            <w:r>
              <w:rPr>
                <w:rFonts w:ascii="Arial" w:cs="Arial" w:eastAsia="Arial" w:hAnsi="Arial"/>
                <w:sz w:val="14"/>
                <w:szCs w:val="14"/>
                <w:b w:val="1"/>
                <w:bCs w:val="1"/>
                <w:color w:val="auto"/>
              </w:rPr>
              <w:t>September 30, 2017</w:t>
            </w:r>
          </w:p>
        </w:tc>
        <w:tc>
          <w:tcPr>
            <w:tcW w:w="80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98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gridSpan w:val="4"/>
          </w:tcPr>
          <w:p>
            <w:pPr>
              <w:ind w:left="20"/>
              <w:spacing w:after="0"/>
              <w:rPr>
                <w:sz w:val="20"/>
                <w:szCs w:val="20"/>
                <w:color w:val="auto"/>
              </w:rPr>
            </w:pPr>
            <w:r>
              <w:rPr>
                <w:rFonts w:ascii="Arial" w:cs="Arial" w:eastAsia="Arial" w:hAnsi="Arial"/>
                <w:sz w:val="14"/>
                <w:szCs w:val="14"/>
                <w:b w:val="1"/>
                <w:bCs w:val="1"/>
                <w:color w:val="auto"/>
              </w:rPr>
              <w:t>December 31, 2016</w:t>
            </w:r>
          </w:p>
        </w:tc>
        <w:tc>
          <w:tcPr>
            <w:tcW w:w="78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52"/>
        </w:trPr>
        <w:tc>
          <w:tcPr>
            <w:tcW w:w="4920" w:type="dxa"/>
            <w:vAlign w:val="bottom"/>
          </w:tcPr>
          <w:p>
            <w:pPr>
              <w:spacing w:after="0"/>
              <w:rPr>
                <w:sz w:val="13"/>
                <w:szCs w:val="13"/>
                <w:color w:val="auto"/>
              </w:rPr>
            </w:pPr>
          </w:p>
        </w:tc>
        <w:tc>
          <w:tcPr>
            <w:tcW w:w="1020" w:type="dxa"/>
            <w:vAlign w:val="bottom"/>
            <w:vMerge w:val="restart"/>
          </w:tcPr>
          <w:p>
            <w:pPr>
              <w:jc w:val="right"/>
              <w:ind w:right="8"/>
              <w:spacing w:after="0"/>
              <w:rPr>
                <w:sz w:val="20"/>
                <w:szCs w:val="20"/>
                <w:color w:val="auto"/>
              </w:rPr>
            </w:pPr>
            <w:r>
              <w:rPr>
                <w:rFonts w:ascii="Arial" w:cs="Arial" w:eastAsia="Arial" w:hAnsi="Arial"/>
                <w:sz w:val="14"/>
                <w:szCs w:val="14"/>
                <w:b w:val="1"/>
                <w:bCs w:val="1"/>
                <w:color w:val="auto"/>
              </w:rPr>
              <w:t>Future Policy</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8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2"/>
              </w:rPr>
              <w:t>Policyholder</w:t>
            </w:r>
          </w:p>
        </w:tc>
        <w:tc>
          <w:tcPr>
            <w:tcW w:w="92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5"/>
              </w:rPr>
              <w:t>Total</w:t>
            </w:r>
          </w:p>
        </w:tc>
        <w:tc>
          <w:tcPr>
            <w:tcW w:w="9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Future Policy</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40" w:type="dxa"/>
            <w:vAlign w:val="bottom"/>
            <w:gridSpan w:val="2"/>
          </w:tcPr>
          <w:p>
            <w:pPr>
              <w:jc w:val="center"/>
              <w:ind w:right="120"/>
              <w:spacing w:after="0" w:line="153" w:lineRule="exact"/>
              <w:rPr>
                <w:sz w:val="20"/>
                <w:szCs w:val="20"/>
                <w:color w:val="auto"/>
              </w:rPr>
            </w:pPr>
            <w:r>
              <w:rPr>
                <w:rFonts w:ascii="Arial" w:cs="Arial" w:eastAsia="Arial" w:hAnsi="Arial"/>
                <w:sz w:val="14"/>
                <w:szCs w:val="14"/>
                <w:b w:val="1"/>
                <w:bCs w:val="1"/>
                <w:color w:val="auto"/>
                <w:w w:val="90"/>
              </w:rPr>
              <w:t>Policyholder</w:t>
            </w:r>
          </w:p>
        </w:tc>
        <w:tc>
          <w:tcPr>
            <w:tcW w:w="780" w:type="dxa"/>
            <w:vAlign w:val="bottom"/>
            <w:vMerge w:val="restart"/>
          </w:tcPr>
          <w:p>
            <w:pPr>
              <w:jc w:val="right"/>
              <w:ind w:right="16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9"/>
        </w:trPr>
        <w:tc>
          <w:tcPr>
            <w:tcW w:w="4920" w:type="dxa"/>
            <w:vAlign w:val="bottom"/>
          </w:tcPr>
          <w:p>
            <w:pPr>
              <w:spacing w:after="0"/>
              <w:rPr>
                <w:sz w:val="12"/>
                <w:szCs w:val="12"/>
                <w:color w:val="auto"/>
              </w:rPr>
            </w:pPr>
          </w:p>
        </w:tc>
        <w:tc>
          <w:tcPr>
            <w:tcW w:w="102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98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Account</w:t>
            </w:r>
          </w:p>
        </w:tc>
        <w:tc>
          <w:tcPr>
            <w:tcW w:w="7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4920" w:type="dxa"/>
            <w:vAlign w:val="bottom"/>
          </w:tcPr>
          <w:p>
            <w:pPr>
              <w:spacing w:after="0"/>
              <w:rPr>
                <w:sz w:val="16"/>
                <w:szCs w:val="16"/>
                <w:color w:val="auto"/>
              </w:rPr>
            </w:pPr>
          </w:p>
        </w:tc>
        <w:tc>
          <w:tcPr>
            <w:tcW w:w="102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Benefits</w:t>
            </w: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4"/>
                <w:szCs w:val="14"/>
                <w:b w:val="1"/>
                <w:bCs w:val="1"/>
                <w:color w:val="auto"/>
                <w:w w:val="90"/>
              </w:rPr>
              <w:t>Account Balances</w:t>
            </w:r>
          </w:p>
        </w:tc>
        <w:tc>
          <w:tcPr>
            <w:tcW w:w="92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4"/>
                <w:szCs w:val="14"/>
                <w:b w:val="1"/>
                <w:bCs w:val="1"/>
                <w:color w:val="auto"/>
                <w:w w:val="86"/>
              </w:rPr>
              <w:t>Reserves</w:t>
            </w:r>
          </w:p>
        </w:tc>
        <w:tc>
          <w:tcPr>
            <w:tcW w:w="9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Benefits (1)</w:t>
            </w: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2"/>
          </w:tcPr>
          <w:p>
            <w:pPr>
              <w:jc w:val="center"/>
              <w:ind w:right="120"/>
              <w:spacing w:after="0"/>
              <w:rPr>
                <w:sz w:val="20"/>
                <w:szCs w:val="20"/>
                <w:color w:val="auto"/>
              </w:rPr>
            </w:pPr>
            <w:r>
              <w:rPr>
                <w:rFonts w:ascii="Arial" w:cs="Arial" w:eastAsia="Arial" w:hAnsi="Arial"/>
                <w:sz w:val="14"/>
                <w:szCs w:val="14"/>
                <w:b w:val="1"/>
                <w:bCs w:val="1"/>
                <w:color w:val="auto"/>
                <w:w w:val="92"/>
              </w:rPr>
              <w:t>Balances (2)</w:t>
            </w:r>
          </w:p>
        </w:tc>
        <w:tc>
          <w:tcPr>
            <w:tcW w:w="7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Reserves</w:t>
            </w:r>
          </w:p>
        </w:tc>
        <w:tc>
          <w:tcPr>
            <w:tcW w:w="0" w:type="dxa"/>
            <w:vAlign w:val="bottom"/>
          </w:tcPr>
          <w:p>
            <w:pPr>
              <w:spacing w:after="0"/>
              <w:rPr>
                <w:sz w:val="1"/>
                <w:szCs w:val="1"/>
                <w:color w:val="auto"/>
              </w:rPr>
            </w:pPr>
          </w:p>
        </w:tc>
      </w:tr>
      <w:tr>
        <w:trPr>
          <w:trHeight w:val="196"/>
        </w:trPr>
        <w:tc>
          <w:tcPr>
            <w:tcW w:w="49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900" w:type="dxa"/>
            <w:vAlign w:val="bottom"/>
            <w:gridSpan w:val="3"/>
          </w:tcPr>
          <w:p>
            <w:pPr>
              <w:jc w:val="right"/>
              <w:ind w:right="628"/>
              <w:spacing w:after="0"/>
              <w:rPr>
                <w:sz w:val="20"/>
                <w:szCs w:val="20"/>
                <w:color w:val="auto"/>
              </w:rPr>
            </w:pPr>
            <w:r>
              <w:rPr>
                <w:rFonts w:ascii="Arial" w:cs="Arial" w:eastAsia="Arial" w:hAnsi="Arial"/>
                <w:sz w:val="14"/>
                <w:szCs w:val="14"/>
                <w:b w:val="1"/>
                <w:bCs w:val="1"/>
                <w:color w:val="auto"/>
              </w:rPr>
              <w:t>(In millions)</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6"/>
        </w:trPr>
        <w:tc>
          <w:tcPr>
            <w:tcW w:w="4920" w:type="dxa"/>
            <w:vAlign w:val="bottom"/>
            <w:shd w:val="clear" w:color="auto" w:fill="BFE4FF"/>
          </w:tcPr>
          <w:p>
            <w:pPr>
              <w:ind w:left="40"/>
              <w:spacing w:after="0"/>
              <w:rPr>
                <w:sz w:val="20"/>
                <w:szCs w:val="20"/>
                <w:color w:val="auto"/>
              </w:rPr>
            </w:pPr>
            <w:r>
              <w:rPr>
                <w:rFonts w:ascii="Arial" w:cs="Arial" w:eastAsia="Arial" w:hAnsi="Arial"/>
                <w:sz w:val="14"/>
                <w:szCs w:val="14"/>
                <w:color w:val="auto"/>
              </w:rPr>
              <w:t>GMDB</w:t>
            </w:r>
          </w:p>
        </w:tc>
        <w:tc>
          <w:tcPr>
            <w:tcW w:w="1020" w:type="dxa"/>
            <w:vAlign w:val="bottom"/>
            <w:shd w:val="clear" w:color="auto" w:fill="BFE4FF"/>
          </w:tcPr>
          <w:p>
            <w:pPr>
              <w:jc w:val="right"/>
              <w:spacing w:after="0"/>
              <w:rPr>
                <w:sz w:val="20"/>
                <w:szCs w:val="20"/>
                <w:color w:val="auto"/>
              </w:rPr>
            </w:pPr>
            <w:r>
              <w:rPr>
                <w:rFonts w:ascii="Arial" w:cs="Arial" w:eastAsia="Arial" w:hAnsi="Arial"/>
                <w:sz w:val="14"/>
                <w:szCs w:val="14"/>
                <w:color w:val="auto"/>
              </w:rPr>
              <w:t>$1,134</w:t>
            </w:r>
          </w:p>
        </w:tc>
        <w:tc>
          <w:tcPr>
            <w:tcW w:w="1300" w:type="dxa"/>
            <w:vAlign w:val="bottom"/>
            <w:gridSpan w:val="3"/>
            <w:shd w:val="clear" w:color="auto" w:fill="BFE4FF"/>
          </w:tcPr>
          <w:p>
            <w:pPr>
              <w:jc w:val="right"/>
              <w:spacing w:after="0"/>
              <w:rPr>
                <w:sz w:val="20"/>
                <w:szCs w:val="20"/>
                <w:color w:val="auto"/>
              </w:rPr>
            </w:pPr>
            <w:r>
              <w:rPr>
                <w:rFonts w:ascii="Arial" w:cs="Arial" w:eastAsia="Arial" w:hAnsi="Arial"/>
                <w:sz w:val="14"/>
                <w:szCs w:val="14"/>
                <w:color w:val="auto"/>
              </w:rPr>
              <w:t>$0</w:t>
            </w:r>
          </w:p>
        </w:tc>
        <w:tc>
          <w:tcPr>
            <w:tcW w:w="120" w:type="dxa"/>
            <w:vAlign w:val="bottom"/>
            <w:shd w:val="clear" w:color="auto" w:fill="BFE4FF"/>
          </w:tcPr>
          <w:p>
            <w:pPr>
              <w:spacing w:after="0"/>
              <w:rPr>
                <w:sz w:val="24"/>
                <w:szCs w:val="24"/>
                <w:color w:val="auto"/>
              </w:rPr>
            </w:pPr>
          </w:p>
        </w:tc>
        <w:tc>
          <w:tcPr>
            <w:tcW w:w="800" w:type="dxa"/>
            <w:vAlign w:val="bottom"/>
            <w:shd w:val="clear" w:color="auto" w:fill="BFE4FF"/>
          </w:tcPr>
          <w:p>
            <w:pPr>
              <w:jc w:val="right"/>
              <w:spacing w:after="0"/>
              <w:rPr>
                <w:sz w:val="20"/>
                <w:szCs w:val="20"/>
                <w:color w:val="auto"/>
              </w:rPr>
            </w:pPr>
            <w:r>
              <w:rPr>
                <w:rFonts w:ascii="Arial" w:cs="Arial" w:eastAsia="Arial" w:hAnsi="Arial"/>
                <w:sz w:val="14"/>
                <w:szCs w:val="14"/>
                <w:color w:val="auto"/>
              </w:rPr>
              <w:t>$1,134</w:t>
            </w:r>
          </w:p>
        </w:tc>
        <w:tc>
          <w:tcPr>
            <w:tcW w:w="120" w:type="dxa"/>
            <w:vAlign w:val="bottom"/>
            <w:shd w:val="clear" w:color="auto" w:fill="BFE4FF"/>
          </w:tcPr>
          <w:p>
            <w:pPr>
              <w:spacing w:after="0"/>
              <w:rPr>
                <w:sz w:val="24"/>
                <w:szCs w:val="24"/>
                <w:color w:val="auto"/>
              </w:rPr>
            </w:pPr>
          </w:p>
        </w:tc>
        <w:tc>
          <w:tcPr>
            <w:tcW w:w="980" w:type="dxa"/>
            <w:vAlign w:val="bottom"/>
            <w:shd w:val="clear" w:color="auto" w:fill="BFE4FF"/>
          </w:tcPr>
          <w:p>
            <w:pPr>
              <w:jc w:val="right"/>
              <w:spacing w:after="0"/>
              <w:rPr>
                <w:sz w:val="20"/>
                <w:szCs w:val="20"/>
                <w:color w:val="auto"/>
              </w:rPr>
            </w:pPr>
            <w:r>
              <w:rPr>
                <w:rFonts w:ascii="Arial" w:cs="Arial" w:eastAsia="Arial" w:hAnsi="Arial"/>
                <w:sz w:val="14"/>
                <w:szCs w:val="14"/>
                <w:color w:val="auto"/>
              </w:rPr>
              <w:t>$987</w:t>
            </w:r>
          </w:p>
        </w:tc>
        <w:tc>
          <w:tcPr>
            <w:tcW w:w="20" w:type="dxa"/>
            <w:vAlign w:val="bottom"/>
            <w:shd w:val="clear" w:color="auto" w:fill="BFE4FF"/>
          </w:tcPr>
          <w:p>
            <w:pPr>
              <w:spacing w:after="0"/>
              <w:rPr>
                <w:sz w:val="24"/>
                <w:szCs w:val="24"/>
                <w:color w:val="auto"/>
              </w:rPr>
            </w:pPr>
          </w:p>
        </w:tc>
        <w:tc>
          <w:tcPr>
            <w:tcW w:w="120" w:type="dxa"/>
            <w:vAlign w:val="bottom"/>
            <w:shd w:val="clear" w:color="auto" w:fill="BFE4FF"/>
          </w:tcPr>
          <w:p>
            <w:pPr>
              <w:spacing w:after="0"/>
              <w:rPr>
                <w:sz w:val="24"/>
                <w:szCs w:val="24"/>
                <w:color w:val="auto"/>
              </w:rPr>
            </w:pPr>
          </w:p>
        </w:tc>
        <w:tc>
          <w:tcPr>
            <w:tcW w:w="1240" w:type="dxa"/>
            <w:vAlign w:val="bottom"/>
            <w:gridSpan w:val="2"/>
            <w:shd w:val="clear" w:color="auto" w:fill="BFE4FF"/>
          </w:tcPr>
          <w:p>
            <w:pPr>
              <w:jc w:val="right"/>
              <w:ind w:right="220"/>
              <w:spacing w:after="0"/>
              <w:rPr>
                <w:sz w:val="20"/>
                <w:szCs w:val="20"/>
                <w:color w:val="auto"/>
              </w:rPr>
            </w:pPr>
            <w:r>
              <w:rPr>
                <w:rFonts w:ascii="Arial" w:cs="Arial" w:eastAsia="Arial" w:hAnsi="Arial"/>
                <w:sz w:val="14"/>
                <w:szCs w:val="14"/>
                <w:color w:val="auto"/>
              </w:rPr>
              <w:t>—</w:t>
            </w:r>
          </w:p>
        </w:tc>
        <w:tc>
          <w:tcPr>
            <w:tcW w:w="780" w:type="dxa"/>
            <w:vAlign w:val="bottom"/>
            <w:shd w:val="clear" w:color="auto" w:fill="BFE4FF"/>
          </w:tcPr>
          <w:p>
            <w:pPr>
              <w:jc w:val="right"/>
              <w:spacing w:after="0"/>
              <w:rPr>
                <w:sz w:val="20"/>
                <w:szCs w:val="20"/>
                <w:color w:val="auto"/>
              </w:rPr>
            </w:pPr>
            <w:r>
              <w:rPr>
                <w:rFonts w:ascii="Arial" w:cs="Arial" w:eastAsia="Arial" w:hAnsi="Arial"/>
                <w:sz w:val="14"/>
                <w:szCs w:val="14"/>
                <w:color w:val="auto"/>
              </w:rPr>
              <w:t>$987</w:t>
            </w:r>
          </w:p>
        </w:tc>
        <w:tc>
          <w:tcPr>
            <w:tcW w:w="0" w:type="dxa"/>
            <w:vAlign w:val="bottom"/>
          </w:tcPr>
          <w:p>
            <w:pPr>
              <w:spacing w:after="0"/>
              <w:rPr>
                <w:sz w:val="1"/>
                <w:szCs w:val="1"/>
                <w:color w:val="auto"/>
              </w:rPr>
            </w:pPr>
          </w:p>
        </w:tc>
      </w:tr>
      <w:tr>
        <w:trPr>
          <w:trHeight w:val="264"/>
        </w:trPr>
        <w:tc>
          <w:tcPr>
            <w:tcW w:w="4920" w:type="dxa"/>
            <w:vAlign w:val="bottom"/>
          </w:tcPr>
          <w:p>
            <w:pPr>
              <w:ind w:left="40"/>
              <w:spacing w:after="0"/>
              <w:rPr>
                <w:sz w:val="20"/>
                <w:szCs w:val="20"/>
                <w:color w:val="auto"/>
              </w:rPr>
            </w:pPr>
            <w:r>
              <w:rPr>
                <w:rFonts w:ascii="Arial" w:cs="Arial" w:eastAsia="Arial" w:hAnsi="Arial"/>
                <w:sz w:val="14"/>
                <w:szCs w:val="14"/>
                <w:color w:val="auto"/>
              </w:rPr>
              <w:t>GMIB</w:t>
            </w: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2,297</w:t>
            </w:r>
          </w:p>
        </w:tc>
        <w:tc>
          <w:tcPr>
            <w:tcW w:w="1300" w:type="dxa"/>
            <w:vAlign w:val="bottom"/>
            <w:gridSpan w:val="3"/>
          </w:tcPr>
          <w:p>
            <w:pPr>
              <w:jc w:val="right"/>
              <w:ind w:right="48"/>
              <w:spacing w:after="0"/>
              <w:rPr>
                <w:sz w:val="20"/>
                <w:szCs w:val="20"/>
                <w:color w:val="auto"/>
              </w:rPr>
            </w:pPr>
            <w:r>
              <w:rPr>
                <w:rFonts w:ascii="Arial" w:cs="Arial" w:eastAsia="Arial" w:hAnsi="Arial"/>
                <w:sz w:val="14"/>
                <w:szCs w:val="14"/>
                <w:color w:val="auto"/>
              </w:rPr>
              <w:t>1,528</w:t>
            </w:r>
          </w:p>
        </w:tc>
        <w:tc>
          <w:tcPr>
            <w:tcW w:w="120" w:type="dxa"/>
            <w:vAlign w:val="bottom"/>
          </w:tcPr>
          <w:p>
            <w:pPr>
              <w:spacing w:after="0"/>
              <w:rPr>
                <w:sz w:val="22"/>
                <w:szCs w:val="22"/>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3,825</w:t>
            </w:r>
          </w:p>
        </w:tc>
        <w:tc>
          <w:tcPr>
            <w:tcW w:w="120" w:type="dxa"/>
            <w:vAlign w:val="bottom"/>
          </w:tcPr>
          <w:p>
            <w:pPr>
              <w:spacing w:after="0"/>
              <w:rPr>
                <w:sz w:val="22"/>
                <w:szCs w:val="22"/>
                <w:color w:val="auto"/>
              </w:rPr>
            </w:pPr>
          </w:p>
        </w:tc>
        <w:tc>
          <w:tcPr>
            <w:tcW w:w="980" w:type="dxa"/>
            <w:vAlign w:val="bottom"/>
          </w:tcPr>
          <w:p>
            <w:pPr>
              <w:jc w:val="right"/>
              <w:ind w:right="8"/>
              <w:spacing w:after="0"/>
              <w:rPr>
                <w:sz w:val="20"/>
                <w:szCs w:val="20"/>
                <w:color w:val="auto"/>
              </w:rPr>
            </w:pPr>
            <w:r>
              <w:rPr>
                <w:rFonts w:ascii="Arial" w:cs="Arial" w:eastAsia="Arial" w:hAnsi="Arial"/>
                <w:sz w:val="14"/>
                <w:szCs w:val="14"/>
                <w:color w:val="auto"/>
              </w:rPr>
              <w:t>2,041</w:t>
            </w:r>
          </w:p>
        </w:tc>
        <w:tc>
          <w:tcPr>
            <w:tcW w:w="1260" w:type="dxa"/>
            <w:vAlign w:val="bottom"/>
            <w:gridSpan w:val="3"/>
          </w:tcPr>
          <w:p>
            <w:pPr>
              <w:jc w:val="right"/>
              <w:ind w:right="28"/>
              <w:spacing w:after="0"/>
              <w:rPr>
                <w:sz w:val="20"/>
                <w:szCs w:val="20"/>
                <w:color w:val="auto"/>
              </w:rPr>
            </w:pPr>
            <w:r>
              <w:rPr>
                <w:rFonts w:ascii="Arial" w:cs="Arial" w:eastAsia="Arial" w:hAnsi="Arial"/>
                <w:sz w:val="14"/>
                <w:szCs w:val="14"/>
                <w:color w:val="auto"/>
              </w:rPr>
              <w:t>2,026</w:t>
            </w:r>
          </w:p>
        </w:tc>
        <w:tc>
          <w:tcPr>
            <w:tcW w:w="12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4,067</w:t>
            </w:r>
          </w:p>
        </w:tc>
        <w:tc>
          <w:tcPr>
            <w:tcW w:w="0" w:type="dxa"/>
            <w:vAlign w:val="bottom"/>
          </w:tcPr>
          <w:p>
            <w:pPr>
              <w:spacing w:after="0"/>
              <w:rPr>
                <w:sz w:val="1"/>
                <w:szCs w:val="1"/>
                <w:color w:val="auto"/>
              </w:rPr>
            </w:pPr>
          </w:p>
        </w:tc>
      </w:tr>
      <w:tr>
        <w:trPr>
          <w:trHeight w:val="276"/>
        </w:trPr>
        <w:tc>
          <w:tcPr>
            <w:tcW w:w="4920" w:type="dxa"/>
            <w:vAlign w:val="bottom"/>
            <w:shd w:val="clear" w:color="auto" w:fill="BFE4FF"/>
          </w:tcPr>
          <w:p>
            <w:pPr>
              <w:ind w:left="40"/>
              <w:spacing w:after="0"/>
              <w:rPr>
                <w:sz w:val="20"/>
                <w:szCs w:val="20"/>
                <w:color w:val="auto"/>
              </w:rPr>
            </w:pPr>
            <w:r>
              <w:rPr>
                <w:rFonts w:ascii="Arial" w:cs="Arial" w:eastAsia="Arial" w:hAnsi="Arial"/>
                <w:sz w:val="14"/>
                <w:szCs w:val="14"/>
                <w:color w:val="auto"/>
              </w:rPr>
              <w:t>GMIB Max</w:t>
            </w:r>
          </w:p>
        </w:tc>
        <w:tc>
          <w:tcPr>
            <w:tcW w:w="1020" w:type="dxa"/>
            <w:vAlign w:val="bottom"/>
            <w:shd w:val="clear" w:color="auto" w:fill="BFE4FF"/>
          </w:tcPr>
          <w:p>
            <w:pPr>
              <w:jc w:val="right"/>
              <w:ind w:right="28"/>
              <w:spacing w:after="0"/>
              <w:rPr>
                <w:sz w:val="20"/>
                <w:szCs w:val="20"/>
                <w:color w:val="auto"/>
              </w:rPr>
            </w:pPr>
            <w:r>
              <w:rPr>
                <w:rFonts w:ascii="Arial" w:cs="Arial" w:eastAsia="Arial" w:hAnsi="Arial"/>
                <w:sz w:val="14"/>
                <w:szCs w:val="14"/>
                <w:color w:val="auto"/>
              </w:rPr>
              <w:t>385</w:t>
            </w:r>
          </w:p>
        </w:tc>
        <w:tc>
          <w:tcPr>
            <w:tcW w:w="1300" w:type="dxa"/>
            <w:vAlign w:val="bottom"/>
            <w:gridSpan w:val="3"/>
            <w:shd w:val="clear" w:color="auto" w:fill="BFE4FF"/>
          </w:tcPr>
          <w:p>
            <w:pPr>
              <w:jc w:val="right"/>
              <w:spacing w:after="0"/>
              <w:rPr>
                <w:sz w:val="20"/>
                <w:szCs w:val="20"/>
                <w:color w:val="auto"/>
              </w:rPr>
            </w:pPr>
            <w:r>
              <w:rPr>
                <w:rFonts w:ascii="Arial" w:cs="Arial" w:eastAsia="Arial" w:hAnsi="Arial"/>
                <w:sz w:val="14"/>
                <w:szCs w:val="14"/>
                <w:color w:val="auto"/>
              </w:rPr>
              <w:t>(162)</w:t>
            </w:r>
          </w:p>
        </w:tc>
        <w:tc>
          <w:tcPr>
            <w:tcW w:w="120" w:type="dxa"/>
            <w:vAlign w:val="bottom"/>
            <w:shd w:val="clear" w:color="auto" w:fill="BFE4FF"/>
          </w:tcPr>
          <w:p>
            <w:pPr>
              <w:spacing w:after="0"/>
              <w:rPr>
                <w:sz w:val="24"/>
                <w:szCs w:val="24"/>
                <w:color w:val="auto"/>
              </w:rPr>
            </w:pPr>
          </w:p>
        </w:tc>
        <w:tc>
          <w:tcPr>
            <w:tcW w:w="800" w:type="dxa"/>
            <w:vAlign w:val="bottom"/>
            <w:shd w:val="clear" w:color="auto" w:fill="BFE4FF"/>
          </w:tcPr>
          <w:p>
            <w:pPr>
              <w:jc w:val="right"/>
              <w:ind w:right="28"/>
              <w:spacing w:after="0"/>
              <w:rPr>
                <w:sz w:val="20"/>
                <w:szCs w:val="20"/>
                <w:color w:val="auto"/>
              </w:rPr>
            </w:pPr>
            <w:r>
              <w:rPr>
                <w:rFonts w:ascii="Arial" w:cs="Arial" w:eastAsia="Arial" w:hAnsi="Arial"/>
                <w:sz w:val="14"/>
                <w:szCs w:val="14"/>
                <w:color w:val="auto"/>
              </w:rPr>
              <w:t>223</w:t>
            </w:r>
          </w:p>
        </w:tc>
        <w:tc>
          <w:tcPr>
            <w:tcW w:w="120" w:type="dxa"/>
            <w:vAlign w:val="bottom"/>
            <w:shd w:val="clear" w:color="auto" w:fill="BFE4FF"/>
          </w:tcPr>
          <w:p>
            <w:pPr>
              <w:spacing w:after="0"/>
              <w:rPr>
                <w:sz w:val="24"/>
                <w:szCs w:val="24"/>
                <w:color w:val="auto"/>
              </w:rPr>
            </w:pPr>
          </w:p>
        </w:tc>
        <w:tc>
          <w:tcPr>
            <w:tcW w:w="980" w:type="dxa"/>
            <w:vAlign w:val="bottom"/>
            <w:shd w:val="clear" w:color="auto" w:fill="BFE4FF"/>
          </w:tcPr>
          <w:p>
            <w:pPr>
              <w:jc w:val="right"/>
              <w:ind w:right="8"/>
              <w:spacing w:after="0"/>
              <w:rPr>
                <w:sz w:val="20"/>
                <w:szCs w:val="20"/>
                <w:color w:val="auto"/>
              </w:rPr>
            </w:pPr>
            <w:r>
              <w:rPr>
                <w:rFonts w:ascii="Arial" w:cs="Arial" w:eastAsia="Arial" w:hAnsi="Arial"/>
                <w:sz w:val="14"/>
                <w:szCs w:val="14"/>
                <w:color w:val="auto"/>
              </w:rPr>
              <w:t>294</w:t>
            </w:r>
          </w:p>
        </w:tc>
        <w:tc>
          <w:tcPr>
            <w:tcW w:w="1260" w:type="dxa"/>
            <w:vAlign w:val="bottom"/>
            <w:gridSpan w:val="3"/>
            <w:shd w:val="clear" w:color="auto" w:fill="BFE4FF"/>
          </w:tcPr>
          <w:p>
            <w:pPr>
              <w:jc w:val="right"/>
              <w:spacing w:after="0"/>
              <w:rPr>
                <w:sz w:val="20"/>
                <w:szCs w:val="20"/>
                <w:color w:val="auto"/>
              </w:rPr>
            </w:pPr>
            <w:r>
              <w:rPr>
                <w:rFonts w:ascii="Arial" w:cs="Arial" w:eastAsia="Arial" w:hAnsi="Arial"/>
                <w:sz w:val="14"/>
                <w:szCs w:val="14"/>
                <w:color w:val="auto"/>
              </w:rPr>
              <w:t>(2)</w:t>
            </w:r>
          </w:p>
        </w:tc>
        <w:tc>
          <w:tcPr>
            <w:tcW w:w="120" w:type="dxa"/>
            <w:vAlign w:val="bottom"/>
            <w:shd w:val="clear" w:color="auto" w:fill="BFE4FF"/>
          </w:tcPr>
          <w:p>
            <w:pPr>
              <w:spacing w:after="0"/>
              <w:rPr>
                <w:sz w:val="24"/>
                <w:szCs w:val="24"/>
                <w:color w:val="auto"/>
              </w:rPr>
            </w:pPr>
          </w:p>
        </w:tc>
        <w:tc>
          <w:tcPr>
            <w:tcW w:w="780" w:type="dxa"/>
            <w:vAlign w:val="bottom"/>
            <w:shd w:val="clear" w:color="auto" w:fill="BFE4FF"/>
          </w:tcPr>
          <w:p>
            <w:pPr>
              <w:jc w:val="right"/>
              <w:ind w:right="28"/>
              <w:spacing w:after="0"/>
              <w:rPr>
                <w:sz w:val="20"/>
                <w:szCs w:val="20"/>
                <w:color w:val="auto"/>
              </w:rPr>
            </w:pPr>
            <w:r>
              <w:rPr>
                <w:rFonts w:ascii="Arial" w:cs="Arial" w:eastAsia="Arial" w:hAnsi="Arial"/>
                <w:sz w:val="14"/>
                <w:szCs w:val="14"/>
                <w:color w:val="auto"/>
              </w:rPr>
              <w:t>292</w:t>
            </w:r>
          </w:p>
        </w:tc>
        <w:tc>
          <w:tcPr>
            <w:tcW w:w="0" w:type="dxa"/>
            <w:vAlign w:val="bottom"/>
          </w:tcPr>
          <w:p>
            <w:pPr>
              <w:spacing w:after="0"/>
              <w:rPr>
                <w:sz w:val="1"/>
                <w:szCs w:val="1"/>
                <w:color w:val="auto"/>
              </w:rPr>
            </w:pPr>
          </w:p>
        </w:tc>
      </w:tr>
      <w:tr>
        <w:trPr>
          <w:trHeight w:val="264"/>
        </w:trPr>
        <w:tc>
          <w:tcPr>
            <w:tcW w:w="4920" w:type="dxa"/>
            <w:vAlign w:val="bottom"/>
          </w:tcPr>
          <w:p>
            <w:pPr>
              <w:ind w:left="40"/>
              <w:spacing w:after="0"/>
              <w:rPr>
                <w:sz w:val="20"/>
                <w:szCs w:val="20"/>
                <w:color w:val="auto"/>
              </w:rPr>
            </w:pPr>
            <w:r>
              <w:rPr>
                <w:rFonts w:ascii="Arial" w:cs="Arial" w:eastAsia="Arial" w:hAnsi="Arial"/>
                <w:sz w:val="14"/>
                <w:szCs w:val="14"/>
                <w:color w:val="auto"/>
              </w:rPr>
              <w:t>GMAB</w:t>
            </w: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300" w:type="dxa"/>
            <w:vAlign w:val="bottom"/>
            <w:gridSpan w:val="3"/>
          </w:tcPr>
          <w:p>
            <w:pPr>
              <w:jc w:val="right"/>
              <w:spacing w:after="0"/>
              <w:rPr>
                <w:sz w:val="20"/>
                <w:szCs w:val="20"/>
                <w:color w:val="auto"/>
              </w:rPr>
            </w:pPr>
            <w:r>
              <w:rPr>
                <w:rFonts w:ascii="Arial" w:cs="Arial" w:eastAsia="Arial" w:hAnsi="Arial"/>
                <w:sz w:val="14"/>
                <w:szCs w:val="14"/>
                <w:color w:val="auto"/>
              </w:rPr>
              <w:t>(14)</w:t>
            </w:r>
          </w:p>
        </w:tc>
        <w:tc>
          <w:tcPr>
            <w:tcW w:w="12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(14)</w:t>
            </w:r>
          </w:p>
        </w:tc>
        <w:tc>
          <w:tcPr>
            <w:tcW w:w="120" w:type="dxa"/>
            <w:vAlign w:val="bottom"/>
          </w:tcPr>
          <w:p>
            <w:pPr>
              <w:spacing w:after="0"/>
              <w:rPr>
                <w:sz w:val="22"/>
                <w:szCs w:val="22"/>
                <w:color w:val="auto"/>
              </w:rPr>
            </w:pPr>
          </w:p>
        </w:tc>
        <w:tc>
          <w:tcPr>
            <w:tcW w:w="9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260" w:type="dxa"/>
            <w:vAlign w:val="bottom"/>
            <w:gridSpan w:val="3"/>
          </w:tcPr>
          <w:p>
            <w:pPr>
              <w:jc w:val="right"/>
              <w:ind w:right="28"/>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276"/>
        </w:trPr>
        <w:tc>
          <w:tcPr>
            <w:tcW w:w="4920" w:type="dxa"/>
            <w:vAlign w:val="bottom"/>
            <w:shd w:val="clear" w:color="auto" w:fill="BFE4FF"/>
          </w:tcPr>
          <w:p>
            <w:pPr>
              <w:ind w:left="40"/>
              <w:spacing w:after="0"/>
              <w:rPr>
                <w:sz w:val="20"/>
                <w:szCs w:val="20"/>
                <w:color w:val="auto"/>
              </w:rPr>
            </w:pPr>
            <w:r>
              <w:rPr>
                <w:rFonts w:ascii="Arial" w:cs="Arial" w:eastAsia="Arial" w:hAnsi="Arial"/>
                <w:sz w:val="14"/>
                <w:szCs w:val="14"/>
                <w:color w:val="auto"/>
              </w:rPr>
              <w:t>GMWB</w:t>
            </w:r>
          </w:p>
        </w:tc>
        <w:tc>
          <w:tcPr>
            <w:tcW w:w="1020" w:type="dxa"/>
            <w:vAlign w:val="bottom"/>
            <w:shd w:val="clear" w:color="auto" w:fill="BFE4FF"/>
          </w:tcPr>
          <w:p>
            <w:pPr>
              <w:jc w:val="right"/>
              <w:ind w:right="28"/>
              <w:spacing w:after="0"/>
              <w:rPr>
                <w:sz w:val="20"/>
                <w:szCs w:val="20"/>
                <w:color w:val="auto"/>
              </w:rPr>
            </w:pPr>
            <w:r>
              <w:rPr>
                <w:rFonts w:ascii="Arial" w:cs="Arial" w:eastAsia="Arial" w:hAnsi="Arial"/>
                <w:sz w:val="14"/>
                <w:szCs w:val="14"/>
                <w:color w:val="auto"/>
              </w:rPr>
              <w:t>—</w:t>
            </w:r>
          </w:p>
        </w:tc>
        <w:tc>
          <w:tcPr>
            <w:tcW w:w="1300" w:type="dxa"/>
            <w:vAlign w:val="bottom"/>
            <w:gridSpan w:val="3"/>
            <w:shd w:val="clear" w:color="auto" w:fill="BFE4FF"/>
          </w:tcPr>
          <w:p>
            <w:pPr>
              <w:jc w:val="right"/>
              <w:ind w:right="48"/>
              <w:spacing w:after="0"/>
              <w:rPr>
                <w:sz w:val="20"/>
                <w:szCs w:val="20"/>
                <w:color w:val="auto"/>
              </w:rPr>
            </w:pPr>
            <w:r>
              <w:rPr>
                <w:rFonts w:ascii="Arial" w:cs="Arial" w:eastAsia="Arial" w:hAnsi="Arial"/>
                <w:sz w:val="14"/>
                <w:szCs w:val="14"/>
                <w:color w:val="auto"/>
              </w:rPr>
              <w:t>17</w:t>
            </w:r>
          </w:p>
        </w:tc>
        <w:tc>
          <w:tcPr>
            <w:tcW w:w="120" w:type="dxa"/>
            <w:vAlign w:val="bottom"/>
            <w:shd w:val="clear" w:color="auto" w:fill="BFE4FF"/>
          </w:tcPr>
          <w:p>
            <w:pPr>
              <w:spacing w:after="0"/>
              <w:rPr>
                <w:sz w:val="24"/>
                <w:szCs w:val="24"/>
                <w:color w:val="auto"/>
              </w:rPr>
            </w:pPr>
          </w:p>
        </w:tc>
        <w:tc>
          <w:tcPr>
            <w:tcW w:w="800" w:type="dxa"/>
            <w:vAlign w:val="bottom"/>
            <w:shd w:val="clear" w:color="auto" w:fill="BFE4FF"/>
          </w:tcPr>
          <w:p>
            <w:pPr>
              <w:jc w:val="right"/>
              <w:ind w:right="28"/>
              <w:spacing w:after="0"/>
              <w:rPr>
                <w:sz w:val="20"/>
                <w:szCs w:val="20"/>
                <w:color w:val="auto"/>
              </w:rPr>
            </w:pPr>
            <w:r>
              <w:rPr>
                <w:rFonts w:ascii="Arial" w:cs="Arial" w:eastAsia="Arial" w:hAnsi="Arial"/>
                <w:sz w:val="14"/>
                <w:szCs w:val="14"/>
                <w:color w:val="auto"/>
              </w:rPr>
              <w:t>17</w:t>
            </w:r>
          </w:p>
        </w:tc>
        <w:tc>
          <w:tcPr>
            <w:tcW w:w="120" w:type="dxa"/>
            <w:vAlign w:val="bottom"/>
            <w:shd w:val="clear" w:color="auto" w:fill="BFE4FF"/>
          </w:tcPr>
          <w:p>
            <w:pPr>
              <w:spacing w:after="0"/>
              <w:rPr>
                <w:sz w:val="24"/>
                <w:szCs w:val="24"/>
                <w:color w:val="auto"/>
              </w:rPr>
            </w:pPr>
          </w:p>
        </w:tc>
        <w:tc>
          <w:tcPr>
            <w:tcW w:w="980" w:type="dxa"/>
            <w:vAlign w:val="bottom"/>
            <w:shd w:val="clear" w:color="auto" w:fill="BFE4FF"/>
          </w:tcPr>
          <w:p>
            <w:pPr>
              <w:jc w:val="right"/>
              <w:ind w:right="8"/>
              <w:spacing w:after="0"/>
              <w:rPr>
                <w:sz w:val="20"/>
                <w:szCs w:val="20"/>
                <w:color w:val="auto"/>
              </w:rPr>
            </w:pPr>
            <w:r>
              <w:rPr>
                <w:rFonts w:ascii="Arial" w:cs="Arial" w:eastAsia="Arial" w:hAnsi="Arial"/>
                <w:sz w:val="14"/>
                <w:szCs w:val="14"/>
                <w:color w:val="auto"/>
              </w:rPr>
              <w:t>—</w:t>
            </w:r>
          </w:p>
        </w:tc>
        <w:tc>
          <w:tcPr>
            <w:tcW w:w="1260" w:type="dxa"/>
            <w:vAlign w:val="bottom"/>
            <w:gridSpan w:val="3"/>
            <w:shd w:val="clear" w:color="auto" w:fill="BFE4FF"/>
          </w:tcPr>
          <w:p>
            <w:pPr>
              <w:jc w:val="right"/>
              <w:ind w:right="28"/>
              <w:spacing w:after="0"/>
              <w:rPr>
                <w:sz w:val="20"/>
                <w:szCs w:val="20"/>
                <w:color w:val="auto"/>
              </w:rPr>
            </w:pPr>
            <w:r>
              <w:rPr>
                <w:rFonts w:ascii="Arial" w:cs="Arial" w:eastAsia="Arial" w:hAnsi="Arial"/>
                <w:sz w:val="14"/>
                <w:szCs w:val="14"/>
                <w:color w:val="auto"/>
              </w:rPr>
              <w:t>50</w:t>
            </w:r>
          </w:p>
        </w:tc>
        <w:tc>
          <w:tcPr>
            <w:tcW w:w="120" w:type="dxa"/>
            <w:vAlign w:val="bottom"/>
            <w:shd w:val="clear" w:color="auto" w:fill="BFE4FF"/>
          </w:tcPr>
          <w:p>
            <w:pPr>
              <w:spacing w:after="0"/>
              <w:rPr>
                <w:sz w:val="24"/>
                <w:szCs w:val="24"/>
                <w:color w:val="auto"/>
              </w:rPr>
            </w:pPr>
          </w:p>
        </w:tc>
        <w:tc>
          <w:tcPr>
            <w:tcW w:w="780" w:type="dxa"/>
            <w:vAlign w:val="bottom"/>
            <w:shd w:val="clear" w:color="auto" w:fill="BFE4FF"/>
          </w:tcPr>
          <w:p>
            <w:pPr>
              <w:jc w:val="right"/>
              <w:ind w:right="28"/>
              <w:spacing w:after="0"/>
              <w:rPr>
                <w:sz w:val="20"/>
                <w:szCs w:val="20"/>
                <w:color w:val="auto"/>
              </w:rPr>
            </w:pPr>
            <w:r>
              <w:rPr>
                <w:rFonts w:ascii="Arial" w:cs="Arial" w:eastAsia="Arial" w:hAnsi="Arial"/>
                <w:sz w:val="14"/>
                <w:szCs w:val="14"/>
                <w:color w:val="auto"/>
              </w:rPr>
              <w:t>50</w:t>
            </w:r>
          </w:p>
        </w:tc>
        <w:tc>
          <w:tcPr>
            <w:tcW w:w="0" w:type="dxa"/>
            <w:vAlign w:val="bottom"/>
          </w:tcPr>
          <w:p>
            <w:pPr>
              <w:spacing w:after="0"/>
              <w:rPr>
                <w:sz w:val="1"/>
                <w:szCs w:val="1"/>
                <w:color w:val="auto"/>
              </w:rPr>
            </w:pPr>
          </w:p>
        </w:tc>
      </w:tr>
      <w:tr>
        <w:trPr>
          <w:trHeight w:val="264"/>
        </w:trPr>
        <w:tc>
          <w:tcPr>
            <w:tcW w:w="4920" w:type="dxa"/>
            <w:vAlign w:val="bottom"/>
          </w:tcPr>
          <w:p>
            <w:pPr>
              <w:ind w:left="40"/>
              <w:spacing w:after="0"/>
              <w:rPr>
                <w:sz w:val="20"/>
                <w:szCs w:val="20"/>
                <w:color w:val="auto"/>
              </w:rPr>
            </w:pPr>
            <w:r>
              <w:rPr>
                <w:rFonts w:ascii="Arial" w:cs="Arial" w:eastAsia="Arial" w:hAnsi="Arial"/>
                <w:sz w:val="14"/>
                <w:szCs w:val="14"/>
                <w:color w:val="auto"/>
              </w:rPr>
              <w:t>GMWB4L</w:t>
            </w: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266</w:t>
            </w:r>
          </w:p>
        </w:tc>
        <w:tc>
          <w:tcPr>
            <w:tcW w:w="1300" w:type="dxa"/>
            <w:vAlign w:val="bottom"/>
            <w:gridSpan w:val="3"/>
          </w:tcPr>
          <w:p>
            <w:pPr>
              <w:jc w:val="right"/>
              <w:ind w:right="48"/>
              <w:spacing w:after="0"/>
              <w:rPr>
                <w:sz w:val="20"/>
                <w:szCs w:val="20"/>
                <w:color w:val="auto"/>
              </w:rPr>
            </w:pPr>
            <w:r>
              <w:rPr>
                <w:rFonts w:ascii="Arial" w:cs="Arial" w:eastAsia="Arial" w:hAnsi="Arial"/>
                <w:sz w:val="14"/>
                <w:szCs w:val="14"/>
                <w:color w:val="auto"/>
              </w:rPr>
              <w:t>45</w:t>
            </w:r>
          </w:p>
        </w:tc>
        <w:tc>
          <w:tcPr>
            <w:tcW w:w="120" w:type="dxa"/>
            <w:vAlign w:val="bottom"/>
          </w:tcPr>
          <w:p>
            <w:pPr>
              <w:spacing w:after="0"/>
              <w:rPr>
                <w:sz w:val="22"/>
                <w:szCs w:val="22"/>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311</w:t>
            </w:r>
          </w:p>
        </w:tc>
        <w:tc>
          <w:tcPr>
            <w:tcW w:w="120" w:type="dxa"/>
            <w:vAlign w:val="bottom"/>
          </w:tcPr>
          <w:p>
            <w:pPr>
              <w:spacing w:after="0"/>
              <w:rPr>
                <w:sz w:val="22"/>
                <w:szCs w:val="22"/>
                <w:color w:val="auto"/>
              </w:rPr>
            </w:pPr>
          </w:p>
        </w:tc>
        <w:tc>
          <w:tcPr>
            <w:tcW w:w="980" w:type="dxa"/>
            <w:vAlign w:val="bottom"/>
          </w:tcPr>
          <w:p>
            <w:pPr>
              <w:jc w:val="right"/>
              <w:ind w:right="8"/>
              <w:spacing w:after="0"/>
              <w:rPr>
                <w:sz w:val="20"/>
                <w:szCs w:val="20"/>
                <w:color w:val="auto"/>
              </w:rPr>
            </w:pPr>
            <w:r>
              <w:rPr>
                <w:rFonts w:ascii="Arial" w:cs="Arial" w:eastAsia="Arial" w:hAnsi="Arial"/>
                <w:sz w:val="14"/>
                <w:szCs w:val="14"/>
                <w:color w:val="auto"/>
              </w:rPr>
              <w:t>138</w:t>
            </w:r>
          </w:p>
        </w:tc>
        <w:tc>
          <w:tcPr>
            <w:tcW w:w="1260" w:type="dxa"/>
            <w:vAlign w:val="bottom"/>
            <w:gridSpan w:val="3"/>
          </w:tcPr>
          <w:p>
            <w:pPr>
              <w:jc w:val="right"/>
              <w:ind w:right="28"/>
              <w:spacing w:after="0"/>
              <w:rPr>
                <w:sz w:val="20"/>
                <w:szCs w:val="20"/>
                <w:color w:val="auto"/>
              </w:rPr>
            </w:pPr>
            <w:r>
              <w:rPr>
                <w:rFonts w:ascii="Arial" w:cs="Arial" w:eastAsia="Arial" w:hAnsi="Arial"/>
                <w:sz w:val="14"/>
                <w:szCs w:val="14"/>
                <w:color w:val="auto"/>
              </w:rPr>
              <w:t>268</w:t>
            </w:r>
          </w:p>
        </w:tc>
        <w:tc>
          <w:tcPr>
            <w:tcW w:w="12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406</w:t>
            </w:r>
          </w:p>
        </w:tc>
        <w:tc>
          <w:tcPr>
            <w:tcW w:w="0" w:type="dxa"/>
            <w:vAlign w:val="bottom"/>
          </w:tcPr>
          <w:p>
            <w:pPr>
              <w:spacing w:after="0"/>
              <w:rPr>
                <w:sz w:val="1"/>
                <w:szCs w:val="1"/>
                <w:color w:val="auto"/>
              </w:rPr>
            </w:pPr>
          </w:p>
        </w:tc>
      </w:tr>
      <w:tr>
        <w:trPr>
          <w:trHeight w:val="270"/>
        </w:trPr>
        <w:tc>
          <w:tcPr>
            <w:tcW w:w="4920" w:type="dxa"/>
            <w:vAlign w:val="bottom"/>
            <w:shd w:val="clear" w:color="auto" w:fill="BFE4FF"/>
          </w:tcPr>
          <w:p>
            <w:pPr>
              <w:ind w:left="40"/>
              <w:spacing w:after="0"/>
              <w:rPr>
                <w:sz w:val="20"/>
                <w:szCs w:val="20"/>
                <w:color w:val="auto"/>
              </w:rPr>
            </w:pPr>
            <w:r>
              <w:rPr>
                <w:rFonts w:ascii="Arial" w:cs="Arial" w:eastAsia="Arial" w:hAnsi="Arial"/>
                <w:sz w:val="14"/>
                <w:szCs w:val="14"/>
                <w:color w:val="auto"/>
              </w:rPr>
              <w:t>GMWB4L (FlexChoice</w:t>
            </w:r>
            <w:r>
              <w:rPr>
                <w:rFonts w:ascii="Arial" w:cs="Arial" w:eastAsia="Arial" w:hAnsi="Arial"/>
                <w:sz w:val="8"/>
                <w:szCs w:val="8"/>
                <w:color w:val="auto"/>
              </w:rPr>
              <w:t>SM</w:t>
            </w:r>
            <w:r>
              <w:rPr>
                <w:rFonts w:ascii="Arial" w:cs="Arial" w:eastAsia="Arial" w:hAnsi="Arial"/>
                <w:sz w:val="14"/>
                <w:szCs w:val="14"/>
                <w:color w:val="auto"/>
              </w:rPr>
              <w:t>)</w:t>
            </w:r>
          </w:p>
        </w:tc>
        <w:tc>
          <w:tcPr>
            <w:tcW w:w="1020" w:type="dxa"/>
            <w:vAlign w:val="bottom"/>
            <w:tcBorders>
              <w:bottom w:val="single" w:sz="8" w:color="auto"/>
            </w:tcBorders>
            <w:shd w:val="clear" w:color="auto" w:fill="BFE4FF"/>
          </w:tcPr>
          <w:p>
            <w:pPr>
              <w:jc w:val="right"/>
              <w:ind w:right="28"/>
              <w:spacing w:after="0"/>
              <w:rPr>
                <w:sz w:val="20"/>
                <w:szCs w:val="20"/>
                <w:color w:val="auto"/>
              </w:rPr>
            </w:pPr>
            <w:r>
              <w:rPr>
                <w:rFonts w:ascii="Arial" w:cs="Arial" w:eastAsia="Arial" w:hAnsi="Arial"/>
                <w:sz w:val="14"/>
                <w:szCs w:val="14"/>
                <w:color w:val="auto"/>
              </w:rPr>
              <w:t>—</w:t>
            </w:r>
          </w:p>
        </w:tc>
        <w:tc>
          <w:tcPr>
            <w:tcW w:w="20" w:type="dxa"/>
            <w:vAlign w:val="bottom"/>
            <w:tcBorders>
              <w:bottom w:val="single" w:sz="8" w:color="auto"/>
            </w:tcBorders>
            <w:shd w:val="clear" w:color="auto" w:fill="BFE4FF"/>
          </w:tcPr>
          <w:p>
            <w:pPr>
              <w:spacing w:after="0"/>
              <w:rPr>
                <w:sz w:val="23"/>
                <w:szCs w:val="23"/>
                <w:color w:val="auto"/>
              </w:rPr>
            </w:pPr>
          </w:p>
        </w:tc>
        <w:tc>
          <w:tcPr>
            <w:tcW w:w="120" w:type="dxa"/>
            <w:vAlign w:val="bottom"/>
            <w:shd w:val="clear" w:color="auto" w:fill="BFE4FF"/>
          </w:tcPr>
          <w:p>
            <w:pPr>
              <w:spacing w:after="0"/>
              <w:rPr>
                <w:sz w:val="23"/>
                <w:szCs w:val="23"/>
                <w:color w:val="auto"/>
              </w:rPr>
            </w:pPr>
          </w:p>
        </w:tc>
        <w:tc>
          <w:tcPr>
            <w:tcW w:w="1160" w:type="dxa"/>
            <w:vAlign w:val="bottom"/>
            <w:tcBorders>
              <w:bottom w:val="single" w:sz="8" w:color="auto"/>
            </w:tcBorders>
            <w:shd w:val="clear" w:color="auto" w:fill="BFE4FF"/>
          </w:tcPr>
          <w:p>
            <w:pPr>
              <w:jc w:val="right"/>
              <w:ind w:right="48"/>
              <w:spacing w:after="0"/>
              <w:rPr>
                <w:sz w:val="20"/>
                <w:szCs w:val="20"/>
                <w:color w:val="auto"/>
              </w:rPr>
            </w:pPr>
            <w:r>
              <w:rPr>
                <w:rFonts w:ascii="Arial" w:cs="Arial" w:eastAsia="Arial" w:hAnsi="Arial"/>
                <w:sz w:val="14"/>
                <w:szCs w:val="14"/>
                <w:color w:val="auto"/>
              </w:rPr>
              <w:t>4</w:t>
            </w:r>
          </w:p>
        </w:tc>
        <w:tc>
          <w:tcPr>
            <w:tcW w:w="120" w:type="dxa"/>
            <w:vAlign w:val="bottom"/>
            <w:shd w:val="clear" w:color="auto" w:fill="BFE4FF"/>
          </w:tcPr>
          <w:p>
            <w:pPr>
              <w:spacing w:after="0"/>
              <w:rPr>
                <w:sz w:val="23"/>
                <w:szCs w:val="23"/>
                <w:color w:val="auto"/>
              </w:rPr>
            </w:pPr>
          </w:p>
        </w:tc>
        <w:tc>
          <w:tcPr>
            <w:tcW w:w="800" w:type="dxa"/>
            <w:vAlign w:val="bottom"/>
            <w:tcBorders>
              <w:bottom w:val="single" w:sz="8" w:color="auto"/>
            </w:tcBorders>
            <w:shd w:val="clear" w:color="auto" w:fill="BFE4FF"/>
          </w:tcPr>
          <w:p>
            <w:pPr>
              <w:jc w:val="right"/>
              <w:ind w:right="28"/>
              <w:spacing w:after="0"/>
              <w:rPr>
                <w:sz w:val="20"/>
                <w:szCs w:val="20"/>
                <w:color w:val="auto"/>
              </w:rPr>
            </w:pPr>
            <w:r>
              <w:rPr>
                <w:rFonts w:ascii="Arial" w:cs="Arial" w:eastAsia="Arial" w:hAnsi="Arial"/>
                <w:sz w:val="14"/>
                <w:szCs w:val="14"/>
                <w:color w:val="auto"/>
              </w:rPr>
              <w:t>4</w:t>
            </w:r>
          </w:p>
        </w:tc>
        <w:tc>
          <w:tcPr>
            <w:tcW w:w="120" w:type="dxa"/>
            <w:vAlign w:val="bottom"/>
            <w:shd w:val="clear" w:color="auto" w:fill="BFE4FF"/>
          </w:tcPr>
          <w:p>
            <w:pPr>
              <w:spacing w:after="0"/>
              <w:rPr>
                <w:sz w:val="23"/>
                <w:szCs w:val="23"/>
                <w:color w:val="auto"/>
              </w:rPr>
            </w:pPr>
          </w:p>
        </w:tc>
        <w:tc>
          <w:tcPr>
            <w:tcW w:w="980" w:type="dxa"/>
            <w:vAlign w:val="bottom"/>
            <w:tcBorders>
              <w:bottom w:val="single" w:sz="8" w:color="auto"/>
            </w:tcBorders>
            <w:shd w:val="clear" w:color="auto" w:fill="BFE4FF"/>
          </w:tcPr>
          <w:p>
            <w:pPr>
              <w:jc w:val="right"/>
              <w:ind w:right="8"/>
              <w:spacing w:after="0"/>
              <w:rPr>
                <w:sz w:val="20"/>
                <w:szCs w:val="20"/>
                <w:color w:val="auto"/>
              </w:rPr>
            </w:pPr>
            <w:r>
              <w:rPr>
                <w:rFonts w:ascii="Arial" w:cs="Arial" w:eastAsia="Arial" w:hAnsi="Arial"/>
                <w:sz w:val="14"/>
                <w:szCs w:val="14"/>
                <w:color w:val="auto"/>
              </w:rPr>
              <w:t>—</w:t>
            </w:r>
          </w:p>
        </w:tc>
        <w:tc>
          <w:tcPr>
            <w:tcW w:w="20" w:type="dxa"/>
            <w:vAlign w:val="bottom"/>
            <w:tcBorders>
              <w:bottom w:val="single" w:sz="8" w:color="auto"/>
            </w:tcBorders>
            <w:shd w:val="clear" w:color="auto" w:fill="BFE4FF"/>
          </w:tcPr>
          <w:p>
            <w:pPr>
              <w:spacing w:after="0"/>
              <w:rPr>
                <w:sz w:val="23"/>
                <w:szCs w:val="23"/>
                <w:color w:val="auto"/>
              </w:rPr>
            </w:pPr>
          </w:p>
        </w:tc>
        <w:tc>
          <w:tcPr>
            <w:tcW w:w="120" w:type="dxa"/>
            <w:vAlign w:val="bottom"/>
            <w:shd w:val="clear" w:color="auto" w:fill="BFE4FF"/>
          </w:tcPr>
          <w:p>
            <w:pPr>
              <w:spacing w:after="0"/>
              <w:rPr>
                <w:sz w:val="23"/>
                <w:szCs w:val="23"/>
                <w:color w:val="auto"/>
              </w:rPr>
            </w:pPr>
          </w:p>
        </w:tc>
        <w:tc>
          <w:tcPr>
            <w:tcW w:w="1120" w:type="dxa"/>
            <w:vAlign w:val="bottom"/>
            <w:tcBorders>
              <w:bottom w:val="single" w:sz="8" w:color="auto"/>
            </w:tcBorders>
            <w:shd w:val="clear" w:color="auto" w:fill="BFE4FF"/>
          </w:tcPr>
          <w:p>
            <w:pPr>
              <w:jc w:val="right"/>
              <w:ind w:right="28"/>
              <w:spacing w:after="0"/>
              <w:rPr>
                <w:sz w:val="20"/>
                <w:szCs w:val="20"/>
                <w:color w:val="auto"/>
              </w:rPr>
            </w:pPr>
            <w:r>
              <w:rPr>
                <w:rFonts w:ascii="Arial" w:cs="Arial" w:eastAsia="Arial" w:hAnsi="Arial"/>
                <w:sz w:val="14"/>
                <w:szCs w:val="14"/>
                <w:color w:val="auto"/>
              </w:rPr>
              <w:t>15</w:t>
            </w:r>
          </w:p>
        </w:tc>
        <w:tc>
          <w:tcPr>
            <w:tcW w:w="120" w:type="dxa"/>
            <w:vAlign w:val="bottom"/>
            <w:shd w:val="clear" w:color="auto" w:fill="BFE4FF"/>
          </w:tcPr>
          <w:p>
            <w:pPr>
              <w:spacing w:after="0"/>
              <w:rPr>
                <w:sz w:val="23"/>
                <w:szCs w:val="23"/>
                <w:color w:val="auto"/>
              </w:rPr>
            </w:pPr>
          </w:p>
        </w:tc>
        <w:tc>
          <w:tcPr>
            <w:tcW w:w="780" w:type="dxa"/>
            <w:vAlign w:val="bottom"/>
            <w:tcBorders>
              <w:bottom w:val="single" w:sz="8" w:color="auto"/>
            </w:tcBorders>
            <w:shd w:val="clear" w:color="auto" w:fill="BFE4FF"/>
          </w:tcPr>
          <w:p>
            <w:pPr>
              <w:jc w:val="right"/>
              <w:ind w:right="28"/>
              <w:spacing w:after="0"/>
              <w:rPr>
                <w:sz w:val="20"/>
                <w:szCs w:val="20"/>
                <w:color w:val="auto"/>
              </w:rPr>
            </w:pPr>
            <w:r>
              <w:rPr>
                <w:rFonts w:ascii="Arial" w:cs="Arial" w:eastAsia="Arial" w:hAnsi="Arial"/>
                <w:sz w:val="14"/>
                <w:szCs w:val="14"/>
                <w:color w:val="auto"/>
              </w:rPr>
              <w:t>15</w:t>
            </w:r>
          </w:p>
        </w:tc>
        <w:tc>
          <w:tcPr>
            <w:tcW w:w="0" w:type="dxa"/>
            <w:vAlign w:val="bottom"/>
          </w:tcPr>
          <w:p>
            <w:pPr>
              <w:spacing w:after="0"/>
              <w:rPr>
                <w:sz w:val="1"/>
                <w:szCs w:val="1"/>
                <w:color w:val="auto"/>
              </w:rPr>
            </w:pPr>
          </w:p>
        </w:tc>
      </w:tr>
      <w:tr>
        <w:trPr>
          <w:trHeight w:val="243"/>
        </w:trPr>
        <w:tc>
          <w:tcPr>
            <w:tcW w:w="4920" w:type="dxa"/>
            <w:vAlign w:val="bottom"/>
          </w:tcPr>
          <w:p>
            <w:pPr>
              <w:ind w:left="220"/>
              <w:spacing w:after="0"/>
              <w:rPr>
                <w:sz w:val="20"/>
                <w:szCs w:val="20"/>
                <w:color w:val="auto"/>
              </w:rPr>
            </w:pPr>
            <w:r>
              <w:rPr>
                <w:rFonts w:ascii="Arial" w:cs="Arial" w:eastAsia="Arial" w:hAnsi="Arial"/>
                <w:sz w:val="14"/>
                <w:szCs w:val="14"/>
                <w:color w:val="auto"/>
              </w:rPr>
              <w:t>Total</w:t>
            </w:r>
          </w:p>
        </w:tc>
        <w:tc>
          <w:tcPr>
            <w:tcW w:w="1020" w:type="dxa"/>
            <w:vAlign w:val="bottom"/>
          </w:tcPr>
          <w:p>
            <w:pPr>
              <w:jc w:val="right"/>
              <w:spacing w:after="0"/>
              <w:rPr>
                <w:sz w:val="20"/>
                <w:szCs w:val="20"/>
                <w:color w:val="auto"/>
              </w:rPr>
            </w:pPr>
            <w:r>
              <w:rPr>
                <w:rFonts w:ascii="Arial" w:cs="Arial" w:eastAsia="Arial" w:hAnsi="Arial"/>
                <w:sz w:val="14"/>
                <w:szCs w:val="14"/>
                <w:color w:val="auto"/>
              </w:rPr>
              <w:t>$4,082</w:t>
            </w:r>
          </w:p>
        </w:tc>
        <w:tc>
          <w:tcPr>
            <w:tcW w:w="1300" w:type="dxa"/>
            <w:vAlign w:val="bottom"/>
            <w:gridSpan w:val="3"/>
          </w:tcPr>
          <w:p>
            <w:pPr>
              <w:jc w:val="right"/>
              <w:spacing w:after="0"/>
              <w:rPr>
                <w:sz w:val="20"/>
                <w:szCs w:val="20"/>
                <w:color w:val="auto"/>
              </w:rPr>
            </w:pPr>
            <w:r>
              <w:rPr>
                <w:rFonts w:ascii="Arial" w:cs="Arial" w:eastAsia="Arial" w:hAnsi="Arial"/>
                <w:sz w:val="14"/>
                <w:szCs w:val="14"/>
                <w:color w:val="auto"/>
              </w:rPr>
              <w:t>$1,418</w:t>
            </w:r>
          </w:p>
        </w:tc>
        <w:tc>
          <w:tcPr>
            <w:tcW w:w="1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$5,500</w:t>
            </w:r>
          </w:p>
        </w:tc>
        <w:tc>
          <w:tcPr>
            <w:tcW w:w="1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$3,460</w:t>
            </w:r>
          </w:p>
        </w:tc>
        <w:tc>
          <w:tcPr>
            <w:tcW w:w="1260" w:type="dxa"/>
            <w:vAlign w:val="bottom"/>
            <w:gridSpan w:val="3"/>
          </w:tcPr>
          <w:p>
            <w:pPr>
              <w:jc w:val="right"/>
              <w:spacing w:after="0"/>
              <w:rPr>
                <w:sz w:val="20"/>
                <w:szCs w:val="20"/>
                <w:color w:val="auto"/>
              </w:rPr>
            </w:pPr>
            <w:r>
              <w:rPr>
                <w:rFonts w:ascii="Arial" w:cs="Arial" w:eastAsia="Arial" w:hAnsi="Arial"/>
                <w:sz w:val="14"/>
                <w:szCs w:val="14"/>
                <w:color w:val="auto"/>
              </w:rPr>
              <w:t>$2,358</w:t>
            </w:r>
          </w:p>
        </w:tc>
        <w:tc>
          <w:tcPr>
            <w:tcW w:w="1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$5,818</w:t>
            </w:r>
          </w:p>
        </w:tc>
        <w:tc>
          <w:tcPr>
            <w:tcW w:w="0" w:type="dxa"/>
            <w:vAlign w:val="bottom"/>
          </w:tcPr>
          <w:p>
            <w:pPr>
              <w:spacing w:after="0"/>
              <w:rPr>
                <w:sz w:val="1"/>
                <w:szCs w:val="1"/>
                <w:color w:val="auto"/>
              </w:rPr>
            </w:pPr>
          </w:p>
        </w:tc>
      </w:tr>
      <w:tr>
        <w:trPr>
          <w:trHeight w:val="20"/>
        </w:trPr>
        <w:tc>
          <w:tcPr>
            <w:tcW w:w="492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__________</w:t>
      </w:r>
    </w:p>
    <w:p>
      <w:pPr>
        <w:spacing w:after="0" w:line="117" w:lineRule="exact"/>
        <w:rPr>
          <w:sz w:val="20"/>
          <w:szCs w:val="20"/>
          <w:color w:val="auto"/>
        </w:rPr>
      </w:pPr>
    </w:p>
    <w:p>
      <w:pPr>
        <w:ind w:left="340" w:hanging="332"/>
        <w:spacing w:after="0"/>
        <w:tabs>
          <w:tab w:leader="none" w:pos="340" w:val="left"/>
        </w:tabs>
        <w:numPr>
          <w:ilvl w:val="0"/>
          <w:numId w:val="83"/>
        </w:numPr>
        <w:rPr>
          <w:rFonts w:ascii="Arial" w:cs="Arial" w:eastAsia="Arial" w:hAnsi="Arial"/>
          <w:sz w:val="17"/>
          <w:szCs w:val="17"/>
          <w:color w:val="auto"/>
        </w:rPr>
      </w:pPr>
      <w:r>
        <w:rPr>
          <w:rFonts w:ascii="Arial" w:cs="Arial" w:eastAsia="Arial" w:hAnsi="Arial"/>
          <w:sz w:val="17"/>
          <w:szCs w:val="17"/>
          <w:color w:val="auto"/>
        </w:rPr>
        <w:t>Does not include amounts assumed from a former affiliate of $102 million of insurance liabilities, which were recaptured at January 1, 2017.</w:t>
      </w:r>
    </w:p>
    <w:p>
      <w:pPr>
        <w:spacing w:after="0" w:line="128" w:lineRule="exact"/>
        <w:rPr>
          <w:rFonts w:ascii="Arial" w:cs="Arial" w:eastAsia="Arial" w:hAnsi="Arial"/>
          <w:sz w:val="17"/>
          <w:szCs w:val="17"/>
          <w:color w:val="auto"/>
        </w:rPr>
      </w:pPr>
    </w:p>
    <w:p>
      <w:pPr>
        <w:ind w:left="340" w:hanging="332"/>
        <w:spacing w:after="0"/>
        <w:tabs>
          <w:tab w:leader="none" w:pos="340" w:val="left"/>
        </w:tabs>
        <w:numPr>
          <w:ilvl w:val="0"/>
          <w:numId w:val="83"/>
        </w:numPr>
        <w:rPr>
          <w:rFonts w:ascii="Arial" w:cs="Arial" w:eastAsia="Arial" w:hAnsi="Arial"/>
          <w:sz w:val="17"/>
          <w:szCs w:val="17"/>
          <w:color w:val="auto"/>
        </w:rPr>
      </w:pPr>
      <w:r>
        <w:rPr>
          <w:rFonts w:ascii="Arial" w:cs="Arial" w:eastAsia="Arial" w:hAnsi="Arial"/>
          <w:sz w:val="17"/>
          <w:szCs w:val="17"/>
          <w:color w:val="auto"/>
        </w:rPr>
        <w:t>Does not include amounts assumed from a former affiliate of $460 million of embedded derivatives, which were recaptured at January 1, 2017.</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Derivatives Hedging Variable Annuity Guarantees</w:t>
      </w:r>
    </w:p>
    <w:p>
      <w:pPr>
        <w:spacing w:after="0" w:line="117" w:lineRule="exact"/>
        <w:rPr>
          <w:sz w:val="20"/>
          <w:szCs w:val="20"/>
          <w:color w:val="auto"/>
        </w:rPr>
      </w:pPr>
    </w:p>
    <w:p>
      <w:pPr>
        <w:jc w:val="both"/>
        <w:ind w:left="180" w:firstLine="324"/>
        <w:spacing w:after="0" w:line="277" w:lineRule="auto"/>
        <w:rPr>
          <w:sz w:val="20"/>
          <w:szCs w:val="20"/>
          <w:color w:val="auto"/>
        </w:rPr>
      </w:pPr>
      <w:r>
        <w:rPr>
          <w:rFonts w:ascii="Arial" w:cs="Arial" w:eastAsia="Arial" w:hAnsi="Arial"/>
          <w:sz w:val="18"/>
          <w:szCs w:val="18"/>
          <w:color w:val="auto"/>
        </w:rPr>
        <w:t>The table below presents the gross notional amount, estimated fair value, and primary underlying risk exposure of the derivatives in our existing hedge program for our variable annuity product guarantees at September 30, 2017 and December 31, 2016:</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tbl>
      <w:tblPr>
        <w:tblLayout w:type="fixed"/>
        <w:tblInd w:w="780" w:type="dxa"/>
        <w:tblCellMar>
          <w:top w:w="0" w:type="dxa"/>
          <w:left w:w="0" w:type="dxa"/>
          <w:bottom w:w="0" w:type="dxa"/>
          <w:right w:w="0" w:type="dxa"/>
        </w:tblCellMar>
      </w:tblPr>
      <w:tr>
        <w:trPr>
          <w:trHeight w:val="192"/>
        </w:trPr>
        <w:tc>
          <w:tcPr>
            <w:tcW w:w="1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4"/>
          </w:tcPr>
          <w:p>
            <w:pPr>
              <w:ind w:left="60"/>
              <w:spacing w:after="0"/>
              <w:rPr>
                <w:sz w:val="20"/>
                <w:szCs w:val="20"/>
                <w:color w:val="auto"/>
              </w:rPr>
            </w:pPr>
            <w:r>
              <w:rPr>
                <w:rFonts w:ascii="Arial" w:cs="Arial" w:eastAsia="Arial" w:hAnsi="Arial"/>
                <w:sz w:val="14"/>
                <w:szCs w:val="14"/>
                <w:b w:val="1"/>
                <w:bCs w:val="1"/>
                <w:color w:val="auto"/>
                <w:w w:val="91"/>
              </w:rPr>
              <w:t>September 30, 2017</w:t>
            </w:r>
          </w:p>
        </w:tc>
        <w:tc>
          <w:tcPr>
            <w:tcW w:w="8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5"/>
          </w:tcPr>
          <w:p>
            <w:pPr>
              <w:jc w:val="center"/>
              <w:ind w:right="40"/>
              <w:spacing w:after="0"/>
              <w:rPr>
                <w:sz w:val="20"/>
                <w:szCs w:val="20"/>
                <w:color w:val="auto"/>
              </w:rPr>
            </w:pPr>
            <w:r>
              <w:rPr>
                <w:rFonts w:ascii="Arial" w:cs="Arial" w:eastAsia="Arial" w:hAnsi="Arial"/>
                <w:sz w:val="14"/>
                <w:szCs w:val="14"/>
                <w:b w:val="1"/>
                <w:bCs w:val="1"/>
                <w:color w:val="auto"/>
                <w:w w:val="91"/>
              </w:rPr>
              <w:t>December 31, 2016</w:t>
            </w:r>
          </w:p>
        </w:tc>
        <w:tc>
          <w:tcPr>
            <w:tcW w:w="8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w w:val="88"/>
              </w:rPr>
              <w:t>Gross</w:t>
            </w:r>
          </w:p>
        </w:tc>
        <w:tc>
          <w:tcPr>
            <w:tcW w:w="120" w:type="dxa"/>
            <w:vAlign w:val="bottom"/>
          </w:tcPr>
          <w:p>
            <w:pPr>
              <w:spacing w:after="0"/>
              <w:rPr>
                <w:sz w:val="18"/>
                <w:szCs w:val="18"/>
                <w:color w:val="auto"/>
              </w:rPr>
            </w:pPr>
          </w:p>
        </w:tc>
        <w:tc>
          <w:tcPr>
            <w:tcW w:w="2060" w:type="dxa"/>
            <w:vAlign w:val="bottom"/>
            <w:gridSpan w:val="5"/>
          </w:tcPr>
          <w:p>
            <w:pPr>
              <w:ind w:left="340"/>
              <w:spacing w:after="0"/>
              <w:rPr>
                <w:sz w:val="20"/>
                <w:szCs w:val="20"/>
                <w:color w:val="auto"/>
              </w:rPr>
            </w:pPr>
            <w:r>
              <w:rPr>
                <w:rFonts w:ascii="Arial" w:cs="Arial" w:eastAsia="Arial" w:hAnsi="Arial"/>
                <w:sz w:val="14"/>
                <w:szCs w:val="14"/>
                <w:b w:val="1"/>
                <w:bCs w:val="1"/>
                <w:color w:val="auto"/>
              </w:rPr>
              <w:t>Estimated Fair Value</w:t>
            </w: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w w:val="88"/>
              </w:rPr>
              <w:t>Gross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80" w:type="dxa"/>
            <w:vAlign w:val="bottom"/>
            <w:gridSpan w:val="4"/>
          </w:tcPr>
          <w:p>
            <w:pPr>
              <w:jc w:val="right"/>
              <w:ind w:right="208"/>
              <w:spacing w:after="0"/>
              <w:rPr>
                <w:sz w:val="20"/>
                <w:szCs w:val="20"/>
                <w:color w:val="auto"/>
              </w:rPr>
            </w:pPr>
            <w:r>
              <w:rPr>
                <w:rFonts w:ascii="Arial" w:cs="Arial" w:eastAsia="Arial" w:hAnsi="Arial"/>
                <w:sz w:val="14"/>
                <w:szCs w:val="14"/>
                <w:b w:val="1"/>
                <w:bCs w:val="1"/>
                <w:color w:val="auto"/>
              </w:rPr>
              <w:t>Estimated Fair Value</w:t>
            </w:r>
          </w:p>
        </w:tc>
        <w:tc>
          <w:tcPr>
            <w:tcW w:w="0" w:type="dxa"/>
            <w:vAlign w:val="bottom"/>
          </w:tcPr>
          <w:p>
            <w:pPr>
              <w:spacing w:after="0"/>
              <w:rPr>
                <w:sz w:val="1"/>
                <w:szCs w:val="1"/>
                <w:color w:val="auto"/>
              </w:rPr>
            </w:pPr>
          </w:p>
        </w:tc>
      </w:tr>
      <w:tr>
        <w:trPr>
          <w:trHeight w:val="54"/>
        </w:trPr>
        <w:tc>
          <w:tcPr>
            <w:tcW w:w="1900" w:type="dxa"/>
            <w:vAlign w:val="bottom"/>
            <w:gridSpan w:val="2"/>
            <w:vMerge w:val="restart"/>
          </w:tcPr>
          <w:p>
            <w:pPr>
              <w:ind w:left="20"/>
              <w:spacing w:after="0" w:line="139" w:lineRule="exact"/>
              <w:rPr>
                <w:sz w:val="20"/>
                <w:szCs w:val="20"/>
                <w:color w:val="auto"/>
              </w:rPr>
            </w:pPr>
            <w:r>
              <w:rPr>
                <w:rFonts w:ascii="Arial" w:cs="Arial" w:eastAsia="Arial" w:hAnsi="Arial"/>
                <w:sz w:val="14"/>
                <w:szCs w:val="14"/>
                <w:b w:val="1"/>
                <w:bCs w:val="1"/>
                <w:color w:val="auto"/>
              </w:rPr>
              <w:t>Primary Underlying Risk</w:t>
            </w:r>
          </w:p>
        </w:tc>
        <w:tc>
          <w:tcPr>
            <w:tcW w:w="1980" w:type="dxa"/>
            <w:vAlign w:val="bottom"/>
          </w:tcPr>
          <w:p>
            <w:pPr>
              <w:spacing w:after="0"/>
              <w:rPr>
                <w:sz w:val="4"/>
                <w:szCs w:val="4"/>
                <w:color w:val="auto"/>
              </w:rPr>
            </w:pPr>
          </w:p>
        </w:tc>
        <w:tc>
          <w:tcPr>
            <w:tcW w:w="180" w:type="dxa"/>
            <w:vAlign w:val="bottom"/>
          </w:tcPr>
          <w:p>
            <w:pPr>
              <w:spacing w:after="0"/>
              <w:rPr>
                <w:sz w:val="4"/>
                <w:szCs w:val="4"/>
                <w:color w:val="auto"/>
              </w:rPr>
            </w:pPr>
          </w:p>
        </w:tc>
        <w:tc>
          <w:tcPr>
            <w:tcW w:w="780" w:type="dxa"/>
            <w:vAlign w:val="bottom"/>
            <w:vMerge w:val="restart"/>
          </w:tcPr>
          <w:p>
            <w:pPr>
              <w:jc w:val="center"/>
              <w:spacing w:after="0" w:line="139" w:lineRule="exact"/>
              <w:rPr>
                <w:sz w:val="20"/>
                <w:szCs w:val="20"/>
                <w:color w:val="auto"/>
              </w:rPr>
            </w:pPr>
            <w:r>
              <w:rPr>
                <w:rFonts w:ascii="Arial" w:cs="Arial" w:eastAsia="Arial" w:hAnsi="Arial"/>
                <w:sz w:val="14"/>
                <w:szCs w:val="14"/>
                <w:b w:val="1"/>
                <w:bCs w:val="1"/>
                <w:color w:val="auto"/>
                <w:w w:val="92"/>
              </w:rPr>
              <w:t>Notional</w:t>
            </w:r>
          </w:p>
        </w:tc>
        <w:tc>
          <w:tcPr>
            <w:tcW w:w="120" w:type="dxa"/>
            <w:vAlign w:val="bottom"/>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860" w:type="dxa"/>
            <w:vAlign w:val="bottom"/>
            <w:vMerge w:val="restart"/>
          </w:tcPr>
          <w:p>
            <w:pPr>
              <w:jc w:val="center"/>
              <w:spacing w:after="0" w:line="139" w:lineRule="exact"/>
              <w:rPr>
                <w:sz w:val="20"/>
                <w:szCs w:val="20"/>
                <w:color w:val="auto"/>
              </w:rPr>
            </w:pPr>
            <w:r>
              <w:rPr>
                <w:rFonts w:ascii="Arial" w:cs="Arial" w:eastAsia="Arial" w:hAnsi="Arial"/>
                <w:sz w:val="14"/>
                <w:szCs w:val="14"/>
                <w:b w:val="1"/>
                <w:bCs w:val="1"/>
                <w:color w:val="auto"/>
                <w:w w:val="92"/>
              </w:rPr>
              <w:t>Notional</w:t>
            </w: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65"/>
        </w:trPr>
        <w:tc>
          <w:tcPr>
            <w:tcW w:w="1900" w:type="dxa"/>
            <w:vAlign w:val="bottom"/>
            <w:gridSpan w:val="2"/>
            <w:vMerge w:val="continue"/>
          </w:tcPr>
          <w:p>
            <w:pPr>
              <w:spacing w:after="0"/>
              <w:rPr>
                <w:sz w:val="5"/>
                <w:szCs w:val="5"/>
                <w:color w:val="auto"/>
              </w:rPr>
            </w:pPr>
          </w:p>
        </w:tc>
        <w:tc>
          <w:tcPr>
            <w:tcW w:w="2160" w:type="dxa"/>
            <w:vAlign w:val="bottom"/>
            <w:gridSpan w:val="2"/>
            <w:vMerge w:val="restart"/>
          </w:tcPr>
          <w:p>
            <w:pPr>
              <w:ind w:left="480"/>
              <w:spacing w:after="0"/>
              <w:rPr>
                <w:sz w:val="20"/>
                <w:szCs w:val="20"/>
                <w:color w:val="auto"/>
              </w:rPr>
            </w:pPr>
            <w:r>
              <w:rPr>
                <w:rFonts w:ascii="Arial" w:cs="Arial" w:eastAsia="Arial" w:hAnsi="Arial"/>
                <w:sz w:val="14"/>
                <w:szCs w:val="14"/>
                <w:b w:val="1"/>
                <w:bCs w:val="1"/>
                <w:color w:val="auto"/>
              </w:rPr>
              <w:t>Instrument Type</w:t>
            </w:r>
          </w:p>
        </w:tc>
        <w:tc>
          <w:tcPr>
            <w:tcW w:w="78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160" w:type="dxa"/>
            <w:vAlign w:val="bottom"/>
            <w:gridSpan w:val="3"/>
            <w:vMerge w:val="restart"/>
          </w:tcPr>
          <w:p>
            <w:pPr>
              <w:ind w:left="240"/>
              <w:spacing w:after="0"/>
              <w:rPr>
                <w:sz w:val="20"/>
                <w:szCs w:val="20"/>
                <w:color w:val="auto"/>
              </w:rPr>
            </w:pPr>
            <w:r>
              <w:rPr>
                <w:rFonts w:ascii="Arial" w:cs="Arial" w:eastAsia="Arial" w:hAnsi="Arial"/>
                <w:sz w:val="14"/>
                <w:szCs w:val="14"/>
                <w:b w:val="1"/>
                <w:bCs w:val="1"/>
                <w:color w:val="auto"/>
              </w:rPr>
              <w:t>Assets</w:t>
            </w:r>
          </w:p>
        </w:tc>
        <w:tc>
          <w:tcPr>
            <w:tcW w:w="9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Liabilities</w:t>
            </w:r>
          </w:p>
        </w:tc>
        <w:tc>
          <w:tcPr>
            <w:tcW w:w="86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80" w:type="dxa"/>
            <w:vAlign w:val="bottom"/>
            <w:gridSpan w:val="3"/>
            <w:vMerge w:val="restart"/>
          </w:tcPr>
          <w:p>
            <w:pPr>
              <w:jc w:val="center"/>
              <w:ind w:right="180"/>
              <w:spacing w:after="0"/>
              <w:rPr>
                <w:sz w:val="20"/>
                <w:szCs w:val="20"/>
                <w:color w:val="auto"/>
              </w:rPr>
            </w:pPr>
            <w:r>
              <w:rPr>
                <w:rFonts w:ascii="Arial" w:cs="Arial" w:eastAsia="Arial" w:hAnsi="Arial"/>
                <w:sz w:val="14"/>
                <w:szCs w:val="14"/>
                <w:b w:val="1"/>
                <w:bCs w:val="1"/>
                <w:color w:val="auto"/>
                <w:w w:val="82"/>
              </w:rPr>
              <w:t>Assets</w:t>
            </w:r>
          </w:p>
        </w:tc>
        <w:tc>
          <w:tcPr>
            <w:tcW w:w="800" w:type="dxa"/>
            <w:vAlign w:val="bottom"/>
            <w:vMerge w:val="restart"/>
          </w:tcPr>
          <w:p>
            <w:pPr>
              <w:jc w:val="right"/>
              <w:ind w:right="68"/>
              <w:spacing w:after="0"/>
              <w:rPr>
                <w:sz w:val="20"/>
                <w:szCs w:val="20"/>
                <w:color w:val="auto"/>
              </w:rPr>
            </w:pPr>
            <w:r>
              <w:rPr>
                <w:rFonts w:ascii="Arial" w:cs="Arial" w:eastAsia="Arial" w:hAnsi="Arial"/>
                <w:sz w:val="14"/>
                <w:szCs w:val="14"/>
                <w:b w:val="1"/>
                <w:bCs w:val="1"/>
                <w:color w:val="auto"/>
                <w:w w:val="99"/>
              </w:rPr>
              <w:t>Liabilities</w:t>
            </w:r>
          </w:p>
        </w:tc>
        <w:tc>
          <w:tcPr>
            <w:tcW w:w="0" w:type="dxa"/>
            <w:vAlign w:val="bottom"/>
          </w:tcPr>
          <w:p>
            <w:pPr>
              <w:spacing w:after="0"/>
              <w:rPr>
                <w:sz w:val="1"/>
                <w:szCs w:val="1"/>
                <w:color w:val="auto"/>
              </w:rPr>
            </w:pPr>
          </w:p>
        </w:tc>
      </w:tr>
      <w:tr>
        <w:trPr>
          <w:trHeight w:val="192"/>
        </w:trPr>
        <w:tc>
          <w:tcPr>
            <w:tcW w:w="1900" w:type="dxa"/>
            <w:vAlign w:val="bottom"/>
            <w:gridSpan w:val="2"/>
          </w:tcPr>
          <w:p>
            <w:pPr>
              <w:ind w:left="20"/>
              <w:spacing w:after="0"/>
              <w:rPr>
                <w:sz w:val="20"/>
                <w:szCs w:val="20"/>
                <w:color w:val="auto"/>
              </w:rPr>
            </w:pPr>
            <w:r>
              <w:rPr>
                <w:rFonts w:ascii="Arial" w:cs="Arial" w:eastAsia="Arial" w:hAnsi="Arial"/>
                <w:sz w:val="14"/>
                <w:szCs w:val="14"/>
                <w:b w:val="1"/>
                <w:bCs w:val="1"/>
                <w:color w:val="auto"/>
              </w:rPr>
              <w:t>Exposure</w:t>
            </w:r>
          </w:p>
        </w:tc>
        <w:tc>
          <w:tcPr>
            <w:tcW w:w="2160" w:type="dxa"/>
            <w:vAlign w:val="bottom"/>
            <w:gridSpan w:val="2"/>
            <w:vMerge w:val="continue"/>
          </w:tcPr>
          <w:p>
            <w:pPr>
              <w:spacing w:after="0"/>
              <w:rPr>
                <w:sz w:val="16"/>
                <w:szCs w:val="16"/>
                <w:color w:val="auto"/>
              </w:rPr>
            </w:pP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w w:val="94"/>
              </w:rPr>
              <w:t>Amount</w:t>
            </w:r>
          </w:p>
        </w:tc>
        <w:tc>
          <w:tcPr>
            <w:tcW w:w="120" w:type="dxa"/>
            <w:vAlign w:val="bottom"/>
          </w:tcPr>
          <w:p>
            <w:pPr>
              <w:spacing w:after="0"/>
              <w:rPr>
                <w:sz w:val="16"/>
                <w:szCs w:val="16"/>
                <w:color w:val="auto"/>
              </w:rPr>
            </w:pPr>
          </w:p>
        </w:tc>
        <w:tc>
          <w:tcPr>
            <w:tcW w:w="1160" w:type="dxa"/>
            <w:vAlign w:val="bottom"/>
            <w:gridSpan w:val="3"/>
            <w:vMerge w:val="continue"/>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w w:val="98"/>
              </w:rPr>
              <w:t>Amount</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gridSpan w:val="3"/>
            <w:vMerge w:val="continue"/>
          </w:tcPr>
          <w:p>
            <w:pPr>
              <w:spacing w:after="0"/>
              <w:rPr>
                <w:sz w:val="16"/>
                <w:szCs w:val="16"/>
                <w:color w:val="auto"/>
              </w:rPr>
            </w:pPr>
          </w:p>
        </w:tc>
        <w:tc>
          <w:tcPr>
            <w:tcW w:w="8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178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980" w:type="dxa"/>
            <w:vAlign w:val="bottom"/>
            <w:tcBorders>
              <w:top w:val="single" w:sz="8" w:color="auto"/>
            </w:tcBorders>
          </w:tcPr>
          <w:p>
            <w:pPr>
              <w:spacing w:after="0"/>
              <w:rPr>
                <w:sz w:val="22"/>
                <w:szCs w:val="22"/>
                <w:color w:val="auto"/>
              </w:rPr>
            </w:pPr>
          </w:p>
        </w:tc>
        <w:tc>
          <w:tcPr>
            <w:tcW w:w="180" w:type="dxa"/>
            <w:vAlign w:val="bottom"/>
          </w:tcPr>
          <w:p>
            <w:pPr>
              <w:spacing w:after="0"/>
              <w:rPr>
                <w:sz w:val="22"/>
                <w:szCs w:val="22"/>
                <w:color w:val="auto"/>
              </w:rPr>
            </w:pPr>
          </w:p>
        </w:tc>
        <w:tc>
          <w:tcPr>
            <w:tcW w:w="780" w:type="dxa"/>
            <w:vAlign w:val="bottom"/>
            <w:tcBorders>
              <w:top w:val="single" w:sz="8" w:color="auto"/>
            </w:tcBorders>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880" w:type="dxa"/>
            <w:vAlign w:val="bottom"/>
            <w:tcBorders>
              <w:top w:val="single" w:sz="8" w:color="auto"/>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1760" w:type="dxa"/>
            <w:vAlign w:val="bottom"/>
            <w:tcBorders>
              <w:top w:val="single" w:sz="8" w:color="auto"/>
            </w:tcBorders>
            <w:gridSpan w:val="3"/>
          </w:tcPr>
          <w:p>
            <w:pPr>
              <w:jc w:val="right"/>
              <w:ind w:right="448"/>
              <w:spacing w:after="0"/>
              <w:rPr>
                <w:sz w:val="20"/>
                <w:szCs w:val="20"/>
                <w:color w:val="auto"/>
              </w:rPr>
            </w:pPr>
            <w:r>
              <w:rPr>
                <w:rFonts w:ascii="Arial" w:cs="Arial" w:eastAsia="Arial" w:hAnsi="Arial"/>
                <w:sz w:val="14"/>
                <w:szCs w:val="14"/>
                <w:b w:val="1"/>
                <w:bCs w:val="1"/>
                <w:color w:val="auto"/>
              </w:rPr>
              <w:t>(In millions)</w:t>
            </w:r>
          </w:p>
        </w:tc>
        <w:tc>
          <w:tcPr>
            <w:tcW w:w="20" w:type="dxa"/>
            <w:vAlign w:val="bottom"/>
            <w:tcBorders>
              <w:top w:val="single" w:sz="8" w:color="auto"/>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880" w:type="dxa"/>
            <w:vAlign w:val="bottom"/>
            <w:tcBorders>
              <w:top w:val="single" w:sz="8" w:color="auto"/>
            </w:tcBorders>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80" w:type="dxa"/>
            <w:vAlign w:val="bottom"/>
            <w:tcBorders>
              <w:top w:val="single" w:sz="8" w:color="auto"/>
            </w:tcBorders>
          </w:tcPr>
          <w:p>
            <w:pPr>
              <w:spacing w:after="0"/>
              <w:rPr>
                <w:sz w:val="22"/>
                <w:szCs w:val="22"/>
                <w:color w:val="auto"/>
              </w:rPr>
            </w:pPr>
          </w:p>
        </w:tc>
        <w:tc>
          <w:tcPr>
            <w:tcW w:w="80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1900" w:type="dxa"/>
            <w:vAlign w:val="bottom"/>
            <w:gridSpan w:val="2"/>
            <w:shd w:val="clear" w:color="auto" w:fill="BFE4FF"/>
          </w:tcPr>
          <w:p>
            <w:pPr>
              <w:ind w:left="20"/>
              <w:spacing w:after="0"/>
              <w:rPr>
                <w:sz w:val="20"/>
                <w:szCs w:val="20"/>
                <w:color w:val="auto"/>
              </w:rPr>
            </w:pPr>
            <w:r>
              <w:rPr>
                <w:rFonts w:ascii="Arial" w:cs="Arial" w:eastAsia="Arial" w:hAnsi="Arial"/>
                <w:sz w:val="14"/>
                <w:szCs w:val="14"/>
                <w:color w:val="auto"/>
              </w:rPr>
              <w:t>Interest Rate</w:t>
            </w:r>
          </w:p>
        </w:tc>
        <w:tc>
          <w:tcPr>
            <w:tcW w:w="2160" w:type="dxa"/>
            <w:vAlign w:val="bottom"/>
            <w:gridSpan w:val="2"/>
            <w:shd w:val="clear" w:color="auto" w:fill="BFE4FF"/>
          </w:tcPr>
          <w:p>
            <w:pPr>
              <w:ind w:left="20"/>
              <w:spacing w:after="0"/>
              <w:rPr>
                <w:sz w:val="20"/>
                <w:szCs w:val="20"/>
                <w:color w:val="auto"/>
              </w:rPr>
            </w:pPr>
            <w:r>
              <w:rPr>
                <w:rFonts w:ascii="Arial" w:cs="Arial" w:eastAsia="Arial" w:hAnsi="Arial"/>
                <w:sz w:val="14"/>
                <w:szCs w:val="14"/>
                <w:color w:val="auto"/>
              </w:rPr>
              <w:t>Interest rate swaps</w:t>
            </w:r>
          </w:p>
        </w:tc>
        <w:tc>
          <w:tcPr>
            <w:tcW w:w="780" w:type="dxa"/>
            <w:vAlign w:val="bottom"/>
            <w:shd w:val="clear" w:color="auto" w:fill="BFE4FF"/>
          </w:tcPr>
          <w:p>
            <w:pPr>
              <w:jc w:val="right"/>
              <w:spacing w:after="0"/>
              <w:rPr>
                <w:sz w:val="20"/>
                <w:szCs w:val="20"/>
                <w:color w:val="auto"/>
              </w:rPr>
            </w:pPr>
            <w:r>
              <w:rPr>
                <w:rFonts w:ascii="Arial" w:cs="Arial" w:eastAsia="Arial" w:hAnsi="Arial"/>
                <w:sz w:val="14"/>
                <w:szCs w:val="14"/>
                <w:color w:val="auto"/>
              </w:rPr>
              <w:t>$14,586</w:t>
            </w:r>
          </w:p>
        </w:tc>
        <w:tc>
          <w:tcPr>
            <w:tcW w:w="1000" w:type="dxa"/>
            <w:vAlign w:val="bottom"/>
            <w:gridSpan w:val="2"/>
            <w:shd w:val="clear" w:color="auto" w:fill="BFE4FF"/>
          </w:tcPr>
          <w:p>
            <w:pPr>
              <w:jc w:val="right"/>
              <w:spacing w:after="0"/>
              <w:rPr>
                <w:sz w:val="20"/>
                <w:szCs w:val="20"/>
                <w:color w:val="auto"/>
              </w:rPr>
            </w:pPr>
            <w:r>
              <w:rPr>
                <w:rFonts w:ascii="Arial" w:cs="Arial" w:eastAsia="Arial" w:hAnsi="Arial"/>
                <w:sz w:val="14"/>
                <w:szCs w:val="14"/>
                <w:color w:val="auto"/>
              </w:rPr>
              <w:t>$987</w:t>
            </w:r>
          </w:p>
        </w:tc>
        <w:tc>
          <w:tcPr>
            <w:tcW w:w="100" w:type="dxa"/>
            <w:vAlign w:val="bottom"/>
            <w:shd w:val="clear" w:color="auto" w:fill="BFE4FF"/>
          </w:tcPr>
          <w:p>
            <w:pPr>
              <w:spacing w:after="0"/>
              <w:rPr>
                <w:sz w:val="24"/>
                <w:szCs w:val="24"/>
                <w:color w:val="auto"/>
              </w:rPr>
            </w:pPr>
          </w:p>
        </w:tc>
        <w:tc>
          <w:tcPr>
            <w:tcW w:w="180" w:type="dxa"/>
            <w:vAlign w:val="bottom"/>
            <w:shd w:val="clear" w:color="auto" w:fill="BFE4FF"/>
          </w:tcPr>
          <w:p>
            <w:pPr>
              <w:spacing w:after="0"/>
              <w:rPr>
                <w:sz w:val="24"/>
                <w:szCs w:val="24"/>
                <w:color w:val="auto"/>
              </w:rPr>
            </w:pPr>
          </w:p>
        </w:tc>
        <w:tc>
          <w:tcPr>
            <w:tcW w:w="800" w:type="dxa"/>
            <w:vAlign w:val="bottom"/>
            <w:shd w:val="clear" w:color="auto" w:fill="BFE4FF"/>
          </w:tcPr>
          <w:p>
            <w:pPr>
              <w:jc w:val="right"/>
              <w:spacing w:after="0"/>
              <w:rPr>
                <w:sz w:val="20"/>
                <w:szCs w:val="20"/>
                <w:color w:val="auto"/>
              </w:rPr>
            </w:pPr>
            <w:r>
              <w:rPr>
                <w:rFonts w:ascii="Arial" w:cs="Arial" w:eastAsia="Arial" w:hAnsi="Arial"/>
                <w:sz w:val="14"/>
                <w:szCs w:val="14"/>
                <w:color w:val="auto"/>
              </w:rPr>
              <w:t>$396</w:t>
            </w:r>
          </w:p>
        </w:tc>
        <w:tc>
          <w:tcPr>
            <w:tcW w:w="100" w:type="dxa"/>
            <w:vAlign w:val="bottom"/>
            <w:shd w:val="clear" w:color="auto" w:fill="BFE4FF"/>
          </w:tcPr>
          <w:p>
            <w:pPr>
              <w:spacing w:after="0"/>
              <w:rPr>
                <w:sz w:val="24"/>
                <w:szCs w:val="24"/>
                <w:color w:val="auto"/>
              </w:rPr>
            </w:pPr>
          </w:p>
        </w:tc>
        <w:tc>
          <w:tcPr>
            <w:tcW w:w="860" w:type="dxa"/>
            <w:vAlign w:val="bottom"/>
            <w:shd w:val="clear" w:color="auto" w:fill="BFE4FF"/>
          </w:tcPr>
          <w:p>
            <w:pPr>
              <w:jc w:val="right"/>
              <w:spacing w:after="0"/>
              <w:rPr>
                <w:sz w:val="20"/>
                <w:szCs w:val="20"/>
                <w:color w:val="auto"/>
              </w:rPr>
            </w:pPr>
            <w:r>
              <w:rPr>
                <w:rFonts w:ascii="Arial" w:cs="Arial" w:eastAsia="Arial" w:hAnsi="Arial"/>
                <w:sz w:val="14"/>
                <w:szCs w:val="14"/>
                <w:color w:val="auto"/>
              </w:rPr>
              <w:t>$16,551</w:t>
            </w:r>
          </w:p>
        </w:tc>
        <w:tc>
          <w:tcPr>
            <w:tcW w:w="1000" w:type="dxa"/>
            <w:vAlign w:val="bottom"/>
            <w:gridSpan w:val="3"/>
            <w:shd w:val="clear" w:color="auto" w:fill="BFE4FF"/>
          </w:tcPr>
          <w:p>
            <w:pPr>
              <w:jc w:val="right"/>
              <w:spacing w:after="0"/>
              <w:rPr>
                <w:sz w:val="20"/>
                <w:szCs w:val="20"/>
                <w:color w:val="auto"/>
              </w:rPr>
            </w:pPr>
            <w:r>
              <w:rPr>
                <w:rFonts w:ascii="Arial" w:cs="Arial" w:eastAsia="Arial" w:hAnsi="Arial"/>
                <w:sz w:val="14"/>
                <w:szCs w:val="14"/>
                <w:color w:val="auto"/>
              </w:rPr>
              <w:t>$1,180</w:t>
            </w:r>
          </w:p>
        </w:tc>
        <w:tc>
          <w:tcPr>
            <w:tcW w:w="120" w:type="dxa"/>
            <w:vAlign w:val="bottom"/>
            <w:shd w:val="clear" w:color="auto" w:fill="BFE4FF"/>
          </w:tcPr>
          <w:p>
            <w:pPr>
              <w:spacing w:after="0"/>
              <w:rPr>
                <w:sz w:val="24"/>
                <w:szCs w:val="24"/>
                <w:color w:val="auto"/>
              </w:rPr>
            </w:pPr>
          </w:p>
        </w:tc>
        <w:tc>
          <w:tcPr>
            <w:tcW w:w="80" w:type="dxa"/>
            <w:vAlign w:val="bottom"/>
            <w:shd w:val="clear" w:color="auto" w:fill="BFE4FF"/>
          </w:tcPr>
          <w:p>
            <w:pPr>
              <w:spacing w:after="0"/>
              <w:rPr>
                <w:sz w:val="24"/>
                <w:szCs w:val="24"/>
                <w:color w:val="auto"/>
              </w:rPr>
            </w:pPr>
          </w:p>
        </w:tc>
        <w:tc>
          <w:tcPr>
            <w:tcW w:w="800" w:type="dxa"/>
            <w:vAlign w:val="bottom"/>
            <w:shd w:val="clear" w:color="auto" w:fill="BFE4FF"/>
          </w:tcPr>
          <w:p>
            <w:pPr>
              <w:jc w:val="right"/>
              <w:spacing w:after="0"/>
              <w:rPr>
                <w:sz w:val="20"/>
                <w:szCs w:val="20"/>
                <w:color w:val="auto"/>
              </w:rPr>
            </w:pPr>
            <w:r>
              <w:rPr>
                <w:rFonts w:ascii="Arial" w:cs="Arial" w:eastAsia="Arial" w:hAnsi="Arial"/>
                <w:sz w:val="14"/>
                <w:szCs w:val="14"/>
                <w:color w:val="auto"/>
              </w:rPr>
              <w:t>$787</w:t>
            </w:r>
          </w:p>
        </w:tc>
        <w:tc>
          <w:tcPr>
            <w:tcW w:w="0" w:type="dxa"/>
            <w:vAlign w:val="bottom"/>
          </w:tcPr>
          <w:p>
            <w:pPr>
              <w:spacing w:after="0"/>
              <w:rPr>
                <w:sz w:val="1"/>
                <w:szCs w:val="1"/>
                <w:color w:val="auto"/>
              </w:rPr>
            </w:pPr>
          </w:p>
        </w:tc>
      </w:tr>
      <w:tr>
        <w:trPr>
          <w:trHeight w:val="264"/>
        </w:trPr>
        <w:tc>
          <w:tcPr>
            <w:tcW w:w="17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160" w:type="dxa"/>
            <w:vAlign w:val="bottom"/>
            <w:gridSpan w:val="2"/>
          </w:tcPr>
          <w:p>
            <w:pPr>
              <w:ind w:left="20"/>
              <w:spacing w:after="0"/>
              <w:rPr>
                <w:sz w:val="20"/>
                <w:szCs w:val="20"/>
                <w:color w:val="auto"/>
              </w:rPr>
            </w:pPr>
            <w:r>
              <w:rPr>
                <w:rFonts w:ascii="Arial" w:cs="Arial" w:eastAsia="Arial" w:hAnsi="Arial"/>
                <w:sz w:val="14"/>
                <w:szCs w:val="14"/>
                <w:color w:val="auto"/>
              </w:rPr>
              <w:t>Interest rate futures</w:t>
            </w: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282</w:t>
            </w:r>
          </w:p>
        </w:tc>
        <w:tc>
          <w:tcPr>
            <w:tcW w:w="120" w:type="dxa"/>
            <w:vAlign w:val="bottom"/>
          </w:tcPr>
          <w:p>
            <w:pPr>
              <w:spacing w:after="0"/>
              <w:rPr>
                <w:sz w:val="22"/>
                <w:szCs w:val="22"/>
                <w:color w:val="auto"/>
              </w:rPr>
            </w:pPr>
          </w:p>
        </w:tc>
        <w:tc>
          <w:tcPr>
            <w:tcW w:w="1160" w:type="dxa"/>
            <w:vAlign w:val="bottom"/>
            <w:gridSpan w:val="3"/>
          </w:tcPr>
          <w:p>
            <w:pPr>
              <w:jc w:val="right"/>
              <w:ind w:right="380"/>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1,288</w:t>
            </w:r>
          </w:p>
        </w:tc>
        <w:tc>
          <w:tcPr>
            <w:tcW w:w="1000" w:type="dxa"/>
            <w:vAlign w:val="bottom"/>
            <w:gridSpan w:val="3"/>
          </w:tcPr>
          <w:p>
            <w:pPr>
              <w:jc w:val="right"/>
              <w:ind w:right="28"/>
              <w:spacing w:after="0"/>
              <w:rPr>
                <w:sz w:val="20"/>
                <w:szCs w:val="20"/>
                <w:color w:val="auto"/>
              </w:rPr>
            </w:pPr>
            <w:r>
              <w:rPr>
                <w:rFonts w:ascii="Arial" w:cs="Arial" w:eastAsia="Arial" w:hAnsi="Arial"/>
                <w:sz w:val="14"/>
                <w:szCs w:val="14"/>
                <w:color w:val="auto"/>
              </w:rPr>
              <w:t>9</w:t>
            </w: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1780" w:type="dxa"/>
            <w:vAlign w:val="bottom"/>
            <w:shd w:val="clear" w:color="auto" w:fill="BFE4FF"/>
          </w:tcPr>
          <w:p>
            <w:pPr>
              <w:spacing w:after="0"/>
              <w:rPr>
                <w:sz w:val="24"/>
                <w:szCs w:val="24"/>
                <w:color w:val="auto"/>
              </w:rPr>
            </w:pPr>
          </w:p>
        </w:tc>
        <w:tc>
          <w:tcPr>
            <w:tcW w:w="120" w:type="dxa"/>
            <w:vAlign w:val="bottom"/>
            <w:shd w:val="clear" w:color="auto" w:fill="BFE4FF"/>
          </w:tcPr>
          <w:p>
            <w:pPr>
              <w:spacing w:after="0"/>
              <w:rPr>
                <w:sz w:val="24"/>
                <w:szCs w:val="24"/>
                <w:color w:val="auto"/>
              </w:rPr>
            </w:pPr>
          </w:p>
        </w:tc>
        <w:tc>
          <w:tcPr>
            <w:tcW w:w="2160" w:type="dxa"/>
            <w:vAlign w:val="bottom"/>
            <w:gridSpan w:val="2"/>
            <w:shd w:val="clear" w:color="auto" w:fill="BFE4FF"/>
          </w:tcPr>
          <w:p>
            <w:pPr>
              <w:ind w:left="20"/>
              <w:spacing w:after="0"/>
              <w:rPr>
                <w:sz w:val="20"/>
                <w:szCs w:val="20"/>
                <w:color w:val="auto"/>
              </w:rPr>
            </w:pPr>
            <w:r>
              <w:rPr>
                <w:rFonts w:ascii="Arial" w:cs="Arial" w:eastAsia="Arial" w:hAnsi="Arial"/>
                <w:sz w:val="14"/>
                <w:szCs w:val="14"/>
                <w:color w:val="auto"/>
              </w:rPr>
              <w:t>Interest rate options</w:t>
            </w:r>
          </w:p>
        </w:tc>
        <w:tc>
          <w:tcPr>
            <w:tcW w:w="780" w:type="dxa"/>
            <w:vAlign w:val="bottom"/>
            <w:shd w:val="clear" w:color="auto" w:fill="BFE4FF"/>
          </w:tcPr>
          <w:p>
            <w:pPr>
              <w:jc w:val="right"/>
              <w:ind w:right="8"/>
              <w:spacing w:after="0"/>
              <w:rPr>
                <w:sz w:val="20"/>
                <w:szCs w:val="20"/>
                <w:color w:val="auto"/>
              </w:rPr>
            </w:pPr>
            <w:r>
              <w:rPr>
                <w:rFonts w:ascii="Arial" w:cs="Arial" w:eastAsia="Arial" w:hAnsi="Arial"/>
                <w:sz w:val="14"/>
                <w:szCs w:val="14"/>
                <w:color w:val="auto"/>
              </w:rPr>
              <w:t>20,800</w:t>
            </w:r>
          </w:p>
        </w:tc>
        <w:tc>
          <w:tcPr>
            <w:tcW w:w="1000" w:type="dxa"/>
            <w:vAlign w:val="bottom"/>
            <w:gridSpan w:val="2"/>
            <w:shd w:val="clear" w:color="auto" w:fill="BFE4FF"/>
          </w:tcPr>
          <w:p>
            <w:pPr>
              <w:jc w:val="right"/>
              <w:ind w:right="28"/>
              <w:spacing w:after="0"/>
              <w:rPr>
                <w:sz w:val="20"/>
                <w:szCs w:val="20"/>
                <w:color w:val="auto"/>
              </w:rPr>
            </w:pPr>
            <w:r>
              <w:rPr>
                <w:rFonts w:ascii="Arial" w:cs="Arial" w:eastAsia="Arial" w:hAnsi="Arial"/>
                <w:sz w:val="14"/>
                <w:szCs w:val="14"/>
                <w:color w:val="auto"/>
              </w:rPr>
              <w:t>99</w:t>
            </w:r>
          </w:p>
        </w:tc>
        <w:tc>
          <w:tcPr>
            <w:tcW w:w="100" w:type="dxa"/>
            <w:vAlign w:val="bottom"/>
            <w:shd w:val="clear" w:color="auto" w:fill="BFE4FF"/>
          </w:tcPr>
          <w:p>
            <w:pPr>
              <w:spacing w:after="0"/>
              <w:rPr>
                <w:sz w:val="24"/>
                <w:szCs w:val="24"/>
                <w:color w:val="auto"/>
              </w:rPr>
            </w:pPr>
          </w:p>
        </w:tc>
        <w:tc>
          <w:tcPr>
            <w:tcW w:w="180" w:type="dxa"/>
            <w:vAlign w:val="bottom"/>
            <w:shd w:val="clear" w:color="auto" w:fill="BFE4FF"/>
          </w:tcPr>
          <w:p>
            <w:pPr>
              <w:spacing w:after="0"/>
              <w:rPr>
                <w:sz w:val="24"/>
                <w:szCs w:val="24"/>
                <w:color w:val="auto"/>
              </w:rPr>
            </w:pPr>
          </w:p>
        </w:tc>
        <w:tc>
          <w:tcPr>
            <w:tcW w:w="800" w:type="dxa"/>
            <w:vAlign w:val="bottom"/>
            <w:shd w:val="clear" w:color="auto" w:fill="BFE4FF"/>
          </w:tcPr>
          <w:p>
            <w:pPr>
              <w:jc w:val="right"/>
              <w:ind w:right="28"/>
              <w:spacing w:after="0"/>
              <w:rPr>
                <w:sz w:val="20"/>
                <w:szCs w:val="20"/>
                <w:color w:val="auto"/>
              </w:rPr>
            </w:pPr>
            <w:r>
              <w:rPr>
                <w:rFonts w:ascii="Arial" w:cs="Arial" w:eastAsia="Arial" w:hAnsi="Arial"/>
                <w:sz w:val="14"/>
                <w:szCs w:val="14"/>
                <w:color w:val="auto"/>
              </w:rPr>
              <w:t>12</w:t>
            </w:r>
          </w:p>
        </w:tc>
        <w:tc>
          <w:tcPr>
            <w:tcW w:w="100" w:type="dxa"/>
            <w:vAlign w:val="bottom"/>
            <w:shd w:val="clear" w:color="auto" w:fill="BFE4FF"/>
          </w:tcPr>
          <w:p>
            <w:pPr>
              <w:spacing w:after="0"/>
              <w:rPr>
                <w:sz w:val="24"/>
                <w:szCs w:val="24"/>
                <w:color w:val="auto"/>
              </w:rPr>
            </w:pPr>
          </w:p>
        </w:tc>
        <w:tc>
          <w:tcPr>
            <w:tcW w:w="860" w:type="dxa"/>
            <w:vAlign w:val="bottom"/>
            <w:shd w:val="clear" w:color="auto" w:fill="BFE4FF"/>
          </w:tcPr>
          <w:p>
            <w:pPr>
              <w:jc w:val="right"/>
              <w:ind w:right="8"/>
              <w:spacing w:after="0"/>
              <w:rPr>
                <w:sz w:val="20"/>
                <w:szCs w:val="20"/>
                <w:color w:val="auto"/>
              </w:rPr>
            </w:pPr>
            <w:r>
              <w:rPr>
                <w:rFonts w:ascii="Arial" w:cs="Arial" w:eastAsia="Arial" w:hAnsi="Arial"/>
                <w:sz w:val="14"/>
                <w:szCs w:val="14"/>
                <w:color w:val="auto"/>
              </w:rPr>
              <w:t>15,520</w:t>
            </w:r>
          </w:p>
        </w:tc>
        <w:tc>
          <w:tcPr>
            <w:tcW w:w="1000" w:type="dxa"/>
            <w:vAlign w:val="bottom"/>
            <w:gridSpan w:val="3"/>
            <w:shd w:val="clear" w:color="auto" w:fill="BFE4FF"/>
          </w:tcPr>
          <w:p>
            <w:pPr>
              <w:jc w:val="right"/>
              <w:ind w:right="28"/>
              <w:spacing w:after="0"/>
              <w:rPr>
                <w:sz w:val="20"/>
                <w:szCs w:val="20"/>
                <w:color w:val="auto"/>
              </w:rPr>
            </w:pPr>
            <w:r>
              <w:rPr>
                <w:rFonts w:ascii="Arial" w:cs="Arial" w:eastAsia="Arial" w:hAnsi="Arial"/>
                <w:sz w:val="14"/>
                <w:szCs w:val="14"/>
                <w:color w:val="auto"/>
              </w:rPr>
              <w:t>136</w:t>
            </w:r>
          </w:p>
        </w:tc>
        <w:tc>
          <w:tcPr>
            <w:tcW w:w="120" w:type="dxa"/>
            <w:vAlign w:val="bottom"/>
            <w:shd w:val="clear" w:color="auto" w:fill="BFE4FF"/>
          </w:tcPr>
          <w:p>
            <w:pPr>
              <w:spacing w:after="0"/>
              <w:rPr>
                <w:sz w:val="24"/>
                <w:szCs w:val="24"/>
                <w:color w:val="auto"/>
              </w:rPr>
            </w:pPr>
          </w:p>
        </w:tc>
        <w:tc>
          <w:tcPr>
            <w:tcW w:w="80" w:type="dxa"/>
            <w:vAlign w:val="bottom"/>
            <w:shd w:val="clear" w:color="auto" w:fill="BFE4FF"/>
          </w:tcPr>
          <w:p>
            <w:pPr>
              <w:spacing w:after="0"/>
              <w:rPr>
                <w:sz w:val="24"/>
                <w:szCs w:val="24"/>
                <w:color w:val="auto"/>
              </w:rPr>
            </w:pPr>
          </w:p>
        </w:tc>
        <w:tc>
          <w:tcPr>
            <w:tcW w:w="800" w:type="dxa"/>
            <w:vAlign w:val="bottom"/>
            <w:shd w:val="clear" w:color="auto" w:fill="BFE4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1900" w:type="dxa"/>
            <w:vAlign w:val="bottom"/>
            <w:gridSpan w:val="2"/>
          </w:tcPr>
          <w:p>
            <w:pPr>
              <w:ind w:left="20"/>
              <w:spacing w:after="0"/>
              <w:rPr>
                <w:sz w:val="20"/>
                <w:szCs w:val="20"/>
                <w:color w:val="auto"/>
              </w:rPr>
            </w:pPr>
            <w:r>
              <w:rPr>
                <w:rFonts w:ascii="Arial" w:cs="Arial" w:eastAsia="Arial" w:hAnsi="Arial"/>
                <w:sz w:val="14"/>
                <w:szCs w:val="14"/>
                <w:color w:val="auto"/>
              </w:rPr>
              <w:t>Equity Market</w:t>
            </w:r>
          </w:p>
        </w:tc>
        <w:tc>
          <w:tcPr>
            <w:tcW w:w="2160" w:type="dxa"/>
            <w:vAlign w:val="bottom"/>
            <w:gridSpan w:val="2"/>
          </w:tcPr>
          <w:p>
            <w:pPr>
              <w:ind w:left="20"/>
              <w:spacing w:after="0"/>
              <w:rPr>
                <w:sz w:val="20"/>
                <w:szCs w:val="20"/>
                <w:color w:val="auto"/>
              </w:rPr>
            </w:pPr>
            <w:r>
              <w:rPr>
                <w:rFonts w:ascii="Arial" w:cs="Arial" w:eastAsia="Arial" w:hAnsi="Arial"/>
                <w:sz w:val="14"/>
                <w:szCs w:val="14"/>
                <w:color w:val="auto"/>
              </w:rPr>
              <w:t>Equity futures</w:t>
            </w: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2,535</w:t>
            </w:r>
          </w:p>
        </w:tc>
        <w:tc>
          <w:tcPr>
            <w:tcW w:w="120" w:type="dxa"/>
            <w:vAlign w:val="bottom"/>
          </w:tcPr>
          <w:p>
            <w:pPr>
              <w:spacing w:after="0"/>
              <w:rPr>
                <w:sz w:val="22"/>
                <w:szCs w:val="22"/>
                <w:color w:val="auto"/>
              </w:rPr>
            </w:pPr>
          </w:p>
        </w:tc>
        <w:tc>
          <w:tcPr>
            <w:tcW w:w="1160" w:type="dxa"/>
            <w:vAlign w:val="bottom"/>
            <w:gridSpan w:val="3"/>
          </w:tcPr>
          <w:p>
            <w:pPr>
              <w:jc w:val="right"/>
              <w:ind w:right="380"/>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11</w:t>
            </w:r>
          </w:p>
        </w:tc>
        <w:tc>
          <w:tcPr>
            <w:tcW w:w="100" w:type="dxa"/>
            <w:vAlign w:val="bottom"/>
          </w:tcPr>
          <w:p>
            <w:pPr>
              <w:spacing w:after="0"/>
              <w:rPr>
                <w:sz w:val="22"/>
                <w:szCs w:val="22"/>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8,037</w:t>
            </w:r>
          </w:p>
        </w:tc>
        <w:tc>
          <w:tcPr>
            <w:tcW w:w="1000" w:type="dxa"/>
            <w:vAlign w:val="bottom"/>
            <w:gridSpan w:val="3"/>
          </w:tcPr>
          <w:p>
            <w:pPr>
              <w:jc w:val="right"/>
              <w:ind w:right="28"/>
              <w:spacing w:after="0"/>
              <w:rPr>
                <w:sz w:val="20"/>
                <w:szCs w:val="20"/>
                <w:color w:val="auto"/>
              </w:rPr>
            </w:pPr>
            <w:r>
              <w:rPr>
                <w:rFonts w:ascii="Arial" w:cs="Arial" w:eastAsia="Arial" w:hAnsi="Arial"/>
                <w:sz w:val="14"/>
                <w:szCs w:val="14"/>
                <w:color w:val="auto"/>
              </w:rPr>
              <w:t>38</w:t>
            </w: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1780" w:type="dxa"/>
            <w:vAlign w:val="bottom"/>
            <w:shd w:val="clear" w:color="auto" w:fill="BFE4FF"/>
          </w:tcPr>
          <w:p>
            <w:pPr>
              <w:spacing w:after="0"/>
              <w:rPr>
                <w:sz w:val="24"/>
                <w:szCs w:val="24"/>
                <w:color w:val="auto"/>
              </w:rPr>
            </w:pPr>
          </w:p>
        </w:tc>
        <w:tc>
          <w:tcPr>
            <w:tcW w:w="120" w:type="dxa"/>
            <w:vAlign w:val="bottom"/>
            <w:shd w:val="clear" w:color="auto" w:fill="BFE4FF"/>
          </w:tcPr>
          <w:p>
            <w:pPr>
              <w:spacing w:after="0"/>
              <w:rPr>
                <w:sz w:val="24"/>
                <w:szCs w:val="24"/>
                <w:color w:val="auto"/>
              </w:rPr>
            </w:pPr>
          </w:p>
        </w:tc>
        <w:tc>
          <w:tcPr>
            <w:tcW w:w="2160" w:type="dxa"/>
            <w:vAlign w:val="bottom"/>
            <w:gridSpan w:val="2"/>
            <w:shd w:val="clear" w:color="auto" w:fill="BFE4FF"/>
          </w:tcPr>
          <w:p>
            <w:pPr>
              <w:ind w:left="20"/>
              <w:spacing w:after="0"/>
              <w:rPr>
                <w:sz w:val="20"/>
                <w:szCs w:val="20"/>
                <w:color w:val="auto"/>
              </w:rPr>
            </w:pPr>
            <w:r>
              <w:rPr>
                <w:rFonts w:ascii="Arial" w:cs="Arial" w:eastAsia="Arial" w:hAnsi="Arial"/>
                <w:sz w:val="14"/>
                <w:szCs w:val="14"/>
                <w:color w:val="auto"/>
              </w:rPr>
              <w:t>Equity index options</w:t>
            </w:r>
          </w:p>
        </w:tc>
        <w:tc>
          <w:tcPr>
            <w:tcW w:w="780" w:type="dxa"/>
            <w:vAlign w:val="bottom"/>
            <w:shd w:val="clear" w:color="auto" w:fill="BFE4FF"/>
          </w:tcPr>
          <w:p>
            <w:pPr>
              <w:jc w:val="right"/>
              <w:ind w:right="8"/>
              <w:spacing w:after="0"/>
              <w:rPr>
                <w:sz w:val="20"/>
                <w:szCs w:val="20"/>
                <w:color w:val="auto"/>
              </w:rPr>
            </w:pPr>
            <w:r>
              <w:rPr>
                <w:rFonts w:ascii="Arial" w:cs="Arial" w:eastAsia="Arial" w:hAnsi="Arial"/>
                <w:sz w:val="14"/>
                <w:szCs w:val="14"/>
                <w:color w:val="auto"/>
              </w:rPr>
              <w:t>47,615</w:t>
            </w:r>
          </w:p>
        </w:tc>
        <w:tc>
          <w:tcPr>
            <w:tcW w:w="1000" w:type="dxa"/>
            <w:vAlign w:val="bottom"/>
            <w:gridSpan w:val="2"/>
            <w:shd w:val="clear" w:color="auto" w:fill="BFE4FF"/>
          </w:tcPr>
          <w:p>
            <w:pPr>
              <w:jc w:val="right"/>
              <w:ind w:right="28"/>
              <w:spacing w:after="0"/>
              <w:rPr>
                <w:sz w:val="20"/>
                <w:szCs w:val="20"/>
                <w:color w:val="auto"/>
              </w:rPr>
            </w:pPr>
            <w:r>
              <w:rPr>
                <w:rFonts w:ascii="Arial" w:cs="Arial" w:eastAsia="Arial" w:hAnsi="Arial"/>
                <w:sz w:val="14"/>
                <w:szCs w:val="14"/>
                <w:color w:val="auto"/>
              </w:rPr>
              <w:t>827</w:t>
            </w:r>
          </w:p>
        </w:tc>
        <w:tc>
          <w:tcPr>
            <w:tcW w:w="100" w:type="dxa"/>
            <w:vAlign w:val="bottom"/>
            <w:shd w:val="clear" w:color="auto" w:fill="BFE4FF"/>
          </w:tcPr>
          <w:p>
            <w:pPr>
              <w:spacing w:after="0"/>
              <w:rPr>
                <w:sz w:val="24"/>
                <w:szCs w:val="24"/>
                <w:color w:val="auto"/>
              </w:rPr>
            </w:pPr>
          </w:p>
        </w:tc>
        <w:tc>
          <w:tcPr>
            <w:tcW w:w="180" w:type="dxa"/>
            <w:vAlign w:val="bottom"/>
            <w:shd w:val="clear" w:color="auto" w:fill="BFE4FF"/>
          </w:tcPr>
          <w:p>
            <w:pPr>
              <w:spacing w:after="0"/>
              <w:rPr>
                <w:sz w:val="24"/>
                <w:szCs w:val="24"/>
                <w:color w:val="auto"/>
              </w:rPr>
            </w:pPr>
          </w:p>
        </w:tc>
        <w:tc>
          <w:tcPr>
            <w:tcW w:w="800" w:type="dxa"/>
            <w:vAlign w:val="bottom"/>
            <w:shd w:val="clear" w:color="auto" w:fill="BFE4FF"/>
          </w:tcPr>
          <w:p>
            <w:pPr>
              <w:jc w:val="right"/>
              <w:ind w:right="28"/>
              <w:spacing w:after="0"/>
              <w:rPr>
                <w:sz w:val="20"/>
                <w:szCs w:val="20"/>
                <w:color w:val="auto"/>
              </w:rPr>
            </w:pPr>
            <w:r>
              <w:rPr>
                <w:rFonts w:ascii="Arial" w:cs="Arial" w:eastAsia="Arial" w:hAnsi="Arial"/>
                <w:sz w:val="14"/>
                <w:szCs w:val="14"/>
                <w:color w:val="auto"/>
              </w:rPr>
              <w:t>1,568</w:t>
            </w:r>
          </w:p>
        </w:tc>
        <w:tc>
          <w:tcPr>
            <w:tcW w:w="100" w:type="dxa"/>
            <w:vAlign w:val="bottom"/>
            <w:shd w:val="clear" w:color="auto" w:fill="BFE4FF"/>
          </w:tcPr>
          <w:p>
            <w:pPr>
              <w:spacing w:after="0"/>
              <w:rPr>
                <w:sz w:val="24"/>
                <w:szCs w:val="24"/>
                <w:color w:val="auto"/>
              </w:rPr>
            </w:pPr>
          </w:p>
        </w:tc>
        <w:tc>
          <w:tcPr>
            <w:tcW w:w="860" w:type="dxa"/>
            <w:vAlign w:val="bottom"/>
            <w:shd w:val="clear" w:color="auto" w:fill="BFE4FF"/>
          </w:tcPr>
          <w:p>
            <w:pPr>
              <w:jc w:val="right"/>
              <w:ind w:right="8"/>
              <w:spacing w:after="0"/>
              <w:rPr>
                <w:sz w:val="20"/>
                <w:szCs w:val="20"/>
                <w:color w:val="auto"/>
              </w:rPr>
            </w:pPr>
            <w:r>
              <w:rPr>
                <w:rFonts w:ascii="Arial" w:cs="Arial" w:eastAsia="Arial" w:hAnsi="Arial"/>
                <w:sz w:val="14"/>
                <w:szCs w:val="14"/>
                <w:color w:val="auto"/>
              </w:rPr>
              <w:t>37,215</w:t>
            </w:r>
          </w:p>
        </w:tc>
        <w:tc>
          <w:tcPr>
            <w:tcW w:w="1000" w:type="dxa"/>
            <w:vAlign w:val="bottom"/>
            <w:gridSpan w:val="3"/>
            <w:shd w:val="clear" w:color="auto" w:fill="BFE4FF"/>
          </w:tcPr>
          <w:p>
            <w:pPr>
              <w:jc w:val="right"/>
              <w:ind w:right="28"/>
              <w:spacing w:after="0"/>
              <w:rPr>
                <w:sz w:val="20"/>
                <w:szCs w:val="20"/>
                <w:color w:val="auto"/>
              </w:rPr>
            </w:pPr>
            <w:r>
              <w:rPr>
                <w:rFonts w:ascii="Arial" w:cs="Arial" w:eastAsia="Arial" w:hAnsi="Arial"/>
                <w:sz w:val="14"/>
                <w:szCs w:val="14"/>
                <w:color w:val="auto"/>
              </w:rPr>
              <w:t>895</w:t>
            </w:r>
          </w:p>
        </w:tc>
        <w:tc>
          <w:tcPr>
            <w:tcW w:w="120" w:type="dxa"/>
            <w:vAlign w:val="bottom"/>
            <w:shd w:val="clear" w:color="auto" w:fill="BFE4FF"/>
          </w:tcPr>
          <w:p>
            <w:pPr>
              <w:spacing w:after="0"/>
              <w:rPr>
                <w:sz w:val="24"/>
                <w:szCs w:val="24"/>
                <w:color w:val="auto"/>
              </w:rPr>
            </w:pPr>
          </w:p>
        </w:tc>
        <w:tc>
          <w:tcPr>
            <w:tcW w:w="80" w:type="dxa"/>
            <w:vAlign w:val="bottom"/>
            <w:shd w:val="clear" w:color="auto" w:fill="BFE4FF"/>
          </w:tcPr>
          <w:p>
            <w:pPr>
              <w:spacing w:after="0"/>
              <w:rPr>
                <w:sz w:val="24"/>
                <w:szCs w:val="24"/>
                <w:color w:val="auto"/>
              </w:rPr>
            </w:pPr>
          </w:p>
        </w:tc>
        <w:tc>
          <w:tcPr>
            <w:tcW w:w="800" w:type="dxa"/>
            <w:vAlign w:val="bottom"/>
            <w:shd w:val="clear" w:color="auto" w:fill="BFE4FF"/>
          </w:tcPr>
          <w:p>
            <w:pPr>
              <w:jc w:val="right"/>
              <w:ind w:right="28"/>
              <w:spacing w:after="0"/>
              <w:rPr>
                <w:sz w:val="20"/>
                <w:szCs w:val="20"/>
                <w:color w:val="auto"/>
              </w:rPr>
            </w:pPr>
            <w:r>
              <w:rPr>
                <w:rFonts w:ascii="Arial" w:cs="Arial" w:eastAsia="Arial" w:hAnsi="Arial"/>
                <w:sz w:val="14"/>
                <w:szCs w:val="14"/>
                <w:color w:val="auto"/>
              </w:rPr>
              <w:t>934</w:t>
            </w:r>
          </w:p>
        </w:tc>
        <w:tc>
          <w:tcPr>
            <w:tcW w:w="0" w:type="dxa"/>
            <w:vAlign w:val="bottom"/>
          </w:tcPr>
          <w:p>
            <w:pPr>
              <w:spacing w:after="0"/>
              <w:rPr>
                <w:sz w:val="1"/>
                <w:szCs w:val="1"/>
                <w:color w:val="auto"/>
              </w:rPr>
            </w:pPr>
          </w:p>
        </w:tc>
      </w:tr>
      <w:tr>
        <w:trPr>
          <w:trHeight w:val="264"/>
        </w:trPr>
        <w:tc>
          <w:tcPr>
            <w:tcW w:w="17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160" w:type="dxa"/>
            <w:vAlign w:val="bottom"/>
            <w:gridSpan w:val="2"/>
          </w:tcPr>
          <w:p>
            <w:pPr>
              <w:ind w:left="20"/>
              <w:spacing w:after="0"/>
              <w:rPr>
                <w:sz w:val="20"/>
                <w:szCs w:val="20"/>
                <w:color w:val="auto"/>
              </w:rPr>
            </w:pPr>
            <w:r>
              <w:rPr>
                <w:rFonts w:ascii="Arial" w:cs="Arial" w:eastAsia="Arial" w:hAnsi="Arial"/>
                <w:sz w:val="14"/>
                <w:szCs w:val="14"/>
                <w:color w:val="auto"/>
              </w:rPr>
              <w:t>Equity variance swaps</w:t>
            </w: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14,894</w:t>
            </w:r>
          </w:p>
        </w:tc>
        <w:tc>
          <w:tcPr>
            <w:tcW w:w="1000" w:type="dxa"/>
            <w:vAlign w:val="bottom"/>
            <w:gridSpan w:val="2"/>
          </w:tcPr>
          <w:p>
            <w:pPr>
              <w:jc w:val="right"/>
              <w:ind w:right="28"/>
              <w:spacing w:after="0"/>
              <w:rPr>
                <w:sz w:val="20"/>
                <w:szCs w:val="20"/>
                <w:color w:val="auto"/>
              </w:rPr>
            </w:pPr>
            <w:r>
              <w:rPr>
                <w:rFonts w:ascii="Arial" w:cs="Arial" w:eastAsia="Arial" w:hAnsi="Arial"/>
                <w:sz w:val="14"/>
                <w:szCs w:val="14"/>
                <w:color w:val="auto"/>
              </w:rPr>
              <w:t>176</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607</w:t>
            </w:r>
          </w:p>
        </w:tc>
        <w:tc>
          <w:tcPr>
            <w:tcW w:w="100" w:type="dxa"/>
            <w:vAlign w:val="bottom"/>
          </w:tcPr>
          <w:p>
            <w:pPr>
              <w:spacing w:after="0"/>
              <w:rPr>
                <w:sz w:val="22"/>
                <w:szCs w:val="22"/>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14,894</w:t>
            </w:r>
          </w:p>
        </w:tc>
        <w:tc>
          <w:tcPr>
            <w:tcW w:w="1000" w:type="dxa"/>
            <w:vAlign w:val="bottom"/>
            <w:gridSpan w:val="3"/>
          </w:tcPr>
          <w:p>
            <w:pPr>
              <w:jc w:val="right"/>
              <w:ind w:right="28"/>
              <w:spacing w:after="0"/>
              <w:rPr>
                <w:sz w:val="20"/>
                <w:szCs w:val="20"/>
                <w:color w:val="auto"/>
              </w:rPr>
            </w:pPr>
            <w:r>
              <w:rPr>
                <w:rFonts w:ascii="Arial" w:cs="Arial" w:eastAsia="Arial" w:hAnsi="Arial"/>
                <w:sz w:val="14"/>
                <w:szCs w:val="14"/>
                <w:color w:val="auto"/>
              </w:rPr>
              <w:t>140</w:t>
            </w: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517</w:t>
            </w:r>
          </w:p>
        </w:tc>
        <w:tc>
          <w:tcPr>
            <w:tcW w:w="0" w:type="dxa"/>
            <w:vAlign w:val="bottom"/>
          </w:tcPr>
          <w:p>
            <w:pPr>
              <w:spacing w:after="0"/>
              <w:rPr>
                <w:sz w:val="1"/>
                <w:szCs w:val="1"/>
                <w:color w:val="auto"/>
              </w:rPr>
            </w:pPr>
          </w:p>
        </w:tc>
      </w:tr>
      <w:tr>
        <w:trPr>
          <w:trHeight w:val="270"/>
        </w:trPr>
        <w:tc>
          <w:tcPr>
            <w:tcW w:w="1780" w:type="dxa"/>
            <w:vAlign w:val="bottom"/>
            <w:shd w:val="clear" w:color="auto" w:fill="BFE4FF"/>
          </w:tcPr>
          <w:p>
            <w:pPr>
              <w:spacing w:after="0"/>
              <w:rPr>
                <w:sz w:val="23"/>
                <w:szCs w:val="23"/>
                <w:color w:val="auto"/>
              </w:rPr>
            </w:pPr>
          </w:p>
        </w:tc>
        <w:tc>
          <w:tcPr>
            <w:tcW w:w="120" w:type="dxa"/>
            <w:vAlign w:val="bottom"/>
            <w:shd w:val="clear" w:color="auto" w:fill="BFE4FF"/>
          </w:tcPr>
          <w:p>
            <w:pPr>
              <w:spacing w:after="0"/>
              <w:rPr>
                <w:sz w:val="23"/>
                <w:szCs w:val="23"/>
                <w:color w:val="auto"/>
              </w:rPr>
            </w:pPr>
          </w:p>
        </w:tc>
        <w:tc>
          <w:tcPr>
            <w:tcW w:w="2160" w:type="dxa"/>
            <w:vAlign w:val="bottom"/>
            <w:gridSpan w:val="2"/>
            <w:shd w:val="clear" w:color="auto" w:fill="BFE4FF"/>
          </w:tcPr>
          <w:p>
            <w:pPr>
              <w:ind w:left="20"/>
              <w:spacing w:after="0"/>
              <w:rPr>
                <w:sz w:val="20"/>
                <w:szCs w:val="20"/>
                <w:color w:val="auto"/>
              </w:rPr>
            </w:pPr>
            <w:r>
              <w:rPr>
                <w:rFonts w:ascii="Arial" w:cs="Arial" w:eastAsia="Arial" w:hAnsi="Arial"/>
                <w:sz w:val="14"/>
                <w:szCs w:val="14"/>
                <w:color w:val="auto"/>
              </w:rPr>
              <w:t>Equity total return swaps</w:t>
            </w:r>
          </w:p>
        </w:tc>
        <w:tc>
          <w:tcPr>
            <w:tcW w:w="780" w:type="dxa"/>
            <w:vAlign w:val="bottom"/>
            <w:tcBorders>
              <w:bottom w:val="single" w:sz="8" w:color="auto"/>
            </w:tcBorders>
            <w:shd w:val="clear" w:color="auto" w:fill="BFE4FF"/>
          </w:tcPr>
          <w:p>
            <w:pPr>
              <w:jc w:val="right"/>
              <w:ind w:right="8"/>
              <w:spacing w:after="0"/>
              <w:rPr>
                <w:sz w:val="20"/>
                <w:szCs w:val="20"/>
                <w:color w:val="auto"/>
              </w:rPr>
            </w:pPr>
            <w:r>
              <w:rPr>
                <w:rFonts w:ascii="Arial" w:cs="Arial" w:eastAsia="Arial" w:hAnsi="Arial"/>
                <w:sz w:val="14"/>
                <w:szCs w:val="14"/>
                <w:color w:val="auto"/>
              </w:rPr>
              <w:t>1,794</w:t>
            </w:r>
          </w:p>
        </w:tc>
        <w:tc>
          <w:tcPr>
            <w:tcW w:w="120" w:type="dxa"/>
            <w:vAlign w:val="bottom"/>
            <w:shd w:val="clear" w:color="auto" w:fill="BFE4FF"/>
          </w:tcPr>
          <w:p>
            <w:pPr>
              <w:spacing w:after="0"/>
              <w:rPr>
                <w:sz w:val="23"/>
                <w:szCs w:val="23"/>
                <w:color w:val="auto"/>
              </w:rPr>
            </w:pPr>
          </w:p>
        </w:tc>
        <w:tc>
          <w:tcPr>
            <w:tcW w:w="880" w:type="dxa"/>
            <w:vAlign w:val="bottom"/>
            <w:tcBorders>
              <w:bottom w:val="single" w:sz="8" w:color="auto"/>
            </w:tcBorders>
            <w:shd w:val="clear" w:color="auto" w:fill="BFE4FF"/>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shd w:val="clear" w:color="auto" w:fill="BFE4FF"/>
          </w:tcPr>
          <w:p>
            <w:pPr>
              <w:spacing w:after="0"/>
              <w:rPr>
                <w:sz w:val="23"/>
                <w:szCs w:val="23"/>
                <w:color w:val="auto"/>
              </w:rPr>
            </w:pPr>
          </w:p>
        </w:tc>
        <w:tc>
          <w:tcPr>
            <w:tcW w:w="180" w:type="dxa"/>
            <w:vAlign w:val="bottom"/>
            <w:tcBorders>
              <w:bottom w:val="single" w:sz="8" w:color="auto"/>
            </w:tcBorders>
            <w:shd w:val="clear" w:color="auto" w:fill="BFE4FF"/>
          </w:tcPr>
          <w:p>
            <w:pPr>
              <w:spacing w:after="0"/>
              <w:rPr>
                <w:sz w:val="23"/>
                <w:szCs w:val="23"/>
                <w:color w:val="auto"/>
              </w:rPr>
            </w:pPr>
          </w:p>
        </w:tc>
        <w:tc>
          <w:tcPr>
            <w:tcW w:w="800" w:type="dxa"/>
            <w:vAlign w:val="bottom"/>
            <w:tcBorders>
              <w:bottom w:val="single" w:sz="8" w:color="auto"/>
            </w:tcBorders>
            <w:shd w:val="clear" w:color="auto" w:fill="BFE4FF"/>
          </w:tcPr>
          <w:p>
            <w:pPr>
              <w:jc w:val="right"/>
              <w:ind w:right="28"/>
              <w:spacing w:after="0"/>
              <w:rPr>
                <w:sz w:val="20"/>
                <w:szCs w:val="20"/>
                <w:color w:val="auto"/>
              </w:rPr>
            </w:pPr>
            <w:r>
              <w:rPr>
                <w:rFonts w:ascii="Arial" w:cs="Arial" w:eastAsia="Arial" w:hAnsi="Arial"/>
                <w:sz w:val="14"/>
                <w:szCs w:val="14"/>
                <w:color w:val="auto"/>
              </w:rPr>
              <w:t>63</w:t>
            </w:r>
          </w:p>
        </w:tc>
        <w:tc>
          <w:tcPr>
            <w:tcW w:w="100" w:type="dxa"/>
            <w:vAlign w:val="bottom"/>
            <w:shd w:val="clear" w:color="auto" w:fill="BFE4FF"/>
          </w:tcPr>
          <w:p>
            <w:pPr>
              <w:spacing w:after="0"/>
              <w:rPr>
                <w:sz w:val="23"/>
                <w:szCs w:val="23"/>
                <w:color w:val="auto"/>
              </w:rPr>
            </w:pPr>
          </w:p>
        </w:tc>
        <w:tc>
          <w:tcPr>
            <w:tcW w:w="860" w:type="dxa"/>
            <w:vAlign w:val="bottom"/>
            <w:tcBorders>
              <w:bottom w:val="single" w:sz="8" w:color="auto"/>
            </w:tcBorders>
            <w:shd w:val="clear" w:color="auto" w:fill="BFE4FF"/>
          </w:tcPr>
          <w:p>
            <w:pPr>
              <w:jc w:val="right"/>
              <w:ind w:right="8"/>
              <w:spacing w:after="0"/>
              <w:rPr>
                <w:sz w:val="20"/>
                <w:szCs w:val="20"/>
                <w:color w:val="auto"/>
              </w:rPr>
            </w:pPr>
            <w:r>
              <w:rPr>
                <w:rFonts w:ascii="Arial" w:cs="Arial" w:eastAsia="Arial" w:hAnsi="Arial"/>
                <w:sz w:val="14"/>
                <w:szCs w:val="14"/>
                <w:color w:val="auto"/>
              </w:rPr>
              <w:t>2,855</w:t>
            </w:r>
          </w:p>
        </w:tc>
        <w:tc>
          <w:tcPr>
            <w:tcW w:w="20" w:type="dxa"/>
            <w:vAlign w:val="bottom"/>
            <w:tcBorders>
              <w:bottom w:val="single" w:sz="8" w:color="auto"/>
            </w:tcBorders>
            <w:shd w:val="clear" w:color="auto" w:fill="BFE4FF"/>
          </w:tcPr>
          <w:p>
            <w:pPr>
              <w:spacing w:after="0"/>
              <w:rPr>
                <w:sz w:val="23"/>
                <w:szCs w:val="23"/>
                <w:color w:val="auto"/>
              </w:rPr>
            </w:pPr>
          </w:p>
        </w:tc>
        <w:tc>
          <w:tcPr>
            <w:tcW w:w="100" w:type="dxa"/>
            <w:vAlign w:val="bottom"/>
            <w:shd w:val="clear" w:color="auto" w:fill="BFE4FF"/>
          </w:tcPr>
          <w:p>
            <w:pPr>
              <w:spacing w:after="0"/>
              <w:rPr>
                <w:sz w:val="23"/>
                <w:szCs w:val="23"/>
                <w:color w:val="auto"/>
              </w:rPr>
            </w:pPr>
          </w:p>
        </w:tc>
        <w:tc>
          <w:tcPr>
            <w:tcW w:w="880" w:type="dxa"/>
            <w:vAlign w:val="bottom"/>
            <w:tcBorders>
              <w:bottom w:val="single" w:sz="8" w:color="auto"/>
            </w:tcBorders>
            <w:shd w:val="clear" w:color="auto" w:fill="BFE4FF"/>
          </w:tcPr>
          <w:p>
            <w:pPr>
              <w:jc w:val="right"/>
              <w:ind w:right="28"/>
              <w:spacing w:after="0"/>
              <w:rPr>
                <w:sz w:val="20"/>
                <w:szCs w:val="20"/>
                <w:color w:val="auto"/>
              </w:rPr>
            </w:pPr>
            <w:r>
              <w:rPr>
                <w:rFonts w:ascii="Arial" w:cs="Arial" w:eastAsia="Arial" w:hAnsi="Arial"/>
                <w:sz w:val="14"/>
                <w:szCs w:val="14"/>
                <w:color w:val="auto"/>
              </w:rPr>
              <w:t>1</w:t>
            </w:r>
          </w:p>
        </w:tc>
        <w:tc>
          <w:tcPr>
            <w:tcW w:w="120" w:type="dxa"/>
            <w:vAlign w:val="bottom"/>
            <w:shd w:val="clear" w:color="auto" w:fill="BFE4FF"/>
          </w:tcPr>
          <w:p>
            <w:pPr>
              <w:spacing w:after="0"/>
              <w:rPr>
                <w:sz w:val="23"/>
                <w:szCs w:val="23"/>
                <w:color w:val="auto"/>
              </w:rPr>
            </w:pPr>
          </w:p>
        </w:tc>
        <w:tc>
          <w:tcPr>
            <w:tcW w:w="80" w:type="dxa"/>
            <w:vAlign w:val="bottom"/>
            <w:tcBorders>
              <w:bottom w:val="single" w:sz="8" w:color="auto"/>
            </w:tcBorders>
            <w:shd w:val="clear" w:color="auto" w:fill="BFE4FF"/>
          </w:tcPr>
          <w:p>
            <w:pPr>
              <w:spacing w:after="0"/>
              <w:rPr>
                <w:sz w:val="23"/>
                <w:szCs w:val="23"/>
                <w:color w:val="auto"/>
              </w:rPr>
            </w:pPr>
          </w:p>
        </w:tc>
        <w:tc>
          <w:tcPr>
            <w:tcW w:w="800" w:type="dxa"/>
            <w:vAlign w:val="bottom"/>
            <w:tcBorders>
              <w:bottom w:val="single" w:sz="8" w:color="auto"/>
            </w:tcBorders>
            <w:shd w:val="clear" w:color="auto" w:fill="BFE4FF"/>
          </w:tcPr>
          <w:p>
            <w:pPr>
              <w:jc w:val="right"/>
              <w:ind w:right="28"/>
              <w:spacing w:after="0"/>
              <w:rPr>
                <w:sz w:val="20"/>
                <w:szCs w:val="20"/>
                <w:color w:val="auto"/>
              </w:rPr>
            </w:pPr>
            <w:r>
              <w:rPr>
                <w:rFonts w:ascii="Arial" w:cs="Arial" w:eastAsia="Arial" w:hAnsi="Arial"/>
                <w:sz w:val="14"/>
                <w:szCs w:val="14"/>
                <w:color w:val="auto"/>
              </w:rPr>
              <w:t>117</w:t>
            </w:r>
          </w:p>
        </w:tc>
        <w:tc>
          <w:tcPr>
            <w:tcW w:w="0" w:type="dxa"/>
            <w:vAlign w:val="bottom"/>
          </w:tcPr>
          <w:p>
            <w:pPr>
              <w:spacing w:after="0"/>
              <w:rPr>
                <w:sz w:val="1"/>
                <w:szCs w:val="1"/>
                <w:color w:val="auto"/>
              </w:rPr>
            </w:pPr>
          </w:p>
        </w:tc>
      </w:tr>
      <w:tr>
        <w:trPr>
          <w:trHeight w:val="243"/>
        </w:trPr>
        <w:tc>
          <w:tcPr>
            <w:tcW w:w="17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160" w:type="dxa"/>
            <w:vAlign w:val="bottom"/>
            <w:gridSpan w:val="2"/>
          </w:tcPr>
          <w:p>
            <w:pPr>
              <w:ind w:left="200"/>
              <w:spacing w:after="0"/>
              <w:rPr>
                <w:sz w:val="20"/>
                <w:szCs w:val="20"/>
                <w:color w:val="auto"/>
              </w:rPr>
            </w:pPr>
            <w:r>
              <w:rPr>
                <w:rFonts w:ascii="Arial" w:cs="Arial" w:eastAsia="Arial" w:hAnsi="Arial"/>
                <w:sz w:val="14"/>
                <w:szCs w:val="14"/>
                <w:color w:val="auto"/>
              </w:rPr>
              <w:t>Total</w:t>
            </w:r>
          </w:p>
        </w:tc>
        <w:tc>
          <w:tcPr>
            <w:tcW w:w="780" w:type="dxa"/>
            <w:vAlign w:val="bottom"/>
          </w:tcPr>
          <w:p>
            <w:pPr>
              <w:jc w:val="right"/>
              <w:spacing w:after="0"/>
              <w:rPr>
                <w:sz w:val="20"/>
                <w:szCs w:val="20"/>
                <w:color w:val="auto"/>
              </w:rPr>
            </w:pPr>
            <w:r>
              <w:rPr>
                <w:rFonts w:ascii="Arial" w:cs="Arial" w:eastAsia="Arial" w:hAnsi="Arial"/>
                <w:sz w:val="14"/>
                <w:szCs w:val="14"/>
                <w:color w:val="auto"/>
              </w:rPr>
              <w:t>$102,506</w:t>
            </w:r>
          </w:p>
        </w:tc>
        <w:tc>
          <w:tcPr>
            <w:tcW w:w="1000" w:type="dxa"/>
            <w:vAlign w:val="bottom"/>
            <w:gridSpan w:val="2"/>
          </w:tcPr>
          <w:p>
            <w:pPr>
              <w:jc w:val="right"/>
              <w:spacing w:after="0"/>
              <w:rPr>
                <w:sz w:val="20"/>
                <w:szCs w:val="20"/>
                <w:color w:val="auto"/>
              </w:rPr>
            </w:pPr>
            <w:r>
              <w:rPr>
                <w:rFonts w:ascii="Arial" w:cs="Arial" w:eastAsia="Arial" w:hAnsi="Arial"/>
                <w:sz w:val="14"/>
                <w:szCs w:val="14"/>
                <w:color w:val="auto"/>
              </w:rPr>
              <w:t>$2,089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$2,657</w:t>
            </w:r>
          </w:p>
        </w:tc>
        <w:tc>
          <w:tcPr>
            <w:tcW w:w="1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$96,360</w:t>
            </w:r>
          </w:p>
        </w:tc>
        <w:tc>
          <w:tcPr>
            <w:tcW w:w="1000" w:type="dxa"/>
            <w:vAlign w:val="bottom"/>
            <w:gridSpan w:val="3"/>
          </w:tcPr>
          <w:p>
            <w:pPr>
              <w:jc w:val="right"/>
              <w:spacing w:after="0"/>
              <w:rPr>
                <w:sz w:val="20"/>
                <w:szCs w:val="20"/>
                <w:color w:val="auto"/>
              </w:rPr>
            </w:pPr>
            <w:r>
              <w:rPr>
                <w:rFonts w:ascii="Arial" w:cs="Arial" w:eastAsia="Arial" w:hAnsi="Arial"/>
                <w:sz w:val="14"/>
                <w:szCs w:val="14"/>
                <w:color w:val="auto"/>
              </w:rPr>
              <w:t>$2,399</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$2,355</w:t>
            </w:r>
          </w:p>
        </w:tc>
        <w:tc>
          <w:tcPr>
            <w:tcW w:w="0" w:type="dxa"/>
            <w:vAlign w:val="bottom"/>
          </w:tcPr>
          <w:p>
            <w:pPr>
              <w:spacing w:after="0"/>
              <w:rPr>
                <w:sz w:val="1"/>
                <w:szCs w:val="1"/>
                <w:color w:val="auto"/>
              </w:rPr>
            </w:pPr>
          </w:p>
        </w:tc>
      </w:tr>
      <w:tr>
        <w:trPr>
          <w:trHeight w:val="20"/>
        </w:trPr>
        <w:tc>
          <w:tcPr>
            <w:tcW w:w="1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jc w:val="both"/>
        <w:ind w:left="180" w:firstLine="324"/>
        <w:spacing w:after="0" w:line="264" w:lineRule="auto"/>
        <w:rPr>
          <w:sz w:val="20"/>
          <w:szCs w:val="20"/>
          <w:color w:val="auto"/>
        </w:rPr>
      </w:pPr>
      <w:r>
        <w:rPr>
          <w:rFonts w:ascii="Arial" w:cs="Arial" w:eastAsia="Arial" w:hAnsi="Arial"/>
          <w:sz w:val="18"/>
          <w:szCs w:val="18"/>
          <w:color w:val="auto"/>
        </w:rPr>
        <w:t>For hedges of guarantees that are accounted for under the insurance accrual based model the change in estimated fair value of our derivatives is reported in policyholder benefits and claims. For hedges of guarantees that are accounted for as embedded derivatives the change in estimated fair value of our derivatives is recorded in net derivative gains (losses).</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7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Liquidity refers to our ability to generate adequate cash flows from our normal operations to meet the cash requirements of our operating, investing and financing activities. Capital refers to our long-term financial resources available to support our business operations and contribute to future growth. Our ability to generate and maintain sufficient liquidity and capital depends on the profitability of the businesses, timing of cash flows on investments and products, general economic conditions, access to the senior unsecured revolving credit facility and the term loan facility described below and access to the capital markets and the alternate sources of liquidity and capital described herein.</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122</w:t>
      </w:r>
    </w:p>
    <w:p>
      <w:pPr>
        <w:sectPr>
          <w:pgSz w:w="11900" w:h="16838" w:orient="portrait"/>
          <w:cols w:equalWidth="0" w:num="1">
            <w:col w:w="11420"/>
          </w:cols>
          <w:pgMar w:left="240" w:top="126" w:right="239" w:bottom="1440" w:gutter="0" w:footer="0" w:header="0"/>
        </w:sectPr>
      </w:pPr>
    </w:p>
    <w:bookmarkStart w:id="124" w:name="page125"/>
    <w:bookmarkEnd w:id="124"/>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Parent Company</w:t>
      </w:r>
    </w:p>
    <w:p>
      <w:pPr>
        <w:spacing w:after="0" w:line="117"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u w:val="single" w:color="auto"/>
          <w:color w:val="auto"/>
        </w:rPr>
        <w:t>Liquidity</w:t>
      </w:r>
    </w:p>
    <w:p>
      <w:pPr>
        <w:spacing w:after="0" w:line="117" w:lineRule="exact"/>
        <w:rPr>
          <w:sz w:val="20"/>
          <w:szCs w:val="20"/>
          <w:color w:val="auto"/>
        </w:rPr>
      </w:pPr>
    </w:p>
    <w:p>
      <w:pPr>
        <w:jc w:val="both"/>
        <w:ind w:left="180" w:firstLine="324"/>
        <w:spacing w:after="0" w:line="288" w:lineRule="auto"/>
        <w:rPr>
          <w:sz w:val="20"/>
          <w:szCs w:val="20"/>
          <w:color w:val="auto"/>
        </w:rPr>
      </w:pPr>
      <w:r>
        <w:rPr>
          <w:rFonts w:ascii="Arial" w:cs="Arial" w:eastAsia="Arial" w:hAnsi="Arial"/>
          <w:sz w:val="16"/>
          <w:szCs w:val="16"/>
          <w:color w:val="auto"/>
        </w:rPr>
        <w:t>In evaluating liquidity it is important to distinguish the cash flow needs of the parent company, Brighthouse Financial, Inc., from the cash flow needs of the combined group of companies. Brighthouse Financial, Inc. is largely dependent on cash flows from its insurance company subsidiaries to meet its obligations. The principal sources of funds available to Brighthouse Financial, Inc. will include dividends and returns of capital from its insurance and non-insurance company subsidiaries, as well as its own cash and short-term investments. Such funds will be paid to Brighthouse Financial, Inc. by BH Holdings, its direct wholly-owned holding company subsidiary. These sources of funds may also be supplemented by alternate sources of liquidity either directly or indirectly through our insurance company subsidiaries. See “Risk Factors — Capital-Related Risks — As a holding company, Brighthouse Financial, Inc. depends on the ability of its subsidiaries to pay dividends.” See also “— Liquid Assets and Short-term Liquidity.” Additionally, we may be constrained in our payment of dividends from our insurance company subsidiaries pursuant to reserving requirements under actuarial guidelines. See “Management’s Discussion and Analysis of Financial Condition and Results of Operations — Liquidity and Capital Resources — Parent Company — Liquidity — Constraints on Parent Company Liquidity” included in the Form 10 for further information on such constraints.</w:t>
      </w:r>
    </w:p>
    <w:p>
      <w:pPr>
        <w:spacing w:after="0" w:line="61"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Capital</w:t>
      </w:r>
    </w:p>
    <w:p>
      <w:pPr>
        <w:spacing w:after="0" w:line="117" w:lineRule="exact"/>
        <w:rPr>
          <w:sz w:val="20"/>
          <w:szCs w:val="20"/>
          <w:color w:val="auto"/>
        </w:rPr>
      </w:pPr>
    </w:p>
    <w:p>
      <w:pPr>
        <w:jc w:val="both"/>
        <w:ind w:left="180" w:firstLine="324"/>
        <w:spacing w:after="0" w:line="271" w:lineRule="auto"/>
        <w:rPr>
          <w:sz w:val="20"/>
          <w:szCs w:val="20"/>
          <w:color w:val="auto"/>
        </w:rPr>
      </w:pPr>
      <w:r>
        <w:rPr>
          <w:rFonts w:ascii="Arial" w:cs="Arial" w:eastAsia="Arial" w:hAnsi="Arial"/>
          <w:sz w:val="17"/>
          <w:szCs w:val="17"/>
          <w:color w:val="auto"/>
        </w:rPr>
        <w:t>We expect to maintain adequate liquidity at Brighthouse Financial, Inc., a debt-to-capital ratio of approximately 25% and a funding of $2.0 billion to $3.0 billion of assets in excess of CTE95 to support our variable annuity contracts during normal markets. We define CTE95 as the amount of assets required to satisfy contractholder obligations across market environments in the average of the worst five percent of 1,000 capital markets scenarios over the life of the contracts. As of September 30, 2017, assets above CTE95 were $2.3 billion, unchanged from the second quarter of 2017, and inclusive of (i) a net decrease of approximately $700 million resulting from the 2017 actuarial assumption review; offset by (ii) an increase of approximately $400 million from surplus assets in Brighthouse Financial, Inc.’s insurance subsidiaries that were re-directed to the variable annuities block of business; (iii) an increase of $200 million from capital contributions made to Brighthouse Insurance by Brighthouse Holdings; and (iv) an increase of approximately $100 million from favorable performance from our hedge program.</w:t>
      </w:r>
    </w:p>
    <w:p>
      <w:pPr>
        <w:spacing w:after="0" w:line="71" w:lineRule="exact"/>
        <w:rPr>
          <w:sz w:val="20"/>
          <w:szCs w:val="20"/>
          <w:color w:val="auto"/>
        </w:rPr>
      </w:pPr>
    </w:p>
    <w:p>
      <w:pPr>
        <w:jc w:val="both"/>
        <w:ind w:left="180" w:firstLine="324"/>
        <w:spacing w:after="0" w:line="257" w:lineRule="auto"/>
        <w:rPr>
          <w:sz w:val="20"/>
          <w:szCs w:val="20"/>
          <w:color w:val="auto"/>
        </w:rPr>
      </w:pPr>
      <w:r>
        <w:rPr>
          <w:rFonts w:ascii="Arial" w:cs="Arial" w:eastAsia="Arial" w:hAnsi="Arial"/>
          <w:sz w:val="18"/>
          <w:szCs w:val="18"/>
          <w:color w:val="auto"/>
        </w:rPr>
        <w:t>In anticipation of the Separation, in December 2016, we entered into a $2.0 billion senior unsecured revolving credit facility (see “Management’s Discussion and Analysis of Financial Condition and Results of Operations — Liquidity and Capital Resources” included in the Form 10). Additionally, in June 2017 and July 2017, respectively, we issued $3.0 billion of senior notes and entered into a $600 million term loan facility. See “— The Company — Outstanding Debt and Collateral Financing Arrangement” for further information on these financing transactions. On August 3, 2017, $1.8 billion of the pre-Separation financing proceeds were used to fund the distribution to MetLife, Inc.</w:t>
      </w:r>
    </w:p>
    <w:p>
      <w:pPr>
        <w:spacing w:after="0" w:line="80" w:lineRule="exact"/>
        <w:rPr>
          <w:sz w:val="20"/>
          <w:szCs w:val="20"/>
          <w:color w:val="auto"/>
        </w:rPr>
      </w:pPr>
    </w:p>
    <w:p>
      <w:pPr>
        <w:jc w:val="both"/>
        <w:ind w:left="180" w:firstLine="324"/>
        <w:spacing w:after="0" w:line="312" w:lineRule="auto"/>
        <w:rPr>
          <w:sz w:val="20"/>
          <w:szCs w:val="20"/>
          <w:color w:val="auto"/>
        </w:rPr>
      </w:pPr>
      <w:r>
        <w:rPr>
          <w:rFonts w:ascii="Arial" w:cs="Arial" w:eastAsia="Arial" w:hAnsi="Arial"/>
          <w:sz w:val="16"/>
          <w:szCs w:val="16"/>
          <w:color w:val="auto"/>
        </w:rPr>
        <w:t>We may opportunistically look to pursue additional debt financing over time to reach our targeted debt-to-capital ratio of 25% and to refinance borrowings outstanding under our 2017 term loan facility. Such debt financing may include the incurrence of term loans or senior or subordinated debt securities. There can be no assurance that we will be able to complete any such debt financing transactions on terms and conditions favorable to us or at all.</w:t>
      </w:r>
    </w:p>
    <w:p>
      <w:pPr>
        <w:spacing w:after="0" w:line="3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See also “— The Company — Capital” for a discussion of how we manage our capital for the combined group of companies.</w:t>
      </w:r>
    </w:p>
    <w:p>
      <w:pPr>
        <w:spacing w:after="0" w:line="117" w:lineRule="exact"/>
        <w:rPr>
          <w:sz w:val="20"/>
          <w:szCs w:val="20"/>
          <w:color w:val="auto"/>
        </w:rPr>
      </w:pPr>
    </w:p>
    <w:p>
      <w:pPr>
        <w:jc w:val="both"/>
        <w:ind w:left="180" w:firstLine="324"/>
        <w:spacing w:after="0" w:line="286" w:lineRule="auto"/>
        <w:rPr>
          <w:sz w:val="20"/>
          <w:szCs w:val="20"/>
          <w:color w:val="auto"/>
        </w:rPr>
      </w:pPr>
      <w:r>
        <w:rPr>
          <w:rFonts w:ascii="Arial" w:cs="Arial" w:eastAsia="Arial" w:hAnsi="Arial"/>
          <w:sz w:val="17"/>
          <w:szCs w:val="17"/>
          <w:color w:val="auto"/>
        </w:rPr>
        <w:t>We do not currently anticipate declaring or paying regular cash dividends on our common stock in the near term. In addition, the declaration of any future cash dividends and, if declared by our Board of Directors, the amount of any such dividends or other distributions of capital, will be subject to our financial condition, results of operations, future prospects, cash and capital requirements, financial covenants and other contractual restrictions.</w:t>
      </w:r>
    </w:p>
    <w:p>
      <w:pPr>
        <w:spacing w:after="0" w:line="5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Liquid Assets and Short-term Liquidity</w:t>
      </w:r>
    </w:p>
    <w:p>
      <w:pPr>
        <w:spacing w:after="0" w:line="117" w:lineRule="exact"/>
        <w:rPr>
          <w:sz w:val="20"/>
          <w:szCs w:val="20"/>
          <w:color w:val="auto"/>
        </w:rPr>
      </w:pPr>
    </w:p>
    <w:p>
      <w:pPr>
        <w:jc w:val="both"/>
        <w:ind w:left="180" w:firstLine="324"/>
        <w:spacing w:after="0" w:line="257" w:lineRule="auto"/>
        <w:rPr>
          <w:sz w:val="20"/>
          <w:szCs w:val="20"/>
          <w:color w:val="auto"/>
        </w:rPr>
      </w:pPr>
      <w:r>
        <w:rPr>
          <w:rFonts w:ascii="Arial" w:cs="Arial" w:eastAsia="Arial" w:hAnsi="Arial"/>
          <w:sz w:val="18"/>
          <w:szCs w:val="18"/>
          <w:color w:val="auto"/>
        </w:rPr>
        <w:t>An integral part of our liquidity management includes managing our levels of liquid assets and short-term liquidity. In connection with the Separation, short-term liquidity and liquid assets were made available from the issuance of the senior notes and from drawdowns under our term loan facility. In addition, any undrawn capacity under our revolving credit facility will be a potential source of liquidity. See “— The Company — Outstanding Debt and Collateral Financing Arrangement.” Finally, in order to manage our capital more efficiently, we have established internal liquidity facilities to provide liquidity within and across the combined group of companies.</w:t>
      </w:r>
    </w:p>
    <w:p>
      <w:pPr>
        <w:spacing w:after="0" w:line="80" w:lineRule="exact"/>
        <w:rPr>
          <w:sz w:val="20"/>
          <w:szCs w:val="20"/>
          <w:color w:val="auto"/>
        </w:rPr>
      </w:pPr>
    </w:p>
    <w:p>
      <w:pPr>
        <w:jc w:val="both"/>
        <w:ind w:left="180" w:firstLine="324"/>
        <w:spacing w:after="0" w:line="264" w:lineRule="auto"/>
        <w:rPr>
          <w:sz w:val="20"/>
          <w:szCs w:val="20"/>
          <w:color w:val="auto"/>
        </w:rPr>
      </w:pPr>
      <w:r>
        <w:rPr>
          <w:rFonts w:ascii="Arial" w:cs="Arial" w:eastAsia="Arial" w:hAnsi="Arial"/>
          <w:sz w:val="18"/>
          <w:szCs w:val="18"/>
          <w:color w:val="auto"/>
        </w:rPr>
        <w:t>At September 30, 2017 and December 31, 2016, Brighthouse Financial, Inc. and certain of its non-insurance company subsidiaries had $776 million and $102 million, respectively, in liquid assets. Of these amounts, $646 million and $0 were held by Brighthouse Financial, Inc. at September 30, 2017 and December 31, 2016, respectively.</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123</w:t>
      </w:r>
    </w:p>
    <w:p>
      <w:pPr>
        <w:sectPr>
          <w:pgSz w:w="11900" w:h="16838" w:orient="portrait"/>
          <w:cols w:equalWidth="0" w:num="1">
            <w:col w:w="11420"/>
          </w:cols>
          <w:pgMar w:left="240" w:top="126" w:right="239" w:bottom="1440" w:gutter="0" w:footer="0" w:header="0"/>
        </w:sectPr>
      </w:pPr>
    </w:p>
    <w:bookmarkStart w:id="125" w:name="page126"/>
    <w:bookmarkEnd w:id="125"/>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both"/>
        <w:ind w:left="180" w:firstLine="324"/>
        <w:spacing w:after="0" w:line="272" w:lineRule="auto"/>
        <w:rPr>
          <w:sz w:val="20"/>
          <w:szCs w:val="20"/>
          <w:color w:val="auto"/>
        </w:rPr>
      </w:pPr>
      <w:r>
        <w:rPr>
          <w:rFonts w:ascii="Arial" w:cs="Arial" w:eastAsia="Arial" w:hAnsi="Arial"/>
          <w:sz w:val="17"/>
          <w:szCs w:val="17"/>
          <w:color w:val="auto"/>
        </w:rPr>
        <w:t>Non-insurance company liquid assets are generated through borrowings and dividends and returns of capital from insurance subsidiaries and payments for certain services provided from our insurance and non-insurance subsidiaries, which include but are not limited to, executive oversight, treasury, finance, legal, human resources, tax planning, internal audit, financial reporting, information technology, distribution services and investor relations. Insurance subsidiary dividends are subject to local insurance regulatory requirements, as discussed in “— The Company — Capital — Restrictions on Dividends and Returns of Capital from Insurance Company Subsidiaries.” Liquid assets include cash and cash equivalents, short-term investments and publicly-traded securities excluding assets that are pledged or otherwise committed. Assets pledged or otherwise committed include amounts received in connection with derivatives and collateral financing arrangements.</w:t>
      </w:r>
    </w:p>
    <w:p>
      <w:pPr>
        <w:spacing w:after="0" w:line="70" w:lineRule="exact"/>
        <w:rPr>
          <w:sz w:val="20"/>
          <w:szCs w:val="20"/>
          <w:color w:val="auto"/>
        </w:rPr>
      </w:pPr>
    </w:p>
    <w:p>
      <w:pPr>
        <w:jc w:val="both"/>
        <w:ind w:left="180" w:firstLine="324"/>
        <w:spacing w:after="0" w:line="286" w:lineRule="auto"/>
        <w:rPr>
          <w:sz w:val="20"/>
          <w:szCs w:val="20"/>
          <w:color w:val="auto"/>
        </w:rPr>
      </w:pPr>
      <w:r>
        <w:rPr>
          <w:rFonts w:ascii="Arial" w:cs="Arial" w:eastAsia="Arial" w:hAnsi="Arial"/>
          <w:sz w:val="17"/>
          <w:szCs w:val="17"/>
          <w:color w:val="auto"/>
        </w:rPr>
        <w:t>We maintain a substantial short-term liquidity position, which was $238 million and $122 million at September 30, 2017 and December 31, 2016, respectively. Short-term liquidity includes cash and cash equivalents and short-term investments, excluding assets that are pledged or otherwise committed, including amounts received in connection with securities lending, repurchase agreements, derivatives and secured borrowings.</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Company</w:t>
      </w:r>
    </w:p>
    <w:p>
      <w:pPr>
        <w:spacing w:after="0" w:line="11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Sources and Uses of Liquidity and Capital</w:t>
      </w:r>
    </w:p>
    <w:p>
      <w:pPr>
        <w:spacing w:after="0" w:line="117" w:lineRule="exact"/>
        <w:rPr>
          <w:sz w:val="20"/>
          <w:szCs w:val="20"/>
          <w:color w:val="auto"/>
        </w:rPr>
      </w:pPr>
    </w:p>
    <w:p>
      <w:pPr>
        <w:jc w:val="both"/>
        <w:ind w:left="180" w:firstLine="324"/>
        <w:spacing w:after="0" w:line="264" w:lineRule="auto"/>
        <w:rPr>
          <w:sz w:val="20"/>
          <w:szCs w:val="20"/>
          <w:color w:val="auto"/>
        </w:rPr>
      </w:pPr>
      <w:r>
        <w:rPr>
          <w:rFonts w:ascii="Arial" w:cs="Arial" w:eastAsia="Arial" w:hAnsi="Arial"/>
          <w:sz w:val="18"/>
          <w:szCs w:val="18"/>
          <w:color w:val="auto"/>
        </w:rPr>
        <w:t>Our principal sources of liquidity are insurance premiums and annuity considerations, net investment income and proceeds from the maturity and sale of investments. The primary uses of these funds are investing activities, payments of policyholder benefits, commissions and operational expenses, and contract maturities, withdrawals and surrenders.</w:t>
      </w:r>
    </w:p>
    <w:p>
      <w:pPr>
        <w:spacing w:after="0" w:line="73" w:lineRule="exact"/>
        <w:rPr>
          <w:sz w:val="20"/>
          <w:szCs w:val="20"/>
          <w:color w:val="auto"/>
        </w:rPr>
      </w:pPr>
    </w:p>
    <w:p>
      <w:pPr>
        <w:ind w:left="340"/>
        <w:spacing w:after="0"/>
        <w:rPr>
          <w:sz w:val="20"/>
          <w:szCs w:val="20"/>
          <w:color w:val="auto"/>
        </w:rPr>
      </w:pPr>
      <w:r>
        <w:rPr>
          <w:rFonts w:ascii="Arial" w:cs="Arial" w:eastAsia="Arial" w:hAnsi="Arial"/>
          <w:sz w:val="18"/>
          <w:szCs w:val="18"/>
          <w:i w:val="1"/>
          <w:iCs w:val="1"/>
          <w:u w:val="single" w:color="auto"/>
          <w:color w:val="auto"/>
        </w:rPr>
        <w:t>Summary of the Primary Sources and Uses of Liquidity and Capital</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presents a summary of the primary sources and uses of liquidity and capital at:</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5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600" w:type="dxa"/>
            <w:vAlign w:val="bottom"/>
            <w:tcBorders>
              <w:bottom w:val="single" w:sz="8" w:color="auto"/>
            </w:tcBorders>
            <w:gridSpan w:val="4"/>
          </w:tcPr>
          <w:p>
            <w:pPr>
              <w:jc w:val="right"/>
              <w:ind w:right="252"/>
              <w:spacing w:after="0"/>
              <w:rPr>
                <w:sz w:val="20"/>
                <w:szCs w:val="20"/>
                <w:color w:val="auto"/>
              </w:rPr>
            </w:pPr>
            <w:r>
              <w:rPr>
                <w:rFonts w:ascii="Arial" w:cs="Arial" w:eastAsia="Arial" w:hAnsi="Arial"/>
                <w:sz w:val="14"/>
                <w:szCs w:val="14"/>
                <w:b w:val="1"/>
                <w:bCs w:val="1"/>
                <w:color w:val="auto"/>
                <w:w w:val="97"/>
              </w:rPr>
              <w:t>Nine Months Ended September 30,</w:t>
            </w:r>
          </w:p>
        </w:tc>
        <w:tc>
          <w:tcPr>
            <w:tcW w:w="0" w:type="dxa"/>
            <w:vAlign w:val="bottom"/>
          </w:tcPr>
          <w:p>
            <w:pPr>
              <w:spacing w:after="0"/>
              <w:rPr>
                <w:sz w:val="1"/>
                <w:szCs w:val="1"/>
                <w:color w:val="auto"/>
              </w:rPr>
            </w:pPr>
          </w:p>
        </w:tc>
      </w:tr>
      <w:tr>
        <w:trPr>
          <w:trHeight w:val="264"/>
        </w:trPr>
        <w:tc>
          <w:tcPr>
            <w:tcW w:w="858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135"/>
        </w:trPr>
        <w:tc>
          <w:tcPr>
            <w:tcW w:w="8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Sources:</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580" w:type="dxa"/>
            <w:vAlign w:val="bottom"/>
          </w:tcPr>
          <w:p>
            <w:pPr>
              <w:ind w:left="200"/>
              <w:spacing w:after="0"/>
              <w:rPr>
                <w:sz w:val="20"/>
                <w:szCs w:val="20"/>
                <w:color w:val="auto"/>
              </w:rPr>
            </w:pPr>
            <w:r>
              <w:rPr>
                <w:rFonts w:ascii="Arial" w:cs="Arial" w:eastAsia="Arial" w:hAnsi="Arial"/>
                <w:sz w:val="16"/>
                <w:szCs w:val="16"/>
                <w:color w:val="auto"/>
              </w:rPr>
              <w:t>Operating activities, net</w:t>
            </w:r>
          </w:p>
        </w:tc>
        <w:tc>
          <w:tcPr>
            <w:tcW w:w="240" w:type="dxa"/>
            <w:vAlign w:val="bottom"/>
          </w:tcPr>
          <w:p>
            <w:pPr>
              <w:ind w:left="2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2,030</w:t>
            </w:r>
          </w:p>
        </w:tc>
        <w:tc>
          <w:tcPr>
            <w:tcW w:w="120" w:type="dxa"/>
            <w:vAlign w:val="bottom"/>
          </w:tcPr>
          <w:p>
            <w:pPr>
              <w:spacing w:after="0"/>
              <w:rPr>
                <w:sz w:val="21"/>
                <w:szCs w:val="21"/>
                <w:color w:val="auto"/>
              </w:rPr>
            </w:pPr>
          </w:p>
        </w:tc>
        <w:tc>
          <w:tcPr>
            <w:tcW w:w="320" w:type="dxa"/>
            <w:vAlign w:val="bottom"/>
          </w:tcPr>
          <w:p>
            <w:pPr>
              <w:ind w:left="2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2,605</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Investing activities, net</w:t>
            </w: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8580" w:type="dxa"/>
            <w:vAlign w:val="bottom"/>
          </w:tcPr>
          <w:p>
            <w:pPr>
              <w:ind w:left="200"/>
              <w:spacing w:after="0"/>
              <w:rPr>
                <w:sz w:val="20"/>
                <w:szCs w:val="20"/>
                <w:color w:val="auto"/>
              </w:rPr>
            </w:pPr>
            <w:r>
              <w:rPr>
                <w:rFonts w:ascii="Arial" w:cs="Arial" w:eastAsia="Arial" w:hAnsi="Arial"/>
                <w:sz w:val="16"/>
                <w:szCs w:val="16"/>
                <w:color w:val="auto"/>
              </w:rPr>
              <w:t>Changes in policyholder account balances, net</w:t>
            </w:r>
          </w:p>
        </w:tc>
        <w:tc>
          <w:tcPr>
            <w:tcW w:w="24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1,195</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Changes in payables for collateral under securities loaned and other transactions, net</w:t>
            </w: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3,059</w:t>
            </w:r>
          </w:p>
        </w:tc>
        <w:tc>
          <w:tcPr>
            <w:tcW w:w="0" w:type="dxa"/>
            <w:vAlign w:val="bottom"/>
          </w:tcPr>
          <w:p>
            <w:pPr>
              <w:spacing w:after="0"/>
              <w:rPr>
                <w:sz w:val="1"/>
                <w:szCs w:val="1"/>
                <w:color w:val="auto"/>
              </w:rPr>
            </w:pPr>
          </w:p>
        </w:tc>
      </w:tr>
      <w:tr>
        <w:trPr>
          <w:trHeight w:val="243"/>
        </w:trPr>
        <w:tc>
          <w:tcPr>
            <w:tcW w:w="8580" w:type="dxa"/>
            <w:vAlign w:val="bottom"/>
          </w:tcPr>
          <w:p>
            <w:pPr>
              <w:ind w:left="200"/>
              <w:spacing w:after="0"/>
              <w:rPr>
                <w:sz w:val="20"/>
                <w:szCs w:val="20"/>
                <w:color w:val="auto"/>
              </w:rPr>
            </w:pPr>
            <w:r>
              <w:rPr>
                <w:rFonts w:ascii="Arial" w:cs="Arial" w:eastAsia="Arial" w:hAnsi="Arial"/>
                <w:sz w:val="16"/>
                <w:szCs w:val="16"/>
                <w:color w:val="auto"/>
              </w:rPr>
              <w:t>Long-term debt issued</w:t>
            </w:r>
          </w:p>
        </w:tc>
        <w:tc>
          <w:tcPr>
            <w:tcW w:w="24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3,589</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Financing element on certain derivative instruments and other derivative related transactions, net</w:t>
            </w: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8580" w:type="dxa"/>
            <w:vAlign w:val="bottom"/>
          </w:tcPr>
          <w:p>
            <w:pPr>
              <w:ind w:left="200"/>
              <w:spacing w:after="0"/>
              <w:rPr>
                <w:sz w:val="20"/>
                <w:szCs w:val="20"/>
                <w:color w:val="auto"/>
              </w:rPr>
            </w:pPr>
            <w:r>
              <w:rPr>
                <w:rFonts w:ascii="Arial" w:cs="Arial" w:eastAsia="Arial" w:hAnsi="Arial"/>
                <w:sz w:val="16"/>
                <w:szCs w:val="16"/>
                <w:color w:val="auto"/>
              </w:rPr>
              <w:t>Cash received from MetLife in connection with shareholder’s net investment</w:t>
            </w:r>
          </w:p>
        </w:tc>
        <w:tc>
          <w:tcPr>
            <w:tcW w:w="24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293</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1,726</w:t>
            </w:r>
          </w:p>
        </w:tc>
        <w:tc>
          <w:tcPr>
            <w:tcW w:w="0" w:type="dxa"/>
            <w:vAlign w:val="bottom"/>
          </w:tcPr>
          <w:p>
            <w:pPr>
              <w:spacing w:after="0"/>
              <w:rPr>
                <w:sz w:val="1"/>
                <w:szCs w:val="1"/>
                <w:color w:val="auto"/>
              </w:rPr>
            </w:pPr>
          </w:p>
        </w:tc>
      </w:tr>
      <w:tr>
        <w:trPr>
          <w:trHeight w:val="27"/>
        </w:trPr>
        <w:tc>
          <w:tcPr>
            <w:tcW w:w="85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85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Total sources</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6"/>
                <w:szCs w:val="16"/>
                <w:color w:val="auto"/>
              </w:rPr>
              <w:t>7,107</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6"/>
                <w:szCs w:val="16"/>
                <w:color w:val="auto"/>
              </w:rPr>
              <w:t>7,390</w:t>
            </w:r>
          </w:p>
        </w:tc>
        <w:tc>
          <w:tcPr>
            <w:tcW w:w="0" w:type="dxa"/>
            <w:vAlign w:val="bottom"/>
          </w:tcPr>
          <w:p>
            <w:pPr>
              <w:spacing w:after="0"/>
              <w:rPr>
                <w:sz w:val="1"/>
                <w:szCs w:val="1"/>
                <w:color w:val="auto"/>
              </w:rPr>
            </w:pPr>
          </w:p>
        </w:tc>
      </w:tr>
      <w:tr>
        <w:trPr>
          <w:trHeight w:val="204"/>
        </w:trPr>
        <w:tc>
          <w:tcPr>
            <w:tcW w:w="8580" w:type="dxa"/>
            <w:vAlign w:val="bottom"/>
          </w:tcPr>
          <w:p>
            <w:pPr>
              <w:ind w:left="40"/>
              <w:spacing w:after="0"/>
              <w:rPr>
                <w:sz w:val="20"/>
                <w:szCs w:val="20"/>
                <w:color w:val="auto"/>
              </w:rPr>
            </w:pPr>
            <w:r>
              <w:rPr>
                <w:rFonts w:ascii="Arial" w:cs="Arial" w:eastAsia="Arial" w:hAnsi="Arial"/>
                <w:sz w:val="16"/>
                <w:szCs w:val="16"/>
                <w:b w:val="1"/>
                <w:bCs w:val="1"/>
                <w:color w:val="auto"/>
              </w:rPr>
              <w:t>Uses:</w:t>
            </w:r>
          </w:p>
        </w:tc>
        <w:tc>
          <w:tcPr>
            <w:tcW w:w="24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60"/>
        </w:trPr>
        <w:tc>
          <w:tcPr>
            <w:tcW w:w="8580" w:type="dxa"/>
            <w:vAlign w:val="bottom"/>
          </w:tcPr>
          <w:p>
            <w:pPr>
              <w:spacing w:after="0"/>
              <w:rPr>
                <w:sz w:val="5"/>
                <w:szCs w:val="5"/>
                <w:color w:val="auto"/>
              </w:rPr>
            </w:pPr>
          </w:p>
        </w:tc>
        <w:tc>
          <w:tcPr>
            <w:tcW w:w="24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320" w:type="dxa"/>
            <w:vAlign w:val="bottom"/>
          </w:tcPr>
          <w:p>
            <w:pPr>
              <w:spacing w:after="0"/>
              <w:rPr>
                <w:sz w:val="5"/>
                <w:szCs w:val="5"/>
                <w:color w:val="auto"/>
              </w:rPr>
            </w:pPr>
          </w:p>
        </w:tc>
        <w:tc>
          <w:tcPr>
            <w:tcW w:w="10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0"/>
        </w:trPr>
        <w:tc>
          <w:tcPr>
            <w:tcW w:w="85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Investing activities, net</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2,554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5,074</w:t>
            </w:r>
          </w:p>
        </w:tc>
        <w:tc>
          <w:tcPr>
            <w:tcW w:w="0" w:type="dxa"/>
            <w:vAlign w:val="bottom"/>
          </w:tcPr>
          <w:p>
            <w:pPr>
              <w:spacing w:after="0"/>
              <w:rPr>
                <w:sz w:val="1"/>
                <w:szCs w:val="1"/>
                <w:color w:val="auto"/>
              </w:rPr>
            </w:pPr>
          </w:p>
        </w:tc>
      </w:tr>
      <w:tr>
        <w:trPr>
          <w:trHeight w:val="243"/>
        </w:trPr>
        <w:tc>
          <w:tcPr>
            <w:tcW w:w="8580" w:type="dxa"/>
            <w:vAlign w:val="bottom"/>
          </w:tcPr>
          <w:p>
            <w:pPr>
              <w:ind w:left="200"/>
              <w:spacing w:after="0"/>
              <w:rPr>
                <w:sz w:val="20"/>
                <w:szCs w:val="20"/>
                <w:color w:val="auto"/>
              </w:rPr>
            </w:pPr>
            <w:r>
              <w:rPr>
                <w:rFonts w:ascii="Arial" w:cs="Arial" w:eastAsia="Arial" w:hAnsi="Arial"/>
                <w:sz w:val="16"/>
                <w:szCs w:val="16"/>
                <w:color w:val="auto"/>
              </w:rPr>
              <w:t>Changes in policyholder account balances, net</w:t>
            </w:r>
          </w:p>
        </w:tc>
        <w:tc>
          <w:tcPr>
            <w:tcW w:w="24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754</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Changes in payables for collateral under securities loaned and other transactions, net</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2,747</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8580" w:type="dxa"/>
            <w:vAlign w:val="bottom"/>
          </w:tcPr>
          <w:p>
            <w:pPr>
              <w:ind w:left="200"/>
              <w:spacing w:after="0"/>
              <w:rPr>
                <w:sz w:val="20"/>
                <w:szCs w:val="20"/>
                <w:color w:val="auto"/>
              </w:rPr>
            </w:pPr>
            <w:r>
              <w:rPr>
                <w:rFonts w:ascii="Arial" w:cs="Arial" w:eastAsia="Arial" w:hAnsi="Arial"/>
                <w:sz w:val="16"/>
                <w:szCs w:val="16"/>
                <w:color w:val="auto"/>
              </w:rPr>
              <w:t>Long-term debt repaid</w:t>
            </w:r>
          </w:p>
        </w:tc>
        <w:tc>
          <w:tcPr>
            <w:tcW w:w="24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Collateral financing arrangements repaid</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2,797</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8580" w:type="dxa"/>
            <w:vAlign w:val="bottom"/>
          </w:tcPr>
          <w:p>
            <w:pPr>
              <w:ind w:left="200"/>
              <w:spacing w:after="0"/>
              <w:rPr>
                <w:sz w:val="20"/>
                <w:szCs w:val="20"/>
                <w:color w:val="auto"/>
              </w:rPr>
            </w:pPr>
            <w:r>
              <w:rPr>
                <w:rFonts w:ascii="Arial" w:cs="Arial" w:eastAsia="Arial" w:hAnsi="Arial"/>
                <w:sz w:val="16"/>
                <w:szCs w:val="16"/>
                <w:color w:val="auto"/>
              </w:rPr>
              <w:t>Financing element on certain derivative instruments and other derivative related transactions, net</w:t>
            </w:r>
          </w:p>
        </w:tc>
        <w:tc>
          <w:tcPr>
            <w:tcW w:w="24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37</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228</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Distribution to MetLife, Inc.</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1,798</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8580" w:type="dxa"/>
            <w:vAlign w:val="bottom"/>
          </w:tcPr>
          <w:p>
            <w:pPr>
              <w:ind w:left="200"/>
              <w:spacing w:after="0"/>
              <w:rPr>
                <w:sz w:val="20"/>
                <w:szCs w:val="20"/>
                <w:color w:val="auto"/>
              </w:rPr>
            </w:pPr>
            <w:r>
              <w:rPr>
                <w:rFonts w:ascii="Arial" w:cs="Arial" w:eastAsia="Arial" w:hAnsi="Arial"/>
                <w:sz w:val="16"/>
                <w:szCs w:val="16"/>
                <w:color w:val="auto"/>
              </w:rPr>
              <w:t>Cash paid to MetLife in connection with shareholder’s net investment (1)</w:t>
            </w:r>
          </w:p>
        </w:tc>
        <w:tc>
          <w:tcPr>
            <w:tcW w:w="24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668</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5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Other, net</w:t>
            </w: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26</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7"/>
        </w:trPr>
        <w:tc>
          <w:tcPr>
            <w:tcW w:w="8580" w:type="dxa"/>
            <w:vAlign w:val="bottom"/>
          </w:tcPr>
          <w:p>
            <w:pPr>
              <w:ind w:left="200"/>
              <w:spacing w:after="0"/>
              <w:rPr>
                <w:sz w:val="20"/>
                <w:szCs w:val="20"/>
                <w:color w:val="auto"/>
              </w:rPr>
            </w:pPr>
            <w:r>
              <w:rPr>
                <w:rFonts w:ascii="Arial" w:cs="Arial" w:eastAsia="Arial" w:hAnsi="Arial"/>
                <w:sz w:val="16"/>
                <w:szCs w:val="16"/>
                <w:color w:val="auto"/>
              </w:rPr>
              <w:t>Total uses</w:t>
            </w:r>
          </w:p>
        </w:tc>
        <w:tc>
          <w:tcPr>
            <w:tcW w:w="2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ind w:right="13"/>
              <w:spacing w:after="0"/>
              <w:rPr>
                <w:sz w:val="20"/>
                <w:szCs w:val="20"/>
                <w:color w:val="auto"/>
              </w:rPr>
            </w:pPr>
            <w:r>
              <w:rPr>
                <w:rFonts w:ascii="Arial" w:cs="Arial" w:eastAsia="Arial" w:hAnsi="Arial"/>
                <w:sz w:val="16"/>
                <w:szCs w:val="16"/>
                <w:color w:val="auto"/>
              </w:rPr>
              <w:t>10,637</w:t>
            </w:r>
          </w:p>
        </w:tc>
        <w:tc>
          <w:tcPr>
            <w:tcW w:w="1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ind w:right="12"/>
              <w:spacing w:after="0"/>
              <w:rPr>
                <w:sz w:val="20"/>
                <w:szCs w:val="20"/>
                <w:color w:val="auto"/>
              </w:rPr>
            </w:pPr>
            <w:r>
              <w:rPr>
                <w:rFonts w:ascii="Arial" w:cs="Arial" w:eastAsia="Arial" w:hAnsi="Arial"/>
                <w:sz w:val="16"/>
                <w:szCs w:val="16"/>
                <w:color w:val="auto"/>
              </w:rPr>
              <w:t>6,135</w:t>
            </w:r>
          </w:p>
        </w:tc>
        <w:tc>
          <w:tcPr>
            <w:tcW w:w="0" w:type="dxa"/>
            <w:vAlign w:val="bottom"/>
          </w:tcPr>
          <w:p>
            <w:pPr>
              <w:spacing w:after="0"/>
              <w:rPr>
                <w:sz w:val="1"/>
                <w:szCs w:val="1"/>
                <w:color w:val="auto"/>
              </w:rPr>
            </w:pPr>
          </w:p>
        </w:tc>
      </w:tr>
      <w:tr>
        <w:trPr>
          <w:trHeight w:val="33"/>
        </w:trPr>
        <w:tc>
          <w:tcPr>
            <w:tcW w:w="85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85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Net increase (decrease) in cash and cash equivalents</w:t>
            </w:r>
          </w:p>
        </w:tc>
        <w:tc>
          <w:tcPr>
            <w:tcW w:w="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(3,530)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6"/>
                <w:szCs w:val="16"/>
                <w:color w:val="auto"/>
              </w:rPr>
              <w:t>1,255</w:t>
            </w:r>
          </w:p>
        </w:tc>
        <w:tc>
          <w:tcPr>
            <w:tcW w:w="0" w:type="dxa"/>
            <w:vAlign w:val="bottom"/>
          </w:tcPr>
          <w:p>
            <w:pPr>
              <w:spacing w:after="0"/>
              <w:rPr>
                <w:sz w:val="1"/>
                <w:szCs w:val="1"/>
                <w:color w:val="auto"/>
              </w:rPr>
            </w:pPr>
          </w:p>
        </w:tc>
      </w:tr>
      <w:tr>
        <w:trPr>
          <w:trHeight w:val="20"/>
        </w:trPr>
        <w:tc>
          <w:tcPr>
            <w:tcW w:w="858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4"/>
                <w:szCs w:val="14"/>
                <w:color w:val="auto"/>
              </w:rPr>
              <w:t>_________</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858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92" w:lineRule="exact"/>
        <w:rPr>
          <w:sz w:val="20"/>
          <w:szCs w:val="20"/>
          <w:color w:val="auto"/>
        </w:rPr>
      </w:pPr>
    </w:p>
    <w:p>
      <w:pPr>
        <w:ind w:left="340" w:hanging="332"/>
        <w:spacing w:after="0" w:line="277" w:lineRule="auto"/>
        <w:tabs>
          <w:tab w:leader="none" w:pos="340" w:val="left"/>
        </w:tabs>
        <w:numPr>
          <w:ilvl w:val="0"/>
          <w:numId w:val="84"/>
        </w:numPr>
        <w:rPr>
          <w:rFonts w:ascii="Arial" w:cs="Arial" w:eastAsia="Arial" w:hAnsi="Arial"/>
          <w:sz w:val="18"/>
          <w:szCs w:val="18"/>
          <w:color w:val="auto"/>
        </w:rPr>
      </w:pPr>
      <w:r>
        <w:rPr>
          <w:rFonts w:ascii="Arial" w:cs="Arial" w:eastAsia="Arial" w:hAnsi="Arial"/>
          <w:sz w:val="18"/>
          <w:szCs w:val="18"/>
          <w:color w:val="auto"/>
        </w:rPr>
        <w:t>See “— Capital — Restrictions on Dividends and Returns of Capital from Insurance Company Subsidiaries” for further information on historical dividends paid to the entities’ parent company, BH Holdings, in the MetLife group of companies.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124</w:t>
      </w:r>
    </w:p>
    <w:p>
      <w:pPr>
        <w:sectPr>
          <w:pgSz w:w="11900" w:h="16838" w:orient="portrait"/>
          <w:cols w:equalWidth="0" w:num="1">
            <w:col w:w="11420"/>
          </w:cols>
          <w:pgMar w:left="240" w:top="126" w:right="239" w:bottom="1440" w:gutter="0" w:footer="0" w:header="0"/>
        </w:sectPr>
      </w:pPr>
    </w:p>
    <w:bookmarkStart w:id="126" w:name="page127"/>
    <w:bookmarkEnd w:id="126"/>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340" w:right="200" w:firstLine="324"/>
        <w:spacing w:after="0" w:line="342" w:lineRule="auto"/>
        <w:rPr>
          <w:sz w:val="20"/>
          <w:szCs w:val="20"/>
          <w:color w:val="auto"/>
        </w:rPr>
      </w:pPr>
      <w:r>
        <w:rPr>
          <w:rFonts w:ascii="Arial" w:cs="Arial" w:eastAsia="Arial" w:hAnsi="Arial"/>
          <w:sz w:val="16"/>
          <w:szCs w:val="16"/>
          <w:i w:val="1"/>
          <w:iCs w:val="1"/>
          <w:color w:val="auto"/>
        </w:rPr>
        <w:t xml:space="preserve">Cash Flows from Operations. </w:t>
      </w:r>
      <w:r>
        <w:rPr>
          <w:rFonts w:ascii="Arial" w:cs="Arial" w:eastAsia="Arial" w:hAnsi="Arial"/>
          <w:sz w:val="16"/>
          <w:szCs w:val="16"/>
          <w:color w:val="auto"/>
        </w:rPr>
        <w:t>The principal cash inflows from our insurance activities come from insurance premiums, net investment income and</w:t>
      </w:r>
      <w:r>
        <w:rPr>
          <w:rFonts w:ascii="Arial" w:cs="Arial" w:eastAsia="Arial" w:hAnsi="Arial"/>
          <w:sz w:val="16"/>
          <w:szCs w:val="16"/>
          <w:i w:val="1"/>
          <w:iCs w:val="1"/>
          <w:color w:val="auto"/>
        </w:rPr>
        <w:t xml:space="preserve"> </w:t>
      </w:r>
      <w:r>
        <w:rPr>
          <w:rFonts w:ascii="Arial" w:cs="Arial" w:eastAsia="Arial" w:hAnsi="Arial"/>
          <w:sz w:val="16"/>
          <w:szCs w:val="16"/>
          <w:color w:val="auto"/>
        </w:rPr>
        <w:t>annuity considerations. The principal cash outflows relate to life insurance and annuity products and operational expenses, as well as interest expense.</w:t>
      </w:r>
    </w:p>
    <w:p>
      <w:pPr>
        <w:spacing w:after="0" w:line="16" w:lineRule="exact"/>
        <w:rPr>
          <w:sz w:val="20"/>
          <w:szCs w:val="20"/>
          <w:color w:val="auto"/>
        </w:rPr>
      </w:pPr>
    </w:p>
    <w:p>
      <w:pPr>
        <w:ind w:left="340" w:right="20" w:firstLine="324"/>
        <w:spacing w:after="0" w:line="259" w:lineRule="auto"/>
        <w:rPr>
          <w:sz w:val="20"/>
          <w:szCs w:val="20"/>
          <w:color w:val="auto"/>
        </w:rPr>
      </w:pPr>
      <w:r>
        <w:rPr>
          <w:rFonts w:ascii="Arial" w:cs="Arial" w:eastAsia="Arial" w:hAnsi="Arial"/>
          <w:sz w:val="18"/>
          <w:szCs w:val="18"/>
          <w:i w:val="1"/>
          <w:iCs w:val="1"/>
          <w:color w:val="auto"/>
        </w:rPr>
        <w:t xml:space="preserve">Cash Flows from Investments. </w:t>
      </w:r>
      <w:r>
        <w:rPr>
          <w:rFonts w:ascii="Arial" w:cs="Arial" w:eastAsia="Arial" w:hAnsi="Arial"/>
          <w:sz w:val="18"/>
          <w:szCs w:val="18"/>
          <w:color w:val="auto"/>
        </w:rPr>
        <w:t>The principal cash inflows from our investment activities come from repayments of principal, proceeds from</w:t>
      </w:r>
      <w:r>
        <w:rPr>
          <w:rFonts w:ascii="Arial" w:cs="Arial" w:eastAsia="Arial" w:hAnsi="Arial"/>
          <w:sz w:val="18"/>
          <w:szCs w:val="18"/>
          <w:i w:val="1"/>
          <w:iCs w:val="1"/>
          <w:color w:val="auto"/>
        </w:rPr>
        <w:t xml:space="preserve"> </w:t>
      </w:r>
      <w:r>
        <w:rPr>
          <w:rFonts w:ascii="Arial" w:cs="Arial" w:eastAsia="Arial" w:hAnsi="Arial"/>
          <w:sz w:val="18"/>
          <w:szCs w:val="18"/>
          <w:color w:val="auto"/>
        </w:rPr>
        <w:t>maturities and sales of investments and settlements of freestanding derivatives. The principal cash outflows relate to purchases of investments and settlements of freestanding derivatives. We typically have a net cash outflow from investing activities because cash inflows from insurance operations are reinvested in accordance with our ALM discipline to fund insurance liabilities.</w:t>
      </w:r>
    </w:p>
    <w:p>
      <w:pPr>
        <w:spacing w:after="0" w:line="79" w:lineRule="exact"/>
        <w:rPr>
          <w:sz w:val="20"/>
          <w:szCs w:val="20"/>
          <w:color w:val="auto"/>
        </w:rPr>
      </w:pPr>
    </w:p>
    <w:p>
      <w:pPr>
        <w:ind w:left="340" w:right="140" w:firstLine="324"/>
        <w:spacing w:after="0" w:line="259" w:lineRule="auto"/>
        <w:rPr>
          <w:sz w:val="20"/>
          <w:szCs w:val="20"/>
          <w:color w:val="auto"/>
        </w:rPr>
      </w:pPr>
      <w:r>
        <w:rPr>
          <w:rFonts w:ascii="Arial" w:cs="Arial" w:eastAsia="Arial" w:hAnsi="Arial"/>
          <w:sz w:val="18"/>
          <w:szCs w:val="18"/>
          <w:i w:val="1"/>
          <w:iCs w:val="1"/>
          <w:color w:val="auto"/>
        </w:rPr>
        <w:t xml:space="preserve">Cash Flows from Financing: Parent Company. </w:t>
      </w:r>
      <w:r>
        <w:rPr>
          <w:rFonts w:ascii="Arial" w:cs="Arial" w:eastAsia="Arial" w:hAnsi="Arial"/>
          <w:sz w:val="18"/>
          <w:szCs w:val="18"/>
          <w:color w:val="auto"/>
        </w:rPr>
        <w:t>The principal cash inflows from parent company financing activities will be proceeds from our term</w:t>
      </w:r>
      <w:r>
        <w:rPr>
          <w:rFonts w:ascii="Arial" w:cs="Arial" w:eastAsia="Arial" w:hAnsi="Arial"/>
          <w:sz w:val="18"/>
          <w:szCs w:val="18"/>
          <w:i w:val="1"/>
          <w:iCs w:val="1"/>
          <w:color w:val="auto"/>
        </w:rPr>
        <w:t xml:space="preserve"> </w:t>
      </w:r>
      <w:r>
        <w:rPr>
          <w:rFonts w:ascii="Arial" w:cs="Arial" w:eastAsia="Arial" w:hAnsi="Arial"/>
          <w:sz w:val="18"/>
          <w:szCs w:val="18"/>
          <w:color w:val="auto"/>
        </w:rPr>
        <w:t>loan facility and revolving credit facility and any subsequently issued debt securities, private placements, preferred stock, common stock or any additional bank loans. The principal cash outflows from parent company financing activities will be from repayments of debt, dividends on and repurchases of common or preferred stock and capital contributions to subsidiaries.</w:t>
      </w:r>
    </w:p>
    <w:p>
      <w:pPr>
        <w:spacing w:after="0" w:line="79" w:lineRule="exact"/>
        <w:rPr>
          <w:sz w:val="20"/>
          <w:szCs w:val="20"/>
          <w:color w:val="auto"/>
        </w:rPr>
      </w:pPr>
    </w:p>
    <w:p>
      <w:pPr>
        <w:ind w:left="340" w:right="40" w:firstLine="324"/>
        <w:spacing w:after="0" w:line="259" w:lineRule="auto"/>
        <w:rPr>
          <w:sz w:val="20"/>
          <w:szCs w:val="20"/>
          <w:color w:val="auto"/>
        </w:rPr>
      </w:pPr>
      <w:r>
        <w:rPr>
          <w:rFonts w:ascii="Arial" w:cs="Arial" w:eastAsia="Arial" w:hAnsi="Arial"/>
          <w:sz w:val="18"/>
          <w:szCs w:val="18"/>
          <w:i w:val="1"/>
          <w:iCs w:val="1"/>
          <w:color w:val="auto"/>
        </w:rPr>
        <w:t xml:space="preserve">The Company. </w:t>
      </w:r>
      <w:r>
        <w:rPr>
          <w:rFonts w:ascii="Arial" w:cs="Arial" w:eastAsia="Arial" w:hAnsi="Arial"/>
          <w:sz w:val="18"/>
          <w:szCs w:val="18"/>
          <w:color w:val="auto"/>
        </w:rPr>
        <w:t>The principal cash inflows from our financing activities come from deposits of funds associated with the Federal Home Loan Bank</w:t>
      </w:r>
      <w:r>
        <w:rPr>
          <w:rFonts w:ascii="Arial" w:cs="Arial" w:eastAsia="Arial" w:hAnsi="Arial"/>
          <w:sz w:val="18"/>
          <w:szCs w:val="18"/>
          <w:i w:val="1"/>
          <w:iCs w:val="1"/>
          <w:color w:val="auto"/>
        </w:rPr>
        <w:t xml:space="preserve"> </w:t>
      </w:r>
      <w:r>
        <w:rPr>
          <w:rFonts w:ascii="Arial" w:cs="Arial" w:eastAsia="Arial" w:hAnsi="Arial"/>
          <w:sz w:val="18"/>
          <w:szCs w:val="18"/>
          <w:color w:val="auto"/>
        </w:rPr>
        <w:t>(the “FHLB”) funding agreements reported within policyholder account balances, lending of securities, prior capital contributions from the former parent and issuances of debt. The principal cash outflows come from withdrawals associated with FHLB funding agreements reported within policyholder account balances, the return of securities on loan, repayments of debt.</w:t>
      </w:r>
    </w:p>
    <w:p>
      <w:pPr>
        <w:spacing w:after="0" w:line="79"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Liquidity</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i w:val="1"/>
          <w:iCs w:val="1"/>
          <w:u w:val="single" w:color="auto"/>
          <w:color w:val="auto"/>
        </w:rPr>
        <w:t>Liquidity Management</w:t>
      </w:r>
    </w:p>
    <w:p>
      <w:pPr>
        <w:spacing w:after="0" w:line="117" w:lineRule="exact"/>
        <w:rPr>
          <w:sz w:val="20"/>
          <w:szCs w:val="20"/>
          <w:color w:val="auto"/>
        </w:rPr>
      </w:pPr>
    </w:p>
    <w:p>
      <w:pPr>
        <w:jc w:val="both"/>
        <w:ind w:left="340" w:firstLine="324"/>
        <w:spacing w:after="0" w:line="264" w:lineRule="auto"/>
        <w:rPr>
          <w:sz w:val="20"/>
          <w:szCs w:val="20"/>
          <w:color w:val="auto"/>
        </w:rPr>
      </w:pPr>
      <w:r>
        <w:rPr>
          <w:rFonts w:ascii="Arial" w:cs="Arial" w:eastAsia="Arial" w:hAnsi="Arial"/>
          <w:sz w:val="18"/>
          <w:szCs w:val="18"/>
          <w:color w:val="auto"/>
        </w:rPr>
        <w:t>Based upon our capitalization, expectations regarding maintaining our ratings, business mix and funding sources available to us, we believe we have sufficient liquidity to meet business requirements under current market conditions and certain stress scenarios. We continuously monitor and adjust our liquidity and capital plans in light of market conditions, as well as changing needs and opportunities.</w:t>
      </w:r>
    </w:p>
    <w:p>
      <w:pPr>
        <w:spacing w:after="0" w:line="73" w:lineRule="exact"/>
        <w:rPr>
          <w:sz w:val="20"/>
          <w:szCs w:val="20"/>
          <w:color w:val="auto"/>
        </w:rPr>
      </w:pPr>
    </w:p>
    <w:p>
      <w:pPr>
        <w:jc w:val="both"/>
        <w:ind w:left="340" w:firstLine="324"/>
        <w:spacing w:after="0" w:line="270" w:lineRule="auto"/>
        <w:rPr>
          <w:sz w:val="20"/>
          <w:szCs w:val="20"/>
          <w:color w:val="auto"/>
        </w:rPr>
      </w:pPr>
      <w:r>
        <w:rPr>
          <w:rFonts w:ascii="Arial" w:cs="Arial" w:eastAsia="Arial" w:hAnsi="Arial"/>
          <w:sz w:val="17"/>
          <w:szCs w:val="17"/>
          <w:color w:val="auto"/>
        </w:rPr>
        <w:t>We determine our liquidity needs based on a rolling 12-month forecast by portfolio of invested assets which we monitor daily. We adjust the general account asset and derivatives mix and general account asset maturities based on this rolling 12-month forecast. To support this forecast, we conduct cash flow and stress testing, which include various scenarios of the potential increase to post or return collateral, reduction to new business sales, and risk of early contractholder and policyholder withdrawals, and lapses and surrenders of existing policies and contracts. We include provisions limiting withdrawal rights on many of our products. Certain of these provisions prevent the customer from making withdrawals prior to the maturity date of the product. In the event of significant cash requirements beyond anticipated liquidity needs, we have various alternatives available depending on market conditions and the amount and timing of the liquidity need. These available alternatives include cash flows from operations, sales of liquid assets, internal liquidity facilities, collateralized borrowing arrangements, such as from the FHLB, and any undrawn capacity under our revolving credit facility will be a potential source of liquidity.</w:t>
      </w:r>
    </w:p>
    <w:p>
      <w:pPr>
        <w:spacing w:after="0" w:line="74" w:lineRule="exact"/>
        <w:rPr>
          <w:sz w:val="20"/>
          <w:szCs w:val="20"/>
          <w:color w:val="auto"/>
        </w:rPr>
      </w:pPr>
    </w:p>
    <w:p>
      <w:pPr>
        <w:ind w:left="500"/>
        <w:spacing w:after="0"/>
        <w:rPr>
          <w:sz w:val="20"/>
          <w:szCs w:val="20"/>
          <w:color w:val="auto"/>
        </w:rPr>
      </w:pPr>
      <w:r>
        <w:rPr>
          <w:rFonts w:ascii="Arial" w:cs="Arial" w:eastAsia="Arial" w:hAnsi="Arial"/>
          <w:sz w:val="18"/>
          <w:szCs w:val="18"/>
          <w:u w:val="single" w:color="auto"/>
          <w:color w:val="auto"/>
        </w:rPr>
        <w:t>Liquid Assets and Short-term Liquidity</w:t>
      </w:r>
    </w:p>
    <w:p>
      <w:pPr>
        <w:spacing w:after="0" w:line="117" w:lineRule="exact"/>
        <w:rPr>
          <w:sz w:val="20"/>
          <w:szCs w:val="20"/>
          <w:color w:val="auto"/>
        </w:rPr>
      </w:pPr>
    </w:p>
    <w:p>
      <w:pPr>
        <w:jc w:val="both"/>
        <w:ind w:left="500" w:firstLine="324"/>
        <w:spacing w:after="0" w:line="277" w:lineRule="auto"/>
        <w:rPr>
          <w:sz w:val="20"/>
          <w:szCs w:val="20"/>
          <w:color w:val="auto"/>
        </w:rPr>
      </w:pPr>
      <w:r>
        <w:rPr>
          <w:rFonts w:ascii="Arial" w:cs="Arial" w:eastAsia="Arial" w:hAnsi="Arial"/>
          <w:sz w:val="18"/>
          <w:szCs w:val="18"/>
          <w:color w:val="auto"/>
        </w:rPr>
        <w:t>Liquid assets were $36.8 billion and $31.7 billion at September 30, 2017 and December 31, 2016, respectively. Short-term liquidity was $1.6 billion and $5.0 billion at September 30, 2017 and December 31, 2016, respectively.</w:t>
      </w:r>
    </w:p>
    <w:p>
      <w:pPr>
        <w:spacing w:after="0" w:line="62" w:lineRule="exact"/>
        <w:rPr>
          <w:sz w:val="20"/>
          <w:szCs w:val="20"/>
          <w:color w:val="auto"/>
        </w:rPr>
      </w:pPr>
    </w:p>
    <w:p>
      <w:pPr>
        <w:jc w:val="both"/>
        <w:ind w:left="500" w:firstLine="324"/>
        <w:spacing w:after="0" w:line="259" w:lineRule="auto"/>
        <w:rPr>
          <w:sz w:val="20"/>
          <w:szCs w:val="20"/>
          <w:color w:val="auto"/>
        </w:rPr>
      </w:pPr>
      <w:r>
        <w:rPr>
          <w:rFonts w:ascii="Arial" w:cs="Arial" w:eastAsia="Arial" w:hAnsi="Arial"/>
          <w:sz w:val="18"/>
          <w:szCs w:val="18"/>
          <w:color w:val="auto"/>
        </w:rPr>
        <w:t>Short-term liquidity includes cash, cash equivalents and short-term investments, excluding assets that are pledged or otherwise committed. Liquid assets include cash, cash equivalents, short-term investments and publicly-traded securities, excluding assets that are pledged or otherwise committed. Assets pledged or otherwise committed include those in connection with securities lending, derivatives, regulatory deposits and custodial accounts, the collateral financing arrangement and funding agreements.</w:t>
      </w:r>
    </w:p>
    <w:p>
      <w:pPr>
        <w:spacing w:after="0" w:line="79"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Capital</w:t>
      </w:r>
    </w:p>
    <w:p>
      <w:pPr>
        <w:spacing w:after="0" w:line="117" w:lineRule="exact"/>
        <w:rPr>
          <w:sz w:val="20"/>
          <w:szCs w:val="20"/>
          <w:color w:val="auto"/>
        </w:rPr>
      </w:pPr>
    </w:p>
    <w:p>
      <w:pPr>
        <w:jc w:val="both"/>
        <w:ind w:left="180" w:firstLine="324"/>
        <w:spacing w:after="0" w:line="264" w:lineRule="auto"/>
        <w:rPr>
          <w:sz w:val="20"/>
          <w:szCs w:val="20"/>
          <w:color w:val="auto"/>
        </w:rPr>
      </w:pPr>
      <w:r>
        <w:rPr>
          <w:rFonts w:ascii="Arial" w:cs="Arial" w:eastAsia="Arial" w:hAnsi="Arial"/>
          <w:sz w:val="18"/>
          <w:szCs w:val="18"/>
          <w:color w:val="auto"/>
        </w:rPr>
        <w:t>We manage our capital position to maintain our financial strength and credit ratings. Our capital position will be supported by our ability to generate cash flows within our insurance companies, our ability to effectively manage the risk of our businesses and our expected ability to borrow funds, and raise additional capital to meet operating and growth needs in the event of adverse market and economic conditions.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125</w:t>
      </w:r>
    </w:p>
    <w:p>
      <w:pPr>
        <w:sectPr>
          <w:pgSz w:w="11900" w:h="16838" w:orient="portrait"/>
          <w:cols w:equalWidth="0" w:num="1">
            <w:col w:w="11420"/>
          </w:cols>
          <w:pgMar w:left="240" w:top="126" w:right="239" w:bottom="1440" w:gutter="0" w:footer="0" w:header="0"/>
        </w:sectPr>
      </w:pPr>
    </w:p>
    <w:bookmarkStart w:id="127" w:name="page128"/>
    <w:bookmarkEnd w:id="127"/>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340"/>
        <w:spacing w:after="0"/>
        <w:rPr>
          <w:sz w:val="20"/>
          <w:szCs w:val="20"/>
          <w:color w:val="auto"/>
        </w:rPr>
      </w:pPr>
      <w:r>
        <w:rPr>
          <w:rFonts w:ascii="Arial" w:cs="Arial" w:eastAsia="Arial" w:hAnsi="Arial"/>
          <w:sz w:val="18"/>
          <w:szCs w:val="18"/>
          <w:i w:val="1"/>
          <w:iCs w:val="1"/>
          <w:u w:val="single" w:color="auto"/>
          <w:color w:val="auto"/>
        </w:rPr>
        <w:t>Capital Management</w:t>
      </w:r>
    </w:p>
    <w:p>
      <w:pPr>
        <w:spacing w:after="0" w:line="117" w:lineRule="exact"/>
        <w:rPr>
          <w:sz w:val="20"/>
          <w:szCs w:val="20"/>
          <w:color w:val="auto"/>
        </w:rPr>
      </w:pPr>
    </w:p>
    <w:p>
      <w:pPr>
        <w:jc w:val="both"/>
        <w:ind w:left="340" w:firstLine="324"/>
        <w:spacing w:after="0" w:line="279" w:lineRule="auto"/>
        <w:rPr>
          <w:sz w:val="20"/>
          <w:szCs w:val="20"/>
          <w:color w:val="auto"/>
        </w:rPr>
      </w:pPr>
      <w:r>
        <w:rPr>
          <w:rFonts w:ascii="Arial" w:cs="Arial" w:eastAsia="Arial" w:hAnsi="Arial"/>
          <w:sz w:val="17"/>
          <w:szCs w:val="17"/>
          <w:color w:val="auto"/>
        </w:rPr>
        <w:t>Our Board and senior management are directly involved in the governance of the capital management process, including proposed changes to the annual capital plan and capital targets. In connection with the Separation, we undertook various capitalization activities. For example, we have eliminated intercompany financing arrangements with or guaranteed by MetLife. We are targeting a debt-to-total capitalization ratio commensurate with our parent company credit ratings and our insurance company subsidiaries’ financial strength ratings.</w:t>
      </w:r>
    </w:p>
    <w:p>
      <w:pPr>
        <w:spacing w:after="0" w:line="63" w:lineRule="exact"/>
        <w:rPr>
          <w:sz w:val="20"/>
          <w:szCs w:val="20"/>
          <w:color w:val="auto"/>
        </w:rPr>
      </w:pPr>
    </w:p>
    <w:p>
      <w:pPr>
        <w:ind w:left="340"/>
        <w:spacing w:after="0"/>
        <w:rPr>
          <w:sz w:val="20"/>
          <w:szCs w:val="20"/>
          <w:color w:val="auto"/>
        </w:rPr>
      </w:pPr>
      <w:r>
        <w:rPr>
          <w:rFonts w:ascii="Arial" w:cs="Arial" w:eastAsia="Arial" w:hAnsi="Arial"/>
          <w:sz w:val="18"/>
          <w:szCs w:val="18"/>
          <w:i w:val="1"/>
          <w:iCs w:val="1"/>
          <w:u w:val="single" w:color="auto"/>
          <w:color w:val="auto"/>
        </w:rPr>
        <w:t>Statutory Capital</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insurance companies have statutory surplus above the level needed to meet current regulatory requirements.</w:t>
      </w:r>
    </w:p>
    <w:p>
      <w:pPr>
        <w:spacing w:after="0" w:line="117" w:lineRule="exact"/>
        <w:rPr>
          <w:sz w:val="20"/>
          <w:szCs w:val="20"/>
          <w:color w:val="auto"/>
        </w:rPr>
      </w:pPr>
    </w:p>
    <w:p>
      <w:pPr>
        <w:jc w:val="both"/>
        <w:ind w:left="340" w:firstLine="324"/>
        <w:spacing w:after="0" w:line="277" w:lineRule="auto"/>
        <w:rPr>
          <w:sz w:val="20"/>
          <w:szCs w:val="20"/>
          <w:color w:val="auto"/>
        </w:rPr>
      </w:pPr>
      <w:r>
        <w:rPr>
          <w:rFonts w:ascii="Arial" w:cs="Arial" w:eastAsia="Arial" w:hAnsi="Arial"/>
          <w:sz w:val="18"/>
          <w:szCs w:val="18"/>
          <w:color w:val="auto"/>
        </w:rPr>
        <w:t>At the date of the most recent annual statutory financial statements filed with insurance regulators, the total adjusted capital of each of these insurance company subsidiaries subject to these requirements was in excess of each of those RBC levels.</w:t>
      </w:r>
    </w:p>
    <w:p>
      <w:pPr>
        <w:spacing w:after="0" w:line="62" w:lineRule="exact"/>
        <w:rPr>
          <w:sz w:val="20"/>
          <w:szCs w:val="20"/>
          <w:color w:val="auto"/>
        </w:rPr>
      </w:pPr>
    </w:p>
    <w:p>
      <w:pPr>
        <w:ind w:left="340"/>
        <w:spacing w:after="0"/>
        <w:rPr>
          <w:sz w:val="20"/>
          <w:szCs w:val="20"/>
          <w:color w:val="auto"/>
        </w:rPr>
      </w:pPr>
      <w:r>
        <w:rPr>
          <w:rFonts w:ascii="Arial" w:cs="Arial" w:eastAsia="Arial" w:hAnsi="Arial"/>
          <w:sz w:val="18"/>
          <w:szCs w:val="18"/>
          <w:i w:val="1"/>
          <w:iCs w:val="1"/>
          <w:u w:val="single" w:color="auto"/>
          <w:color w:val="auto"/>
        </w:rPr>
        <w:t>Restrictions on Dividends and Returns of Capital from Insurance Company Subsidiaries</w:t>
      </w:r>
    </w:p>
    <w:p>
      <w:pPr>
        <w:spacing w:after="0" w:line="117" w:lineRule="exact"/>
        <w:rPr>
          <w:sz w:val="20"/>
          <w:szCs w:val="20"/>
          <w:color w:val="auto"/>
        </w:rPr>
      </w:pPr>
    </w:p>
    <w:p>
      <w:pPr>
        <w:jc w:val="both"/>
        <w:ind w:left="340" w:firstLine="324"/>
        <w:spacing w:after="0" w:line="264" w:lineRule="auto"/>
        <w:rPr>
          <w:sz w:val="20"/>
          <w:szCs w:val="20"/>
          <w:color w:val="auto"/>
        </w:rPr>
      </w:pPr>
      <w:r>
        <w:rPr>
          <w:rFonts w:ascii="Arial" w:cs="Arial" w:eastAsia="Arial" w:hAnsi="Arial"/>
          <w:sz w:val="18"/>
          <w:szCs w:val="18"/>
          <w:color w:val="auto"/>
        </w:rPr>
        <w:t>Our business is primarily conducted through our insurance company subsidiaries. The table below sets forth the dividends permitted to be paid in 2017 by our primary insurance subsidiaries without insurance regulatory approval and the respective dividends paid during the nine months ended September 30, 2017.</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tbl>
      <w:tblPr>
        <w:tblLayout w:type="fixed"/>
        <w:tblInd w:w="120" w:type="dxa"/>
        <w:tblCellMar>
          <w:top w:w="0" w:type="dxa"/>
          <w:left w:w="0" w:type="dxa"/>
          <w:bottom w:w="0" w:type="dxa"/>
          <w:right w:w="0" w:type="dxa"/>
        </w:tblCellMar>
      </w:tblPr>
      <w:tr>
        <w:trPr>
          <w:trHeight w:val="174"/>
        </w:trPr>
        <w:tc>
          <w:tcPr>
            <w:tcW w:w="7420" w:type="dxa"/>
            <w:vAlign w:val="bottom"/>
            <w:gridSpan w:val="2"/>
          </w:tcPr>
          <w:p>
            <w:pPr>
              <w:ind w:left="20"/>
              <w:spacing w:after="0"/>
              <w:rPr>
                <w:sz w:val="20"/>
                <w:szCs w:val="20"/>
                <w:color w:val="auto"/>
              </w:rPr>
            </w:pPr>
            <w:r>
              <w:rPr>
                <w:rFonts w:ascii="Arial" w:cs="Arial" w:eastAsia="Arial" w:hAnsi="Arial"/>
                <w:sz w:val="13"/>
                <w:szCs w:val="13"/>
                <w:b w:val="1"/>
                <w:bCs w:val="1"/>
                <w:color w:val="auto"/>
              </w:rPr>
              <w:t>Company</w:t>
            </w:r>
          </w:p>
        </w:tc>
        <w:tc>
          <w:tcPr>
            <w:tcW w:w="380" w:type="dxa"/>
            <w:vAlign w:val="bottom"/>
          </w:tcPr>
          <w:p>
            <w:pPr>
              <w:spacing w:after="0"/>
              <w:rPr>
                <w:sz w:val="15"/>
                <w:szCs w:val="15"/>
                <w:color w:val="auto"/>
              </w:rPr>
            </w:pPr>
          </w:p>
        </w:tc>
        <w:tc>
          <w:tcPr>
            <w:tcW w:w="1200" w:type="dxa"/>
            <w:vAlign w:val="bottom"/>
          </w:tcPr>
          <w:p>
            <w:pPr>
              <w:ind w:left="320"/>
              <w:spacing w:after="0"/>
              <w:rPr>
                <w:sz w:val="20"/>
                <w:szCs w:val="20"/>
                <w:color w:val="auto"/>
              </w:rPr>
            </w:pPr>
            <w:r>
              <w:rPr>
                <w:rFonts w:ascii="Arial" w:cs="Arial" w:eastAsia="Arial" w:hAnsi="Arial"/>
                <w:sz w:val="13"/>
                <w:szCs w:val="13"/>
                <w:b w:val="1"/>
                <w:bCs w:val="1"/>
                <w:color w:val="auto"/>
              </w:rPr>
              <w:t>Paid</w:t>
            </w:r>
          </w:p>
        </w:tc>
        <w:tc>
          <w:tcPr>
            <w:tcW w:w="2200" w:type="dxa"/>
            <w:vAlign w:val="bottom"/>
            <w:gridSpan w:val="2"/>
          </w:tcPr>
          <w:p>
            <w:pPr>
              <w:jc w:val="right"/>
              <w:ind w:right="328"/>
              <w:spacing w:after="0"/>
              <w:rPr>
                <w:sz w:val="20"/>
                <w:szCs w:val="20"/>
                <w:color w:val="auto"/>
              </w:rPr>
            </w:pPr>
            <w:r>
              <w:rPr>
                <w:rFonts w:ascii="Arial" w:cs="Arial" w:eastAsia="Arial" w:hAnsi="Arial"/>
                <w:sz w:val="13"/>
                <w:szCs w:val="13"/>
                <w:b w:val="1"/>
                <w:bCs w:val="1"/>
                <w:color w:val="auto"/>
              </w:rPr>
              <w:t>Permitted without Approval</w:t>
            </w:r>
          </w:p>
        </w:tc>
        <w:tc>
          <w:tcPr>
            <w:tcW w:w="0" w:type="dxa"/>
            <w:vAlign w:val="bottom"/>
          </w:tcPr>
          <w:p>
            <w:pPr>
              <w:spacing w:after="0"/>
              <w:rPr>
                <w:sz w:val="1"/>
                <w:szCs w:val="1"/>
                <w:color w:val="auto"/>
              </w:rPr>
            </w:pPr>
          </w:p>
        </w:tc>
      </w:tr>
      <w:tr>
        <w:trPr>
          <w:trHeight w:val="262"/>
        </w:trPr>
        <w:tc>
          <w:tcPr>
            <w:tcW w:w="7280" w:type="dxa"/>
            <w:vAlign w:val="bottom"/>
            <w:tcBorders>
              <w:top w:val="single" w:sz="8" w:color="auto"/>
            </w:tcBorders>
          </w:tcPr>
          <w:p>
            <w:pPr>
              <w:spacing w:after="0"/>
              <w:rPr>
                <w:sz w:val="22"/>
                <w:szCs w:val="22"/>
                <w:color w:val="auto"/>
              </w:rPr>
            </w:pPr>
          </w:p>
        </w:tc>
        <w:tc>
          <w:tcPr>
            <w:tcW w:w="140" w:type="dxa"/>
            <w:vAlign w:val="bottom"/>
          </w:tcPr>
          <w:p>
            <w:pPr>
              <w:spacing w:after="0"/>
              <w:rPr>
                <w:sz w:val="22"/>
                <w:szCs w:val="22"/>
                <w:color w:val="auto"/>
              </w:rPr>
            </w:pPr>
          </w:p>
        </w:tc>
        <w:tc>
          <w:tcPr>
            <w:tcW w:w="380" w:type="dxa"/>
            <w:vAlign w:val="bottom"/>
            <w:tcBorders>
              <w:top w:val="single" w:sz="8" w:color="auto"/>
            </w:tcBorders>
          </w:tcPr>
          <w:p>
            <w:pPr>
              <w:spacing w:after="0"/>
              <w:rPr>
                <w:sz w:val="22"/>
                <w:szCs w:val="22"/>
                <w:color w:val="auto"/>
              </w:rPr>
            </w:pPr>
          </w:p>
        </w:tc>
        <w:tc>
          <w:tcPr>
            <w:tcW w:w="1200" w:type="dxa"/>
            <w:vAlign w:val="bottom"/>
            <w:tcBorders>
              <w:top w:val="single" w:sz="8" w:color="auto"/>
            </w:tcBorders>
          </w:tcPr>
          <w:p>
            <w:pPr>
              <w:spacing w:after="0"/>
              <w:rPr>
                <w:sz w:val="22"/>
                <w:szCs w:val="22"/>
                <w:color w:val="auto"/>
              </w:rPr>
            </w:pPr>
          </w:p>
        </w:tc>
        <w:tc>
          <w:tcPr>
            <w:tcW w:w="1100" w:type="dxa"/>
            <w:vAlign w:val="bottom"/>
            <w:tcBorders>
              <w:top w:val="single" w:sz="8" w:color="auto"/>
            </w:tcBorders>
          </w:tcPr>
          <w:p>
            <w:pPr>
              <w:jc w:val="right"/>
              <w:ind w:right="393"/>
              <w:spacing w:after="0"/>
              <w:rPr>
                <w:sz w:val="20"/>
                <w:szCs w:val="20"/>
                <w:color w:val="auto"/>
              </w:rPr>
            </w:pPr>
            <w:r>
              <w:rPr>
                <w:rFonts w:ascii="Arial" w:cs="Arial" w:eastAsia="Arial" w:hAnsi="Arial"/>
                <w:sz w:val="13"/>
                <w:szCs w:val="13"/>
                <w:color w:val="auto"/>
                <w:w w:val="93"/>
              </w:rPr>
              <w:t>(In millions)</w:t>
            </w:r>
          </w:p>
        </w:tc>
        <w:tc>
          <w:tcPr>
            <w:tcW w:w="110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99"/>
        </w:trPr>
        <w:tc>
          <w:tcPr>
            <w:tcW w:w="74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Brighthouse Life Insurance Company</w:t>
            </w:r>
          </w:p>
        </w:tc>
        <w:tc>
          <w:tcPr>
            <w:tcW w:w="380" w:type="dxa"/>
            <w:vAlign w:val="bottom"/>
            <w:vMerge w:val="restart"/>
            <w:shd w:val="clear" w:color="auto" w:fill="CCEEFF"/>
          </w:tcPr>
          <w:p>
            <w:pPr>
              <w:jc w:val="right"/>
              <w:ind w:right="228"/>
              <w:spacing w:after="0"/>
              <w:rPr>
                <w:sz w:val="20"/>
                <w:szCs w:val="20"/>
                <w:color w:val="auto"/>
              </w:rPr>
            </w:pPr>
            <w:r>
              <w:rPr>
                <w:rFonts w:ascii="Arial" w:cs="Arial" w:eastAsia="Arial" w:hAnsi="Arial"/>
                <w:sz w:val="14"/>
                <w:szCs w:val="14"/>
                <w:color w:val="auto"/>
                <w:w w:val="76"/>
              </w:rPr>
              <w:t>$</w:t>
            </w:r>
          </w:p>
        </w:tc>
        <w:tc>
          <w:tcPr>
            <w:tcW w:w="1200" w:type="dxa"/>
            <w:vAlign w:val="bottom"/>
            <w:vMerge w:val="restart"/>
            <w:shd w:val="clear" w:color="auto" w:fill="CCEEFF"/>
          </w:tcPr>
          <w:p>
            <w:pPr>
              <w:ind w:left="1040"/>
              <w:spacing w:after="0"/>
              <w:rPr>
                <w:sz w:val="20"/>
                <w:szCs w:val="20"/>
                <w:color w:val="auto"/>
              </w:rPr>
            </w:pPr>
            <w:r>
              <w:rPr>
                <w:rFonts w:ascii="Arial" w:cs="Arial" w:eastAsia="Arial" w:hAnsi="Arial"/>
                <w:sz w:val="14"/>
                <w:szCs w:val="14"/>
                <w:color w:val="auto"/>
                <w:w w:val="99"/>
              </w:rPr>
              <w:t>—</w:t>
            </w:r>
          </w:p>
        </w:tc>
        <w:tc>
          <w:tcPr>
            <w:tcW w:w="1100" w:type="dxa"/>
            <w:vAlign w:val="bottom"/>
            <w:vMerge w:val="restart"/>
            <w:shd w:val="clear" w:color="auto" w:fill="CCEEFF"/>
          </w:tcPr>
          <w:p>
            <w:pPr>
              <w:jc w:val="right"/>
              <w:ind w:right="713"/>
              <w:spacing w:after="0"/>
              <w:rPr>
                <w:sz w:val="20"/>
                <w:szCs w:val="20"/>
                <w:color w:val="auto"/>
              </w:rPr>
            </w:pPr>
            <w:r>
              <w:rPr>
                <w:rFonts w:ascii="Arial" w:cs="Arial" w:eastAsia="Arial" w:hAnsi="Arial"/>
                <w:sz w:val="14"/>
                <w:szCs w:val="14"/>
                <w:color w:val="auto"/>
              </w:rPr>
              <w:t>$</w:t>
            </w:r>
          </w:p>
        </w:tc>
        <w:tc>
          <w:tcPr>
            <w:tcW w:w="1100" w:type="dxa"/>
            <w:vAlign w:val="bottom"/>
            <w:vMerge w:val="restart"/>
            <w:shd w:val="clear" w:color="auto" w:fill="CCEEFF"/>
          </w:tcPr>
          <w:p>
            <w:pPr>
              <w:jc w:val="right"/>
              <w:ind w:right="368"/>
              <w:spacing w:after="0"/>
              <w:rPr>
                <w:sz w:val="20"/>
                <w:szCs w:val="20"/>
                <w:color w:val="auto"/>
              </w:rPr>
            </w:pPr>
            <w:r>
              <w:rPr>
                <w:rFonts w:ascii="Arial" w:cs="Arial" w:eastAsia="Arial" w:hAnsi="Arial"/>
                <w:sz w:val="14"/>
                <w:szCs w:val="14"/>
                <w:color w:val="auto"/>
              </w:rPr>
              <w:t>473</w:t>
            </w:r>
          </w:p>
        </w:tc>
        <w:tc>
          <w:tcPr>
            <w:tcW w:w="0" w:type="dxa"/>
            <w:vAlign w:val="bottom"/>
          </w:tcPr>
          <w:p>
            <w:pPr>
              <w:spacing w:after="0"/>
              <w:rPr>
                <w:sz w:val="1"/>
                <w:szCs w:val="1"/>
                <w:color w:val="auto"/>
              </w:rPr>
            </w:pPr>
          </w:p>
        </w:tc>
      </w:tr>
      <w:tr>
        <w:trPr>
          <w:trHeight w:val="80"/>
        </w:trPr>
        <w:tc>
          <w:tcPr>
            <w:tcW w:w="728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380" w:type="dxa"/>
            <w:vAlign w:val="bottom"/>
            <w:vMerge w:val="continue"/>
            <w:shd w:val="clear" w:color="auto" w:fill="CCEEFF"/>
          </w:tcPr>
          <w:p>
            <w:pPr>
              <w:spacing w:after="0"/>
              <w:rPr>
                <w:sz w:val="6"/>
                <w:szCs w:val="6"/>
                <w:color w:val="auto"/>
              </w:rPr>
            </w:pPr>
          </w:p>
        </w:tc>
        <w:tc>
          <w:tcPr>
            <w:tcW w:w="1200" w:type="dxa"/>
            <w:vAlign w:val="bottom"/>
            <w:vMerge w:val="continue"/>
            <w:shd w:val="clear" w:color="auto" w:fill="CCEEFF"/>
          </w:tcPr>
          <w:p>
            <w:pPr>
              <w:spacing w:after="0"/>
              <w:rPr>
                <w:sz w:val="6"/>
                <w:szCs w:val="6"/>
                <w:color w:val="auto"/>
              </w:rPr>
            </w:pPr>
          </w:p>
        </w:tc>
        <w:tc>
          <w:tcPr>
            <w:tcW w:w="1100" w:type="dxa"/>
            <w:vAlign w:val="bottom"/>
            <w:vMerge w:val="continue"/>
            <w:shd w:val="clear" w:color="auto" w:fill="CCEEFF"/>
          </w:tcPr>
          <w:p>
            <w:pPr>
              <w:spacing w:after="0"/>
              <w:rPr>
                <w:sz w:val="6"/>
                <w:szCs w:val="6"/>
                <w:color w:val="auto"/>
              </w:rPr>
            </w:pPr>
          </w:p>
        </w:tc>
        <w:tc>
          <w:tcPr>
            <w:tcW w:w="11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7420" w:type="dxa"/>
            <w:vAlign w:val="bottom"/>
            <w:gridSpan w:val="2"/>
          </w:tcPr>
          <w:p>
            <w:pPr>
              <w:ind w:left="20"/>
              <w:spacing w:after="0"/>
              <w:rPr>
                <w:sz w:val="20"/>
                <w:szCs w:val="20"/>
                <w:color w:val="auto"/>
              </w:rPr>
            </w:pPr>
            <w:r>
              <w:rPr>
                <w:rFonts w:ascii="Arial" w:cs="Arial" w:eastAsia="Arial" w:hAnsi="Arial"/>
                <w:sz w:val="14"/>
                <w:szCs w:val="14"/>
                <w:color w:val="auto"/>
              </w:rPr>
              <w:t>New England Life Insurance Company</w:t>
            </w:r>
          </w:p>
        </w:tc>
        <w:tc>
          <w:tcPr>
            <w:tcW w:w="380" w:type="dxa"/>
            <w:vAlign w:val="bottom"/>
            <w:vMerge w:val="restart"/>
          </w:tcPr>
          <w:p>
            <w:pPr>
              <w:jc w:val="right"/>
              <w:ind w:right="228"/>
              <w:spacing w:after="0"/>
              <w:rPr>
                <w:sz w:val="20"/>
                <w:szCs w:val="20"/>
                <w:color w:val="auto"/>
              </w:rPr>
            </w:pPr>
            <w:r>
              <w:rPr>
                <w:rFonts w:ascii="Arial" w:cs="Arial" w:eastAsia="Arial" w:hAnsi="Arial"/>
                <w:sz w:val="14"/>
                <w:szCs w:val="14"/>
                <w:color w:val="auto"/>
                <w:w w:val="76"/>
              </w:rPr>
              <w:t>$</w:t>
            </w:r>
          </w:p>
        </w:tc>
        <w:tc>
          <w:tcPr>
            <w:tcW w:w="1200" w:type="dxa"/>
            <w:vAlign w:val="bottom"/>
            <w:vMerge w:val="restart"/>
          </w:tcPr>
          <w:p>
            <w:pPr>
              <w:ind w:left="1040"/>
              <w:spacing w:after="0"/>
              <w:rPr>
                <w:sz w:val="20"/>
                <w:szCs w:val="20"/>
                <w:color w:val="auto"/>
              </w:rPr>
            </w:pPr>
            <w:r>
              <w:rPr>
                <w:rFonts w:ascii="Arial" w:cs="Arial" w:eastAsia="Arial" w:hAnsi="Arial"/>
                <w:sz w:val="14"/>
                <w:szCs w:val="14"/>
                <w:color w:val="auto"/>
                <w:w w:val="99"/>
              </w:rPr>
              <w:t>—</w:t>
            </w:r>
          </w:p>
        </w:tc>
        <w:tc>
          <w:tcPr>
            <w:tcW w:w="1100" w:type="dxa"/>
            <w:vAlign w:val="bottom"/>
            <w:vMerge w:val="restart"/>
          </w:tcPr>
          <w:p>
            <w:pPr>
              <w:jc w:val="right"/>
              <w:ind w:right="713"/>
              <w:spacing w:after="0"/>
              <w:rPr>
                <w:sz w:val="20"/>
                <w:szCs w:val="20"/>
                <w:color w:val="auto"/>
              </w:rPr>
            </w:pPr>
            <w:r>
              <w:rPr>
                <w:rFonts w:ascii="Arial" w:cs="Arial" w:eastAsia="Arial" w:hAnsi="Arial"/>
                <w:sz w:val="14"/>
                <w:szCs w:val="14"/>
                <w:color w:val="auto"/>
              </w:rPr>
              <w:t>$</w:t>
            </w:r>
          </w:p>
        </w:tc>
        <w:tc>
          <w:tcPr>
            <w:tcW w:w="1100" w:type="dxa"/>
            <w:vAlign w:val="bottom"/>
            <w:vMerge w:val="restart"/>
          </w:tcPr>
          <w:p>
            <w:pPr>
              <w:jc w:val="right"/>
              <w:ind w:right="368"/>
              <w:spacing w:after="0"/>
              <w:rPr>
                <w:sz w:val="20"/>
                <w:szCs w:val="20"/>
                <w:color w:val="auto"/>
              </w:rPr>
            </w:pPr>
            <w:r>
              <w:rPr>
                <w:rFonts w:ascii="Arial" w:cs="Arial" w:eastAsia="Arial" w:hAnsi="Arial"/>
                <w:sz w:val="14"/>
                <w:szCs w:val="14"/>
                <w:color w:val="auto"/>
              </w:rPr>
              <w:t>106</w:t>
            </w:r>
          </w:p>
        </w:tc>
        <w:tc>
          <w:tcPr>
            <w:tcW w:w="0" w:type="dxa"/>
            <w:vAlign w:val="bottom"/>
          </w:tcPr>
          <w:p>
            <w:pPr>
              <w:spacing w:after="0"/>
              <w:rPr>
                <w:sz w:val="1"/>
                <w:szCs w:val="1"/>
                <w:color w:val="auto"/>
              </w:rPr>
            </w:pPr>
          </w:p>
        </w:tc>
      </w:tr>
      <w:tr>
        <w:trPr>
          <w:trHeight w:val="68"/>
        </w:trPr>
        <w:tc>
          <w:tcPr>
            <w:tcW w:w="7280" w:type="dxa"/>
            <w:vAlign w:val="bottom"/>
          </w:tcPr>
          <w:p>
            <w:pPr>
              <w:spacing w:after="0"/>
              <w:rPr>
                <w:sz w:val="5"/>
                <w:szCs w:val="5"/>
                <w:color w:val="auto"/>
              </w:rPr>
            </w:pPr>
          </w:p>
        </w:tc>
        <w:tc>
          <w:tcPr>
            <w:tcW w:w="140" w:type="dxa"/>
            <w:vAlign w:val="bottom"/>
          </w:tcPr>
          <w:p>
            <w:pPr>
              <w:spacing w:after="0"/>
              <w:rPr>
                <w:sz w:val="5"/>
                <w:szCs w:val="5"/>
                <w:color w:val="auto"/>
              </w:rPr>
            </w:pPr>
          </w:p>
        </w:tc>
        <w:tc>
          <w:tcPr>
            <w:tcW w:w="380" w:type="dxa"/>
            <w:vAlign w:val="bottom"/>
            <w:vMerge w:val="continue"/>
          </w:tcPr>
          <w:p>
            <w:pPr>
              <w:spacing w:after="0"/>
              <w:rPr>
                <w:sz w:val="5"/>
                <w:szCs w:val="5"/>
                <w:color w:val="auto"/>
              </w:rPr>
            </w:pPr>
          </w:p>
        </w:tc>
        <w:tc>
          <w:tcPr>
            <w:tcW w:w="1200" w:type="dxa"/>
            <w:vAlign w:val="bottom"/>
            <w:vMerge w:val="continue"/>
          </w:tcPr>
          <w:p>
            <w:pPr>
              <w:spacing w:after="0"/>
              <w:rPr>
                <w:sz w:val="5"/>
                <w:szCs w:val="5"/>
                <w:color w:val="auto"/>
              </w:rPr>
            </w:pPr>
          </w:p>
        </w:tc>
        <w:tc>
          <w:tcPr>
            <w:tcW w:w="1100" w:type="dxa"/>
            <w:vAlign w:val="bottom"/>
            <w:vMerge w:val="continue"/>
          </w:tcPr>
          <w:p>
            <w:pPr>
              <w:spacing w:after="0"/>
              <w:rPr>
                <w:sz w:val="5"/>
                <w:szCs w:val="5"/>
                <w:color w:val="auto"/>
              </w:rPr>
            </w:pPr>
          </w:p>
        </w:tc>
        <w:tc>
          <w:tcPr>
            <w:tcW w:w="11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268" w:lineRule="exact"/>
        <w:rPr>
          <w:sz w:val="20"/>
          <w:szCs w:val="20"/>
          <w:color w:val="auto"/>
        </w:rPr>
      </w:pPr>
    </w:p>
    <w:p>
      <w:pPr>
        <w:ind w:left="340" w:right="20" w:firstLine="324"/>
        <w:spacing w:after="0" w:line="277" w:lineRule="auto"/>
        <w:rPr>
          <w:sz w:val="20"/>
          <w:szCs w:val="20"/>
          <w:color w:val="auto"/>
        </w:rPr>
      </w:pPr>
      <w:r>
        <w:rPr>
          <w:rFonts w:ascii="Arial" w:cs="Arial" w:eastAsia="Arial" w:hAnsi="Arial"/>
          <w:sz w:val="18"/>
          <w:szCs w:val="18"/>
          <w:color w:val="auto"/>
        </w:rPr>
        <w:t>There were no cash dividends or returns of capital paid by our non-insurance subsidiaries for either the nine months ended September 30, 2017 or 2016.</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126</w:t>
      </w:r>
    </w:p>
    <w:p>
      <w:pPr>
        <w:sectPr>
          <w:pgSz w:w="11900" w:h="16838" w:orient="portrait"/>
          <w:cols w:equalWidth="0" w:num="1">
            <w:col w:w="11420"/>
          </w:cols>
          <w:pgMar w:left="240" w:top="126" w:right="239" w:bottom="1440" w:gutter="0" w:footer="0" w:header="0"/>
        </w:sectPr>
      </w:pPr>
    </w:p>
    <w:bookmarkStart w:id="128" w:name="page129"/>
    <w:bookmarkEnd w:id="128"/>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Rating Agencies</w:t>
      </w:r>
    </w:p>
    <w:p>
      <w:pPr>
        <w:spacing w:after="0" w:line="117" w:lineRule="exact"/>
        <w:rPr>
          <w:sz w:val="20"/>
          <w:szCs w:val="20"/>
          <w:color w:val="auto"/>
        </w:rPr>
      </w:pPr>
    </w:p>
    <w:p>
      <w:pPr>
        <w:jc w:val="both"/>
        <w:ind w:left="180" w:firstLine="324"/>
        <w:spacing w:after="0" w:line="259" w:lineRule="auto"/>
        <w:rPr>
          <w:sz w:val="20"/>
          <w:szCs w:val="20"/>
          <w:color w:val="auto"/>
        </w:rPr>
      </w:pPr>
      <w:r>
        <w:rPr>
          <w:rFonts w:ascii="Arial" w:cs="Arial" w:eastAsia="Arial" w:hAnsi="Arial"/>
          <w:sz w:val="18"/>
          <w:szCs w:val="18"/>
          <w:color w:val="auto"/>
        </w:rPr>
        <w:t>The following insurer financial strength ratings represent each rating agency’s opinion of our principal insurance subsidiaries’ ability to pay obligations under insurance policies and contracts in accordance with their terms and are not evaluations directed toward the protection of investors in our securities. Insurer financial strength ratings are not statements of fact nor are they recommendations to purchase, hold or sell any security, contract or policy. Each rating should be evaluated independently of any other rating.</w:t>
      </w:r>
    </w:p>
    <w:p>
      <w:pPr>
        <w:spacing w:after="0" w:line="79" w:lineRule="exact"/>
        <w:rPr>
          <w:sz w:val="20"/>
          <w:szCs w:val="20"/>
          <w:color w:val="auto"/>
        </w:rPr>
      </w:pPr>
    </w:p>
    <w:p>
      <w:pPr>
        <w:jc w:val="both"/>
        <w:ind w:left="180" w:firstLine="324"/>
        <w:spacing w:after="0" w:line="277" w:lineRule="auto"/>
        <w:rPr>
          <w:sz w:val="20"/>
          <w:szCs w:val="20"/>
          <w:color w:val="auto"/>
        </w:rPr>
      </w:pPr>
      <w:r>
        <w:rPr>
          <w:rFonts w:ascii="Arial" w:cs="Arial" w:eastAsia="Arial" w:hAnsi="Arial"/>
          <w:sz w:val="18"/>
          <w:szCs w:val="18"/>
          <w:color w:val="auto"/>
        </w:rPr>
        <w:t>Our insurer financial strength ratings at the date of this filing are indicated in the following table. All insurance financial strength ratings have a stable outlook unless otherwise indicated.</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160" w:type="dxa"/>
            <w:vAlign w:val="bottom"/>
          </w:tcPr>
          <w:p>
            <w:pPr>
              <w:ind w:left="40"/>
              <w:spacing w:after="0"/>
              <w:rPr>
                <w:sz w:val="20"/>
                <w:szCs w:val="20"/>
                <w:color w:val="auto"/>
              </w:rPr>
            </w:pPr>
            <w:r>
              <w:rPr>
                <w:rFonts w:ascii="Arial" w:cs="Arial" w:eastAsia="Arial" w:hAnsi="Arial"/>
                <w:sz w:val="14"/>
                <w:szCs w:val="14"/>
                <w:b w:val="1"/>
                <w:bCs w:val="1"/>
                <w:color w:val="auto"/>
              </w:rPr>
              <w:t>Insurer Financial Strength Ratings</w:t>
            </w: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A.M. Best</w:t>
            </w:r>
          </w:p>
        </w:tc>
        <w:tc>
          <w:tcPr>
            <w:tcW w:w="120" w:type="dxa"/>
            <w:vAlign w:val="bottom"/>
          </w:tcPr>
          <w:p>
            <w:pPr>
              <w:spacing w:after="0"/>
              <w:rPr>
                <w:sz w:val="16"/>
                <w:szCs w:val="16"/>
                <w:color w:val="auto"/>
              </w:rPr>
            </w:pPr>
          </w:p>
        </w:tc>
        <w:tc>
          <w:tcPr>
            <w:tcW w:w="1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Fitch</w:t>
            </w:r>
          </w:p>
        </w:tc>
        <w:tc>
          <w:tcPr>
            <w:tcW w:w="100" w:type="dxa"/>
            <w:vAlign w:val="bottom"/>
          </w:tcPr>
          <w:p>
            <w:pPr>
              <w:spacing w:after="0"/>
              <w:rPr>
                <w:sz w:val="16"/>
                <w:szCs w:val="16"/>
                <w:color w:val="auto"/>
              </w:rPr>
            </w:pPr>
          </w:p>
        </w:tc>
        <w:tc>
          <w:tcPr>
            <w:tcW w:w="1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Moody's</w:t>
            </w:r>
          </w:p>
        </w:tc>
        <w:tc>
          <w:tcPr>
            <w:tcW w:w="100" w:type="dxa"/>
            <w:vAlign w:val="bottom"/>
          </w:tcPr>
          <w:p>
            <w:pPr>
              <w:spacing w:after="0"/>
              <w:rPr>
                <w:sz w:val="16"/>
                <w:szCs w:val="16"/>
                <w:color w:val="auto"/>
              </w:rPr>
            </w:pPr>
          </w:p>
        </w:tc>
        <w:tc>
          <w:tcPr>
            <w:tcW w:w="1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S&amp;P</w:t>
            </w:r>
          </w:p>
        </w:tc>
        <w:tc>
          <w:tcPr>
            <w:tcW w:w="0" w:type="dxa"/>
            <w:vAlign w:val="bottom"/>
          </w:tcPr>
          <w:p>
            <w:pPr>
              <w:spacing w:after="0"/>
              <w:rPr>
                <w:sz w:val="1"/>
                <w:szCs w:val="1"/>
                <w:color w:val="auto"/>
              </w:rPr>
            </w:pPr>
          </w:p>
        </w:tc>
      </w:tr>
      <w:tr>
        <w:trPr>
          <w:trHeight w:val="156"/>
        </w:trPr>
        <w:tc>
          <w:tcPr>
            <w:tcW w:w="4160" w:type="dxa"/>
            <w:vAlign w:val="bottom"/>
          </w:tcPr>
          <w:p>
            <w:pPr>
              <w:spacing w:after="0"/>
              <w:rPr>
                <w:sz w:val="13"/>
                <w:szCs w:val="13"/>
                <w:color w:val="auto"/>
              </w:rPr>
            </w:pPr>
          </w:p>
        </w:tc>
        <w:tc>
          <w:tcPr>
            <w:tcW w:w="1820" w:type="dxa"/>
            <w:vAlign w:val="bottom"/>
            <w:gridSpan w:val="2"/>
            <w:vMerge w:val="restart"/>
          </w:tcPr>
          <w:p>
            <w:pPr>
              <w:jc w:val="center"/>
              <w:ind w:right="100"/>
              <w:spacing w:after="0"/>
              <w:rPr>
                <w:sz w:val="20"/>
                <w:szCs w:val="20"/>
                <w:color w:val="auto"/>
              </w:rPr>
            </w:pPr>
            <w:r>
              <w:rPr>
                <w:rFonts w:ascii="Arial" w:cs="Arial" w:eastAsia="Arial" w:hAnsi="Arial"/>
                <w:sz w:val="14"/>
                <w:szCs w:val="14"/>
                <w:i w:val="1"/>
                <w:iCs w:val="1"/>
                <w:color w:val="auto"/>
              </w:rPr>
              <w:t>“A++ (superior)” to “S</w:t>
            </w:r>
          </w:p>
        </w:tc>
        <w:tc>
          <w:tcPr>
            <w:tcW w:w="1780" w:type="dxa"/>
            <w:vAlign w:val="bottom"/>
            <w:gridSpan w:val="2"/>
          </w:tcPr>
          <w:p>
            <w:pPr>
              <w:jc w:val="center"/>
              <w:ind w:right="100"/>
              <w:spacing w:after="0" w:line="157" w:lineRule="exact"/>
              <w:rPr>
                <w:sz w:val="20"/>
                <w:szCs w:val="20"/>
                <w:color w:val="auto"/>
              </w:rPr>
            </w:pPr>
            <w:r>
              <w:rPr>
                <w:rFonts w:ascii="Arial" w:cs="Arial" w:eastAsia="Arial" w:hAnsi="Arial"/>
                <w:sz w:val="14"/>
                <w:szCs w:val="14"/>
                <w:i w:val="1"/>
                <w:iCs w:val="1"/>
                <w:color w:val="auto"/>
                <w:w w:val="98"/>
              </w:rPr>
              <w:t>“AAA (exceptionally</w:t>
            </w:r>
          </w:p>
        </w:tc>
        <w:tc>
          <w:tcPr>
            <w:tcW w:w="1780" w:type="dxa"/>
            <w:vAlign w:val="bottom"/>
            <w:gridSpan w:val="2"/>
            <w:vMerge w:val="restart"/>
          </w:tcPr>
          <w:p>
            <w:pPr>
              <w:jc w:val="center"/>
              <w:ind w:right="100"/>
              <w:spacing w:after="0"/>
              <w:rPr>
                <w:sz w:val="20"/>
                <w:szCs w:val="20"/>
                <w:color w:val="auto"/>
              </w:rPr>
            </w:pPr>
            <w:r>
              <w:rPr>
                <w:rFonts w:ascii="Arial" w:cs="Arial" w:eastAsia="Arial" w:hAnsi="Arial"/>
                <w:sz w:val="14"/>
                <w:szCs w:val="14"/>
                <w:i w:val="1"/>
                <w:iCs w:val="1"/>
                <w:color w:val="auto"/>
                <w:w w:val="99"/>
              </w:rPr>
              <w:t>“Aaa (highest quality)” to</w:t>
            </w:r>
          </w:p>
        </w:tc>
        <w:tc>
          <w:tcPr>
            <w:tcW w:w="1680" w:type="dxa"/>
            <w:vAlign w:val="bottom"/>
          </w:tcPr>
          <w:p>
            <w:pPr>
              <w:jc w:val="center"/>
              <w:spacing w:after="0" w:line="157" w:lineRule="exact"/>
              <w:rPr>
                <w:sz w:val="20"/>
                <w:szCs w:val="20"/>
                <w:color w:val="auto"/>
              </w:rPr>
            </w:pPr>
            <w:r>
              <w:rPr>
                <w:rFonts w:ascii="Arial" w:cs="Arial" w:eastAsia="Arial" w:hAnsi="Arial"/>
                <w:sz w:val="14"/>
                <w:szCs w:val="14"/>
                <w:i w:val="1"/>
                <w:iCs w:val="1"/>
                <w:color w:val="auto"/>
                <w:w w:val="98"/>
              </w:rPr>
              <w:t>“AAA (extremely strong)”</w:t>
            </w:r>
          </w:p>
        </w:tc>
        <w:tc>
          <w:tcPr>
            <w:tcW w:w="0" w:type="dxa"/>
            <w:vAlign w:val="bottom"/>
          </w:tcPr>
          <w:p>
            <w:pPr>
              <w:spacing w:after="0"/>
              <w:rPr>
                <w:sz w:val="1"/>
                <w:szCs w:val="1"/>
                <w:color w:val="auto"/>
              </w:rPr>
            </w:pPr>
          </w:p>
        </w:tc>
      </w:tr>
      <w:tr>
        <w:trPr>
          <w:trHeight w:val="68"/>
        </w:trPr>
        <w:tc>
          <w:tcPr>
            <w:tcW w:w="4160" w:type="dxa"/>
            <w:vAlign w:val="bottom"/>
          </w:tcPr>
          <w:p>
            <w:pPr>
              <w:spacing w:after="0"/>
              <w:rPr>
                <w:sz w:val="5"/>
                <w:szCs w:val="5"/>
                <w:color w:val="auto"/>
              </w:rPr>
            </w:pPr>
          </w:p>
        </w:tc>
        <w:tc>
          <w:tcPr>
            <w:tcW w:w="1820" w:type="dxa"/>
            <w:vAlign w:val="bottom"/>
            <w:gridSpan w:val="2"/>
            <w:vMerge w:val="continue"/>
          </w:tcPr>
          <w:p>
            <w:pPr>
              <w:spacing w:after="0"/>
              <w:rPr>
                <w:sz w:val="5"/>
                <w:szCs w:val="5"/>
                <w:color w:val="auto"/>
              </w:rPr>
            </w:pPr>
          </w:p>
        </w:tc>
        <w:tc>
          <w:tcPr>
            <w:tcW w:w="1780" w:type="dxa"/>
            <w:vAlign w:val="bottom"/>
            <w:gridSpan w:val="2"/>
            <w:vMerge w:val="restart"/>
          </w:tcPr>
          <w:p>
            <w:pPr>
              <w:jc w:val="center"/>
              <w:ind w:right="120"/>
              <w:spacing w:after="0" w:line="149" w:lineRule="exact"/>
              <w:rPr>
                <w:sz w:val="20"/>
                <w:szCs w:val="20"/>
                <w:color w:val="auto"/>
              </w:rPr>
            </w:pPr>
            <w:r>
              <w:rPr>
                <w:rFonts w:ascii="Arial" w:cs="Arial" w:eastAsia="Arial" w:hAnsi="Arial"/>
                <w:sz w:val="14"/>
                <w:szCs w:val="14"/>
                <w:i w:val="1"/>
                <w:iCs w:val="1"/>
                <w:color w:val="auto"/>
              </w:rPr>
              <w:t>strong)” to “C</w:t>
            </w:r>
          </w:p>
        </w:tc>
        <w:tc>
          <w:tcPr>
            <w:tcW w:w="1780" w:type="dxa"/>
            <w:vAlign w:val="bottom"/>
            <w:gridSpan w:val="2"/>
            <w:vMerge w:val="continue"/>
          </w:tcPr>
          <w:p>
            <w:pPr>
              <w:spacing w:after="0"/>
              <w:rPr>
                <w:sz w:val="5"/>
                <w:szCs w:val="5"/>
                <w:color w:val="auto"/>
              </w:rPr>
            </w:pPr>
          </w:p>
        </w:tc>
        <w:tc>
          <w:tcPr>
            <w:tcW w:w="1680" w:type="dxa"/>
            <w:vAlign w:val="bottom"/>
            <w:vMerge w:val="restart"/>
          </w:tcPr>
          <w:p>
            <w:pPr>
              <w:jc w:val="center"/>
              <w:spacing w:after="0" w:line="149" w:lineRule="exact"/>
              <w:rPr>
                <w:sz w:val="20"/>
                <w:szCs w:val="20"/>
                <w:color w:val="auto"/>
              </w:rPr>
            </w:pPr>
            <w:r>
              <w:rPr>
                <w:rFonts w:ascii="Arial" w:cs="Arial" w:eastAsia="Arial" w:hAnsi="Arial"/>
                <w:sz w:val="14"/>
                <w:szCs w:val="14"/>
                <w:i w:val="1"/>
                <w:iCs w:val="1"/>
                <w:color w:val="auto"/>
                <w:w w:val="98"/>
              </w:rPr>
              <w:t>to “SD (Selective Default)”</w:t>
            </w:r>
          </w:p>
        </w:tc>
        <w:tc>
          <w:tcPr>
            <w:tcW w:w="0" w:type="dxa"/>
            <w:vAlign w:val="bottom"/>
          </w:tcPr>
          <w:p>
            <w:pPr>
              <w:spacing w:after="0"/>
              <w:rPr>
                <w:sz w:val="1"/>
                <w:szCs w:val="1"/>
                <w:color w:val="auto"/>
              </w:rPr>
            </w:pPr>
          </w:p>
        </w:tc>
      </w:tr>
      <w:tr>
        <w:trPr>
          <w:trHeight w:val="81"/>
        </w:trPr>
        <w:tc>
          <w:tcPr>
            <w:tcW w:w="4160" w:type="dxa"/>
            <w:vAlign w:val="bottom"/>
          </w:tcPr>
          <w:p>
            <w:pPr>
              <w:spacing w:after="0"/>
              <w:rPr>
                <w:sz w:val="7"/>
                <w:szCs w:val="7"/>
                <w:color w:val="auto"/>
              </w:rPr>
            </w:pPr>
          </w:p>
        </w:tc>
        <w:tc>
          <w:tcPr>
            <w:tcW w:w="1820" w:type="dxa"/>
            <w:vAlign w:val="bottom"/>
            <w:gridSpan w:val="2"/>
            <w:vMerge w:val="restart"/>
          </w:tcPr>
          <w:p>
            <w:pPr>
              <w:jc w:val="center"/>
              <w:ind w:right="120"/>
              <w:spacing w:after="0"/>
              <w:rPr>
                <w:sz w:val="20"/>
                <w:szCs w:val="20"/>
                <w:color w:val="auto"/>
              </w:rPr>
            </w:pPr>
            <w:r>
              <w:rPr>
                <w:rFonts w:ascii="Arial" w:cs="Arial" w:eastAsia="Arial" w:hAnsi="Arial"/>
                <w:sz w:val="14"/>
                <w:szCs w:val="14"/>
                <w:i w:val="1"/>
                <w:iCs w:val="1"/>
                <w:color w:val="auto"/>
                <w:w w:val="94"/>
              </w:rPr>
              <w:t>(suspended)”</w:t>
            </w:r>
          </w:p>
        </w:tc>
        <w:tc>
          <w:tcPr>
            <w:tcW w:w="1780" w:type="dxa"/>
            <w:vAlign w:val="bottom"/>
            <w:gridSpan w:val="2"/>
            <w:vMerge w:val="continue"/>
          </w:tcPr>
          <w:p>
            <w:pPr>
              <w:spacing w:after="0"/>
              <w:rPr>
                <w:sz w:val="7"/>
                <w:szCs w:val="7"/>
                <w:color w:val="auto"/>
              </w:rPr>
            </w:pPr>
          </w:p>
        </w:tc>
        <w:tc>
          <w:tcPr>
            <w:tcW w:w="1780" w:type="dxa"/>
            <w:vAlign w:val="bottom"/>
            <w:gridSpan w:val="2"/>
            <w:vMerge w:val="restart"/>
          </w:tcPr>
          <w:p>
            <w:pPr>
              <w:jc w:val="center"/>
              <w:ind w:right="120"/>
              <w:spacing w:after="0"/>
              <w:rPr>
                <w:sz w:val="20"/>
                <w:szCs w:val="20"/>
                <w:color w:val="auto"/>
              </w:rPr>
            </w:pPr>
            <w:r>
              <w:rPr>
                <w:rFonts w:ascii="Arial" w:cs="Arial" w:eastAsia="Arial" w:hAnsi="Arial"/>
                <w:sz w:val="14"/>
                <w:szCs w:val="14"/>
                <w:i w:val="1"/>
                <w:iCs w:val="1"/>
                <w:color w:val="auto"/>
              </w:rPr>
              <w:t>“C (lowest rated)”</w:t>
            </w:r>
          </w:p>
        </w:tc>
        <w:tc>
          <w:tcPr>
            <w:tcW w:w="16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1"/>
        </w:trPr>
        <w:tc>
          <w:tcPr>
            <w:tcW w:w="4160" w:type="dxa"/>
            <w:vAlign w:val="bottom"/>
          </w:tcPr>
          <w:p>
            <w:pPr>
              <w:spacing w:after="0"/>
              <w:rPr>
                <w:sz w:val="8"/>
                <w:szCs w:val="8"/>
                <w:color w:val="auto"/>
              </w:rPr>
            </w:pPr>
          </w:p>
        </w:tc>
        <w:tc>
          <w:tcPr>
            <w:tcW w:w="1820" w:type="dxa"/>
            <w:vAlign w:val="bottom"/>
            <w:gridSpan w:val="2"/>
            <w:vMerge w:val="continue"/>
          </w:tcPr>
          <w:p>
            <w:pPr>
              <w:spacing w:after="0"/>
              <w:rPr>
                <w:sz w:val="8"/>
                <w:szCs w:val="8"/>
                <w:color w:val="auto"/>
              </w:rPr>
            </w:pPr>
          </w:p>
        </w:tc>
        <w:tc>
          <w:tcPr>
            <w:tcW w:w="1780" w:type="dxa"/>
            <w:vAlign w:val="bottom"/>
            <w:gridSpan w:val="2"/>
            <w:vMerge w:val="restart"/>
          </w:tcPr>
          <w:p>
            <w:pPr>
              <w:jc w:val="center"/>
              <w:ind w:right="120"/>
              <w:spacing w:after="0"/>
              <w:rPr>
                <w:sz w:val="20"/>
                <w:szCs w:val="20"/>
                <w:color w:val="auto"/>
              </w:rPr>
            </w:pPr>
            <w:r>
              <w:rPr>
                <w:rFonts w:ascii="Arial" w:cs="Arial" w:eastAsia="Arial" w:hAnsi="Arial"/>
                <w:sz w:val="14"/>
                <w:szCs w:val="14"/>
                <w:i w:val="1"/>
                <w:iCs w:val="1"/>
                <w:color w:val="auto"/>
                <w:w w:val="95"/>
              </w:rPr>
              <w:t>(distressed)”</w:t>
            </w:r>
          </w:p>
        </w:tc>
        <w:tc>
          <w:tcPr>
            <w:tcW w:w="1780" w:type="dxa"/>
            <w:vAlign w:val="bottom"/>
            <w:gridSpan w:val="2"/>
            <w:vMerge w:val="continue"/>
          </w:tcPr>
          <w:p>
            <w:pPr>
              <w:spacing w:after="0"/>
              <w:rPr>
                <w:sz w:val="8"/>
                <w:szCs w:val="8"/>
                <w:color w:val="auto"/>
              </w:rPr>
            </w:pPr>
          </w:p>
        </w:tc>
        <w:tc>
          <w:tcPr>
            <w:tcW w:w="1680" w:type="dxa"/>
            <w:vAlign w:val="bottom"/>
            <w:vMerge w:val="restart"/>
          </w:tcPr>
          <w:p>
            <w:pPr>
              <w:jc w:val="center"/>
              <w:spacing w:after="0"/>
              <w:rPr>
                <w:sz w:val="20"/>
                <w:szCs w:val="20"/>
                <w:color w:val="auto"/>
              </w:rPr>
            </w:pPr>
            <w:r>
              <w:rPr>
                <w:rFonts w:ascii="Arial" w:cs="Arial" w:eastAsia="Arial" w:hAnsi="Arial"/>
                <w:sz w:val="14"/>
                <w:szCs w:val="14"/>
                <w:i w:val="1"/>
                <w:iCs w:val="1"/>
                <w:color w:val="auto"/>
              </w:rPr>
              <w:t>or “D (Default)”</w:t>
            </w:r>
          </w:p>
        </w:tc>
        <w:tc>
          <w:tcPr>
            <w:tcW w:w="0" w:type="dxa"/>
            <w:vAlign w:val="bottom"/>
          </w:tcPr>
          <w:p>
            <w:pPr>
              <w:spacing w:after="0"/>
              <w:rPr>
                <w:sz w:val="1"/>
                <w:szCs w:val="1"/>
                <w:color w:val="auto"/>
              </w:rPr>
            </w:pPr>
          </w:p>
        </w:tc>
      </w:tr>
      <w:tr>
        <w:trPr>
          <w:trHeight w:val="87"/>
        </w:trPr>
        <w:tc>
          <w:tcPr>
            <w:tcW w:w="4160" w:type="dxa"/>
            <w:vAlign w:val="bottom"/>
          </w:tcPr>
          <w:p>
            <w:pPr>
              <w:spacing w:after="0"/>
              <w:rPr>
                <w:sz w:val="7"/>
                <w:szCs w:val="7"/>
                <w:color w:val="auto"/>
              </w:rPr>
            </w:pPr>
          </w:p>
        </w:tc>
        <w:tc>
          <w:tcPr>
            <w:tcW w:w="17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780" w:type="dxa"/>
            <w:vAlign w:val="bottom"/>
            <w:gridSpan w:val="2"/>
            <w:vMerge w:val="continue"/>
          </w:tcPr>
          <w:p>
            <w:pPr>
              <w:spacing w:after="0"/>
              <w:rPr>
                <w:sz w:val="7"/>
                <w:szCs w:val="7"/>
                <w:color w:val="auto"/>
              </w:rPr>
            </w:pPr>
          </w:p>
        </w:tc>
        <w:tc>
          <w:tcPr>
            <w:tcW w:w="16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6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6"/>
        </w:trPr>
        <w:tc>
          <w:tcPr>
            <w:tcW w:w="4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Brighthouse Life Insurance Company</w:t>
            </w:r>
          </w:p>
        </w:tc>
        <w:tc>
          <w:tcPr>
            <w:tcW w:w="182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6"/>
                <w:szCs w:val="16"/>
                <w:b w:val="1"/>
                <w:bCs w:val="1"/>
                <w:color w:val="auto"/>
              </w:rPr>
              <w:t>A</w:t>
            </w:r>
          </w:p>
        </w:tc>
        <w:tc>
          <w:tcPr>
            <w:tcW w:w="178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6"/>
                <w:szCs w:val="16"/>
                <w:b w:val="1"/>
                <w:bCs w:val="1"/>
                <w:color w:val="auto"/>
              </w:rPr>
              <w:t>A</w:t>
            </w:r>
          </w:p>
        </w:tc>
        <w:tc>
          <w:tcPr>
            <w:tcW w:w="178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6"/>
                <w:szCs w:val="16"/>
                <w:b w:val="1"/>
                <w:bCs w:val="1"/>
                <w:color w:val="auto"/>
                <w:w w:val="97"/>
              </w:rPr>
              <w:t>A3</w:t>
            </w:r>
          </w:p>
        </w:tc>
        <w:tc>
          <w:tcPr>
            <w:tcW w:w="16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b w:val="1"/>
                <w:bCs w:val="1"/>
                <w:color w:val="auto"/>
                <w:w w:val="97"/>
              </w:rPr>
              <w:t>A+ (1)</w:t>
            </w:r>
          </w:p>
        </w:tc>
        <w:tc>
          <w:tcPr>
            <w:tcW w:w="0" w:type="dxa"/>
            <w:vAlign w:val="bottom"/>
          </w:tcPr>
          <w:p>
            <w:pPr>
              <w:spacing w:after="0"/>
              <w:rPr>
                <w:sz w:val="1"/>
                <w:szCs w:val="1"/>
                <w:color w:val="auto"/>
              </w:rPr>
            </w:pPr>
          </w:p>
        </w:tc>
      </w:tr>
      <w:tr>
        <w:trPr>
          <w:trHeight w:val="237"/>
        </w:trPr>
        <w:tc>
          <w:tcPr>
            <w:tcW w:w="4160" w:type="dxa"/>
            <w:vAlign w:val="bottom"/>
          </w:tcPr>
          <w:p>
            <w:pPr>
              <w:spacing w:after="0"/>
              <w:rPr>
                <w:sz w:val="20"/>
                <w:szCs w:val="20"/>
                <w:color w:val="auto"/>
              </w:rPr>
            </w:pPr>
          </w:p>
        </w:tc>
        <w:tc>
          <w:tcPr>
            <w:tcW w:w="1820" w:type="dxa"/>
            <w:vAlign w:val="bottom"/>
            <w:gridSpan w:val="2"/>
          </w:tcPr>
          <w:p>
            <w:pPr>
              <w:jc w:val="center"/>
              <w:ind w:right="120"/>
              <w:spacing w:after="0"/>
              <w:rPr>
                <w:sz w:val="20"/>
                <w:szCs w:val="20"/>
                <w:color w:val="auto"/>
              </w:rPr>
            </w:pPr>
            <w:r>
              <w:rPr>
                <w:rFonts w:ascii="Arial" w:cs="Arial" w:eastAsia="Arial" w:hAnsi="Arial"/>
                <w:sz w:val="16"/>
                <w:szCs w:val="16"/>
                <w:color w:val="auto"/>
                <w:w w:val="91"/>
              </w:rPr>
              <w:t>3rd of 16</w:t>
            </w:r>
          </w:p>
        </w:tc>
        <w:tc>
          <w:tcPr>
            <w:tcW w:w="1780" w:type="dxa"/>
            <w:vAlign w:val="bottom"/>
            <w:gridSpan w:val="2"/>
          </w:tcPr>
          <w:p>
            <w:pPr>
              <w:jc w:val="center"/>
              <w:ind w:right="120"/>
              <w:spacing w:after="0"/>
              <w:rPr>
                <w:sz w:val="20"/>
                <w:szCs w:val="20"/>
                <w:color w:val="auto"/>
              </w:rPr>
            </w:pPr>
            <w:r>
              <w:rPr>
                <w:rFonts w:ascii="Arial" w:cs="Arial" w:eastAsia="Arial" w:hAnsi="Arial"/>
                <w:sz w:val="16"/>
                <w:szCs w:val="16"/>
                <w:color w:val="auto"/>
                <w:w w:val="93"/>
              </w:rPr>
              <w:t>6th of 19</w:t>
            </w:r>
          </w:p>
        </w:tc>
        <w:tc>
          <w:tcPr>
            <w:tcW w:w="1780" w:type="dxa"/>
            <w:vAlign w:val="bottom"/>
            <w:gridSpan w:val="2"/>
          </w:tcPr>
          <w:p>
            <w:pPr>
              <w:jc w:val="center"/>
              <w:ind w:right="120"/>
              <w:spacing w:after="0"/>
              <w:rPr>
                <w:sz w:val="20"/>
                <w:szCs w:val="20"/>
                <w:color w:val="auto"/>
              </w:rPr>
            </w:pPr>
            <w:r>
              <w:rPr>
                <w:rFonts w:ascii="Arial" w:cs="Arial" w:eastAsia="Arial" w:hAnsi="Arial"/>
                <w:sz w:val="16"/>
                <w:szCs w:val="16"/>
                <w:color w:val="auto"/>
                <w:w w:val="93"/>
              </w:rPr>
              <w:t>7th of 21</w:t>
            </w:r>
          </w:p>
        </w:tc>
        <w:tc>
          <w:tcPr>
            <w:tcW w:w="1680" w:type="dxa"/>
            <w:vAlign w:val="bottom"/>
          </w:tcPr>
          <w:p>
            <w:pPr>
              <w:jc w:val="center"/>
              <w:spacing w:after="0"/>
              <w:rPr>
                <w:sz w:val="20"/>
                <w:szCs w:val="20"/>
                <w:color w:val="auto"/>
              </w:rPr>
            </w:pPr>
            <w:r>
              <w:rPr>
                <w:rFonts w:ascii="Arial" w:cs="Arial" w:eastAsia="Arial" w:hAnsi="Arial"/>
                <w:sz w:val="16"/>
                <w:szCs w:val="16"/>
                <w:color w:val="auto"/>
                <w:w w:val="96"/>
              </w:rPr>
              <w:t>5th of 22</w:t>
            </w:r>
          </w:p>
        </w:tc>
        <w:tc>
          <w:tcPr>
            <w:tcW w:w="0" w:type="dxa"/>
            <w:vAlign w:val="bottom"/>
          </w:tcPr>
          <w:p>
            <w:pPr>
              <w:spacing w:after="0"/>
              <w:rPr>
                <w:sz w:val="1"/>
                <w:szCs w:val="1"/>
                <w:color w:val="auto"/>
              </w:rPr>
            </w:pPr>
          </w:p>
        </w:tc>
      </w:tr>
      <w:tr>
        <w:trPr>
          <w:trHeight w:val="33"/>
        </w:trPr>
        <w:tc>
          <w:tcPr>
            <w:tcW w:w="416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New England Life Insurance Company</w:t>
            </w:r>
          </w:p>
        </w:tc>
        <w:tc>
          <w:tcPr>
            <w:tcW w:w="182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6"/>
                <w:szCs w:val="16"/>
                <w:b w:val="1"/>
                <w:bCs w:val="1"/>
                <w:color w:val="auto"/>
              </w:rPr>
              <w:t>A</w:t>
            </w:r>
          </w:p>
        </w:tc>
        <w:tc>
          <w:tcPr>
            <w:tcW w:w="178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6"/>
                <w:szCs w:val="16"/>
                <w:b w:val="1"/>
                <w:bCs w:val="1"/>
                <w:color w:val="auto"/>
              </w:rPr>
              <w:t>A</w:t>
            </w:r>
          </w:p>
        </w:tc>
        <w:tc>
          <w:tcPr>
            <w:tcW w:w="178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6"/>
                <w:szCs w:val="16"/>
                <w:b w:val="1"/>
                <w:bCs w:val="1"/>
                <w:color w:val="auto"/>
                <w:w w:val="97"/>
              </w:rPr>
              <w:t>A3</w:t>
            </w:r>
          </w:p>
        </w:tc>
        <w:tc>
          <w:tcPr>
            <w:tcW w:w="16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b w:val="1"/>
                <w:bCs w:val="1"/>
                <w:color w:val="auto"/>
                <w:w w:val="97"/>
              </w:rPr>
              <w:t>A+ (1)</w:t>
            </w:r>
          </w:p>
        </w:tc>
        <w:tc>
          <w:tcPr>
            <w:tcW w:w="0" w:type="dxa"/>
            <w:vAlign w:val="bottom"/>
          </w:tcPr>
          <w:p>
            <w:pPr>
              <w:spacing w:after="0"/>
              <w:rPr>
                <w:sz w:val="1"/>
                <w:szCs w:val="1"/>
                <w:color w:val="auto"/>
              </w:rPr>
            </w:pPr>
          </w:p>
        </w:tc>
      </w:tr>
      <w:tr>
        <w:trPr>
          <w:trHeight w:val="237"/>
        </w:trPr>
        <w:tc>
          <w:tcPr>
            <w:tcW w:w="4160" w:type="dxa"/>
            <w:vAlign w:val="bottom"/>
          </w:tcPr>
          <w:p>
            <w:pPr>
              <w:spacing w:after="0"/>
              <w:rPr>
                <w:sz w:val="20"/>
                <w:szCs w:val="20"/>
                <w:color w:val="auto"/>
              </w:rPr>
            </w:pPr>
          </w:p>
        </w:tc>
        <w:tc>
          <w:tcPr>
            <w:tcW w:w="1820" w:type="dxa"/>
            <w:vAlign w:val="bottom"/>
            <w:gridSpan w:val="2"/>
          </w:tcPr>
          <w:p>
            <w:pPr>
              <w:jc w:val="center"/>
              <w:ind w:right="120"/>
              <w:spacing w:after="0"/>
              <w:rPr>
                <w:sz w:val="20"/>
                <w:szCs w:val="20"/>
                <w:color w:val="auto"/>
              </w:rPr>
            </w:pPr>
            <w:r>
              <w:rPr>
                <w:rFonts w:ascii="Arial" w:cs="Arial" w:eastAsia="Arial" w:hAnsi="Arial"/>
                <w:sz w:val="16"/>
                <w:szCs w:val="16"/>
                <w:color w:val="auto"/>
                <w:w w:val="91"/>
              </w:rPr>
              <w:t>3rd of 16</w:t>
            </w:r>
          </w:p>
        </w:tc>
        <w:tc>
          <w:tcPr>
            <w:tcW w:w="1780" w:type="dxa"/>
            <w:vAlign w:val="bottom"/>
            <w:gridSpan w:val="2"/>
          </w:tcPr>
          <w:p>
            <w:pPr>
              <w:jc w:val="center"/>
              <w:ind w:right="120"/>
              <w:spacing w:after="0"/>
              <w:rPr>
                <w:sz w:val="20"/>
                <w:szCs w:val="20"/>
                <w:color w:val="auto"/>
              </w:rPr>
            </w:pPr>
            <w:r>
              <w:rPr>
                <w:rFonts w:ascii="Arial" w:cs="Arial" w:eastAsia="Arial" w:hAnsi="Arial"/>
                <w:sz w:val="16"/>
                <w:szCs w:val="16"/>
                <w:color w:val="auto"/>
                <w:w w:val="93"/>
              </w:rPr>
              <w:t>6th of 19</w:t>
            </w:r>
          </w:p>
        </w:tc>
        <w:tc>
          <w:tcPr>
            <w:tcW w:w="1780" w:type="dxa"/>
            <w:vAlign w:val="bottom"/>
            <w:gridSpan w:val="2"/>
          </w:tcPr>
          <w:p>
            <w:pPr>
              <w:jc w:val="center"/>
              <w:ind w:right="120"/>
              <w:spacing w:after="0"/>
              <w:rPr>
                <w:sz w:val="20"/>
                <w:szCs w:val="20"/>
                <w:color w:val="auto"/>
              </w:rPr>
            </w:pPr>
            <w:r>
              <w:rPr>
                <w:rFonts w:ascii="Arial" w:cs="Arial" w:eastAsia="Arial" w:hAnsi="Arial"/>
                <w:sz w:val="16"/>
                <w:szCs w:val="16"/>
                <w:color w:val="auto"/>
                <w:w w:val="93"/>
              </w:rPr>
              <w:t>7th of 21</w:t>
            </w:r>
          </w:p>
        </w:tc>
        <w:tc>
          <w:tcPr>
            <w:tcW w:w="1680" w:type="dxa"/>
            <w:vAlign w:val="bottom"/>
          </w:tcPr>
          <w:p>
            <w:pPr>
              <w:jc w:val="center"/>
              <w:spacing w:after="0"/>
              <w:rPr>
                <w:sz w:val="20"/>
                <w:szCs w:val="20"/>
                <w:color w:val="auto"/>
              </w:rPr>
            </w:pPr>
            <w:r>
              <w:rPr>
                <w:rFonts w:ascii="Arial" w:cs="Arial" w:eastAsia="Arial" w:hAnsi="Arial"/>
                <w:sz w:val="16"/>
                <w:szCs w:val="16"/>
                <w:color w:val="auto"/>
                <w:w w:val="96"/>
              </w:rPr>
              <w:t>5th of 22</w:t>
            </w:r>
          </w:p>
        </w:tc>
        <w:tc>
          <w:tcPr>
            <w:tcW w:w="0" w:type="dxa"/>
            <w:vAlign w:val="bottom"/>
          </w:tcPr>
          <w:p>
            <w:pPr>
              <w:spacing w:after="0"/>
              <w:rPr>
                <w:sz w:val="1"/>
                <w:szCs w:val="1"/>
                <w:color w:val="auto"/>
              </w:rPr>
            </w:pPr>
          </w:p>
        </w:tc>
      </w:tr>
      <w:tr>
        <w:trPr>
          <w:trHeight w:val="33"/>
        </w:trPr>
        <w:tc>
          <w:tcPr>
            <w:tcW w:w="416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Brighthouse Life Insurance Company of NY</w:t>
            </w:r>
          </w:p>
        </w:tc>
        <w:tc>
          <w:tcPr>
            <w:tcW w:w="182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6"/>
                <w:szCs w:val="16"/>
                <w:b w:val="1"/>
                <w:bCs w:val="1"/>
                <w:color w:val="auto"/>
              </w:rPr>
              <w:t>A</w:t>
            </w:r>
          </w:p>
        </w:tc>
        <w:tc>
          <w:tcPr>
            <w:tcW w:w="1780" w:type="dxa"/>
            <w:vAlign w:val="bottom"/>
            <w:tcBorders>
              <w:bottom w:val="single" w:sz="8" w:color="CCEEFF"/>
            </w:tcBorders>
            <w:gridSpan w:val="2"/>
            <w:shd w:val="clear" w:color="auto" w:fill="CCEEFF"/>
          </w:tcPr>
          <w:p>
            <w:pPr>
              <w:jc w:val="center"/>
              <w:ind w:right="140"/>
              <w:spacing w:after="0"/>
              <w:rPr>
                <w:sz w:val="20"/>
                <w:szCs w:val="20"/>
                <w:color w:val="auto"/>
              </w:rPr>
            </w:pPr>
            <w:r>
              <w:rPr>
                <w:rFonts w:ascii="Arial" w:cs="Arial" w:eastAsia="Arial" w:hAnsi="Arial"/>
                <w:sz w:val="16"/>
                <w:szCs w:val="16"/>
                <w:b w:val="1"/>
                <w:bCs w:val="1"/>
                <w:color w:val="auto"/>
              </w:rPr>
              <w:t>NR</w:t>
            </w:r>
          </w:p>
        </w:tc>
        <w:tc>
          <w:tcPr>
            <w:tcW w:w="1780" w:type="dxa"/>
            <w:vAlign w:val="bottom"/>
            <w:tcBorders>
              <w:bottom w:val="single" w:sz="8" w:color="CCEEFF"/>
            </w:tcBorders>
            <w:gridSpan w:val="2"/>
            <w:shd w:val="clear" w:color="auto" w:fill="CCEEFF"/>
          </w:tcPr>
          <w:p>
            <w:pPr>
              <w:jc w:val="center"/>
              <w:ind w:right="140"/>
              <w:spacing w:after="0"/>
              <w:rPr>
                <w:sz w:val="20"/>
                <w:szCs w:val="20"/>
                <w:color w:val="auto"/>
              </w:rPr>
            </w:pPr>
            <w:r>
              <w:rPr>
                <w:rFonts w:ascii="Arial" w:cs="Arial" w:eastAsia="Arial" w:hAnsi="Arial"/>
                <w:sz w:val="16"/>
                <w:szCs w:val="16"/>
                <w:b w:val="1"/>
                <w:bCs w:val="1"/>
                <w:color w:val="auto"/>
              </w:rPr>
              <w:t>NR</w:t>
            </w:r>
          </w:p>
        </w:tc>
        <w:tc>
          <w:tcPr>
            <w:tcW w:w="16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b w:val="1"/>
                <w:bCs w:val="1"/>
                <w:color w:val="auto"/>
                <w:w w:val="97"/>
              </w:rPr>
              <w:t>A+ (1)</w:t>
            </w:r>
          </w:p>
        </w:tc>
        <w:tc>
          <w:tcPr>
            <w:tcW w:w="0" w:type="dxa"/>
            <w:vAlign w:val="bottom"/>
          </w:tcPr>
          <w:p>
            <w:pPr>
              <w:spacing w:after="0"/>
              <w:rPr>
                <w:sz w:val="1"/>
                <w:szCs w:val="1"/>
                <w:color w:val="auto"/>
              </w:rPr>
            </w:pPr>
          </w:p>
        </w:tc>
      </w:tr>
      <w:tr>
        <w:trPr>
          <w:trHeight w:val="237"/>
        </w:trPr>
        <w:tc>
          <w:tcPr>
            <w:tcW w:w="4160" w:type="dxa"/>
            <w:vAlign w:val="bottom"/>
          </w:tcPr>
          <w:p>
            <w:pPr>
              <w:spacing w:after="0"/>
              <w:rPr>
                <w:sz w:val="20"/>
                <w:szCs w:val="20"/>
                <w:color w:val="auto"/>
              </w:rPr>
            </w:pPr>
          </w:p>
        </w:tc>
        <w:tc>
          <w:tcPr>
            <w:tcW w:w="1820" w:type="dxa"/>
            <w:vAlign w:val="bottom"/>
            <w:gridSpan w:val="2"/>
          </w:tcPr>
          <w:p>
            <w:pPr>
              <w:jc w:val="center"/>
              <w:ind w:right="120"/>
              <w:spacing w:after="0"/>
              <w:rPr>
                <w:sz w:val="20"/>
                <w:szCs w:val="20"/>
                <w:color w:val="auto"/>
              </w:rPr>
            </w:pPr>
            <w:r>
              <w:rPr>
                <w:rFonts w:ascii="Arial" w:cs="Arial" w:eastAsia="Arial" w:hAnsi="Arial"/>
                <w:sz w:val="16"/>
                <w:szCs w:val="16"/>
                <w:color w:val="auto"/>
                <w:w w:val="91"/>
              </w:rPr>
              <w:t>3rd of 16</w:t>
            </w:r>
          </w:p>
        </w:tc>
        <w:tc>
          <w:tcPr>
            <w:tcW w:w="1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80" w:type="dxa"/>
            <w:vAlign w:val="bottom"/>
          </w:tcPr>
          <w:p>
            <w:pPr>
              <w:jc w:val="center"/>
              <w:spacing w:after="0"/>
              <w:rPr>
                <w:sz w:val="20"/>
                <w:szCs w:val="20"/>
                <w:color w:val="auto"/>
              </w:rPr>
            </w:pPr>
            <w:r>
              <w:rPr>
                <w:rFonts w:ascii="Arial" w:cs="Arial" w:eastAsia="Arial" w:hAnsi="Arial"/>
                <w:sz w:val="16"/>
                <w:szCs w:val="16"/>
                <w:color w:val="auto"/>
                <w:w w:val="96"/>
              </w:rPr>
              <w:t>5th of 22</w:t>
            </w:r>
          </w:p>
        </w:tc>
        <w:tc>
          <w:tcPr>
            <w:tcW w:w="0" w:type="dxa"/>
            <w:vAlign w:val="bottom"/>
          </w:tcPr>
          <w:p>
            <w:pPr>
              <w:spacing w:after="0"/>
              <w:rPr>
                <w:sz w:val="1"/>
                <w:szCs w:val="1"/>
                <w:color w:val="auto"/>
              </w:rPr>
            </w:pPr>
          </w:p>
        </w:tc>
      </w:tr>
      <w:tr>
        <w:trPr>
          <w:trHeight w:val="197"/>
        </w:trPr>
        <w:tc>
          <w:tcPr>
            <w:tcW w:w="4160" w:type="dxa"/>
            <w:vAlign w:val="bottom"/>
          </w:tcPr>
          <w:p>
            <w:pPr>
              <w:spacing w:after="0"/>
              <w:rPr>
                <w:sz w:val="20"/>
                <w:szCs w:val="20"/>
                <w:color w:val="auto"/>
              </w:rPr>
            </w:pPr>
            <w:r>
              <w:rPr>
                <w:rFonts w:ascii="Arial" w:cs="Arial" w:eastAsia="Arial" w:hAnsi="Arial"/>
                <w:sz w:val="14"/>
                <w:szCs w:val="14"/>
                <w:color w:val="auto"/>
              </w:rPr>
              <w:t>______________</w:t>
            </w:r>
          </w:p>
        </w:tc>
        <w:tc>
          <w:tcPr>
            <w:tcW w:w="1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92" w:lineRule="exact"/>
        <w:rPr>
          <w:sz w:val="20"/>
          <w:szCs w:val="20"/>
          <w:color w:val="auto"/>
        </w:rPr>
      </w:pPr>
    </w:p>
    <w:p>
      <w:pPr>
        <w:spacing w:after="0"/>
        <w:rPr>
          <w:sz w:val="20"/>
          <w:szCs w:val="20"/>
          <w:color w:val="auto"/>
        </w:rPr>
      </w:pPr>
      <w:r>
        <w:rPr>
          <w:rFonts w:ascii="Arial" w:cs="Arial" w:eastAsia="Arial" w:hAnsi="Arial"/>
          <w:sz w:val="18"/>
          <w:szCs w:val="18"/>
          <w:color w:val="auto"/>
        </w:rPr>
        <w:t>(1) Negative outlook.</w:t>
      </w:r>
    </w:p>
    <w:p>
      <w:pPr>
        <w:spacing w:after="0" w:line="117" w:lineRule="exact"/>
        <w:rPr>
          <w:sz w:val="20"/>
          <w:szCs w:val="20"/>
          <w:color w:val="auto"/>
        </w:rPr>
      </w:pPr>
    </w:p>
    <w:p>
      <w:pPr>
        <w:ind w:left="180" w:firstLine="324"/>
        <w:spacing w:after="0" w:line="277" w:lineRule="auto"/>
        <w:rPr>
          <w:sz w:val="20"/>
          <w:szCs w:val="20"/>
          <w:color w:val="auto"/>
        </w:rPr>
      </w:pPr>
      <w:r>
        <w:rPr>
          <w:rFonts w:ascii="Arial" w:cs="Arial" w:eastAsia="Arial" w:hAnsi="Arial"/>
          <w:sz w:val="18"/>
          <w:szCs w:val="18"/>
          <w:color w:val="auto"/>
        </w:rPr>
        <w:t>Our long-term issuer credit ratings at the date of this filing are indicated in the following table. All long-term issuer credit ratings have a stable outlook unless otherwise indicated.</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160" w:type="dxa"/>
            <w:vAlign w:val="bottom"/>
          </w:tcPr>
          <w:p>
            <w:pPr>
              <w:ind w:left="40"/>
              <w:spacing w:after="0"/>
              <w:rPr>
                <w:sz w:val="20"/>
                <w:szCs w:val="20"/>
                <w:color w:val="auto"/>
              </w:rPr>
            </w:pPr>
            <w:r>
              <w:rPr>
                <w:rFonts w:ascii="Arial" w:cs="Arial" w:eastAsia="Arial" w:hAnsi="Arial"/>
                <w:sz w:val="14"/>
                <w:szCs w:val="14"/>
                <w:b w:val="1"/>
                <w:bCs w:val="1"/>
                <w:color w:val="auto"/>
              </w:rPr>
              <w:t>Long-term Issuer Credit Ratings</w:t>
            </w: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A.M. Best</w:t>
            </w:r>
          </w:p>
        </w:tc>
        <w:tc>
          <w:tcPr>
            <w:tcW w:w="120" w:type="dxa"/>
            <w:vAlign w:val="bottom"/>
          </w:tcPr>
          <w:p>
            <w:pPr>
              <w:spacing w:after="0"/>
              <w:rPr>
                <w:sz w:val="16"/>
                <w:szCs w:val="16"/>
                <w:color w:val="auto"/>
              </w:rPr>
            </w:pPr>
          </w:p>
        </w:tc>
        <w:tc>
          <w:tcPr>
            <w:tcW w:w="1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Fitch</w:t>
            </w:r>
          </w:p>
        </w:tc>
        <w:tc>
          <w:tcPr>
            <w:tcW w:w="100" w:type="dxa"/>
            <w:vAlign w:val="bottom"/>
          </w:tcPr>
          <w:p>
            <w:pPr>
              <w:spacing w:after="0"/>
              <w:rPr>
                <w:sz w:val="16"/>
                <w:szCs w:val="16"/>
                <w:color w:val="auto"/>
              </w:rPr>
            </w:pPr>
          </w:p>
        </w:tc>
        <w:tc>
          <w:tcPr>
            <w:tcW w:w="1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Moody's</w:t>
            </w:r>
          </w:p>
        </w:tc>
        <w:tc>
          <w:tcPr>
            <w:tcW w:w="100" w:type="dxa"/>
            <w:vAlign w:val="bottom"/>
          </w:tcPr>
          <w:p>
            <w:pPr>
              <w:spacing w:after="0"/>
              <w:rPr>
                <w:sz w:val="16"/>
                <w:szCs w:val="16"/>
                <w:color w:val="auto"/>
              </w:rPr>
            </w:pPr>
          </w:p>
        </w:tc>
        <w:tc>
          <w:tcPr>
            <w:tcW w:w="1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S&amp;P</w:t>
            </w:r>
          </w:p>
        </w:tc>
        <w:tc>
          <w:tcPr>
            <w:tcW w:w="0" w:type="dxa"/>
            <w:vAlign w:val="bottom"/>
          </w:tcPr>
          <w:p>
            <w:pPr>
              <w:spacing w:after="0"/>
              <w:rPr>
                <w:sz w:val="1"/>
                <w:szCs w:val="1"/>
                <w:color w:val="auto"/>
              </w:rPr>
            </w:pPr>
          </w:p>
        </w:tc>
      </w:tr>
      <w:tr>
        <w:trPr>
          <w:trHeight w:val="156"/>
        </w:trPr>
        <w:tc>
          <w:tcPr>
            <w:tcW w:w="4160" w:type="dxa"/>
            <w:vAlign w:val="bottom"/>
          </w:tcPr>
          <w:p>
            <w:pPr>
              <w:spacing w:after="0"/>
              <w:rPr>
                <w:sz w:val="13"/>
                <w:szCs w:val="13"/>
                <w:color w:val="auto"/>
              </w:rPr>
            </w:pPr>
          </w:p>
        </w:tc>
        <w:tc>
          <w:tcPr>
            <w:tcW w:w="1820" w:type="dxa"/>
            <w:vAlign w:val="bottom"/>
            <w:gridSpan w:val="2"/>
            <w:vMerge w:val="restart"/>
          </w:tcPr>
          <w:p>
            <w:pPr>
              <w:jc w:val="center"/>
              <w:ind w:right="100"/>
              <w:spacing w:after="0"/>
              <w:rPr>
                <w:sz w:val="20"/>
                <w:szCs w:val="20"/>
                <w:color w:val="auto"/>
              </w:rPr>
            </w:pPr>
            <w:r>
              <w:rPr>
                <w:rFonts w:ascii="Arial" w:cs="Arial" w:eastAsia="Arial" w:hAnsi="Arial"/>
                <w:sz w:val="14"/>
                <w:szCs w:val="14"/>
                <w:i w:val="1"/>
                <w:iCs w:val="1"/>
                <w:color w:val="auto"/>
              </w:rPr>
              <w:t>“aaa (Exceptional)” to “c</w:t>
            </w:r>
          </w:p>
        </w:tc>
        <w:tc>
          <w:tcPr>
            <w:tcW w:w="1780" w:type="dxa"/>
            <w:vAlign w:val="bottom"/>
            <w:gridSpan w:val="2"/>
            <w:vMerge w:val="restart"/>
          </w:tcPr>
          <w:p>
            <w:pPr>
              <w:jc w:val="center"/>
              <w:ind w:right="120"/>
              <w:spacing w:after="0"/>
              <w:rPr>
                <w:sz w:val="20"/>
                <w:szCs w:val="20"/>
                <w:color w:val="auto"/>
              </w:rPr>
            </w:pPr>
            <w:r>
              <w:rPr>
                <w:rFonts w:ascii="Arial" w:cs="Arial" w:eastAsia="Arial" w:hAnsi="Arial"/>
                <w:sz w:val="14"/>
                <w:szCs w:val="14"/>
                <w:i w:val="1"/>
                <w:iCs w:val="1"/>
                <w:color w:val="auto"/>
                <w:w w:val="99"/>
              </w:rPr>
              <w:t>“AAA (highest rating)” to</w:t>
            </w:r>
          </w:p>
        </w:tc>
        <w:tc>
          <w:tcPr>
            <w:tcW w:w="1780" w:type="dxa"/>
            <w:vAlign w:val="bottom"/>
            <w:gridSpan w:val="2"/>
            <w:vMerge w:val="restart"/>
          </w:tcPr>
          <w:p>
            <w:pPr>
              <w:jc w:val="center"/>
              <w:ind w:right="100"/>
              <w:spacing w:after="0"/>
              <w:rPr>
                <w:sz w:val="20"/>
                <w:szCs w:val="20"/>
                <w:color w:val="auto"/>
              </w:rPr>
            </w:pPr>
            <w:r>
              <w:rPr>
                <w:rFonts w:ascii="Arial" w:cs="Arial" w:eastAsia="Arial" w:hAnsi="Arial"/>
                <w:sz w:val="14"/>
                <w:szCs w:val="14"/>
                <w:i w:val="1"/>
                <w:iCs w:val="1"/>
                <w:color w:val="auto"/>
                <w:w w:val="99"/>
              </w:rPr>
              <w:t>“Aaa (highest quality)” to</w:t>
            </w:r>
          </w:p>
        </w:tc>
        <w:tc>
          <w:tcPr>
            <w:tcW w:w="1680" w:type="dxa"/>
            <w:vAlign w:val="bottom"/>
          </w:tcPr>
          <w:p>
            <w:pPr>
              <w:jc w:val="center"/>
              <w:spacing w:after="0" w:line="157" w:lineRule="exact"/>
              <w:rPr>
                <w:sz w:val="20"/>
                <w:szCs w:val="20"/>
                <w:color w:val="auto"/>
              </w:rPr>
            </w:pPr>
            <w:r>
              <w:rPr>
                <w:rFonts w:ascii="Arial" w:cs="Arial" w:eastAsia="Arial" w:hAnsi="Arial"/>
                <w:sz w:val="14"/>
                <w:szCs w:val="14"/>
                <w:i w:val="1"/>
                <w:iCs w:val="1"/>
                <w:color w:val="auto"/>
                <w:w w:val="98"/>
              </w:rPr>
              <w:t>“AAA (extremely strong)”</w:t>
            </w:r>
          </w:p>
        </w:tc>
        <w:tc>
          <w:tcPr>
            <w:tcW w:w="0" w:type="dxa"/>
            <w:vAlign w:val="bottom"/>
          </w:tcPr>
          <w:p>
            <w:pPr>
              <w:spacing w:after="0"/>
              <w:rPr>
                <w:sz w:val="1"/>
                <w:szCs w:val="1"/>
                <w:color w:val="auto"/>
              </w:rPr>
            </w:pPr>
          </w:p>
        </w:tc>
      </w:tr>
      <w:tr>
        <w:trPr>
          <w:trHeight w:val="68"/>
        </w:trPr>
        <w:tc>
          <w:tcPr>
            <w:tcW w:w="4160" w:type="dxa"/>
            <w:vAlign w:val="bottom"/>
          </w:tcPr>
          <w:p>
            <w:pPr>
              <w:spacing w:after="0"/>
              <w:rPr>
                <w:sz w:val="5"/>
                <w:szCs w:val="5"/>
                <w:color w:val="auto"/>
              </w:rPr>
            </w:pPr>
          </w:p>
        </w:tc>
        <w:tc>
          <w:tcPr>
            <w:tcW w:w="1820" w:type="dxa"/>
            <w:vAlign w:val="bottom"/>
            <w:gridSpan w:val="2"/>
            <w:vMerge w:val="continue"/>
          </w:tcPr>
          <w:p>
            <w:pPr>
              <w:spacing w:after="0"/>
              <w:rPr>
                <w:sz w:val="5"/>
                <w:szCs w:val="5"/>
                <w:color w:val="auto"/>
              </w:rPr>
            </w:pPr>
          </w:p>
        </w:tc>
        <w:tc>
          <w:tcPr>
            <w:tcW w:w="1780" w:type="dxa"/>
            <w:vAlign w:val="bottom"/>
            <w:gridSpan w:val="2"/>
            <w:vMerge w:val="continue"/>
          </w:tcPr>
          <w:p>
            <w:pPr>
              <w:spacing w:after="0"/>
              <w:rPr>
                <w:sz w:val="5"/>
                <w:szCs w:val="5"/>
                <w:color w:val="auto"/>
              </w:rPr>
            </w:pPr>
          </w:p>
        </w:tc>
        <w:tc>
          <w:tcPr>
            <w:tcW w:w="1780" w:type="dxa"/>
            <w:vAlign w:val="bottom"/>
            <w:gridSpan w:val="2"/>
            <w:vMerge w:val="continue"/>
          </w:tcPr>
          <w:p>
            <w:pPr>
              <w:spacing w:after="0"/>
              <w:rPr>
                <w:sz w:val="5"/>
                <w:szCs w:val="5"/>
                <w:color w:val="auto"/>
              </w:rPr>
            </w:pPr>
          </w:p>
        </w:tc>
        <w:tc>
          <w:tcPr>
            <w:tcW w:w="1680" w:type="dxa"/>
            <w:vAlign w:val="bottom"/>
            <w:vMerge w:val="restart"/>
          </w:tcPr>
          <w:p>
            <w:pPr>
              <w:jc w:val="center"/>
              <w:spacing w:after="0" w:line="149" w:lineRule="exact"/>
              <w:rPr>
                <w:sz w:val="20"/>
                <w:szCs w:val="20"/>
                <w:color w:val="auto"/>
              </w:rPr>
            </w:pPr>
            <w:r>
              <w:rPr>
                <w:rFonts w:ascii="Arial" w:cs="Arial" w:eastAsia="Arial" w:hAnsi="Arial"/>
                <w:sz w:val="14"/>
                <w:szCs w:val="14"/>
                <w:i w:val="1"/>
                <w:iCs w:val="1"/>
                <w:color w:val="auto"/>
                <w:w w:val="98"/>
              </w:rPr>
              <w:t>to “SD (Selective Default)”</w:t>
            </w:r>
          </w:p>
        </w:tc>
        <w:tc>
          <w:tcPr>
            <w:tcW w:w="0" w:type="dxa"/>
            <w:vAlign w:val="bottom"/>
          </w:tcPr>
          <w:p>
            <w:pPr>
              <w:spacing w:after="0"/>
              <w:rPr>
                <w:sz w:val="1"/>
                <w:szCs w:val="1"/>
                <w:color w:val="auto"/>
              </w:rPr>
            </w:pPr>
          </w:p>
        </w:tc>
      </w:tr>
      <w:tr>
        <w:trPr>
          <w:trHeight w:val="81"/>
        </w:trPr>
        <w:tc>
          <w:tcPr>
            <w:tcW w:w="4160" w:type="dxa"/>
            <w:vAlign w:val="bottom"/>
          </w:tcPr>
          <w:p>
            <w:pPr>
              <w:spacing w:after="0"/>
              <w:rPr>
                <w:sz w:val="7"/>
                <w:szCs w:val="7"/>
                <w:color w:val="auto"/>
              </w:rPr>
            </w:pPr>
          </w:p>
        </w:tc>
        <w:tc>
          <w:tcPr>
            <w:tcW w:w="1820" w:type="dxa"/>
            <w:vAlign w:val="bottom"/>
            <w:gridSpan w:val="2"/>
            <w:vMerge w:val="restart"/>
          </w:tcPr>
          <w:p>
            <w:pPr>
              <w:jc w:val="center"/>
              <w:ind w:right="120"/>
              <w:spacing w:after="0"/>
              <w:rPr>
                <w:sz w:val="20"/>
                <w:szCs w:val="20"/>
                <w:color w:val="auto"/>
              </w:rPr>
            </w:pPr>
            <w:r>
              <w:rPr>
                <w:rFonts w:ascii="Arial" w:cs="Arial" w:eastAsia="Arial" w:hAnsi="Arial"/>
                <w:sz w:val="14"/>
                <w:szCs w:val="14"/>
                <w:i w:val="1"/>
                <w:iCs w:val="1"/>
                <w:color w:val="auto"/>
              </w:rPr>
              <w:t>(Poor)”</w:t>
            </w:r>
          </w:p>
        </w:tc>
        <w:tc>
          <w:tcPr>
            <w:tcW w:w="1780" w:type="dxa"/>
            <w:vAlign w:val="bottom"/>
            <w:gridSpan w:val="2"/>
            <w:vMerge w:val="restart"/>
          </w:tcPr>
          <w:p>
            <w:pPr>
              <w:jc w:val="center"/>
              <w:ind w:right="100"/>
              <w:spacing w:after="0"/>
              <w:rPr>
                <w:sz w:val="20"/>
                <w:szCs w:val="20"/>
                <w:color w:val="auto"/>
              </w:rPr>
            </w:pPr>
            <w:r>
              <w:rPr>
                <w:rFonts w:ascii="Arial" w:cs="Arial" w:eastAsia="Arial" w:hAnsi="Arial"/>
                <w:sz w:val="14"/>
                <w:szCs w:val="14"/>
                <w:i w:val="1"/>
                <w:iCs w:val="1"/>
                <w:color w:val="auto"/>
              </w:rPr>
              <w:t>“D (default)”</w:t>
            </w:r>
          </w:p>
        </w:tc>
        <w:tc>
          <w:tcPr>
            <w:tcW w:w="1780" w:type="dxa"/>
            <w:vAlign w:val="bottom"/>
            <w:gridSpan w:val="2"/>
            <w:vMerge w:val="restart"/>
          </w:tcPr>
          <w:p>
            <w:pPr>
              <w:jc w:val="center"/>
              <w:ind w:right="120"/>
              <w:spacing w:after="0"/>
              <w:rPr>
                <w:sz w:val="20"/>
                <w:szCs w:val="20"/>
                <w:color w:val="auto"/>
              </w:rPr>
            </w:pPr>
            <w:r>
              <w:rPr>
                <w:rFonts w:ascii="Arial" w:cs="Arial" w:eastAsia="Arial" w:hAnsi="Arial"/>
                <w:sz w:val="14"/>
                <w:szCs w:val="14"/>
                <w:i w:val="1"/>
                <w:iCs w:val="1"/>
                <w:color w:val="auto"/>
              </w:rPr>
              <w:t>“C (lowest rated)”</w:t>
            </w:r>
          </w:p>
        </w:tc>
        <w:tc>
          <w:tcPr>
            <w:tcW w:w="16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1"/>
        </w:trPr>
        <w:tc>
          <w:tcPr>
            <w:tcW w:w="4160" w:type="dxa"/>
            <w:vAlign w:val="bottom"/>
          </w:tcPr>
          <w:p>
            <w:pPr>
              <w:spacing w:after="0"/>
              <w:rPr>
                <w:sz w:val="8"/>
                <w:szCs w:val="8"/>
                <w:color w:val="auto"/>
              </w:rPr>
            </w:pPr>
          </w:p>
        </w:tc>
        <w:tc>
          <w:tcPr>
            <w:tcW w:w="1820" w:type="dxa"/>
            <w:vAlign w:val="bottom"/>
            <w:gridSpan w:val="2"/>
            <w:vMerge w:val="continue"/>
          </w:tcPr>
          <w:p>
            <w:pPr>
              <w:spacing w:after="0"/>
              <w:rPr>
                <w:sz w:val="8"/>
                <w:szCs w:val="8"/>
                <w:color w:val="auto"/>
              </w:rPr>
            </w:pPr>
          </w:p>
        </w:tc>
        <w:tc>
          <w:tcPr>
            <w:tcW w:w="1780" w:type="dxa"/>
            <w:vAlign w:val="bottom"/>
            <w:gridSpan w:val="2"/>
            <w:vMerge w:val="continue"/>
          </w:tcPr>
          <w:p>
            <w:pPr>
              <w:spacing w:after="0"/>
              <w:rPr>
                <w:sz w:val="8"/>
                <w:szCs w:val="8"/>
                <w:color w:val="auto"/>
              </w:rPr>
            </w:pPr>
          </w:p>
        </w:tc>
        <w:tc>
          <w:tcPr>
            <w:tcW w:w="1780" w:type="dxa"/>
            <w:vAlign w:val="bottom"/>
            <w:gridSpan w:val="2"/>
            <w:vMerge w:val="continue"/>
          </w:tcPr>
          <w:p>
            <w:pPr>
              <w:spacing w:after="0"/>
              <w:rPr>
                <w:sz w:val="8"/>
                <w:szCs w:val="8"/>
                <w:color w:val="auto"/>
              </w:rPr>
            </w:pPr>
          </w:p>
        </w:tc>
        <w:tc>
          <w:tcPr>
            <w:tcW w:w="1680" w:type="dxa"/>
            <w:vAlign w:val="bottom"/>
            <w:vMerge w:val="restart"/>
          </w:tcPr>
          <w:p>
            <w:pPr>
              <w:jc w:val="center"/>
              <w:spacing w:after="0"/>
              <w:rPr>
                <w:sz w:val="20"/>
                <w:szCs w:val="20"/>
                <w:color w:val="auto"/>
              </w:rPr>
            </w:pPr>
            <w:r>
              <w:rPr>
                <w:rFonts w:ascii="Arial" w:cs="Arial" w:eastAsia="Arial" w:hAnsi="Arial"/>
                <w:sz w:val="14"/>
                <w:szCs w:val="14"/>
                <w:i w:val="1"/>
                <w:iCs w:val="1"/>
                <w:color w:val="auto"/>
              </w:rPr>
              <w:t>or “D (Default)”</w:t>
            </w:r>
          </w:p>
        </w:tc>
        <w:tc>
          <w:tcPr>
            <w:tcW w:w="0" w:type="dxa"/>
            <w:vAlign w:val="bottom"/>
          </w:tcPr>
          <w:p>
            <w:pPr>
              <w:spacing w:after="0"/>
              <w:rPr>
                <w:sz w:val="1"/>
                <w:szCs w:val="1"/>
                <w:color w:val="auto"/>
              </w:rPr>
            </w:pPr>
          </w:p>
        </w:tc>
      </w:tr>
      <w:tr>
        <w:trPr>
          <w:trHeight w:val="87"/>
        </w:trPr>
        <w:tc>
          <w:tcPr>
            <w:tcW w:w="4160" w:type="dxa"/>
            <w:vAlign w:val="bottom"/>
          </w:tcPr>
          <w:p>
            <w:pPr>
              <w:spacing w:after="0"/>
              <w:rPr>
                <w:sz w:val="7"/>
                <w:szCs w:val="7"/>
                <w:color w:val="auto"/>
              </w:rPr>
            </w:pPr>
          </w:p>
        </w:tc>
        <w:tc>
          <w:tcPr>
            <w:tcW w:w="17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6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6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6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6"/>
        </w:trPr>
        <w:tc>
          <w:tcPr>
            <w:tcW w:w="4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Brighthouse Financial, Inc. (1)</w:t>
            </w:r>
          </w:p>
        </w:tc>
        <w:tc>
          <w:tcPr>
            <w:tcW w:w="182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6"/>
                <w:szCs w:val="16"/>
                <w:b w:val="1"/>
                <w:bCs w:val="1"/>
                <w:color w:val="auto"/>
                <w:w w:val="92"/>
              </w:rPr>
              <w:t>bbb+</w:t>
            </w:r>
          </w:p>
        </w:tc>
        <w:tc>
          <w:tcPr>
            <w:tcW w:w="178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6"/>
                <w:szCs w:val="16"/>
                <w:b w:val="1"/>
                <w:bCs w:val="1"/>
                <w:color w:val="auto"/>
                <w:w w:val="95"/>
              </w:rPr>
              <w:t>BBB+</w:t>
            </w:r>
          </w:p>
        </w:tc>
        <w:tc>
          <w:tcPr>
            <w:tcW w:w="178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6"/>
                <w:szCs w:val="16"/>
                <w:b w:val="1"/>
                <w:bCs w:val="1"/>
                <w:color w:val="auto"/>
                <w:w w:val="94"/>
              </w:rPr>
              <w:t>Baa3</w:t>
            </w:r>
          </w:p>
        </w:tc>
        <w:tc>
          <w:tcPr>
            <w:tcW w:w="16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b w:val="1"/>
                <w:bCs w:val="1"/>
                <w:color w:val="auto"/>
                <w:w w:val="90"/>
              </w:rPr>
              <w:t>BBB+</w:t>
            </w:r>
          </w:p>
        </w:tc>
        <w:tc>
          <w:tcPr>
            <w:tcW w:w="0" w:type="dxa"/>
            <w:vAlign w:val="bottom"/>
          </w:tcPr>
          <w:p>
            <w:pPr>
              <w:spacing w:after="0"/>
              <w:rPr>
                <w:sz w:val="1"/>
                <w:szCs w:val="1"/>
                <w:color w:val="auto"/>
              </w:rPr>
            </w:pPr>
          </w:p>
        </w:tc>
      </w:tr>
      <w:tr>
        <w:trPr>
          <w:trHeight w:val="243"/>
        </w:trPr>
        <w:tc>
          <w:tcPr>
            <w:tcW w:w="416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4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Brighthouse Holdings, LLC (1)</w:t>
            </w:r>
          </w:p>
        </w:tc>
        <w:tc>
          <w:tcPr>
            <w:tcW w:w="182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6"/>
                <w:szCs w:val="16"/>
                <w:b w:val="1"/>
                <w:bCs w:val="1"/>
                <w:color w:val="auto"/>
                <w:w w:val="92"/>
              </w:rPr>
              <w:t>bbb+</w:t>
            </w:r>
          </w:p>
        </w:tc>
        <w:tc>
          <w:tcPr>
            <w:tcW w:w="178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6"/>
                <w:szCs w:val="16"/>
                <w:b w:val="1"/>
                <w:bCs w:val="1"/>
                <w:color w:val="auto"/>
                <w:w w:val="95"/>
              </w:rPr>
              <w:t>BBB+</w:t>
            </w:r>
          </w:p>
        </w:tc>
        <w:tc>
          <w:tcPr>
            <w:tcW w:w="178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6"/>
                <w:szCs w:val="16"/>
                <w:b w:val="1"/>
                <w:bCs w:val="1"/>
                <w:color w:val="auto"/>
                <w:w w:val="94"/>
              </w:rPr>
              <w:t>Baa3</w:t>
            </w:r>
          </w:p>
        </w:tc>
        <w:tc>
          <w:tcPr>
            <w:tcW w:w="16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b w:val="1"/>
                <w:bCs w:val="1"/>
                <w:color w:val="auto"/>
                <w:w w:val="90"/>
              </w:rPr>
              <w:t>BBB+</w:t>
            </w:r>
          </w:p>
        </w:tc>
        <w:tc>
          <w:tcPr>
            <w:tcW w:w="0" w:type="dxa"/>
            <w:vAlign w:val="bottom"/>
          </w:tcPr>
          <w:p>
            <w:pPr>
              <w:spacing w:after="0"/>
              <w:rPr>
                <w:sz w:val="1"/>
                <w:szCs w:val="1"/>
                <w:color w:val="auto"/>
              </w:rPr>
            </w:pPr>
          </w:p>
        </w:tc>
      </w:tr>
      <w:tr>
        <w:trPr>
          <w:trHeight w:val="407"/>
        </w:trPr>
        <w:tc>
          <w:tcPr>
            <w:tcW w:w="4160" w:type="dxa"/>
            <w:vAlign w:val="bottom"/>
          </w:tcPr>
          <w:p>
            <w:pPr>
              <w:jc w:val="right"/>
              <w:ind w:right="3063"/>
              <w:spacing w:after="0"/>
              <w:rPr>
                <w:sz w:val="20"/>
                <w:szCs w:val="20"/>
                <w:color w:val="auto"/>
              </w:rPr>
            </w:pPr>
            <w:r>
              <w:rPr>
                <w:rFonts w:ascii="Arial" w:cs="Arial" w:eastAsia="Arial" w:hAnsi="Arial"/>
                <w:sz w:val="14"/>
                <w:szCs w:val="14"/>
                <w:color w:val="auto"/>
                <w:w w:val="91"/>
              </w:rPr>
              <w:t>______________</w:t>
            </w:r>
          </w:p>
        </w:tc>
        <w:tc>
          <w:tcPr>
            <w:tcW w:w="1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92" w:lineRule="exact"/>
        <w:rPr>
          <w:sz w:val="20"/>
          <w:szCs w:val="20"/>
          <w:color w:val="auto"/>
        </w:rPr>
      </w:pPr>
    </w:p>
    <w:p>
      <w:pPr>
        <w:ind w:left="340" w:hanging="332"/>
        <w:spacing w:after="0" w:line="277" w:lineRule="auto"/>
        <w:tabs>
          <w:tab w:leader="none" w:pos="271" w:val="left"/>
        </w:tabs>
        <w:numPr>
          <w:ilvl w:val="0"/>
          <w:numId w:val="85"/>
        </w:numPr>
        <w:rPr>
          <w:rFonts w:ascii="Arial" w:cs="Arial" w:eastAsia="Arial" w:hAnsi="Arial"/>
          <w:sz w:val="18"/>
          <w:szCs w:val="18"/>
          <w:color w:val="auto"/>
        </w:rPr>
      </w:pPr>
      <w:r>
        <w:rPr>
          <w:rFonts w:ascii="Arial" w:cs="Arial" w:eastAsia="Arial" w:hAnsi="Arial"/>
          <w:sz w:val="18"/>
          <w:szCs w:val="18"/>
          <w:color w:val="auto"/>
        </w:rPr>
        <w:t>Long-term Issuer Credit Rating refers to issuer credit rating, issuer default rating, long-term issuer rating and long-term counterparty credit rating for A.M. Best, Fitch Ratings, Moody’s and S&amp;P Global Ratings, respectively.</w:t>
      </w:r>
    </w:p>
    <w:p>
      <w:pPr>
        <w:spacing w:after="0" w:line="62" w:lineRule="exact"/>
        <w:rPr>
          <w:sz w:val="20"/>
          <w:szCs w:val="20"/>
          <w:color w:val="auto"/>
        </w:rPr>
      </w:pPr>
    </w:p>
    <w:p>
      <w:pPr>
        <w:ind w:left="500"/>
        <w:spacing w:after="0"/>
        <w:rPr>
          <w:sz w:val="20"/>
          <w:szCs w:val="20"/>
          <w:color w:val="auto"/>
        </w:rPr>
      </w:pPr>
      <w:r>
        <w:rPr>
          <w:rFonts w:ascii="Arial" w:cs="Arial" w:eastAsia="Arial" w:hAnsi="Arial"/>
          <w:sz w:val="17"/>
          <w:szCs w:val="17"/>
          <w:color w:val="auto"/>
        </w:rPr>
        <w:t>Additional information about financial strength ratings and issuer credit ratings can be found on the respective websites of the rating agencies.</w:t>
      </w:r>
    </w:p>
    <w:p>
      <w:pPr>
        <w:spacing w:after="0" w:line="129" w:lineRule="exact"/>
        <w:rPr>
          <w:sz w:val="20"/>
          <w:szCs w:val="20"/>
          <w:color w:val="auto"/>
        </w:rPr>
      </w:pPr>
    </w:p>
    <w:p>
      <w:pPr>
        <w:jc w:val="both"/>
        <w:ind w:left="180" w:firstLine="324"/>
        <w:spacing w:after="0" w:line="279" w:lineRule="auto"/>
        <w:rPr>
          <w:sz w:val="20"/>
          <w:szCs w:val="20"/>
          <w:color w:val="auto"/>
        </w:rPr>
      </w:pPr>
      <w:r>
        <w:rPr>
          <w:rFonts w:ascii="Arial" w:cs="Arial" w:eastAsia="Arial" w:hAnsi="Arial"/>
          <w:sz w:val="17"/>
          <w:szCs w:val="17"/>
          <w:color w:val="auto"/>
        </w:rPr>
        <w:t>Rating agencies may continue to review and adjust our ratings. See Note 8 of the Notes to the Combined Financial Statements included in the Form 10 and Note 5 of the Notes to the Interim Condensed Consolidated and Combined Financial Statements. See also “Risk Factors — Risks Related to our Business — A downgrade or a potential downgrade in our financial strength or credit ratings could result in a loss of business and materially adversely affect our financial condition and results of operations” for an in-depth description of the impact of a ratings downgrade.</w:t>
      </w:r>
    </w:p>
    <w:p>
      <w:pPr>
        <w:spacing w:after="0" w:line="63"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Related Party Reinsurance Transactions</w:t>
      </w:r>
    </w:p>
    <w:p>
      <w:pPr>
        <w:spacing w:after="0" w:line="117" w:lineRule="exact"/>
        <w:rPr>
          <w:sz w:val="20"/>
          <w:szCs w:val="20"/>
          <w:color w:val="auto"/>
        </w:rPr>
      </w:pPr>
    </w:p>
    <w:p>
      <w:pPr>
        <w:jc w:val="both"/>
        <w:ind w:left="180" w:firstLine="324"/>
        <w:spacing w:after="0" w:line="272" w:lineRule="auto"/>
        <w:rPr>
          <w:sz w:val="20"/>
          <w:szCs w:val="20"/>
          <w:color w:val="auto"/>
        </w:rPr>
      </w:pPr>
      <w:r>
        <w:rPr>
          <w:rFonts w:ascii="Arial" w:cs="Arial" w:eastAsia="Arial" w:hAnsi="Arial"/>
          <w:sz w:val="17"/>
          <w:szCs w:val="17"/>
          <w:color w:val="auto"/>
        </w:rPr>
        <w:t>Our reinsurance subsidiary, BRCD, was formed to manage our capital and risk exposures and to support our various operations, through the use of affiliated reinsurance arrangements and related reserve financing. Simultaneously with the Reinsurance Merger in April 2017, certain existing reserve financing arrangements were terminated and replaced with a single financing arrangement supported by a pool of highly rated third-party reinsurers. This financing structure has a total capacity of $10.0 billion and consists of credit-linked notes that each have a term of 20 years. As of November 9, 2017, there were no drawdowns on the facility and there was $8.1 billion of funding available under this arrangement. See “Risk Factors — Risks Related to Our Business — We may not be able to take credit for reinsurance, our statutory life insurance reserve financings may be subject to cost increases and new financings may be subject to limited market capacity” for further information. In April</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127</w:t>
      </w:r>
    </w:p>
    <w:p>
      <w:pPr>
        <w:sectPr>
          <w:pgSz w:w="11900" w:h="16838" w:orient="portrait"/>
          <w:cols w:equalWidth="0" w:num="1">
            <w:col w:w="11420"/>
          </w:cols>
          <w:pgMar w:left="240" w:top="126" w:right="239" w:bottom="1440" w:gutter="0" w:footer="0" w:header="0"/>
        </w:sectPr>
      </w:pPr>
    </w:p>
    <w:bookmarkStart w:id="129" w:name="page130"/>
    <w:bookmarkEnd w:id="129"/>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both"/>
        <w:ind w:left="180"/>
        <w:spacing w:after="0" w:line="264" w:lineRule="auto"/>
        <w:rPr>
          <w:sz w:val="20"/>
          <w:szCs w:val="20"/>
          <w:color w:val="auto"/>
        </w:rPr>
      </w:pPr>
      <w:r>
        <w:rPr>
          <w:rFonts w:ascii="Arial" w:cs="Arial" w:eastAsia="Arial" w:hAnsi="Arial"/>
          <w:sz w:val="18"/>
          <w:szCs w:val="18"/>
          <w:color w:val="auto"/>
        </w:rPr>
        <w:t>2017, in connection with the Reinsurance Merger, the $2.8 billion collateral financing arrangement was terminated and the liability was extinguished utilizing $2.8 billion of assets held in trust, which had been repositioned into short-term investments and cash equivalents, with the remaining assets held in trust returned to MetLife, Inc.</w:t>
      </w:r>
    </w:p>
    <w:p>
      <w:pPr>
        <w:spacing w:after="0" w:line="73" w:lineRule="exact"/>
        <w:rPr>
          <w:sz w:val="20"/>
          <w:szCs w:val="20"/>
          <w:color w:val="auto"/>
        </w:rPr>
      </w:pPr>
    </w:p>
    <w:p>
      <w:pPr>
        <w:jc w:val="both"/>
        <w:ind w:left="180" w:firstLine="324"/>
        <w:spacing w:after="0" w:line="255" w:lineRule="auto"/>
        <w:rPr>
          <w:sz w:val="20"/>
          <w:szCs w:val="20"/>
          <w:color w:val="auto"/>
        </w:rPr>
      </w:pPr>
      <w:r>
        <w:rPr>
          <w:rFonts w:ascii="Arial" w:cs="Arial" w:eastAsia="Arial" w:hAnsi="Arial"/>
          <w:sz w:val="18"/>
          <w:szCs w:val="18"/>
          <w:color w:val="auto"/>
        </w:rPr>
        <w:t>In connection with our reinsurance subsidiary restructuring, we were granted approval from the Delaware Insurance Department to pay a dividend from BRCD to its parent, Brighthouse Insurance. The dividend consisted of (i) $535 million in cash, which was declared and paid in May 2017 and (ii) two surplus notes with an aggregate principal balance payable at maturity of $365 million, which have not yet been issued. All payments of principal and interest on these surplus notes would be subject to the prior approval of the Delaware Insurance Department. BRCD can only make distributions of capital to Brighthouse Insurance over time and subject to the approval of the Delaware Insurance Department. See “ — Capital — Restrictions on Dividends and Returns of Capital from Insurance Company Subsidiaries.”</w:t>
      </w:r>
    </w:p>
    <w:p>
      <w:pPr>
        <w:spacing w:after="0" w:line="85" w:lineRule="exact"/>
        <w:rPr>
          <w:sz w:val="20"/>
          <w:szCs w:val="20"/>
          <w:color w:val="auto"/>
        </w:rPr>
      </w:pPr>
    </w:p>
    <w:p>
      <w:pPr>
        <w:jc w:val="both"/>
        <w:ind w:left="180" w:firstLine="324"/>
        <w:spacing w:after="0" w:line="279" w:lineRule="auto"/>
        <w:rPr>
          <w:sz w:val="20"/>
          <w:szCs w:val="20"/>
          <w:color w:val="auto"/>
        </w:rPr>
      </w:pPr>
      <w:r>
        <w:rPr>
          <w:rFonts w:ascii="Arial" w:cs="Arial" w:eastAsia="Arial" w:hAnsi="Arial"/>
          <w:sz w:val="17"/>
          <w:szCs w:val="17"/>
          <w:color w:val="auto"/>
        </w:rPr>
        <w:t>BRCD is capitalized with cash and invested assets, including funds withheld (“Minimum Initial Target Assets”) at a level that is sufficient to satisfy all of its future cash obligations assuming a permanent level yield curve, consistent with NAIC cash flow testing scenarios. BRCD utilizes a financing program to cover the difference between full required statutory assets (i.e., XXX/AXXX reserves plus target RBC) and Minimum Initial Target Assets. An admitted deferred tax asset, if any, would also serve to reduce the amount of funding required under this financing program.</w:t>
      </w:r>
    </w:p>
    <w:p>
      <w:pPr>
        <w:spacing w:after="0" w:line="63"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Primary Sources of Liquidity and Capital</w:t>
      </w:r>
    </w:p>
    <w:p>
      <w:pPr>
        <w:spacing w:after="0" w:line="117" w:lineRule="exact"/>
        <w:rPr>
          <w:sz w:val="20"/>
          <w:szCs w:val="20"/>
          <w:color w:val="auto"/>
        </w:rPr>
      </w:pPr>
    </w:p>
    <w:p>
      <w:pPr>
        <w:jc w:val="both"/>
        <w:ind w:left="180" w:firstLine="324"/>
        <w:spacing w:after="0" w:line="264" w:lineRule="auto"/>
        <w:rPr>
          <w:sz w:val="20"/>
          <w:szCs w:val="20"/>
          <w:color w:val="auto"/>
        </w:rPr>
      </w:pPr>
      <w:r>
        <w:rPr>
          <w:rFonts w:ascii="Arial" w:cs="Arial" w:eastAsia="Arial" w:hAnsi="Arial"/>
          <w:sz w:val="18"/>
          <w:szCs w:val="18"/>
          <w:color w:val="auto"/>
        </w:rPr>
        <w:t>Liquidity is provided by a variety of funding sources, including funding agreements. Capital is provided by a variety of funding sources, including long-term debt, credit facilities and reserve financing facilities. The diversity of our funding sources enhances our funding flexibility, limits dependence on any one market or source of funds and generally lowers the cost of funds.</w:t>
      </w:r>
    </w:p>
    <w:p>
      <w:pPr>
        <w:spacing w:after="0" w:line="7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Our primary funding sources include:</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i w:val="1"/>
          <w:iCs w:val="1"/>
          <w:u w:val="single" w:color="auto"/>
          <w:color w:val="auto"/>
        </w:rPr>
        <w:t>Federal Home Loan Bank Funding Agreements, Reported in Policyholder Account Balances</w:t>
      </w:r>
    </w:p>
    <w:p>
      <w:pPr>
        <w:spacing w:after="0" w:line="117" w:lineRule="exact"/>
        <w:rPr>
          <w:sz w:val="20"/>
          <w:szCs w:val="20"/>
          <w:color w:val="auto"/>
        </w:rPr>
      </w:pPr>
    </w:p>
    <w:p>
      <w:pPr>
        <w:jc w:val="both"/>
        <w:ind w:left="340" w:firstLine="324"/>
        <w:spacing w:after="0" w:line="276" w:lineRule="auto"/>
        <w:rPr>
          <w:sz w:val="20"/>
          <w:szCs w:val="20"/>
          <w:color w:val="auto"/>
        </w:rPr>
      </w:pPr>
      <w:r>
        <w:rPr>
          <w:rFonts w:ascii="Arial" w:cs="Arial" w:eastAsia="Arial" w:hAnsi="Arial"/>
          <w:sz w:val="17"/>
          <w:szCs w:val="17"/>
          <w:color w:val="auto"/>
        </w:rPr>
        <w:t>Brighthouse Insurance is a member of the FHLB of Pittsburgh and has obligations outstanding with certain regional banks in the FHLB system. During the nine months ended September 30, 2017 and 2016, we issued $0 and $4.2 billion, respectively, and repaid $50 million and $4.2 billion, respectively, under funding agreements with certain regional FHLBs. At September 30, 2017 and December 31, 2016, total obligations outstanding under these funding agreements were $595 million and $645 million, respectively. See Note 4 of the Notes to the Combined Financial Statements included in the Form 10. Activity related to these funding agreements is reported in the Run-off segment.</w:t>
      </w:r>
    </w:p>
    <w:p>
      <w:pPr>
        <w:spacing w:after="0" w:line="64" w:lineRule="exact"/>
        <w:rPr>
          <w:sz w:val="20"/>
          <w:szCs w:val="20"/>
          <w:color w:val="auto"/>
        </w:rPr>
      </w:pPr>
    </w:p>
    <w:p>
      <w:pPr>
        <w:ind w:left="340"/>
        <w:spacing w:after="0"/>
        <w:rPr>
          <w:sz w:val="20"/>
          <w:szCs w:val="20"/>
          <w:color w:val="auto"/>
        </w:rPr>
      </w:pPr>
      <w:r>
        <w:rPr>
          <w:rFonts w:ascii="Arial" w:cs="Arial" w:eastAsia="Arial" w:hAnsi="Arial"/>
          <w:sz w:val="18"/>
          <w:szCs w:val="18"/>
          <w:i w:val="1"/>
          <w:iCs w:val="1"/>
          <w:u w:val="single" w:color="auto"/>
          <w:color w:val="auto"/>
        </w:rPr>
        <w:t>Special Purpose Entity Funding Agreements, Reported in Policyholder Account Balances</w:t>
      </w:r>
    </w:p>
    <w:p>
      <w:pPr>
        <w:spacing w:after="0" w:line="117" w:lineRule="exact"/>
        <w:rPr>
          <w:sz w:val="20"/>
          <w:szCs w:val="20"/>
          <w:color w:val="auto"/>
        </w:rPr>
      </w:pPr>
    </w:p>
    <w:p>
      <w:pPr>
        <w:jc w:val="both"/>
        <w:ind w:left="340" w:firstLine="324"/>
        <w:spacing w:after="0" w:line="273" w:lineRule="auto"/>
        <w:rPr>
          <w:sz w:val="20"/>
          <w:szCs w:val="20"/>
          <w:color w:val="auto"/>
        </w:rPr>
      </w:pPr>
      <w:r>
        <w:rPr>
          <w:rFonts w:ascii="Arial" w:cs="Arial" w:eastAsia="Arial" w:hAnsi="Arial"/>
          <w:sz w:val="17"/>
          <w:szCs w:val="17"/>
          <w:color w:val="auto"/>
        </w:rPr>
        <w:t>Brighthouse Insurance issued fixed and floating rate funding agreements which are denominated in either U.S. dollars or foreign currencies, to certain special purpose entities that have issued either debt securities or commercial paper for which payment of interest and principal is secured by such funding agreements. During the nine months ended September 30, 2017 and 2016, we issued $0 and $1.4 billion, respectively, and repaid $6 million and $3.4 billion, respectively, under such funding agreements. At September 30, 2017 and December 31, 2016, total obligations outstanding under these funding agreements were $138 million and $127 million, respectively. See Note 4 of the Notes to the Combined Financial Statements included in the Form 10. Activity related to these funding agreements is reported in the Run-off segment.</w:t>
      </w:r>
    </w:p>
    <w:p>
      <w:pPr>
        <w:spacing w:after="0" w:line="70" w:lineRule="exact"/>
        <w:rPr>
          <w:sz w:val="20"/>
          <w:szCs w:val="20"/>
          <w:color w:val="auto"/>
        </w:rPr>
      </w:pPr>
    </w:p>
    <w:p>
      <w:pPr>
        <w:ind w:left="340"/>
        <w:spacing w:after="0"/>
        <w:rPr>
          <w:sz w:val="20"/>
          <w:szCs w:val="20"/>
          <w:color w:val="auto"/>
        </w:rPr>
      </w:pPr>
      <w:r>
        <w:rPr>
          <w:rFonts w:ascii="Arial" w:cs="Arial" w:eastAsia="Arial" w:hAnsi="Arial"/>
          <w:sz w:val="18"/>
          <w:szCs w:val="18"/>
          <w:i w:val="1"/>
          <w:iCs w:val="1"/>
          <w:u w:val="single" w:color="auto"/>
          <w:color w:val="auto"/>
        </w:rPr>
        <w:t>Federal Agricultural Mortgage Corporation Funding Agreements, Reported in Policyholder Account Balances</w:t>
      </w:r>
    </w:p>
    <w:p>
      <w:pPr>
        <w:spacing w:after="0" w:line="117" w:lineRule="exact"/>
        <w:rPr>
          <w:sz w:val="20"/>
          <w:szCs w:val="20"/>
          <w:color w:val="auto"/>
        </w:rPr>
      </w:pPr>
    </w:p>
    <w:p>
      <w:pPr>
        <w:jc w:val="both"/>
        <w:ind w:left="340" w:firstLine="324"/>
        <w:spacing w:after="0" w:line="276" w:lineRule="auto"/>
        <w:rPr>
          <w:sz w:val="20"/>
          <w:szCs w:val="20"/>
          <w:color w:val="auto"/>
        </w:rPr>
      </w:pPr>
      <w:r>
        <w:rPr>
          <w:rFonts w:ascii="Arial" w:cs="Arial" w:eastAsia="Arial" w:hAnsi="Arial"/>
          <w:sz w:val="17"/>
          <w:szCs w:val="17"/>
          <w:color w:val="auto"/>
        </w:rPr>
        <w:t>Brighthouse Insurance issued funding agreements to a subsidiary of the Federal Agricultural Mortgage Corporation. The obligations under all such funding agreements are secured by a pledge of certain eligible agricultural real estate mortgage loans. During the nine months ended September 30, 2017 and 2016, there were no issuances or repayments under such funding agreements. At September 30, 2017 and December 31, 2016, there were no obligations outstanding under these funding agreements. See Note 4 of the Notes to the Combined Financial Statements included in the Form 10. Activities related to these funding agreements are reported in the Run-off segment.</w:t>
      </w:r>
    </w:p>
    <w:p>
      <w:pPr>
        <w:spacing w:after="0" w:line="64" w:lineRule="exact"/>
        <w:rPr>
          <w:sz w:val="20"/>
          <w:szCs w:val="20"/>
          <w:color w:val="auto"/>
        </w:rPr>
      </w:pPr>
    </w:p>
    <w:p>
      <w:pPr>
        <w:ind w:left="340"/>
        <w:spacing w:after="0"/>
        <w:rPr>
          <w:sz w:val="20"/>
          <w:szCs w:val="20"/>
          <w:color w:val="auto"/>
        </w:rPr>
      </w:pPr>
      <w:r>
        <w:rPr>
          <w:rFonts w:ascii="Arial" w:cs="Arial" w:eastAsia="Arial" w:hAnsi="Arial"/>
          <w:sz w:val="18"/>
          <w:szCs w:val="18"/>
          <w:i w:val="1"/>
          <w:iCs w:val="1"/>
          <w:u w:val="single" w:color="auto"/>
          <w:color w:val="auto"/>
        </w:rPr>
        <w:t>Credit and Committed Facilities</w:t>
      </w:r>
    </w:p>
    <w:p>
      <w:pPr>
        <w:spacing w:after="0" w:line="117" w:lineRule="exact"/>
        <w:rPr>
          <w:sz w:val="20"/>
          <w:szCs w:val="20"/>
          <w:color w:val="auto"/>
        </w:rPr>
      </w:pPr>
    </w:p>
    <w:p>
      <w:pPr>
        <w:jc w:val="both"/>
        <w:ind w:left="340" w:firstLine="324"/>
        <w:spacing w:after="0" w:line="257" w:lineRule="auto"/>
        <w:rPr>
          <w:sz w:val="20"/>
          <w:szCs w:val="20"/>
          <w:color w:val="auto"/>
        </w:rPr>
      </w:pPr>
      <w:r>
        <w:rPr>
          <w:rFonts w:ascii="Arial" w:cs="Arial" w:eastAsia="Arial" w:hAnsi="Arial"/>
          <w:sz w:val="18"/>
          <w:szCs w:val="18"/>
          <w:color w:val="auto"/>
        </w:rPr>
        <w:t>In connection with the Separation, we entered into a $2.0 billion senior unsecured revolving credit facility, dated as of December 2, 2016, that matures on December 2, 2021 (the “Revolving Credit Facility”) and a $600 million senior unsecured delayed draw term loan facility, dated as of July 21, 2017, that matures on December 2, 2019 (the “2017 Term Loan Facility.”) See “— Parent Company — Capital.” See Note 11 of the Notes to the Combined Financial Statements in the Form 10 and Note 7 of the Notes to the Interim Condensed Consolidated and Combined Financial Statements for further information about the term loan facility.</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128</w:t>
      </w:r>
    </w:p>
    <w:p>
      <w:pPr>
        <w:sectPr>
          <w:pgSz w:w="11900" w:h="16838" w:orient="portrait"/>
          <w:cols w:equalWidth="0" w:num="1">
            <w:col w:w="11420"/>
          </w:cols>
          <w:pgMar w:left="240" w:top="126" w:right="239" w:bottom="1440" w:gutter="0" w:footer="0" w:header="0"/>
        </w:sectPr>
      </w:pPr>
    </w:p>
    <w:bookmarkStart w:id="130" w:name="page131"/>
    <w:bookmarkEnd w:id="130"/>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340"/>
        <w:spacing w:after="0"/>
        <w:rPr>
          <w:sz w:val="20"/>
          <w:szCs w:val="20"/>
          <w:color w:val="auto"/>
        </w:rPr>
      </w:pPr>
      <w:r>
        <w:rPr>
          <w:rFonts w:ascii="Arial" w:cs="Arial" w:eastAsia="Arial" w:hAnsi="Arial"/>
          <w:sz w:val="18"/>
          <w:szCs w:val="18"/>
          <w:i w:val="1"/>
          <w:iCs w:val="1"/>
          <w:u w:val="single" w:color="auto"/>
          <w:color w:val="auto"/>
        </w:rPr>
        <w:t>Reinsurance Financing Arrangement</w:t>
      </w:r>
    </w:p>
    <w:p>
      <w:pPr>
        <w:spacing w:after="0" w:line="117" w:lineRule="exact"/>
        <w:rPr>
          <w:sz w:val="20"/>
          <w:szCs w:val="20"/>
          <w:color w:val="auto"/>
        </w:rPr>
      </w:pPr>
    </w:p>
    <w:p>
      <w:pPr>
        <w:jc w:val="both"/>
        <w:ind w:left="340" w:firstLine="324"/>
        <w:spacing w:after="0" w:line="264" w:lineRule="auto"/>
        <w:rPr>
          <w:sz w:val="20"/>
          <w:szCs w:val="20"/>
          <w:color w:val="auto"/>
        </w:rPr>
      </w:pPr>
      <w:r>
        <w:rPr>
          <w:rFonts w:ascii="Arial" w:cs="Arial" w:eastAsia="Arial" w:hAnsi="Arial"/>
          <w:sz w:val="18"/>
          <w:szCs w:val="18"/>
          <w:color w:val="auto"/>
        </w:rPr>
        <w:t>On April 28, 2017, BRCD entered into a financing arrangement with a pool of highly rated third party reinsurers and a total capacity of $10 billion. This financing arrangement consists of credit-linked notes that each have a term of 20 years. At September 30, 2017, there were no drawdowns on such notes and there was $8.1 billion of funding available under this arrangement.</w:t>
      </w:r>
    </w:p>
    <w:p>
      <w:pPr>
        <w:spacing w:after="0" w:line="73"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Outstanding Debt and Collateral Financing Arrangement</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summarizes our outstanding debt and collateral financing arrangement liability at:</w:t>
      </w:r>
    </w:p>
    <w:p>
      <w:pPr>
        <w:spacing w:after="0" w:line="392" w:lineRule="exact"/>
        <w:rPr>
          <w:sz w:val="20"/>
          <w:szCs w:val="20"/>
          <w:color w:val="auto"/>
        </w:rPr>
      </w:pPr>
    </w:p>
    <w:tbl>
      <w:tblPr>
        <w:tblLayout w:type="fixed"/>
        <w:tblInd w:w="120" w:type="dxa"/>
        <w:tblCellMar>
          <w:top w:w="0" w:type="dxa"/>
          <w:left w:w="0" w:type="dxa"/>
          <w:bottom w:w="0" w:type="dxa"/>
          <w:right w:w="0" w:type="dxa"/>
        </w:tblCellMar>
      </w:tblPr>
      <w:tr>
        <w:trPr>
          <w:trHeight w:val="186"/>
        </w:trPr>
        <w:tc>
          <w:tcPr>
            <w:tcW w:w="5500" w:type="dxa"/>
            <w:vAlign w:val="bottom"/>
          </w:tcPr>
          <w:p>
            <w:pPr>
              <w:spacing w:after="0"/>
              <w:rPr>
                <w:sz w:val="16"/>
                <w:szCs w:val="16"/>
                <w:color w:val="auto"/>
              </w:rPr>
            </w:pPr>
          </w:p>
        </w:tc>
        <w:tc>
          <w:tcPr>
            <w:tcW w:w="1560" w:type="dxa"/>
            <w:vAlign w:val="bottom"/>
            <w:vMerge w:val="restart"/>
          </w:tcPr>
          <w:p>
            <w:pPr>
              <w:jc w:val="center"/>
              <w:ind w:right="121"/>
              <w:spacing w:after="0"/>
              <w:rPr>
                <w:sz w:val="20"/>
                <w:szCs w:val="20"/>
                <w:color w:val="auto"/>
              </w:rPr>
            </w:pPr>
            <w:r>
              <w:rPr>
                <w:rFonts w:ascii="Arial" w:cs="Arial" w:eastAsia="Arial" w:hAnsi="Arial"/>
                <w:sz w:val="14"/>
                <w:szCs w:val="14"/>
                <w:b w:val="1"/>
                <w:bCs w:val="1"/>
                <w:color w:val="auto"/>
                <w:w w:val="94"/>
              </w:rPr>
              <w:t>Interest</w:t>
            </w:r>
          </w:p>
        </w:tc>
        <w:tc>
          <w:tcPr>
            <w:tcW w:w="13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80" w:type="dxa"/>
            <w:vAlign w:val="bottom"/>
            <w:gridSpan w:val="2"/>
          </w:tcPr>
          <w:p>
            <w:pPr>
              <w:ind w:left="60"/>
              <w:spacing w:after="0"/>
              <w:rPr>
                <w:sz w:val="20"/>
                <w:szCs w:val="20"/>
                <w:color w:val="auto"/>
              </w:rPr>
            </w:pPr>
            <w:r>
              <w:rPr>
                <w:rFonts w:ascii="Arial" w:cs="Arial" w:eastAsia="Arial" w:hAnsi="Arial"/>
                <w:sz w:val="14"/>
                <w:szCs w:val="14"/>
                <w:b w:val="1"/>
                <w:bCs w:val="1"/>
                <w:color w:val="auto"/>
              </w:rPr>
              <w:t>September 30,</w:t>
            </w:r>
          </w:p>
        </w:tc>
        <w:tc>
          <w:tcPr>
            <w:tcW w:w="180" w:type="dxa"/>
            <w:vAlign w:val="bottom"/>
          </w:tcPr>
          <w:p>
            <w:pPr>
              <w:spacing w:after="0"/>
              <w:rPr>
                <w:sz w:val="16"/>
                <w:szCs w:val="16"/>
                <w:color w:val="auto"/>
              </w:rPr>
            </w:pPr>
          </w:p>
        </w:tc>
        <w:tc>
          <w:tcPr>
            <w:tcW w:w="1160" w:type="dxa"/>
            <w:vAlign w:val="bottom"/>
          </w:tcPr>
          <w:p>
            <w:pPr>
              <w:jc w:val="right"/>
              <w:ind w:right="181"/>
              <w:spacing w:after="0"/>
              <w:rPr>
                <w:sz w:val="20"/>
                <w:szCs w:val="20"/>
                <w:color w:val="auto"/>
              </w:rPr>
            </w:pPr>
            <w:r>
              <w:rPr>
                <w:rFonts w:ascii="Arial" w:cs="Arial" w:eastAsia="Arial" w:hAnsi="Arial"/>
                <w:sz w:val="14"/>
                <w:szCs w:val="14"/>
                <w:b w:val="1"/>
                <w:bCs w:val="1"/>
                <w:color w:val="auto"/>
                <w:w w:val="96"/>
              </w:rPr>
              <w:t>December 31,</w:t>
            </w:r>
          </w:p>
        </w:tc>
        <w:tc>
          <w:tcPr>
            <w:tcW w:w="0" w:type="dxa"/>
            <w:vAlign w:val="bottom"/>
          </w:tcPr>
          <w:p>
            <w:pPr>
              <w:spacing w:after="0"/>
              <w:rPr>
                <w:sz w:val="1"/>
                <w:szCs w:val="1"/>
                <w:color w:val="auto"/>
              </w:rPr>
            </w:pPr>
          </w:p>
        </w:tc>
      </w:tr>
      <w:tr>
        <w:trPr>
          <w:trHeight w:val="84"/>
        </w:trPr>
        <w:tc>
          <w:tcPr>
            <w:tcW w:w="5500" w:type="dxa"/>
            <w:vAlign w:val="bottom"/>
          </w:tcPr>
          <w:p>
            <w:pPr>
              <w:spacing w:after="0"/>
              <w:rPr>
                <w:sz w:val="7"/>
                <w:szCs w:val="7"/>
                <w:color w:val="auto"/>
              </w:rPr>
            </w:pPr>
          </w:p>
        </w:tc>
        <w:tc>
          <w:tcPr>
            <w:tcW w:w="1560" w:type="dxa"/>
            <w:vAlign w:val="bottom"/>
            <w:vMerge w:val="continue"/>
          </w:tcPr>
          <w:p>
            <w:pPr>
              <w:spacing w:after="0"/>
              <w:rPr>
                <w:sz w:val="7"/>
                <w:szCs w:val="7"/>
                <w:color w:val="auto"/>
              </w:rPr>
            </w:pPr>
          </w:p>
        </w:tc>
        <w:tc>
          <w:tcPr>
            <w:tcW w:w="1360" w:type="dxa"/>
            <w:vAlign w:val="bottom"/>
            <w:vMerge w:val="restart"/>
          </w:tcPr>
          <w:p>
            <w:pPr>
              <w:jc w:val="center"/>
              <w:ind w:right="121"/>
              <w:spacing w:after="0"/>
              <w:rPr>
                <w:sz w:val="20"/>
                <w:szCs w:val="20"/>
                <w:color w:val="auto"/>
              </w:rPr>
            </w:pPr>
            <w:r>
              <w:rPr>
                <w:rFonts w:ascii="Arial" w:cs="Arial" w:eastAsia="Arial" w:hAnsi="Arial"/>
                <w:sz w:val="14"/>
                <w:szCs w:val="14"/>
                <w:b w:val="1"/>
                <w:bCs w:val="1"/>
                <w:color w:val="auto"/>
              </w:rPr>
              <w:t>Maturity</w:t>
            </w:r>
          </w:p>
        </w:tc>
        <w:tc>
          <w:tcPr>
            <w:tcW w:w="160" w:type="dxa"/>
            <w:vAlign w:val="bottom"/>
          </w:tcPr>
          <w:p>
            <w:pPr>
              <w:spacing w:after="0"/>
              <w:rPr>
                <w:sz w:val="7"/>
                <w:szCs w:val="7"/>
                <w:color w:val="auto"/>
              </w:rPr>
            </w:pPr>
          </w:p>
        </w:tc>
        <w:tc>
          <w:tcPr>
            <w:tcW w:w="1180" w:type="dxa"/>
            <w:vAlign w:val="bottom"/>
            <w:vMerge w:val="restart"/>
          </w:tcPr>
          <w:p>
            <w:pPr>
              <w:jc w:val="right"/>
              <w:ind w:right="461"/>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7"/>
                <w:szCs w:val="7"/>
                <w:color w:val="auto"/>
              </w:rPr>
            </w:pPr>
          </w:p>
        </w:tc>
        <w:tc>
          <w:tcPr>
            <w:tcW w:w="180" w:type="dxa"/>
            <w:vAlign w:val="bottom"/>
          </w:tcPr>
          <w:p>
            <w:pPr>
              <w:spacing w:after="0"/>
              <w:rPr>
                <w:sz w:val="7"/>
                <w:szCs w:val="7"/>
                <w:color w:val="auto"/>
              </w:rPr>
            </w:pPr>
          </w:p>
        </w:tc>
        <w:tc>
          <w:tcPr>
            <w:tcW w:w="1160" w:type="dxa"/>
            <w:vAlign w:val="bottom"/>
            <w:vMerge w:val="restart"/>
          </w:tcPr>
          <w:p>
            <w:pPr>
              <w:jc w:val="right"/>
              <w:ind w:right="441"/>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192"/>
        </w:trPr>
        <w:tc>
          <w:tcPr>
            <w:tcW w:w="5500" w:type="dxa"/>
            <w:vAlign w:val="bottom"/>
          </w:tcPr>
          <w:p>
            <w:pPr>
              <w:spacing w:after="0"/>
              <w:rPr>
                <w:sz w:val="16"/>
                <w:szCs w:val="16"/>
                <w:color w:val="auto"/>
              </w:rPr>
            </w:pPr>
          </w:p>
        </w:tc>
        <w:tc>
          <w:tcPr>
            <w:tcW w:w="1560" w:type="dxa"/>
            <w:vAlign w:val="bottom"/>
            <w:tcBorders>
              <w:bottom w:val="single" w:sz="8" w:color="auto"/>
            </w:tcBorders>
          </w:tcPr>
          <w:p>
            <w:pPr>
              <w:jc w:val="center"/>
              <w:ind w:right="121"/>
              <w:spacing w:after="0"/>
              <w:rPr>
                <w:sz w:val="20"/>
                <w:szCs w:val="20"/>
                <w:color w:val="auto"/>
              </w:rPr>
            </w:pPr>
            <w:r>
              <w:rPr>
                <w:rFonts w:ascii="Arial" w:cs="Arial" w:eastAsia="Arial" w:hAnsi="Arial"/>
                <w:sz w:val="14"/>
                <w:szCs w:val="14"/>
                <w:b w:val="1"/>
                <w:bCs w:val="1"/>
                <w:color w:val="auto"/>
                <w:w w:val="92"/>
              </w:rPr>
              <w:t>Rate</w:t>
            </w:r>
          </w:p>
        </w:tc>
        <w:tc>
          <w:tcPr>
            <w:tcW w:w="1360" w:type="dxa"/>
            <w:vAlign w:val="bottom"/>
            <w:tcBorders>
              <w:bottom w:val="single" w:sz="8" w:color="auto"/>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550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2800" w:type="dxa"/>
            <w:vAlign w:val="bottom"/>
            <w:gridSpan w:val="4"/>
          </w:tcPr>
          <w:p>
            <w:pPr>
              <w:ind w:left="680"/>
              <w:spacing w:after="0"/>
              <w:rPr>
                <w:sz w:val="20"/>
                <w:szCs w:val="20"/>
                <w:color w:val="auto"/>
              </w:rPr>
            </w:pPr>
            <w:r>
              <w:rPr>
                <w:rFonts w:ascii="Arial" w:cs="Arial" w:eastAsia="Arial" w:hAnsi="Arial"/>
                <w:sz w:val="14"/>
                <w:szCs w:val="14"/>
                <w:b w:val="1"/>
                <w:bCs w:val="1"/>
                <w:color w:val="auto"/>
              </w:rPr>
              <w:t>(Dollars in millions)</w:t>
            </w:r>
          </w:p>
        </w:tc>
        <w:tc>
          <w:tcPr>
            <w:tcW w:w="1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5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Senior notes — unaffiliated</w:t>
            </w:r>
          </w:p>
        </w:tc>
        <w:tc>
          <w:tcPr>
            <w:tcW w:w="1560" w:type="dxa"/>
            <w:vAlign w:val="bottom"/>
            <w:tcBorders>
              <w:bottom w:val="single" w:sz="8" w:color="CCEEFF"/>
            </w:tcBorders>
            <w:shd w:val="clear" w:color="auto" w:fill="CCEEFF"/>
          </w:tcPr>
          <w:p>
            <w:pPr>
              <w:jc w:val="center"/>
              <w:ind w:right="141"/>
              <w:spacing w:after="0"/>
              <w:rPr>
                <w:sz w:val="20"/>
                <w:szCs w:val="20"/>
                <w:color w:val="auto"/>
              </w:rPr>
            </w:pPr>
            <w:r>
              <w:rPr>
                <w:rFonts w:ascii="Arial" w:cs="Arial" w:eastAsia="Arial" w:hAnsi="Arial"/>
                <w:sz w:val="16"/>
                <w:szCs w:val="16"/>
                <w:color w:val="auto"/>
                <w:w w:val="92"/>
              </w:rPr>
              <w:t>3.700%</w:t>
            </w:r>
          </w:p>
        </w:tc>
        <w:tc>
          <w:tcPr>
            <w:tcW w:w="1360" w:type="dxa"/>
            <w:vAlign w:val="bottom"/>
            <w:tcBorders>
              <w:bottom w:val="single" w:sz="8" w:color="CCEEFF"/>
            </w:tcBorders>
            <w:shd w:val="clear" w:color="auto" w:fill="CCEEFF"/>
          </w:tcPr>
          <w:p>
            <w:pPr>
              <w:jc w:val="center"/>
              <w:ind w:right="121"/>
              <w:spacing w:after="0"/>
              <w:rPr>
                <w:sz w:val="20"/>
                <w:szCs w:val="20"/>
                <w:color w:val="auto"/>
              </w:rPr>
            </w:pPr>
            <w:r>
              <w:rPr>
                <w:rFonts w:ascii="Arial" w:cs="Arial" w:eastAsia="Arial" w:hAnsi="Arial"/>
                <w:sz w:val="16"/>
                <w:szCs w:val="16"/>
                <w:color w:val="auto"/>
                <w:w w:val="89"/>
              </w:rPr>
              <w:t>2027</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1,489</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5500" w:type="dxa"/>
            <w:vAlign w:val="bottom"/>
          </w:tcPr>
          <w:p>
            <w:pPr>
              <w:ind w:left="20"/>
              <w:spacing w:after="0"/>
              <w:rPr>
                <w:sz w:val="20"/>
                <w:szCs w:val="20"/>
                <w:color w:val="auto"/>
              </w:rPr>
            </w:pPr>
            <w:r>
              <w:rPr>
                <w:rFonts w:ascii="Arial" w:cs="Arial" w:eastAsia="Arial" w:hAnsi="Arial"/>
                <w:sz w:val="16"/>
                <w:szCs w:val="16"/>
                <w:color w:val="auto"/>
              </w:rPr>
              <w:t>Senior notes — unaffiliated</w:t>
            </w:r>
          </w:p>
        </w:tc>
        <w:tc>
          <w:tcPr>
            <w:tcW w:w="1560" w:type="dxa"/>
            <w:vAlign w:val="bottom"/>
          </w:tcPr>
          <w:p>
            <w:pPr>
              <w:jc w:val="center"/>
              <w:ind w:right="141"/>
              <w:spacing w:after="0"/>
              <w:rPr>
                <w:sz w:val="20"/>
                <w:szCs w:val="20"/>
                <w:color w:val="auto"/>
              </w:rPr>
            </w:pPr>
            <w:r>
              <w:rPr>
                <w:rFonts w:ascii="Arial" w:cs="Arial" w:eastAsia="Arial" w:hAnsi="Arial"/>
                <w:sz w:val="16"/>
                <w:szCs w:val="16"/>
                <w:color w:val="auto"/>
                <w:w w:val="92"/>
              </w:rPr>
              <w:t>4.700%</w:t>
            </w:r>
          </w:p>
        </w:tc>
        <w:tc>
          <w:tcPr>
            <w:tcW w:w="1360" w:type="dxa"/>
            <w:vAlign w:val="bottom"/>
          </w:tcPr>
          <w:p>
            <w:pPr>
              <w:jc w:val="center"/>
              <w:ind w:right="121"/>
              <w:spacing w:after="0"/>
              <w:rPr>
                <w:sz w:val="20"/>
                <w:szCs w:val="20"/>
                <w:color w:val="auto"/>
              </w:rPr>
            </w:pPr>
            <w:r>
              <w:rPr>
                <w:rFonts w:ascii="Arial" w:cs="Arial" w:eastAsia="Arial" w:hAnsi="Arial"/>
                <w:sz w:val="16"/>
                <w:szCs w:val="16"/>
                <w:color w:val="auto"/>
                <w:w w:val="89"/>
              </w:rPr>
              <w:t>2047</w:t>
            </w:r>
          </w:p>
        </w:tc>
        <w:tc>
          <w:tcPr>
            <w:tcW w:w="160" w:type="dxa"/>
            <w:vAlign w:val="bottom"/>
          </w:tcPr>
          <w:p>
            <w:pPr>
              <w:spacing w:after="0"/>
              <w:rPr>
                <w:sz w:val="20"/>
                <w:szCs w:val="20"/>
                <w:color w:val="auto"/>
              </w:rPr>
            </w:pPr>
          </w:p>
        </w:tc>
        <w:tc>
          <w:tcPr>
            <w:tcW w:w="1180" w:type="dxa"/>
            <w:vAlign w:val="bottom"/>
          </w:tcPr>
          <w:p>
            <w:pPr>
              <w:jc w:val="right"/>
              <w:ind w:right="41"/>
              <w:spacing w:after="0"/>
              <w:rPr>
                <w:sz w:val="20"/>
                <w:szCs w:val="20"/>
                <w:color w:val="auto"/>
              </w:rPr>
            </w:pPr>
            <w:r>
              <w:rPr>
                <w:rFonts w:ascii="Arial" w:cs="Arial" w:eastAsia="Arial" w:hAnsi="Arial"/>
                <w:sz w:val="16"/>
                <w:szCs w:val="16"/>
                <w:color w:val="auto"/>
              </w:rPr>
              <w:t>1,476</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55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Surplus notes — affiliated with MetLife, Inc.</w:t>
            </w:r>
          </w:p>
        </w:tc>
        <w:tc>
          <w:tcPr>
            <w:tcW w:w="1560" w:type="dxa"/>
            <w:vAlign w:val="bottom"/>
            <w:tcBorders>
              <w:bottom w:val="single" w:sz="8" w:color="CCEEFF"/>
            </w:tcBorders>
            <w:shd w:val="clear" w:color="auto" w:fill="CCEEFF"/>
          </w:tcPr>
          <w:p>
            <w:pPr>
              <w:jc w:val="center"/>
              <w:ind w:right="141"/>
              <w:spacing w:after="0"/>
              <w:rPr>
                <w:sz w:val="20"/>
                <w:szCs w:val="20"/>
                <w:color w:val="auto"/>
              </w:rPr>
            </w:pPr>
            <w:r>
              <w:rPr>
                <w:rFonts w:ascii="Arial" w:cs="Arial" w:eastAsia="Arial" w:hAnsi="Arial"/>
                <w:sz w:val="16"/>
                <w:szCs w:val="16"/>
                <w:color w:val="auto"/>
                <w:w w:val="92"/>
              </w:rPr>
              <w:t>8.595%</w:t>
            </w:r>
          </w:p>
        </w:tc>
        <w:tc>
          <w:tcPr>
            <w:tcW w:w="1360" w:type="dxa"/>
            <w:vAlign w:val="bottom"/>
            <w:tcBorders>
              <w:bottom w:val="single" w:sz="8" w:color="CCEEFF"/>
            </w:tcBorders>
            <w:shd w:val="clear" w:color="auto" w:fill="CCEEFF"/>
          </w:tcPr>
          <w:p>
            <w:pPr>
              <w:jc w:val="center"/>
              <w:ind w:right="121"/>
              <w:spacing w:after="0"/>
              <w:rPr>
                <w:sz w:val="20"/>
                <w:szCs w:val="20"/>
                <w:color w:val="auto"/>
              </w:rPr>
            </w:pPr>
            <w:r>
              <w:rPr>
                <w:rFonts w:ascii="Arial" w:cs="Arial" w:eastAsia="Arial" w:hAnsi="Arial"/>
                <w:sz w:val="16"/>
                <w:szCs w:val="16"/>
                <w:color w:val="auto"/>
                <w:w w:val="89"/>
              </w:rPr>
              <w:t>2038</w:t>
            </w:r>
          </w:p>
        </w:tc>
        <w:tc>
          <w:tcPr>
            <w:tcW w:w="1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750</w:t>
            </w:r>
          </w:p>
        </w:tc>
        <w:tc>
          <w:tcPr>
            <w:tcW w:w="0" w:type="dxa"/>
            <w:vAlign w:val="bottom"/>
          </w:tcPr>
          <w:p>
            <w:pPr>
              <w:spacing w:after="0"/>
              <w:rPr>
                <w:sz w:val="1"/>
                <w:szCs w:val="1"/>
                <w:color w:val="auto"/>
              </w:rPr>
            </w:pPr>
          </w:p>
        </w:tc>
      </w:tr>
      <w:tr>
        <w:trPr>
          <w:trHeight w:val="237"/>
        </w:trPr>
        <w:tc>
          <w:tcPr>
            <w:tcW w:w="5500" w:type="dxa"/>
            <w:vAlign w:val="bottom"/>
          </w:tcPr>
          <w:p>
            <w:pPr>
              <w:ind w:left="20"/>
              <w:spacing w:after="0"/>
              <w:rPr>
                <w:sz w:val="20"/>
                <w:szCs w:val="20"/>
                <w:color w:val="auto"/>
              </w:rPr>
            </w:pPr>
            <w:r>
              <w:rPr>
                <w:rFonts w:ascii="Arial" w:cs="Arial" w:eastAsia="Arial" w:hAnsi="Arial"/>
                <w:sz w:val="16"/>
                <w:szCs w:val="16"/>
                <w:color w:val="auto"/>
              </w:rPr>
              <w:t>Surplus note — affiliated with MetLife, Inc.</w:t>
            </w:r>
          </w:p>
        </w:tc>
        <w:tc>
          <w:tcPr>
            <w:tcW w:w="1560" w:type="dxa"/>
            <w:vAlign w:val="bottom"/>
          </w:tcPr>
          <w:p>
            <w:pPr>
              <w:jc w:val="center"/>
              <w:ind w:right="141"/>
              <w:spacing w:after="0"/>
              <w:rPr>
                <w:sz w:val="20"/>
                <w:szCs w:val="20"/>
                <w:color w:val="auto"/>
              </w:rPr>
            </w:pPr>
            <w:r>
              <w:rPr>
                <w:rFonts w:ascii="Arial" w:cs="Arial" w:eastAsia="Arial" w:hAnsi="Arial"/>
                <w:sz w:val="16"/>
                <w:szCs w:val="16"/>
                <w:color w:val="auto"/>
                <w:w w:val="92"/>
              </w:rPr>
              <w:t>5.130%</w:t>
            </w:r>
          </w:p>
        </w:tc>
        <w:tc>
          <w:tcPr>
            <w:tcW w:w="1360" w:type="dxa"/>
            <w:vAlign w:val="bottom"/>
          </w:tcPr>
          <w:p>
            <w:pPr>
              <w:jc w:val="center"/>
              <w:ind w:right="121"/>
              <w:spacing w:after="0"/>
              <w:rPr>
                <w:sz w:val="20"/>
                <w:szCs w:val="20"/>
                <w:color w:val="auto"/>
              </w:rPr>
            </w:pPr>
            <w:r>
              <w:rPr>
                <w:rFonts w:ascii="Arial" w:cs="Arial" w:eastAsia="Arial" w:hAnsi="Arial"/>
                <w:sz w:val="16"/>
                <w:szCs w:val="16"/>
                <w:color w:val="auto"/>
                <w:w w:val="89"/>
              </w:rPr>
              <w:t>2032</w:t>
            </w:r>
          </w:p>
        </w:tc>
        <w:tc>
          <w:tcPr>
            <w:tcW w:w="160" w:type="dxa"/>
            <w:vAlign w:val="bottom"/>
          </w:tcPr>
          <w:p>
            <w:pPr>
              <w:spacing w:after="0"/>
              <w:rPr>
                <w:sz w:val="20"/>
                <w:szCs w:val="20"/>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160" w:type="dxa"/>
            <w:vAlign w:val="bottom"/>
          </w:tcPr>
          <w:p>
            <w:pPr>
              <w:jc w:val="right"/>
              <w:ind w:right="21"/>
              <w:spacing w:after="0"/>
              <w:rPr>
                <w:sz w:val="20"/>
                <w:szCs w:val="20"/>
                <w:color w:val="auto"/>
              </w:rPr>
            </w:pPr>
            <w:r>
              <w:rPr>
                <w:rFonts w:ascii="Arial" w:cs="Arial" w:eastAsia="Arial" w:hAnsi="Arial"/>
                <w:sz w:val="16"/>
                <w:szCs w:val="16"/>
                <w:color w:val="auto"/>
              </w:rPr>
              <w:t>750</w:t>
            </w:r>
          </w:p>
        </w:tc>
        <w:tc>
          <w:tcPr>
            <w:tcW w:w="0" w:type="dxa"/>
            <w:vAlign w:val="bottom"/>
          </w:tcPr>
          <w:p>
            <w:pPr>
              <w:spacing w:after="0"/>
              <w:rPr>
                <w:sz w:val="1"/>
                <w:szCs w:val="1"/>
                <w:color w:val="auto"/>
              </w:rPr>
            </w:pPr>
          </w:p>
        </w:tc>
      </w:tr>
      <w:tr>
        <w:trPr>
          <w:trHeight w:val="33"/>
        </w:trPr>
        <w:tc>
          <w:tcPr>
            <w:tcW w:w="55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Surplus note — affiliated with MetLife, Inc.</w:t>
            </w:r>
          </w:p>
        </w:tc>
        <w:tc>
          <w:tcPr>
            <w:tcW w:w="1560" w:type="dxa"/>
            <w:vAlign w:val="bottom"/>
            <w:tcBorders>
              <w:bottom w:val="single" w:sz="8" w:color="CCEEFF"/>
            </w:tcBorders>
            <w:shd w:val="clear" w:color="auto" w:fill="CCEEFF"/>
          </w:tcPr>
          <w:p>
            <w:pPr>
              <w:jc w:val="center"/>
              <w:ind w:right="141"/>
              <w:spacing w:after="0"/>
              <w:rPr>
                <w:sz w:val="20"/>
                <w:szCs w:val="20"/>
                <w:color w:val="auto"/>
              </w:rPr>
            </w:pPr>
            <w:r>
              <w:rPr>
                <w:rFonts w:ascii="Arial" w:cs="Arial" w:eastAsia="Arial" w:hAnsi="Arial"/>
                <w:sz w:val="16"/>
                <w:szCs w:val="16"/>
                <w:color w:val="auto"/>
                <w:w w:val="92"/>
              </w:rPr>
              <w:t>6.000%</w:t>
            </w:r>
          </w:p>
        </w:tc>
        <w:tc>
          <w:tcPr>
            <w:tcW w:w="1360" w:type="dxa"/>
            <w:vAlign w:val="bottom"/>
            <w:tcBorders>
              <w:bottom w:val="single" w:sz="8" w:color="CCEEFF"/>
            </w:tcBorders>
            <w:shd w:val="clear" w:color="auto" w:fill="CCEEFF"/>
          </w:tcPr>
          <w:p>
            <w:pPr>
              <w:jc w:val="center"/>
              <w:ind w:right="121"/>
              <w:spacing w:after="0"/>
              <w:rPr>
                <w:sz w:val="20"/>
                <w:szCs w:val="20"/>
                <w:color w:val="auto"/>
              </w:rPr>
            </w:pPr>
            <w:r>
              <w:rPr>
                <w:rFonts w:ascii="Arial" w:cs="Arial" w:eastAsia="Arial" w:hAnsi="Arial"/>
                <w:sz w:val="16"/>
                <w:szCs w:val="16"/>
                <w:color w:val="auto"/>
                <w:w w:val="89"/>
              </w:rPr>
              <w:t>2033</w:t>
            </w:r>
          </w:p>
        </w:tc>
        <w:tc>
          <w:tcPr>
            <w:tcW w:w="1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350</w:t>
            </w:r>
          </w:p>
        </w:tc>
        <w:tc>
          <w:tcPr>
            <w:tcW w:w="0" w:type="dxa"/>
            <w:vAlign w:val="bottom"/>
          </w:tcPr>
          <w:p>
            <w:pPr>
              <w:spacing w:after="0"/>
              <w:rPr>
                <w:sz w:val="1"/>
                <w:szCs w:val="1"/>
                <w:color w:val="auto"/>
              </w:rPr>
            </w:pPr>
          </w:p>
        </w:tc>
      </w:tr>
      <w:tr>
        <w:trPr>
          <w:trHeight w:val="237"/>
        </w:trPr>
        <w:tc>
          <w:tcPr>
            <w:tcW w:w="5500" w:type="dxa"/>
            <w:vAlign w:val="bottom"/>
          </w:tcPr>
          <w:p>
            <w:pPr>
              <w:ind w:left="20"/>
              <w:spacing w:after="0"/>
              <w:rPr>
                <w:sz w:val="20"/>
                <w:szCs w:val="20"/>
                <w:color w:val="auto"/>
              </w:rPr>
            </w:pPr>
            <w:r>
              <w:rPr>
                <w:rFonts w:ascii="Arial" w:cs="Arial" w:eastAsia="Arial" w:hAnsi="Arial"/>
                <w:sz w:val="16"/>
                <w:szCs w:val="16"/>
                <w:color w:val="auto"/>
              </w:rPr>
              <w:t>Long-term debt — unaffiliated (1), (2)</w:t>
            </w:r>
          </w:p>
        </w:tc>
        <w:tc>
          <w:tcPr>
            <w:tcW w:w="1560" w:type="dxa"/>
            <w:vAlign w:val="bottom"/>
          </w:tcPr>
          <w:p>
            <w:pPr>
              <w:jc w:val="center"/>
              <w:ind w:right="141"/>
              <w:spacing w:after="0"/>
              <w:rPr>
                <w:sz w:val="20"/>
                <w:szCs w:val="20"/>
                <w:color w:val="auto"/>
              </w:rPr>
            </w:pPr>
            <w:r>
              <w:rPr>
                <w:rFonts w:ascii="Arial" w:cs="Arial" w:eastAsia="Arial" w:hAnsi="Arial"/>
                <w:sz w:val="16"/>
                <w:szCs w:val="16"/>
                <w:color w:val="auto"/>
                <w:w w:val="92"/>
              </w:rPr>
              <w:t>7.028%</w:t>
            </w:r>
          </w:p>
        </w:tc>
        <w:tc>
          <w:tcPr>
            <w:tcW w:w="1360" w:type="dxa"/>
            <w:vAlign w:val="bottom"/>
          </w:tcPr>
          <w:p>
            <w:pPr>
              <w:jc w:val="center"/>
              <w:ind w:right="121"/>
              <w:spacing w:after="0"/>
              <w:rPr>
                <w:sz w:val="20"/>
                <w:szCs w:val="20"/>
                <w:color w:val="auto"/>
              </w:rPr>
            </w:pPr>
            <w:r>
              <w:rPr>
                <w:rFonts w:ascii="Arial" w:cs="Arial" w:eastAsia="Arial" w:hAnsi="Arial"/>
                <w:sz w:val="16"/>
                <w:szCs w:val="16"/>
                <w:color w:val="auto"/>
                <w:w w:val="89"/>
              </w:rPr>
              <w:t>2030</w:t>
            </w:r>
          </w:p>
        </w:tc>
        <w:tc>
          <w:tcPr>
            <w:tcW w:w="160" w:type="dxa"/>
            <w:vAlign w:val="bottom"/>
          </w:tcPr>
          <w:p>
            <w:pPr>
              <w:spacing w:after="0"/>
              <w:rPr>
                <w:sz w:val="20"/>
                <w:szCs w:val="20"/>
                <w:color w:val="auto"/>
              </w:rPr>
            </w:pPr>
          </w:p>
        </w:tc>
        <w:tc>
          <w:tcPr>
            <w:tcW w:w="1180" w:type="dxa"/>
            <w:vAlign w:val="bottom"/>
          </w:tcPr>
          <w:p>
            <w:pPr>
              <w:jc w:val="right"/>
              <w:ind w:right="41"/>
              <w:spacing w:after="0"/>
              <w:rPr>
                <w:sz w:val="20"/>
                <w:szCs w:val="20"/>
                <w:color w:val="auto"/>
              </w:rPr>
            </w:pPr>
            <w:r>
              <w:rPr>
                <w:rFonts w:ascii="Arial" w:cs="Arial" w:eastAsia="Arial" w:hAnsi="Arial"/>
                <w:sz w:val="16"/>
                <w:szCs w:val="16"/>
                <w:color w:val="auto"/>
              </w:rPr>
              <w:t>36</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jc w:val="right"/>
              <w:ind w:right="21"/>
              <w:spacing w:after="0"/>
              <w:rPr>
                <w:sz w:val="20"/>
                <w:szCs w:val="20"/>
                <w:color w:val="auto"/>
              </w:rPr>
            </w:pPr>
            <w:r>
              <w:rPr>
                <w:rFonts w:ascii="Arial" w:cs="Arial" w:eastAsia="Arial" w:hAnsi="Arial"/>
                <w:sz w:val="16"/>
                <w:szCs w:val="16"/>
                <w:color w:val="auto"/>
              </w:rPr>
              <w:t>37</w:t>
            </w:r>
          </w:p>
        </w:tc>
        <w:tc>
          <w:tcPr>
            <w:tcW w:w="0" w:type="dxa"/>
            <w:vAlign w:val="bottom"/>
          </w:tcPr>
          <w:p>
            <w:pPr>
              <w:spacing w:after="0"/>
              <w:rPr>
                <w:sz w:val="1"/>
                <w:szCs w:val="1"/>
                <w:color w:val="auto"/>
              </w:rPr>
            </w:pPr>
          </w:p>
        </w:tc>
      </w:tr>
      <w:tr>
        <w:trPr>
          <w:trHeight w:val="33"/>
        </w:trPr>
        <w:tc>
          <w:tcPr>
            <w:tcW w:w="55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4"/>
        </w:trPr>
        <w:tc>
          <w:tcPr>
            <w:tcW w:w="5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Term loan — unaffiliated</w:t>
            </w:r>
          </w:p>
        </w:tc>
        <w:tc>
          <w:tcPr>
            <w:tcW w:w="1560" w:type="dxa"/>
            <w:vAlign w:val="bottom"/>
            <w:vMerge w:val="restart"/>
            <w:shd w:val="clear" w:color="auto" w:fill="CCEEFF"/>
          </w:tcPr>
          <w:p>
            <w:pPr>
              <w:jc w:val="center"/>
              <w:ind w:right="141"/>
              <w:spacing w:after="0"/>
              <w:rPr>
                <w:sz w:val="20"/>
                <w:szCs w:val="20"/>
                <w:color w:val="auto"/>
              </w:rPr>
            </w:pPr>
            <w:r>
              <w:rPr>
                <w:rFonts w:ascii="Arial" w:cs="Arial" w:eastAsia="Arial" w:hAnsi="Arial"/>
                <w:sz w:val="16"/>
                <w:szCs w:val="16"/>
                <w:color w:val="auto"/>
                <w:w w:val="96"/>
              </w:rPr>
              <w:t>LIBOR plus 1.5%</w:t>
            </w:r>
          </w:p>
        </w:tc>
        <w:tc>
          <w:tcPr>
            <w:tcW w:w="1360" w:type="dxa"/>
            <w:vAlign w:val="bottom"/>
            <w:vMerge w:val="restart"/>
            <w:shd w:val="clear" w:color="auto" w:fill="CCEEFF"/>
          </w:tcPr>
          <w:p>
            <w:pPr>
              <w:jc w:val="center"/>
              <w:ind w:right="121"/>
              <w:spacing w:after="0"/>
              <w:rPr>
                <w:sz w:val="20"/>
                <w:szCs w:val="20"/>
                <w:color w:val="auto"/>
              </w:rPr>
            </w:pPr>
            <w:r>
              <w:rPr>
                <w:rFonts w:ascii="Arial" w:cs="Arial" w:eastAsia="Arial" w:hAnsi="Arial"/>
                <w:sz w:val="16"/>
                <w:szCs w:val="16"/>
                <w:color w:val="auto"/>
                <w:w w:val="89"/>
              </w:rPr>
              <w:t>2019</w:t>
            </w:r>
          </w:p>
        </w:tc>
        <w:tc>
          <w:tcPr>
            <w:tcW w:w="160" w:type="dxa"/>
            <w:vAlign w:val="bottom"/>
            <w:shd w:val="clear" w:color="auto" w:fill="CCEEFF"/>
          </w:tcPr>
          <w:p>
            <w:pPr>
              <w:spacing w:after="0"/>
              <w:rPr>
                <w:sz w:val="19"/>
                <w:szCs w:val="19"/>
                <w:color w:val="auto"/>
              </w:rPr>
            </w:pPr>
          </w:p>
        </w:tc>
        <w:tc>
          <w:tcPr>
            <w:tcW w:w="1180" w:type="dxa"/>
            <w:vAlign w:val="bottom"/>
            <w:vMerge w:val="restart"/>
            <w:shd w:val="clear" w:color="auto" w:fill="CCEEFF"/>
          </w:tcPr>
          <w:p>
            <w:pPr>
              <w:jc w:val="right"/>
              <w:ind w:right="41"/>
              <w:spacing w:after="0"/>
              <w:rPr>
                <w:sz w:val="20"/>
                <w:szCs w:val="20"/>
                <w:color w:val="auto"/>
              </w:rPr>
            </w:pPr>
            <w:r>
              <w:rPr>
                <w:rFonts w:ascii="Arial" w:cs="Arial" w:eastAsia="Arial" w:hAnsi="Arial"/>
                <w:sz w:val="16"/>
                <w:szCs w:val="16"/>
                <w:color w:val="auto"/>
              </w:rPr>
              <w:t>600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vMerge w:val="restart"/>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6"/>
        </w:trPr>
        <w:tc>
          <w:tcPr>
            <w:tcW w:w="550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CCEEFF"/>
            </w:tcBorders>
            <w:vMerge w:val="continue"/>
            <w:shd w:val="clear" w:color="auto" w:fill="CCEEFF"/>
          </w:tcPr>
          <w:p>
            <w:pPr>
              <w:spacing w:after="0"/>
              <w:rPr>
                <w:sz w:val="20"/>
                <w:szCs w:val="20"/>
                <w:color w:val="auto"/>
              </w:rPr>
            </w:pPr>
          </w:p>
        </w:tc>
        <w:tc>
          <w:tcPr>
            <w:tcW w:w="1360" w:type="dxa"/>
            <w:vAlign w:val="bottom"/>
            <w:tcBorders>
              <w:bottom w:val="single" w:sz="8" w:color="CCEEFF"/>
            </w:tcBorders>
            <w:vMerge w:val="continue"/>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84"/>
        </w:trPr>
        <w:tc>
          <w:tcPr>
            <w:tcW w:w="5500" w:type="dxa"/>
            <w:vAlign w:val="bottom"/>
            <w:tcBorders>
              <w:bottom w:val="single" w:sz="8" w:color="CCEEFF"/>
            </w:tcBorders>
          </w:tcPr>
          <w:p>
            <w:pPr>
              <w:ind w:left="160"/>
              <w:spacing w:after="0"/>
              <w:rPr>
                <w:sz w:val="20"/>
                <w:szCs w:val="20"/>
                <w:color w:val="auto"/>
              </w:rPr>
            </w:pPr>
            <w:r>
              <w:rPr>
                <w:rFonts w:ascii="Arial" w:cs="Arial" w:eastAsia="Arial" w:hAnsi="Arial"/>
                <w:sz w:val="16"/>
                <w:szCs w:val="16"/>
                <w:color w:val="auto"/>
              </w:rPr>
              <w:t>Total long-term debt</w:t>
            </w:r>
          </w:p>
        </w:tc>
        <w:tc>
          <w:tcPr>
            <w:tcW w:w="1560" w:type="dxa"/>
            <w:vAlign w:val="bottom"/>
            <w:tcBorders>
              <w:bottom w:val="single" w:sz="8" w:color="CCEEFF"/>
            </w:tcBorders>
          </w:tcPr>
          <w:p>
            <w:pPr>
              <w:spacing w:after="0"/>
              <w:rPr>
                <w:sz w:val="24"/>
                <w:szCs w:val="24"/>
                <w:color w:val="auto"/>
              </w:rPr>
            </w:pPr>
          </w:p>
        </w:tc>
        <w:tc>
          <w:tcPr>
            <w:tcW w:w="136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Borders>
              <w:top w:val="single" w:sz="8" w:color="auto"/>
              <w:bottom w:val="single" w:sz="8" w:color="auto"/>
            </w:tcBorders>
          </w:tcPr>
          <w:p>
            <w:pPr>
              <w:jc w:val="right"/>
              <w:ind w:right="41"/>
              <w:spacing w:after="0"/>
              <w:rPr>
                <w:sz w:val="20"/>
                <w:szCs w:val="20"/>
                <w:color w:val="auto"/>
              </w:rPr>
            </w:pPr>
            <w:r>
              <w:rPr>
                <w:rFonts w:ascii="Arial" w:cs="Arial" w:eastAsia="Arial" w:hAnsi="Arial"/>
                <w:sz w:val="16"/>
                <w:szCs w:val="16"/>
                <w:color w:val="auto"/>
              </w:rPr>
              <w:t>3,601</w:t>
            </w: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top w:val="single" w:sz="8" w:color="auto"/>
              <w:bottom w:val="single" w:sz="8" w:color="auto"/>
            </w:tcBorders>
          </w:tcPr>
          <w:p>
            <w:pPr>
              <w:jc w:val="right"/>
              <w:ind w:right="21"/>
              <w:spacing w:after="0"/>
              <w:rPr>
                <w:sz w:val="20"/>
                <w:szCs w:val="20"/>
                <w:color w:val="auto"/>
              </w:rPr>
            </w:pPr>
            <w:r>
              <w:rPr>
                <w:rFonts w:ascii="Arial" w:cs="Arial" w:eastAsia="Arial" w:hAnsi="Arial"/>
                <w:sz w:val="16"/>
                <w:szCs w:val="16"/>
                <w:color w:val="auto"/>
              </w:rPr>
              <w:t>1,887</w:t>
            </w:r>
          </w:p>
        </w:tc>
        <w:tc>
          <w:tcPr>
            <w:tcW w:w="0" w:type="dxa"/>
            <w:vAlign w:val="bottom"/>
          </w:tcPr>
          <w:p>
            <w:pPr>
              <w:spacing w:after="0"/>
              <w:rPr>
                <w:sz w:val="1"/>
                <w:szCs w:val="1"/>
                <w:color w:val="auto"/>
              </w:rPr>
            </w:pPr>
          </w:p>
        </w:tc>
      </w:tr>
      <w:tr>
        <w:trPr>
          <w:trHeight w:val="163"/>
        </w:trPr>
        <w:tc>
          <w:tcPr>
            <w:tcW w:w="5500" w:type="dxa"/>
            <w:vAlign w:val="bottom"/>
            <w:shd w:val="clear" w:color="auto" w:fill="CCEEFF"/>
          </w:tcPr>
          <w:p>
            <w:pPr>
              <w:spacing w:after="0"/>
              <w:rPr>
                <w:sz w:val="14"/>
                <w:szCs w:val="14"/>
                <w:color w:val="auto"/>
              </w:rPr>
            </w:pPr>
          </w:p>
        </w:tc>
        <w:tc>
          <w:tcPr>
            <w:tcW w:w="1560" w:type="dxa"/>
            <w:vAlign w:val="bottom"/>
            <w:shd w:val="clear" w:color="auto" w:fill="CCEEFF"/>
          </w:tcPr>
          <w:p>
            <w:pPr>
              <w:spacing w:after="0"/>
              <w:rPr>
                <w:sz w:val="14"/>
                <w:szCs w:val="14"/>
                <w:color w:val="auto"/>
              </w:rPr>
            </w:pPr>
          </w:p>
        </w:tc>
        <w:tc>
          <w:tcPr>
            <w:tcW w:w="13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20"/>
        </w:trPr>
        <w:tc>
          <w:tcPr>
            <w:tcW w:w="5500" w:type="dxa"/>
            <w:vAlign w:val="bottom"/>
          </w:tcPr>
          <w:p>
            <w:pPr>
              <w:spacing w:after="0"/>
              <w:rPr>
                <w:sz w:val="19"/>
                <w:szCs w:val="19"/>
                <w:color w:val="auto"/>
              </w:rPr>
            </w:pPr>
          </w:p>
        </w:tc>
        <w:tc>
          <w:tcPr>
            <w:tcW w:w="1560" w:type="dxa"/>
            <w:vAlign w:val="bottom"/>
          </w:tcPr>
          <w:p>
            <w:pPr>
              <w:jc w:val="center"/>
              <w:ind w:right="121"/>
              <w:spacing w:after="0"/>
              <w:rPr>
                <w:sz w:val="20"/>
                <w:szCs w:val="20"/>
                <w:color w:val="auto"/>
              </w:rPr>
            </w:pPr>
            <w:r>
              <w:rPr>
                <w:rFonts w:ascii="Arial" w:cs="Arial" w:eastAsia="Arial" w:hAnsi="Arial"/>
                <w:sz w:val="16"/>
                <w:szCs w:val="16"/>
                <w:color w:val="auto"/>
                <w:w w:val="97"/>
              </w:rPr>
              <w:t>3-month LIBOR</w:t>
            </w:r>
          </w:p>
        </w:tc>
        <w:tc>
          <w:tcPr>
            <w:tcW w:w="1360" w:type="dxa"/>
            <w:vAlign w:val="bottom"/>
          </w:tcPr>
          <w:p>
            <w:pPr>
              <w:spacing w:after="0"/>
              <w:rPr>
                <w:sz w:val="19"/>
                <w:szCs w:val="19"/>
                <w:color w:val="auto"/>
              </w:rPr>
            </w:pPr>
          </w:p>
        </w:tc>
        <w:tc>
          <w:tcPr>
            <w:tcW w:w="16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gridSpan w:val="2"/>
            <w:vMerge w:val="restart"/>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vMerge w:val="restart"/>
          </w:tcPr>
          <w:p>
            <w:pPr>
              <w:jc w:val="right"/>
              <w:ind w:right="21"/>
              <w:spacing w:after="0"/>
              <w:rPr>
                <w:sz w:val="20"/>
                <w:szCs w:val="20"/>
                <w:color w:val="auto"/>
              </w:rPr>
            </w:pPr>
            <w:r>
              <w:rPr>
                <w:rFonts w:ascii="Arial" w:cs="Arial" w:eastAsia="Arial" w:hAnsi="Arial"/>
                <w:sz w:val="16"/>
                <w:szCs w:val="16"/>
                <w:color w:val="auto"/>
              </w:rPr>
              <w:t>2,797</w:t>
            </w:r>
          </w:p>
        </w:tc>
        <w:tc>
          <w:tcPr>
            <w:tcW w:w="0" w:type="dxa"/>
            <w:vAlign w:val="bottom"/>
          </w:tcPr>
          <w:p>
            <w:pPr>
              <w:spacing w:after="0"/>
              <w:rPr>
                <w:sz w:val="1"/>
                <w:szCs w:val="1"/>
                <w:color w:val="auto"/>
              </w:rPr>
            </w:pPr>
          </w:p>
        </w:tc>
      </w:tr>
      <w:tr>
        <w:trPr>
          <w:trHeight w:val="219"/>
        </w:trPr>
        <w:tc>
          <w:tcPr>
            <w:tcW w:w="5500" w:type="dxa"/>
            <w:vAlign w:val="bottom"/>
          </w:tcPr>
          <w:p>
            <w:pPr>
              <w:ind w:left="20"/>
              <w:spacing w:after="0"/>
              <w:rPr>
                <w:sz w:val="20"/>
                <w:szCs w:val="20"/>
                <w:color w:val="auto"/>
              </w:rPr>
            </w:pPr>
            <w:r>
              <w:rPr>
                <w:rFonts w:ascii="Arial" w:cs="Arial" w:eastAsia="Arial" w:hAnsi="Arial"/>
                <w:sz w:val="16"/>
                <w:szCs w:val="16"/>
                <w:color w:val="auto"/>
              </w:rPr>
              <w:t>Collateral financing arrangement</w:t>
            </w:r>
          </w:p>
        </w:tc>
        <w:tc>
          <w:tcPr>
            <w:tcW w:w="1560" w:type="dxa"/>
            <w:vAlign w:val="bottom"/>
          </w:tcPr>
          <w:p>
            <w:pPr>
              <w:jc w:val="center"/>
              <w:ind w:right="121"/>
              <w:spacing w:after="0"/>
              <w:rPr>
                <w:sz w:val="20"/>
                <w:szCs w:val="20"/>
                <w:color w:val="auto"/>
              </w:rPr>
            </w:pPr>
            <w:r>
              <w:rPr>
                <w:rFonts w:ascii="Arial" w:cs="Arial" w:eastAsia="Arial" w:hAnsi="Arial"/>
                <w:sz w:val="16"/>
                <w:szCs w:val="16"/>
                <w:color w:val="auto"/>
                <w:w w:val="90"/>
              </w:rPr>
              <w:t>plus 0.70%</w:t>
            </w:r>
          </w:p>
        </w:tc>
        <w:tc>
          <w:tcPr>
            <w:tcW w:w="1360" w:type="dxa"/>
            <w:vAlign w:val="bottom"/>
          </w:tcPr>
          <w:p>
            <w:pPr>
              <w:jc w:val="center"/>
              <w:ind w:right="121"/>
              <w:spacing w:after="0"/>
              <w:rPr>
                <w:sz w:val="20"/>
                <w:szCs w:val="20"/>
                <w:color w:val="auto"/>
              </w:rPr>
            </w:pPr>
            <w:r>
              <w:rPr>
                <w:rFonts w:ascii="Arial" w:cs="Arial" w:eastAsia="Arial" w:hAnsi="Arial"/>
                <w:sz w:val="16"/>
                <w:szCs w:val="16"/>
                <w:color w:val="auto"/>
                <w:w w:val="89"/>
              </w:rPr>
              <w:t>2037</w:t>
            </w:r>
          </w:p>
        </w:tc>
        <w:tc>
          <w:tcPr>
            <w:tcW w:w="160" w:type="dxa"/>
            <w:vAlign w:val="bottom"/>
            <w:vMerge w:val="continue"/>
          </w:tcPr>
          <w:p>
            <w:pPr>
              <w:spacing w:after="0"/>
              <w:rPr>
                <w:sz w:val="19"/>
                <w:szCs w:val="19"/>
                <w:color w:val="auto"/>
              </w:rPr>
            </w:pPr>
          </w:p>
        </w:tc>
        <w:tc>
          <w:tcPr>
            <w:tcW w:w="1280" w:type="dxa"/>
            <w:vAlign w:val="bottom"/>
            <w:gridSpan w:val="2"/>
            <w:vMerge w:val="continue"/>
          </w:tcPr>
          <w:p>
            <w:pPr>
              <w:spacing w:after="0"/>
              <w:rPr>
                <w:sz w:val="19"/>
                <w:szCs w:val="19"/>
                <w:color w:val="auto"/>
              </w:rPr>
            </w:pPr>
          </w:p>
        </w:tc>
        <w:tc>
          <w:tcPr>
            <w:tcW w:w="180" w:type="dxa"/>
            <w:vAlign w:val="bottom"/>
            <w:vMerge w:val="continue"/>
          </w:tcPr>
          <w:p>
            <w:pPr>
              <w:spacing w:after="0"/>
              <w:rPr>
                <w:sz w:val="19"/>
                <w:szCs w:val="19"/>
                <w:color w:val="auto"/>
              </w:rPr>
            </w:pPr>
          </w:p>
        </w:tc>
        <w:tc>
          <w:tcPr>
            <w:tcW w:w="11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5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_________</w:t>
      </w:r>
    </w:p>
    <w:p>
      <w:pPr>
        <w:spacing w:after="0" w:line="117" w:lineRule="exact"/>
        <w:rPr>
          <w:sz w:val="20"/>
          <w:szCs w:val="20"/>
          <w:color w:val="auto"/>
        </w:rPr>
      </w:pPr>
    </w:p>
    <w:p>
      <w:pPr>
        <w:jc w:val="both"/>
        <w:ind w:left="340" w:hanging="332"/>
        <w:spacing w:after="0" w:line="264" w:lineRule="auto"/>
        <w:tabs>
          <w:tab w:leader="none" w:pos="340" w:val="left"/>
        </w:tabs>
        <w:numPr>
          <w:ilvl w:val="0"/>
          <w:numId w:val="86"/>
        </w:numPr>
        <w:rPr>
          <w:rFonts w:ascii="Arial" w:cs="Arial" w:eastAsia="Arial" w:hAnsi="Arial"/>
          <w:sz w:val="18"/>
          <w:szCs w:val="18"/>
          <w:color w:val="auto"/>
        </w:rPr>
      </w:pPr>
      <w:r>
        <w:rPr>
          <w:rFonts w:ascii="Arial" w:cs="Arial" w:eastAsia="Arial" w:hAnsi="Arial"/>
          <w:sz w:val="18"/>
          <w:szCs w:val="18"/>
          <w:color w:val="auto"/>
        </w:rPr>
        <w:t>Excludes $14 million and $23 million at September 30, 2017 and December 31, 2016, respectively, of long-term debt relating to CSEs — FVO. See Note 4 of the Notes to the Interim Condensed Consolidated and Combined Financial Statements. For more information regarding long-term debt, see Note 11 of the Notes to the Combined Financial Statements included in the Form 10.</w:t>
      </w:r>
    </w:p>
    <w:p>
      <w:pPr>
        <w:spacing w:after="0" w:line="73" w:lineRule="exact"/>
        <w:rPr>
          <w:rFonts w:ascii="Arial" w:cs="Arial" w:eastAsia="Arial" w:hAnsi="Arial"/>
          <w:sz w:val="18"/>
          <w:szCs w:val="18"/>
          <w:color w:val="auto"/>
        </w:rPr>
      </w:pPr>
    </w:p>
    <w:p>
      <w:pPr>
        <w:ind w:left="340" w:right="20" w:hanging="332"/>
        <w:spacing w:after="0" w:line="277" w:lineRule="auto"/>
        <w:tabs>
          <w:tab w:leader="none" w:pos="340" w:val="left"/>
        </w:tabs>
        <w:numPr>
          <w:ilvl w:val="0"/>
          <w:numId w:val="86"/>
        </w:numPr>
        <w:rPr>
          <w:rFonts w:ascii="Arial" w:cs="Arial" w:eastAsia="Arial" w:hAnsi="Arial"/>
          <w:sz w:val="18"/>
          <w:szCs w:val="18"/>
          <w:color w:val="auto"/>
        </w:rPr>
      </w:pPr>
      <w:r>
        <w:rPr>
          <w:rFonts w:ascii="Arial" w:cs="Arial" w:eastAsia="Arial" w:hAnsi="Arial"/>
          <w:sz w:val="18"/>
          <w:szCs w:val="18"/>
          <w:color w:val="auto"/>
        </w:rPr>
        <w:t>Represents non-recourse debt for which creditors have no access, subject to customary exceptions, to the general assets of the Company other than recourse to certain investment companies.</w:t>
      </w:r>
    </w:p>
    <w:p>
      <w:pPr>
        <w:spacing w:after="0" w:line="62" w:lineRule="exact"/>
        <w:rPr>
          <w:rFonts w:ascii="Arial" w:cs="Arial" w:eastAsia="Arial" w:hAnsi="Arial"/>
          <w:sz w:val="18"/>
          <w:szCs w:val="18"/>
          <w:color w:val="auto"/>
        </w:rPr>
      </w:pPr>
    </w:p>
    <w:p>
      <w:pPr>
        <w:ind w:left="340"/>
        <w:spacing w:after="0"/>
        <w:rPr>
          <w:rFonts w:ascii="Arial" w:cs="Arial" w:eastAsia="Arial" w:hAnsi="Arial"/>
          <w:sz w:val="18"/>
          <w:szCs w:val="18"/>
          <w:color w:val="auto"/>
        </w:rPr>
      </w:pPr>
      <w:r>
        <w:rPr>
          <w:rFonts w:ascii="Arial" w:cs="Arial" w:eastAsia="Arial" w:hAnsi="Arial"/>
          <w:sz w:val="18"/>
          <w:szCs w:val="18"/>
          <w:i w:val="1"/>
          <w:iCs w:val="1"/>
          <w:u w:val="single" w:color="auto"/>
          <w:color w:val="auto"/>
        </w:rPr>
        <w:t>Senior Notes</w:t>
      </w:r>
    </w:p>
    <w:p>
      <w:pPr>
        <w:spacing w:after="0" w:line="117" w:lineRule="exact"/>
        <w:rPr>
          <w:sz w:val="20"/>
          <w:szCs w:val="20"/>
          <w:color w:val="auto"/>
        </w:rPr>
      </w:pPr>
    </w:p>
    <w:p>
      <w:pPr>
        <w:jc w:val="both"/>
        <w:ind w:left="340" w:firstLine="324"/>
        <w:spacing w:after="0" w:line="259" w:lineRule="auto"/>
        <w:rPr>
          <w:sz w:val="20"/>
          <w:szCs w:val="20"/>
          <w:color w:val="auto"/>
        </w:rPr>
      </w:pPr>
      <w:r>
        <w:rPr>
          <w:rFonts w:ascii="Arial" w:cs="Arial" w:eastAsia="Arial" w:hAnsi="Arial"/>
          <w:sz w:val="18"/>
          <w:szCs w:val="18"/>
          <w:color w:val="auto"/>
        </w:rPr>
        <w:t>On June 22, 2017, Brighthouse Financial, Inc. issued (i) $1.5 billion aggregate principal amount of 3.700% Senior Notes due 2027 (the “2027 Senior Notes), which mature in June 2027 and bear interest at a fixed rate of 3.70%, payable semi-annually and (ii) $1.5 billion aggregate principal amount of 4.700% Senior Notes due 2047 (the “2047 Senior Notes” and together with the 2027 Senior Notes, the “Senior Notes”), which mature in June 2047 and bear interest at a fixed rate of 4.70%, payable semi-annually.</w:t>
      </w:r>
    </w:p>
    <w:p>
      <w:pPr>
        <w:spacing w:after="0" w:line="79" w:lineRule="exact"/>
        <w:rPr>
          <w:sz w:val="20"/>
          <w:szCs w:val="20"/>
          <w:color w:val="auto"/>
        </w:rPr>
      </w:pPr>
    </w:p>
    <w:p>
      <w:pPr>
        <w:ind w:left="340"/>
        <w:spacing w:after="0"/>
        <w:rPr>
          <w:sz w:val="20"/>
          <w:szCs w:val="20"/>
          <w:color w:val="auto"/>
        </w:rPr>
      </w:pPr>
      <w:r>
        <w:rPr>
          <w:rFonts w:ascii="Arial" w:cs="Arial" w:eastAsia="Arial" w:hAnsi="Arial"/>
          <w:sz w:val="18"/>
          <w:szCs w:val="18"/>
          <w:i w:val="1"/>
          <w:iCs w:val="1"/>
          <w:u w:val="single" w:color="auto"/>
          <w:color w:val="auto"/>
        </w:rPr>
        <w:t>Surplus Notes</w:t>
      </w:r>
    </w:p>
    <w:p>
      <w:pPr>
        <w:spacing w:after="0" w:line="117" w:lineRule="exact"/>
        <w:rPr>
          <w:sz w:val="20"/>
          <w:szCs w:val="20"/>
          <w:color w:val="auto"/>
        </w:rPr>
      </w:pPr>
    </w:p>
    <w:p>
      <w:pPr>
        <w:jc w:val="both"/>
        <w:ind w:left="340" w:firstLine="324"/>
        <w:spacing w:after="0" w:line="264" w:lineRule="auto"/>
        <w:rPr>
          <w:sz w:val="20"/>
          <w:szCs w:val="20"/>
          <w:color w:val="auto"/>
        </w:rPr>
      </w:pPr>
      <w:r>
        <w:rPr>
          <w:rFonts w:ascii="Arial" w:cs="Arial" w:eastAsia="Arial" w:hAnsi="Arial"/>
          <w:sz w:val="18"/>
          <w:szCs w:val="18"/>
          <w:color w:val="auto"/>
        </w:rPr>
        <w:t>On June 16, 2017, MetLife, Inc. forgave our obligation to pay the principal under the $750 million aggregate principal amount, 8.595% surplus notes issued by Brighthouse Insurance. The forgiveness of the surplus notes was treated as a capital transaction and recorded as an increase to additional paid-in-capital.</w:t>
      </w:r>
    </w:p>
    <w:p>
      <w:pPr>
        <w:spacing w:after="0" w:line="73" w:lineRule="exact"/>
        <w:rPr>
          <w:sz w:val="20"/>
          <w:szCs w:val="20"/>
          <w:color w:val="auto"/>
        </w:rPr>
      </w:pPr>
    </w:p>
    <w:p>
      <w:pPr>
        <w:jc w:val="both"/>
        <w:ind w:left="340" w:firstLine="324"/>
        <w:spacing w:after="0" w:line="308" w:lineRule="auto"/>
        <w:rPr>
          <w:sz w:val="20"/>
          <w:szCs w:val="20"/>
          <w:color w:val="auto"/>
        </w:rPr>
      </w:pPr>
      <w:r>
        <w:rPr>
          <w:rFonts w:ascii="Arial" w:cs="Arial" w:eastAsia="Arial" w:hAnsi="Arial"/>
          <w:sz w:val="17"/>
          <w:szCs w:val="17"/>
          <w:color w:val="auto"/>
        </w:rPr>
        <w:t>On April 28, 2017, surplus note obligations with MetLife, Inc. totaling $1.1 billion, which were due on September 30, 2032 and December 31, 2033 and bore interest at 5.13% and 6.00%, respectively, were satisfied in a non-cash exchange for $1.1 billion of loans outstanding from MetLife.</w:t>
      </w:r>
    </w:p>
    <w:p>
      <w:pPr>
        <w:spacing w:after="0" w:line="38" w:lineRule="exact"/>
        <w:rPr>
          <w:sz w:val="20"/>
          <w:szCs w:val="20"/>
          <w:color w:val="auto"/>
        </w:rPr>
      </w:pPr>
    </w:p>
    <w:p>
      <w:pPr>
        <w:ind w:left="340"/>
        <w:spacing w:after="0"/>
        <w:rPr>
          <w:sz w:val="20"/>
          <w:szCs w:val="20"/>
          <w:color w:val="auto"/>
        </w:rPr>
      </w:pPr>
      <w:r>
        <w:rPr>
          <w:rFonts w:ascii="Arial" w:cs="Arial" w:eastAsia="Arial" w:hAnsi="Arial"/>
          <w:sz w:val="18"/>
          <w:szCs w:val="18"/>
          <w:i w:val="1"/>
          <w:iCs w:val="1"/>
          <w:u w:val="single" w:color="auto"/>
          <w:color w:val="auto"/>
        </w:rPr>
        <w:t>Term Loan Facilities</w:t>
      </w:r>
    </w:p>
    <w:p>
      <w:pPr>
        <w:spacing w:after="0" w:line="117" w:lineRule="exact"/>
        <w:rPr>
          <w:sz w:val="20"/>
          <w:szCs w:val="20"/>
          <w:color w:val="auto"/>
        </w:rPr>
      </w:pPr>
    </w:p>
    <w:p>
      <w:pPr>
        <w:jc w:val="both"/>
        <w:ind w:left="340" w:firstLine="324"/>
        <w:spacing w:after="0" w:line="264" w:lineRule="auto"/>
        <w:rPr>
          <w:sz w:val="20"/>
          <w:szCs w:val="20"/>
          <w:color w:val="auto"/>
        </w:rPr>
      </w:pPr>
      <w:r>
        <w:rPr>
          <w:rFonts w:ascii="Arial" w:cs="Arial" w:eastAsia="Arial" w:hAnsi="Arial"/>
          <w:sz w:val="18"/>
          <w:szCs w:val="18"/>
          <w:color w:val="auto"/>
        </w:rPr>
        <w:t>Effective with the issuances of the Senior Notes, total commitments under Brighthouse Financial, Inc.’s former $3.0 billion term loan facility entered into on December 2, 2016 (the “2016 Term Loan Facility”) were reduced by approximately $2.5 billion. On July 21, 2017, concurrently with entering into the 2017 Term Loan Facility (as discussed below), we terminated</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129</w:t>
      </w:r>
    </w:p>
    <w:p>
      <w:pPr>
        <w:sectPr>
          <w:pgSz w:w="11900" w:h="16838" w:orient="portrait"/>
          <w:cols w:equalWidth="0" w:num="1">
            <w:col w:w="11420"/>
          </w:cols>
          <w:pgMar w:left="240" w:top="126" w:right="239" w:bottom="1440" w:gutter="0" w:footer="0" w:header="0"/>
        </w:sectPr>
      </w:pPr>
    </w:p>
    <w:bookmarkStart w:id="131" w:name="page132"/>
    <w:bookmarkEnd w:id="131"/>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2016 Term Loan Facility, without penalty. We expensed $7 million of capitalized costs related to the termination in the third quarter of 2017.</w:t>
      </w:r>
    </w:p>
    <w:p>
      <w:pPr>
        <w:spacing w:after="0" w:line="129" w:lineRule="exact"/>
        <w:rPr>
          <w:sz w:val="20"/>
          <w:szCs w:val="20"/>
          <w:color w:val="auto"/>
        </w:rPr>
      </w:pPr>
    </w:p>
    <w:p>
      <w:pPr>
        <w:jc w:val="both"/>
        <w:ind w:left="340" w:firstLine="324"/>
        <w:spacing w:after="0" w:line="276" w:lineRule="auto"/>
        <w:rPr>
          <w:sz w:val="20"/>
          <w:szCs w:val="20"/>
          <w:color w:val="auto"/>
        </w:rPr>
      </w:pPr>
      <w:r>
        <w:rPr>
          <w:rFonts w:ascii="Arial" w:cs="Arial" w:eastAsia="Arial" w:hAnsi="Arial"/>
          <w:sz w:val="17"/>
          <w:szCs w:val="17"/>
          <w:color w:val="auto"/>
        </w:rPr>
        <w:t>On July 21, 2017, Brighthouse Financial, Inc. entered into the 2017 Term Loan Facility. Under the 2017 Term Loan Facility, Brighthouse may borrow up to a maximum of $600 million which may be used for general corporate purposes, including in connection with the Separation, of which $500 million was available prior to the Separation. The 2017 Term Loan Facility contains certain covenants that could restrict the operations and use of funds. On August 2, 2017, Brighthouse Financial, Inc. borrowed $500 million under the 2017 Term Loan Facility in connection with the Separation. On August 14, 2017, Brighthouse Financial, Inc. borrowed the remaining $100 million available under the 2017 Term Loan Facility.</w:t>
      </w:r>
    </w:p>
    <w:p>
      <w:pPr>
        <w:spacing w:after="0" w:line="64" w:lineRule="exact"/>
        <w:rPr>
          <w:sz w:val="20"/>
          <w:szCs w:val="20"/>
          <w:color w:val="auto"/>
        </w:rPr>
      </w:pPr>
    </w:p>
    <w:p>
      <w:pPr>
        <w:jc w:val="both"/>
        <w:ind w:left="340" w:firstLine="324"/>
        <w:spacing w:after="0" w:line="264" w:lineRule="auto"/>
        <w:rPr>
          <w:sz w:val="20"/>
          <w:szCs w:val="20"/>
          <w:color w:val="auto"/>
        </w:rPr>
      </w:pPr>
      <w:r>
        <w:rPr>
          <w:rFonts w:ascii="Arial" w:cs="Arial" w:eastAsia="Arial" w:hAnsi="Arial"/>
          <w:sz w:val="18"/>
          <w:szCs w:val="18"/>
          <w:color w:val="auto"/>
        </w:rPr>
        <w:t>On July 21, 2017, concurrently with entering into the 2017 Term Loan Facility, Brighthouse Financial, Inc. terminated the 2016 Term Loan Facility, without penalty. Brighthouse Financial, Inc. recognized $7 million of capitalized costs, included in other expenses, related to the termination in the third quarter of 2017.</w:t>
      </w:r>
    </w:p>
    <w:p>
      <w:pPr>
        <w:spacing w:after="0" w:line="73" w:lineRule="exact"/>
        <w:rPr>
          <w:sz w:val="20"/>
          <w:szCs w:val="20"/>
          <w:color w:val="auto"/>
        </w:rPr>
      </w:pPr>
    </w:p>
    <w:p>
      <w:pPr>
        <w:ind w:left="340"/>
        <w:spacing w:after="0"/>
        <w:rPr>
          <w:sz w:val="20"/>
          <w:szCs w:val="20"/>
          <w:color w:val="auto"/>
        </w:rPr>
      </w:pPr>
      <w:r>
        <w:rPr>
          <w:rFonts w:ascii="Arial" w:cs="Arial" w:eastAsia="Arial" w:hAnsi="Arial"/>
          <w:sz w:val="18"/>
          <w:szCs w:val="18"/>
          <w:i w:val="1"/>
          <w:iCs w:val="1"/>
          <w:u w:val="single" w:color="auto"/>
          <w:color w:val="auto"/>
        </w:rPr>
        <w:t>Collateral Financing Arrangement</w:t>
      </w:r>
    </w:p>
    <w:p>
      <w:pPr>
        <w:spacing w:after="0" w:line="117" w:lineRule="exact"/>
        <w:rPr>
          <w:sz w:val="20"/>
          <w:szCs w:val="20"/>
          <w:color w:val="auto"/>
        </w:rPr>
      </w:pPr>
    </w:p>
    <w:p>
      <w:pPr>
        <w:jc w:val="both"/>
        <w:ind w:left="340" w:firstLine="324"/>
        <w:spacing w:after="0" w:line="259" w:lineRule="auto"/>
        <w:rPr>
          <w:sz w:val="20"/>
          <w:szCs w:val="20"/>
          <w:color w:val="auto"/>
        </w:rPr>
      </w:pPr>
      <w:r>
        <w:rPr>
          <w:rFonts w:ascii="Arial" w:cs="Arial" w:eastAsia="Arial" w:hAnsi="Arial"/>
          <w:sz w:val="18"/>
          <w:szCs w:val="18"/>
          <w:color w:val="auto"/>
        </w:rPr>
        <w:t>On April 28, 2017, MetLife, Inc. and MetLife Reinsurance Company of South Carolina (“MRSC”) terminated the collateral financing arrangement associated with secondary guarantees. As a result, the $2.8 billion collateral financing arrangement liability outstanding was extinguished utilizing $2.8 billion of assets held in trust, which had been repositioned into short-term investments and cash equivalents, with the remaining assets held in trust returned to MetLife, Inc.</w:t>
      </w:r>
    </w:p>
    <w:p>
      <w:pPr>
        <w:spacing w:after="0" w:line="79" w:lineRule="exact"/>
        <w:rPr>
          <w:sz w:val="20"/>
          <w:szCs w:val="20"/>
          <w:color w:val="auto"/>
        </w:rPr>
      </w:pPr>
    </w:p>
    <w:p>
      <w:pPr>
        <w:ind w:left="340"/>
        <w:spacing w:after="0"/>
        <w:rPr>
          <w:sz w:val="20"/>
          <w:szCs w:val="20"/>
          <w:color w:val="auto"/>
        </w:rPr>
      </w:pPr>
      <w:r>
        <w:rPr>
          <w:rFonts w:ascii="Arial" w:cs="Arial" w:eastAsia="Arial" w:hAnsi="Arial"/>
          <w:sz w:val="18"/>
          <w:szCs w:val="18"/>
          <w:i w:val="1"/>
          <w:iCs w:val="1"/>
          <w:u w:val="single" w:color="auto"/>
          <w:color w:val="auto"/>
        </w:rPr>
        <w:t>Committed Facilities and Reinsurance Financing Arrangement</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7"/>
          <w:szCs w:val="17"/>
          <w:color w:val="auto"/>
        </w:rPr>
        <w:t>On April 28, 2017, MetLife, Inc. and MetLife Reinsurance Company of Vermont terminated the $4.3 billion committed facility, and MetLife, Inc.</w:t>
      </w:r>
    </w:p>
    <w:p>
      <w:pPr>
        <w:spacing w:after="0" w:line="3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and MRSC terminated the $3.5 billion committed facility.</w:t>
      </w:r>
    </w:p>
    <w:p>
      <w:pPr>
        <w:spacing w:after="0" w:line="103" w:lineRule="exact"/>
        <w:rPr>
          <w:sz w:val="20"/>
          <w:szCs w:val="20"/>
          <w:color w:val="auto"/>
        </w:rPr>
      </w:pPr>
    </w:p>
    <w:p>
      <w:pPr>
        <w:jc w:val="both"/>
        <w:ind w:left="340" w:firstLine="324"/>
        <w:spacing w:after="0" w:line="264" w:lineRule="auto"/>
        <w:rPr>
          <w:sz w:val="20"/>
          <w:szCs w:val="20"/>
          <w:color w:val="auto"/>
        </w:rPr>
      </w:pPr>
      <w:r>
        <w:rPr>
          <w:rFonts w:ascii="Arial" w:cs="Arial" w:eastAsia="Arial" w:hAnsi="Arial"/>
          <w:sz w:val="18"/>
          <w:szCs w:val="18"/>
          <w:color w:val="auto"/>
        </w:rPr>
        <w:t>On April 28, 2017, BRCD entered into a financing arrangement with a pool of highly rated third party reinsurers and a total capacity of $10.0 billion. This financing arrangement consists of credit-linked notes that each have a term of 20 years. At September 30, 2017, there were no drawdowns on such notes and there was $8.1 billion of funding available under this arrangement.</w:t>
      </w:r>
    </w:p>
    <w:p>
      <w:pPr>
        <w:spacing w:after="0" w:line="73" w:lineRule="exact"/>
        <w:rPr>
          <w:sz w:val="20"/>
          <w:szCs w:val="20"/>
          <w:color w:val="auto"/>
        </w:rPr>
      </w:pPr>
    </w:p>
    <w:p>
      <w:pPr>
        <w:ind w:left="340"/>
        <w:spacing w:after="0"/>
        <w:rPr>
          <w:sz w:val="20"/>
          <w:szCs w:val="20"/>
          <w:color w:val="auto"/>
        </w:rPr>
      </w:pPr>
      <w:r>
        <w:rPr>
          <w:rFonts w:ascii="Arial" w:cs="Arial" w:eastAsia="Arial" w:hAnsi="Arial"/>
          <w:sz w:val="18"/>
          <w:szCs w:val="18"/>
          <w:i w:val="1"/>
          <w:iCs w:val="1"/>
          <w:u w:val="single" w:color="auto"/>
          <w:color w:val="auto"/>
        </w:rPr>
        <w:t>Debt and Facility Covenants</w:t>
      </w:r>
    </w:p>
    <w:p>
      <w:pPr>
        <w:spacing w:after="0" w:line="117" w:lineRule="exact"/>
        <w:rPr>
          <w:sz w:val="20"/>
          <w:szCs w:val="20"/>
          <w:color w:val="auto"/>
        </w:rPr>
      </w:pPr>
    </w:p>
    <w:p>
      <w:pPr>
        <w:jc w:val="both"/>
        <w:ind w:left="340" w:firstLine="324"/>
        <w:spacing w:after="0" w:line="257" w:lineRule="auto"/>
        <w:rPr>
          <w:sz w:val="20"/>
          <w:szCs w:val="20"/>
          <w:color w:val="auto"/>
        </w:rPr>
      </w:pPr>
      <w:r>
        <w:rPr>
          <w:rFonts w:ascii="Arial" w:cs="Arial" w:eastAsia="Arial" w:hAnsi="Arial"/>
          <w:sz w:val="18"/>
          <w:szCs w:val="18"/>
          <w:color w:val="auto"/>
        </w:rPr>
        <w:t>The Company’s debt instruments and committed facilities contain certain administrative, reporting and legal covenants. Additionally, the 2017 Term Loan Facility and the Revolving Credit Facility contain financial covenants, including requirements to maintain a specified minimum consolidated net worth and to maintain a ratio of indebtedness to total capitalization not in excess of a specified percentage, and limitations on the dollar amount of indebtedness that may be incurred by our subsidiaries, which could restrict our operations and use of funds. The Company is not aware of any non-compliance with these financial covenants at September 30, 2017.</w:t>
      </w:r>
    </w:p>
    <w:p>
      <w:pPr>
        <w:spacing w:after="0" w:line="80" w:lineRule="exact"/>
        <w:rPr>
          <w:sz w:val="20"/>
          <w:szCs w:val="20"/>
          <w:color w:val="auto"/>
        </w:rPr>
      </w:pPr>
    </w:p>
    <w:p>
      <w:pPr>
        <w:ind w:left="340"/>
        <w:spacing w:after="0"/>
        <w:rPr>
          <w:sz w:val="20"/>
          <w:szCs w:val="20"/>
          <w:color w:val="auto"/>
        </w:rPr>
      </w:pPr>
      <w:r>
        <w:rPr>
          <w:rFonts w:ascii="Arial" w:cs="Arial" w:eastAsia="Arial" w:hAnsi="Arial"/>
          <w:sz w:val="18"/>
          <w:szCs w:val="18"/>
          <w:i w:val="1"/>
          <w:iCs w:val="1"/>
          <w:u w:val="single" w:color="auto"/>
          <w:color w:val="auto"/>
        </w:rPr>
        <w:t>Debt Repurchases</w:t>
      </w:r>
    </w:p>
    <w:p>
      <w:pPr>
        <w:spacing w:after="0" w:line="117" w:lineRule="exact"/>
        <w:rPr>
          <w:sz w:val="20"/>
          <w:szCs w:val="20"/>
          <w:color w:val="auto"/>
        </w:rPr>
      </w:pPr>
    </w:p>
    <w:p>
      <w:pPr>
        <w:jc w:val="both"/>
        <w:ind w:left="340" w:firstLine="324"/>
        <w:spacing w:after="0" w:line="279" w:lineRule="auto"/>
        <w:rPr>
          <w:sz w:val="20"/>
          <w:szCs w:val="20"/>
          <w:color w:val="auto"/>
        </w:rPr>
      </w:pPr>
      <w:r>
        <w:rPr>
          <w:rFonts w:ascii="Arial" w:cs="Arial" w:eastAsia="Arial" w:hAnsi="Arial"/>
          <w:sz w:val="17"/>
          <w:szCs w:val="17"/>
          <w:color w:val="auto"/>
        </w:rPr>
        <w:t>We may from time to time seek to retire or purchase our outstanding debt through cash purchases and/or exchanges for other securities, in open market purchases, privately negotiated transactions or otherwise. Any such repurchases or exchanges will be dependent upon several factors, including our liquidity requirements, contractual restrictions, general market conditions, and applicable regulatory, legal and accounting factors. Whether or not to repurchase any debt and the size and timing of any such repurchases will be determined at our discretion.</w:t>
      </w:r>
    </w:p>
    <w:p>
      <w:pPr>
        <w:spacing w:after="0" w:line="63"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Liquidity and Capital Uses</w:t>
      </w:r>
    </w:p>
    <w:p>
      <w:pPr>
        <w:spacing w:after="0" w:line="117" w:lineRule="exact"/>
        <w:rPr>
          <w:sz w:val="20"/>
          <w:szCs w:val="20"/>
          <w:color w:val="auto"/>
        </w:rPr>
      </w:pPr>
    </w:p>
    <w:p>
      <w:pPr>
        <w:jc w:val="both"/>
        <w:ind w:left="180" w:firstLine="324"/>
        <w:spacing w:after="0" w:line="279" w:lineRule="auto"/>
        <w:rPr>
          <w:sz w:val="20"/>
          <w:szCs w:val="20"/>
          <w:color w:val="auto"/>
        </w:rPr>
      </w:pPr>
      <w:r>
        <w:rPr>
          <w:rFonts w:ascii="Arial" w:cs="Arial" w:eastAsia="Arial" w:hAnsi="Arial"/>
          <w:sz w:val="17"/>
          <w:szCs w:val="17"/>
          <w:color w:val="auto"/>
        </w:rPr>
        <w:t>In addition to the general description of liquidity and capital uses in “ Management’s Discussion and Analysis of Financial Condition and Results of Operations — Liquidity and Capital Resources — The Company — Historical Primary Sources of Liquidity and Capital,” and “Management’s Discussion and Analysis of Financial Condition and Results of Operations — Liquidity and Capital Resources — The Company — Contractual Obligations” included in the Form 10, the following additional information is provided regarding our historical primary uses of liquidity and capital:</w:t>
      </w:r>
    </w:p>
    <w:p>
      <w:pPr>
        <w:spacing w:after="0" w:line="63" w:lineRule="exact"/>
        <w:rPr>
          <w:sz w:val="20"/>
          <w:szCs w:val="20"/>
          <w:color w:val="auto"/>
        </w:rPr>
      </w:pPr>
    </w:p>
    <w:p>
      <w:pPr>
        <w:ind w:left="340"/>
        <w:spacing w:after="0"/>
        <w:rPr>
          <w:sz w:val="20"/>
          <w:szCs w:val="20"/>
          <w:color w:val="auto"/>
        </w:rPr>
      </w:pPr>
      <w:r>
        <w:rPr>
          <w:rFonts w:ascii="Arial" w:cs="Arial" w:eastAsia="Arial" w:hAnsi="Arial"/>
          <w:sz w:val="18"/>
          <w:szCs w:val="18"/>
          <w:i w:val="1"/>
          <w:iCs w:val="1"/>
          <w:u w:val="single" w:color="auto"/>
          <w:color w:val="auto"/>
        </w:rPr>
        <w:t>Debt Repayments</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See “— Outstanding Debt and Collateral Financing Arrangement” for information on long-term debt.</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i w:val="1"/>
          <w:iCs w:val="1"/>
          <w:u w:val="single" w:color="auto"/>
          <w:color w:val="auto"/>
        </w:rPr>
        <w:t>Insurance Liabilities</w:t>
      </w:r>
    </w:p>
    <w:p>
      <w:pPr>
        <w:spacing w:after="0" w:line="117" w:lineRule="exact"/>
        <w:rPr>
          <w:sz w:val="20"/>
          <w:szCs w:val="20"/>
          <w:color w:val="auto"/>
        </w:rPr>
      </w:pPr>
    </w:p>
    <w:p>
      <w:pPr>
        <w:jc w:val="both"/>
        <w:ind w:left="340" w:firstLine="324"/>
        <w:spacing w:after="0" w:line="264" w:lineRule="auto"/>
        <w:rPr>
          <w:sz w:val="20"/>
          <w:szCs w:val="20"/>
          <w:color w:val="auto"/>
        </w:rPr>
      </w:pPr>
      <w:r>
        <w:rPr>
          <w:rFonts w:ascii="Arial" w:cs="Arial" w:eastAsia="Arial" w:hAnsi="Arial"/>
          <w:sz w:val="18"/>
          <w:szCs w:val="18"/>
          <w:color w:val="auto"/>
        </w:rPr>
        <w:t>Liabilities arising from our insurance activities primarily relate to benefit payments under various life insurance products, and annuity products, as well as payments for policy surrenders, withdrawals and loans. For annuity or deposit type products, surrender or lapse behavior differs somewhat by segment. In the Annuities segment, lapses and surrenders tend to occur in</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130</w:t>
      </w:r>
    </w:p>
    <w:p>
      <w:pPr>
        <w:sectPr>
          <w:pgSz w:w="11900" w:h="16838" w:orient="portrait"/>
          <w:cols w:equalWidth="0" w:num="1">
            <w:col w:w="11420"/>
          </w:cols>
          <w:pgMar w:left="240" w:top="126" w:right="239" w:bottom="1440" w:gutter="0" w:footer="0" w:header="0"/>
        </w:sectPr>
      </w:pPr>
    </w:p>
    <w:bookmarkStart w:id="132" w:name="page133"/>
    <w:bookmarkEnd w:id="132"/>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both"/>
        <w:ind w:left="340"/>
        <w:spacing w:after="0" w:line="277" w:lineRule="auto"/>
        <w:rPr>
          <w:sz w:val="20"/>
          <w:szCs w:val="20"/>
          <w:color w:val="auto"/>
        </w:rPr>
      </w:pPr>
      <w:r>
        <w:rPr>
          <w:rFonts w:ascii="Arial" w:cs="Arial" w:eastAsia="Arial" w:hAnsi="Arial"/>
          <w:sz w:val="18"/>
          <w:szCs w:val="18"/>
          <w:color w:val="auto"/>
        </w:rPr>
        <w:t>the normal course of business. During the nine months ended September 30, 2017 and 2016, general account surrenders and withdrawals from annuity products were both $1.7 billion.</w:t>
      </w:r>
    </w:p>
    <w:p>
      <w:pPr>
        <w:spacing w:after="0" w:line="62" w:lineRule="exact"/>
        <w:rPr>
          <w:sz w:val="20"/>
          <w:szCs w:val="20"/>
          <w:color w:val="auto"/>
        </w:rPr>
      </w:pPr>
    </w:p>
    <w:p>
      <w:pPr>
        <w:ind w:left="340"/>
        <w:spacing w:after="0"/>
        <w:rPr>
          <w:sz w:val="20"/>
          <w:szCs w:val="20"/>
          <w:color w:val="auto"/>
        </w:rPr>
      </w:pPr>
      <w:r>
        <w:rPr>
          <w:rFonts w:ascii="Arial" w:cs="Arial" w:eastAsia="Arial" w:hAnsi="Arial"/>
          <w:sz w:val="18"/>
          <w:szCs w:val="18"/>
          <w:i w:val="1"/>
          <w:iCs w:val="1"/>
          <w:u w:val="single" w:color="auto"/>
          <w:color w:val="auto"/>
        </w:rPr>
        <w:t>Pledged Collateral</w:t>
      </w:r>
    </w:p>
    <w:p>
      <w:pPr>
        <w:spacing w:after="0" w:line="117" w:lineRule="exact"/>
        <w:rPr>
          <w:sz w:val="20"/>
          <w:szCs w:val="20"/>
          <w:color w:val="auto"/>
        </w:rPr>
      </w:pPr>
    </w:p>
    <w:p>
      <w:pPr>
        <w:jc w:val="both"/>
        <w:ind w:left="340" w:firstLine="324"/>
        <w:spacing w:after="0" w:line="302" w:lineRule="auto"/>
        <w:rPr>
          <w:sz w:val="20"/>
          <w:szCs w:val="20"/>
          <w:color w:val="auto"/>
        </w:rPr>
      </w:pPr>
      <w:r>
        <w:rPr>
          <w:rFonts w:ascii="Arial" w:cs="Arial" w:eastAsia="Arial" w:hAnsi="Arial"/>
          <w:sz w:val="16"/>
          <w:szCs w:val="16"/>
          <w:color w:val="auto"/>
        </w:rPr>
        <w:t>We pledge collateral to, and have collateral pledged to us by, counterparties in connection with our derivatives. At September 30, 2017 and December 31, 2016, we were obligated to return cash collateral pledged to the Company of $778 million and $749 million, respectively. At September 30, 2017 and December 31, 2016, we had pledged cash collateral of $21 million and $765 million, respectively. See Note 5 of the Notes to the Interim Condensed Consolidated and Combined Financial Statements for additional information about collateral pledged to us and collateral we pledge.</w:t>
      </w:r>
    </w:p>
    <w:p>
      <w:pPr>
        <w:spacing w:after="0" w:line="46" w:lineRule="exact"/>
        <w:rPr>
          <w:sz w:val="20"/>
          <w:szCs w:val="20"/>
          <w:color w:val="auto"/>
        </w:rPr>
      </w:pPr>
    </w:p>
    <w:p>
      <w:pPr>
        <w:jc w:val="both"/>
        <w:ind w:left="340" w:firstLine="324"/>
        <w:spacing w:after="0" w:line="277" w:lineRule="auto"/>
        <w:rPr>
          <w:sz w:val="20"/>
          <w:szCs w:val="20"/>
          <w:color w:val="auto"/>
        </w:rPr>
      </w:pPr>
      <w:r>
        <w:rPr>
          <w:rFonts w:ascii="Arial" w:cs="Arial" w:eastAsia="Arial" w:hAnsi="Arial"/>
          <w:sz w:val="18"/>
          <w:szCs w:val="18"/>
          <w:color w:val="auto"/>
        </w:rPr>
        <w:t>We pledged collateral from time to time in connection with funding agreements. See Note 4 of the Notes to the Combined Financial Statements included in the Form 10.</w:t>
      </w:r>
    </w:p>
    <w:p>
      <w:pPr>
        <w:spacing w:after="0" w:line="62" w:lineRule="exact"/>
        <w:rPr>
          <w:sz w:val="20"/>
          <w:szCs w:val="20"/>
          <w:color w:val="auto"/>
        </w:rPr>
      </w:pPr>
    </w:p>
    <w:p>
      <w:pPr>
        <w:ind w:left="340"/>
        <w:spacing w:after="0"/>
        <w:rPr>
          <w:sz w:val="20"/>
          <w:szCs w:val="20"/>
          <w:color w:val="auto"/>
        </w:rPr>
      </w:pPr>
      <w:r>
        <w:rPr>
          <w:rFonts w:ascii="Arial" w:cs="Arial" w:eastAsia="Arial" w:hAnsi="Arial"/>
          <w:sz w:val="18"/>
          <w:szCs w:val="18"/>
          <w:i w:val="1"/>
          <w:iCs w:val="1"/>
          <w:u w:val="single" w:color="auto"/>
          <w:color w:val="auto"/>
        </w:rPr>
        <w:t>Securities Lending</w:t>
      </w:r>
    </w:p>
    <w:p>
      <w:pPr>
        <w:spacing w:after="0" w:line="117" w:lineRule="exact"/>
        <w:rPr>
          <w:sz w:val="20"/>
          <w:szCs w:val="20"/>
          <w:color w:val="auto"/>
        </w:rPr>
      </w:pPr>
    </w:p>
    <w:p>
      <w:pPr>
        <w:jc w:val="both"/>
        <w:ind w:left="340" w:firstLine="324"/>
        <w:spacing w:after="0" w:line="290" w:lineRule="auto"/>
        <w:rPr>
          <w:sz w:val="20"/>
          <w:szCs w:val="20"/>
          <w:color w:val="auto"/>
        </w:rPr>
      </w:pPr>
      <w:r>
        <w:rPr>
          <w:rFonts w:ascii="Arial" w:cs="Arial" w:eastAsia="Arial" w:hAnsi="Arial"/>
          <w:sz w:val="16"/>
          <w:szCs w:val="16"/>
          <w:color w:val="auto"/>
        </w:rPr>
        <w:t>We participate in a securities lending program whereby securities are loaned to third parties, primarily brokerage firms and commercial banks. We obtain collateral, usually cash, from the borrower, which must be returned to the borrower when the loaned securities are returned to us. Under our securities lending program, we were liable for cash collateral under our control of $3.9 billion and $6.6 billion at September 30, 2017 and December 31, 2016, respectively. Of these amounts, $1.5 billion and $2.1 billion at September 30, 2017 and December 31, 2016, respectively, were on open, meaning that the related loaned security could be returned to us on the next business day requiring the immediate return of cash collateral we hold. The estimated fair value of the securities on loan related to the cash collateral on open at September 30, 2017 and December 31, 2016 was $1.4 billion and $2.1 billion, respectively, all of which were U.S. government and agency securities which, if put to us, could be immediately sold to satisfy the cash requirements to immediately return the cash collateral. See Note 4 of the Notes to the Interim Condensed Consolidated and Combined Financial Statements.</w:t>
      </w:r>
    </w:p>
    <w:p>
      <w:pPr>
        <w:spacing w:after="0" w:line="58" w:lineRule="exact"/>
        <w:rPr>
          <w:sz w:val="20"/>
          <w:szCs w:val="20"/>
          <w:color w:val="auto"/>
        </w:rPr>
      </w:pPr>
    </w:p>
    <w:p>
      <w:pPr>
        <w:ind w:left="340"/>
        <w:spacing w:after="0"/>
        <w:rPr>
          <w:sz w:val="20"/>
          <w:szCs w:val="20"/>
          <w:color w:val="auto"/>
        </w:rPr>
      </w:pPr>
      <w:r>
        <w:rPr>
          <w:rFonts w:ascii="Arial" w:cs="Arial" w:eastAsia="Arial" w:hAnsi="Arial"/>
          <w:sz w:val="18"/>
          <w:szCs w:val="18"/>
          <w:i w:val="1"/>
          <w:iCs w:val="1"/>
          <w:u w:val="single" w:color="auto"/>
          <w:color w:val="auto"/>
        </w:rPr>
        <w:t>Litigation</w:t>
      </w:r>
    </w:p>
    <w:p>
      <w:pPr>
        <w:spacing w:after="0" w:line="117" w:lineRule="exact"/>
        <w:rPr>
          <w:sz w:val="20"/>
          <w:szCs w:val="20"/>
          <w:color w:val="auto"/>
        </w:rPr>
      </w:pPr>
    </w:p>
    <w:p>
      <w:pPr>
        <w:jc w:val="both"/>
        <w:ind w:left="340" w:firstLine="324"/>
        <w:spacing w:after="0" w:line="255" w:lineRule="auto"/>
        <w:rPr>
          <w:sz w:val="20"/>
          <w:szCs w:val="20"/>
          <w:color w:val="auto"/>
        </w:rPr>
      </w:pPr>
      <w:r>
        <w:rPr>
          <w:rFonts w:ascii="Arial" w:cs="Arial" w:eastAsia="Arial" w:hAnsi="Arial"/>
          <w:sz w:val="18"/>
          <w:szCs w:val="18"/>
          <w:color w:val="auto"/>
        </w:rPr>
        <w:t>Putative or certified class action litigation and other litigation, and claims and assessments against us, in addition to those discussed elsewhere herein and those otherwise provided for in the financial statements, have arisen in the course of our business, including, but not limited to, in connection with our activities as an insurer, employer, investor, investment advisor, and taxpayer. Further, state insurance regulatory authorities and other federal and state authorities regularly make inquiries and conduct investigations concerning our compliance with applicable insurance and other laws and regulations. See Note 16 of the Notes to the Combined Financial Statements included in the Form 10 and Note 11 of the Notes to the Interim Condensed Consolidated and Combined Financial Statements.</w:t>
      </w:r>
    </w:p>
    <w:p>
      <w:pPr>
        <w:spacing w:after="0" w:line="85" w:lineRule="exact"/>
        <w:rPr>
          <w:sz w:val="20"/>
          <w:szCs w:val="20"/>
          <w:color w:val="auto"/>
        </w:rPr>
      </w:pPr>
    </w:p>
    <w:p>
      <w:pPr>
        <w:jc w:val="both"/>
        <w:ind w:left="340" w:firstLine="324"/>
        <w:spacing w:after="0" w:line="289" w:lineRule="auto"/>
        <w:rPr>
          <w:sz w:val="20"/>
          <w:szCs w:val="20"/>
          <w:color w:val="auto"/>
        </w:rPr>
      </w:pPr>
      <w:r>
        <w:rPr>
          <w:rFonts w:ascii="Arial" w:cs="Arial" w:eastAsia="Arial" w:hAnsi="Arial"/>
          <w:sz w:val="16"/>
          <w:szCs w:val="16"/>
          <w:color w:val="auto"/>
        </w:rPr>
        <w:t>We establish liabilities for litigation and regulatory loss contingencies when it is probable that a loss has been incurred and the amount of the loss can be reasonably estimated. For material matters where a loss is believed to be reasonably possible but not probable, no accrual is made but we disclose the nature of the contingency and an aggregate estimate of the reasonably possible range of loss in excess of amounts accrued, when such an estimate can be made. It is not possible to predict or determine the ultimate outcome of all pending investigations and legal proceedings. In some of the matters referred to herein, very large and/or indeterminate amounts, including punitive and treble damages, are sought. Although in light of these considerations, it is possible that an adverse outcome in certain cases could have a material adverse effect upon our financial position, based on information currently known by us, in our opinion, the outcome of such pending investigations and legal proceedings are not likely to have such an effect. However, given the large and/or indeterminate amounts sought in certain of these matters and the inherent unpredictability of litigation, it is possible that an adverse outcome in certain matters could, from time to time, have a material adverse effect on our net income or cash flows in particular quarterly or annual periods.</w:t>
      </w:r>
    </w:p>
    <w:p>
      <w:pPr>
        <w:spacing w:after="0" w:line="59" w:lineRule="exact"/>
        <w:rPr>
          <w:sz w:val="20"/>
          <w:szCs w:val="20"/>
          <w:color w:val="auto"/>
        </w:rPr>
      </w:pPr>
    </w:p>
    <w:p>
      <w:pPr>
        <w:ind w:left="340"/>
        <w:spacing w:after="0"/>
        <w:rPr>
          <w:sz w:val="20"/>
          <w:szCs w:val="20"/>
          <w:color w:val="auto"/>
        </w:rPr>
      </w:pPr>
      <w:r>
        <w:rPr>
          <w:rFonts w:ascii="Arial" w:cs="Arial" w:eastAsia="Arial" w:hAnsi="Arial"/>
          <w:sz w:val="18"/>
          <w:szCs w:val="18"/>
          <w:i w:val="1"/>
          <w:iCs w:val="1"/>
          <w:u w:val="single" w:color="auto"/>
          <w:color w:val="auto"/>
        </w:rPr>
        <w:t>Historical Support Agreements</w:t>
      </w:r>
    </w:p>
    <w:p>
      <w:pPr>
        <w:spacing w:after="0" w:line="117" w:lineRule="exact"/>
        <w:rPr>
          <w:sz w:val="20"/>
          <w:szCs w:val="20"/>
          <w:color w:val="auto"/>
        </w:rPr>
      </w:pPr>
    </w:p>
    <w:p>
      <w:pPr>
        <w:jc w:val="both"/>
        <w:ind w:left="340" w:firstLine="324"/>
        <w:spacing w:after="0" w:line="257" w:lineRule="auto"/>
        <w:rPr>
          <w:sz w:val="20"/>
          <w:szCs w:val="20"/>
          <w:color w:val="auto"/>
        </w:rPr>
      </w:pPr>
      <w:r>
        <w:rPr>
          <w:rFonts w:ascii="Arial" w:cs="Arial" w:eastAsia="Arial" w:hAnsi="Arial"/>
          <w:sz w:val="18"/>
          <w:szCs w:val="18"/>
          <w:color w:val="auto"/>
        </w:rPr>
        <w:t>Historically, the affiliated reinsurance companies of Brighthouse were party to various capital support commitments and guarantees with MetLife, Inc. Under these arrangements, MetLife, Inc. has historically agreed to cause each such entity to meet specified capital and surplus levels. MetLife, Inc. also guaranteed the obligations of certain of its subsidiaries including certain Brighthouse entities under committed facilities with third-party banks. See Note 11 of the Notes to the Combined Financial Statements included in the Form 10. In connection with the Separation, these support agreements in whole, or in part as applicable were canceled.</w:t>
      </w:r>
    </w:p>
    <w:p>
      <w:pPr>
        <w:spacing w:after="0" w:line="80" w:lineRule="exact"/>
        <w:rPr>
          <w:sz w:val="20"/>
          <w:szCs w:val="20"/>
          <w:color w:val="auto"/>
        </w:rPr>
      </w:pPr>
    </w:p>
    <w:p>
      <w:pPr>
        <w:jc w:val="both"/>
        <w:ind w:left="340" w:firstLine="324"/>
        <w:spacing w:after="0" w:line="264" w:lineRule="auto"/>
        <w:rPr>
          <w:sz w:val="20"/>
          <w:szCs w:val="20"/>
          <w:color w:val="auto"/>
        </w:rPr>
      </w:pPr>
      <w:r>
        <w:rPr>
          <w:rFonts w:ascii="Arial" w:cs="Arial" w:eastAsia="Arial" w:hAnsi="Arial"/>
          <w:sz w:val="18"/>
          <w:szCs w:val="18"/>
          <w:color w:val="auto"/>
        </w:rPr>
        <w:t>Historically, MetLife, Inc. had a net worth maintenance agreement with Brighthouse NY. Under this agreement, as amended, MetLife, Inc. had historically agreed to cause Brighthouse NY to meet specified capital and surplus levels and liquidity necessary to enable it to meet its current obligations on a timely basis. In connection with the Separation, this support agreement was terminated.</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131</w:t>
      </w:r>
    </w:p>
    <w:p>
      <w:pPr>
        <w:sectPr>
          <w:pgSz w:w="11900" w:h="16838" w:orient="portrait"/>
          <w:cols w:equalWidth="0" w:num="1">
            <w:col w:w="11420"/>
          </w:cols>
          <w:pgMar w:left="240" w:top="126" w:right="239" w:bottom="1440" w:gutter="0" w:footer="0" w:header="0"/>
        </w:sectPr>
      </w:pPr>
    </w:p>
    <w:bookmarkStart w:id="133" w:name="page134"/>
    <w:bookmarkEnd w:id="133"/>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Adoption of New Accounting Pronouncements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See Note 1 of the Notes to the Interim Condensed Consolidated and Combined Financial Statements.</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Future Adoption of New Accounting Pronouncements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See Note 1 of the Notes to the Interim Condensed Consolidated and Combined Financial Statements.</w:t>
      </w:r>
    </w:p>
    <w:p>
      <w:pPr>
        <w:spacing w:after="0" w:line="275"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132</w:t>
      </w:r>
    </w:p>
    <w:p>
      <w:pPr>
        <w:sectPr>
          <w:pgSz w:w="11900" w:h="16838" w:orient="portrait"/>
          <w:cols w:equalWidth="0" w:num="1">
            <w:col w:w="10219"/>
          </w:cols>
          <w:pgMar w:left="240" w:top="126" w:right="1440" w:bottom="1440" w:gutter="0" w:footer="0" w:header="0"/>
        </w:sectPr>
      </w:pPr>
    </w:p>
    <w:bookmarkStart w:id="134" w:name="page135"/>
    <w:bookmarkEnd w:id="134"/>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Regarding Forward-Looking Statements</w:t>
      </w:r>
    </w:p>
    <w:p>
      <w:pPr>
        <w:spacing w:after="0" w:line="175"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This Quarterly Report on Form 10-Q, including Management’s Discussion and Analysis of Financial Condition and Results of Operations, may contain information that includes or is based upon forward-looking statements within the meaning of the Private Securities Litigation Reform Act of 1995. Forward-looking statements give expectations or forecasts of future events. These statements can be identified by the fact that they do not relate strictly to historical or current facts. They use words such as “anticipate,” “estimate,” “expect,” “project,” “will,” “intend,” “plan,” “believe” and other words and terms of similar meaning, or are tied to future periods, in connection with a discussion of future operating or financial performance. In particular, these include statements relating to future actions, statements regarding the Separation including the expected benefits thereof, the recapitalization actions, including the expected benefits thereof, prospective services or products, future performance or results of current and anticipated services or products, sales efforts, expenses, the outcome of contingencies such as legal proceedings, trends in operations and financial results.</w:t>
      </w:r>
    </w:p>
    <w:p>
      <w:pPr>
        <w:spacing w:after="0" w:line="12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Any or all forward-looking statements may turn out to be wrong. They can be affected by inaccurate assumptions or by known or unknown risks and uncertainties. Many such factors will be important in determining the actual future results of Brighthouse, its subsidiaries and affiliates. These statements are based on current expectations and the current economic environment. They involve a number of risks and uncertainties that are difficult to predict. These statements are not guarantees of future performance. Actual results could differ materially from those expressed or implied in the forward-looking statements due to a variety of known and unknown risks, uncertainties and other factors. Although it is not possible to identify all of these risks and factors, they include, among others:</w:t>
      </w:r>
    </w:p>
    <w:p>
      <w:pPr>
        <w:spacing w:after="0" w:line="85" w:lineRule="exact"/>
        <w:rPr>
          <w:sz w:val="20"/>
          <w:szCs w:val="20"/>
          <w:color w:val="auto"/>
        </w:rPr>
      </w:pPr>
    </w:p>
    <w:p>
      <w:pPr>
        <w:ind w:left="660" w:hanging="328"/>
        <w:spacing w:after="0"/>
        <w:tabs>
          <w:tab w:leader="none" w:pos="660" w:val="left"/>
        </w:tabs>
        <w:numPr>
          <w:ilvl w:val="0"/>
          <w:numId w:val="87"/>
        </w:numPr>
        <w:rPr>
          <w:rFonts w:ascii="Arial" w:cs="Arial" w:eastAsia="Arial" w:hAnsi="Arial"/>
          <w:sz w:val="18"/>
          <w:szCs w:val="18"/>
          <w:color w:val="auto"/>
        </w:rPr>
      </w:pPr>
      <w:r>
        <w:rPr>
          <w:rFonts w:ascii="Arial" w:cs="Arial" w:eastAsia="Arial" w:hAnsi="Arial"/>
          <w:sz w:val="18"/>
          <w:szCs w:val="18"/>
          <w:color w:val="auto"/>
        </w:rPr>
        <w:t>differences between actual experience and actuarial assumptions and the effectiveness of our actuarial models;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87"/>
        </w:numPr>
        <w:rPr>
          <w:rFonts w:ascii="Arial" w:cs="Arial" w:eastAsia="Arial" w:hAnsi="Arial"/>
          <w:sz w:val="18"/>
          <w:szCs w:val="18"/>
          <w:color w:val="auto"/>
        </w:rPr>
      </w:pPr>
      <w:r>
        <w:rPr>
          <w:rFonts w:ascii="Arial" w:cs="Arial" w:eastAsia="Arial" w:hAnsi="Arial"/>
          <w:sz w:val="18"/>
          <w:szCs w:val="18"/>
          <w:color w:val="auto"/>
        </w:rPr>
        <w:t>higher risk management costs and exposure to increased counterparty risk due to guarantees within certain of our products;</w:t>
      </w:r>
    </w:p>
    <w:p>
      <w:pPr>
        <w:spacing w:after="0" w:line="117"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87"/>
        </w:numPr>
        <w:rPr>
          <w:rFonts w:ascii="Arial" w:cs="Arial" w:eastAsia="Arial" w:hAnsi="Arial"/>
          <w:sz w:val="18"/>
          <w:szCs w:val="18"/>
          <w:color w:val="auto"/>
        </w:rPr>
      </w:pPr>
      <w:r>
        <w:rPr>
          <w:rFonts w:ascii="Arial" w:cs="Arial" w:eastAsia="Arial" w:hAnsi="Arial"/>
          <w:sz w:val="18"/>
          <w:szCs w:val="18"/>
          <w:color w:val="auto"/>
        </w:rPr>
        <w:t>the effectiveness of our exposure management strategy and the impact of such strategy on net income volatility and negative effects on our statutory capital;</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87"/>
        </w:numPr>
        <w:rPr>
          <w:rFonts w:ascii="Arial" w:cs="Arial" w:eastAsia="Arial" w:hAnsi="Arial"/>
          <w:sz w:val="18"/>
          <w:szCs w:val="18"/>
          <w:color w:val="auto"/>
        </w:rPr>
      </w:pPr>
      <w:r>
        <w:rPr>
          <w:rFonts w:ascii="Arial" w:cs="Arial" w:eastAsia="Arial" w:hAnsi="Arial"/>
          <w:sz w:val="18"/>
          <w:szCs w:val="18"/>
          <w:color w:val="auto"/>
        </w:rPr>
        <w:t>the additional reserves we will be required to hold against our variable annuities as a result of actuarial guidelines;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87"/>
        </w:numPr>
        <w:rPr>
          <w:rFonts w:ascii="Arial" w:cs="Arial" w:eastAsia="Arial" w:hAnsi="Arial"/>
          <w:sz w:val="16"/>
          <w:szCs w:val="16"/>
          <w:color w:val="auto"/>
        </w:rPr>
      </w:pPr>
      <w:r>
        <w:rPr>
          <w:rFonts w:ascii="Arial" w:cs="Arial" w:eastAsia="Arial" w:hAnsi="Arial"/>
          <w:sz w:val="16"/>
          <w:szCs w:val="16"/>
          <w:color w:val="auto"/>
        </w:rPr>
        <w:t>a sustained period of low equity market prices and interest rates that are lower than those we assumed when we issued our variable annuity products;</w:t>
      </w:r>
    </w:p>
    <w:p>
      <w:pPr>
        <w:spacing w:after="0" w:line="140" w:lineRule="exact"/>
        <w:rPr>
          <w:rFonts w:ascii="Arial" w:cs="Arial" w:eastAsia="Arial" w:hAnsi="Arial"/>
          <w:sz w:val="16"/>
          <w:szCs w:val="16"/>
          <w:color w:val="auto"/>
        </w:rPr>
      </w:pPr>
    </w:p>
    <w:p>
      <w:pPr>
        <w:ind w:left="660" w:hanging="328"/>
        <w:spacing w:after="0"/>
        <w:tabs>
          <w:tab w:leader="none" w:pos="660" w:val="left"/>
        </w:tabs>
        <w:numPr>
          <w:ilvl w:val="0"/>
          <w:numId w:val="87"/>
        </w:numPr>
        <w:rPr>
          <w:rFonts w:ascii="Arial" w:cs="Arial" w:eastAsia="Arial" w:hAnsi="Arial"/>
          <w:sz w:val="18"/>
          <w:szCs w:val="18"/>
          <w:color w:val="auto"/>
        </w:rPr>
      </w:pPr>
      <w:r>
        <w:rPr>
          <w:rFonts w:ascii="Arial" w:cs="Arial" w:eastAsia="Arial" w:hAnsi="Arial"/>
          <w:sz w:val="18"/>
          <w:szCs w:val="18"/>
          <w:color w:val="auto"/>
        </w:rPr>
        <w:t>our degree of leverage following the Separation due to indebtedness incurred in connection with the Separation;</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87"/>
        </w:numPr>
        <w:rPr>
          <w:rFonts w:ascii="Arial" w:cs="Arial" w:eastAsia="Arial" w:hAnsi="Arial"/>
          <w:sz w:val="18"/>
          <w:szCs w:val="18"/>
          <w:color w:val="auto"/>
        </w:rPr>
      </w:pPr>
      <w:r>
        <w:rPr>
          <w:rFonts w:ascii="Arial" w:cs="Arial" w:eastAsia="Arial" w:hAnsi="Arial"/>
          <w:sz w:val="18"/>
          <w:szCs w:val="18"/>
          <w:color w:val="auto"/>
        </w:rPr>
        <w:t>the effect adverse capital and credit market conditions may have on our ability to meet liquidity needs and our access to capital;</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87"/>
        </w:numPr>
        <w:rPr>
          <w:rFonts w:ascii="Arial" w:cs="Arial" w:eastAsia="Arial" w:hAnsi="Arial"/>
          <w:sz w:val="18"/>
          <w:szCs w:val="18"/>
          <w:color w:val="auto"/>
        </w:rPr>
      </w:pPr>
      <w:r>
        <w:rPr>
          <w:rFonts w:ascii="Arial" w:cs="Arial" w:eastAsia="Arial" w:hAnsi="Arial"/>
          <w:sz w:val="18"/>
          <w:szCs w:val="18"/>
          <w:color w:val="auto"/>
        </w:rPr>
        <w:t>the impact of changes in regulation and in supervisory and enforcement policies on our insurance business or other operations;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87"/>
        </w:numPr>
        <w:rPr>
          <w:rFonts w:ascii="Arial" w:cs="Arial" w:eastAsia="Arial" w:hAnsi="Arial"/>
          <w:sz w:val="18"/>
          <w:szCs w:val="18"/>
          <w:color w:val="auto"/>
        </w:rPr>
      </w:pPr>
      <w:r>
        <w:rPr>
          <w:rFonts w:ascii="Arial" w:cs="Arial" w:eastAsia="Arial" w:hAnsi="Arial"/>
          <w:sz w:val="18"/>
          <w:szCs w:val="18"/>
          <w:color w:val="auto"/>
        </w:rPr>
        <w:t>the effectiveness of our risk management policies and procedures;</w:t>
      </w:r>
    </w:p>
    <w:p>
      <w:pPr>
        <w:spacing w:after="0" w:line="117"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87"/>
        </w:numPr>
        <w:rPr>
          <w:rFonts w:ascii="Arial" w:cs="Arial" w:eastAsia="Arial" w:hAnsi="Arial"/>
          <w:sz w:val="18"/>
          <w:szCs w:val="18"/>
          <w:color w:val="auto"/>
        </w:rPr>
      </w:pPr>
      <w:r>
        <w:rPr>
          <w:rFonts w:ascii="Arial" w:cs="Arial" w:eastAsia="Arial" w:hAnsi="Arial"/>
          <w:sz w:val="18"/>
          <w:szCs w:val="18"/>
          <w:color w:val="auto"/>
        </w:rPr>
        <w:t>the availability of reinsurance and the ability of our counterparties to our reinsurance or indemnification arrangements to perform their obligations thereunder;</w:t>
      </w:r>
    </w:p>
    <w:p>
      <w:pPr>
        <w:spacing w:after="0" w:line="62"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87"/>
        </w:numPr>
        <w:rPr>
          <w:rFonts w:ascii="Arial" w:cs="Arial" w:eastAsia="Arial" w:hAnsi="Arial"/>
          <w:sz w:val="18"/>
          <w:szCs w:val="18"/>
          <w:color w:val="auto"/>
        </w:rPr>
      </w:pPr>
      <w:r>
        <w:rPr>
          <w:rFonts w:ascii="Arial" w:cs="Arial" w:eastAsia="Arial" w:hAnsi="Arial"/>
          <w:sz w:val="18"/>
          <w:szCs w:val="18"/>
          <w:color w:val="auto"/>
        </w:rPr>
        <w:t>heightened competition, including with respect to service, product features, scale, price, actual or perceived financial strength, claims-paying ratings, credit ratings, e-business capabilities and name recognition;</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87"/>
        </w:numPr>
        <w:rPr>
          <w:rFonts w:ascii="Arial" w:cs="Arial" w:eastAsia="Arial" w:hAnsi="Arial"/>
          <w:sz w:val="18"/>
          <w:szCs w:val="18"/>
          <w:color w:val="auto"/>
        </w:rPr>
      </w:pPr>
      <w:r>
        <w:rPr>
          <w:rFonts w:ascii="Arial" w:cs="Arial" w:eastAsia="Arial" w:hAnsi="Arial"/>
          <w:sz w:val="18"/>
          <w:szCs w:val="18"/>
          <w:color w:val="auto"/>
        </w:rPr>
        <w:t>changes in accounting standards, practices and/or policies applicable to us;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87"/>
        </w:numPr>
        <w:rPr>
          <w:rFonts w:ascii="Arial" w:cs="Arial" w:eastAsia="Arial" w:hAnsi="Arial"/>
          <w:sz w:val="18"/>
          <w:szCs w:val="18"/>
          <w:color w:val="auto"/>
        </w:rPr>
      </w:pPr>
      <w:r>
        <w:rPr>
          <w:rFonts w:ascii="Arial" w:cs="Arial" w:eastAsia="Arial" w:hAnsi="Arial"/>
          <w:sz w:val="18"/>
          <w:szCs w:val="18"/>
          <w:color w:val="auto"/>
        </w:rPr>
        <w:t>the ability of our insurance subsidiaries to pay dividends to us, and our ability to pay dividends to our shareholders;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87"/>
        </w:numPr>
        <w:rPr>
          <w:rFonts w:ascii="Arial" w:cs="Arial" w:eastAsia="Arial" w:hAnsi="Arial"/>
          <w:sz w:val="18"/>
          <w:szCs w:val="18"/>
          <w:color w:val="auto"/>
        </w:rPr>
      </w:pPr>
      <w:r>
        <w:rPr>
          <w:rFonts w:ascii="Arial" w:cs="Arial" w:eastAsia="Arial" w:hAnsi="Arial"/>
          <w:sz w:val="18"/>
          <w:szCs w:val="18"/>
          <w:color w:val="auto"/>
        </w:rPr>
        <w:t>our ability to market and distribute our products through distribution channels;</w:t>
      </w:r>
    </w:p>
    <w:p>
      <w:pPr>
        <w:spacing w:after="0" w:line="117"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87"/>
        </w:numPr>
        <w:rPr>
          <w:rFonts w:ascii="Arial" w:cs="Arial" w:eastAsia="Arial" w:hAnsi="Arial"/>
          <w:sz w:val="18"/>
          <w:szCs w:val="18"/>
          <w:color w:val="auto"/>
        </w:rPr>
      </w:pPr>
      <w:r>
        <w:rPr>
          <w:rFonts w:ascii="Arial" w:cs="Arial" w:eastAsia="Arial" w:hAnsi="Arial"/>
          <w:sz w:val="18"/>
          <w:szCs w:val="18"/>
          <w:color w:val="auto"/>
        </w:rPr>
        <w:t>the impact of the Separation on our business and profitability due to MetLife’s strong brand and reputation, the increased costs related to replacing arrangements with MetLife with those of third parties and incremental costs as a public company;</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87"/>
        </w:numPr>
        <w:rPr>
          <w:rFonts w:ascii="Arial" w:cs="Arial" w:eastAsia="Arial" w:hAnsi="Arial"/>
          <w:sz w:val="17"/>
          <w:szCs w:val="17"/>
          <w:color w:val="auto"/>
        </w:rPr>
      </w:pPr>
      <w:r>
        <w:rPr>
          <w:rFonts w:ascii="Arial" w:cs="Arial" w:eastAsia="Arial" w:hAnsi="Arial"/>
          <w:sz w:val="17"/>
          <w:szCs w:val="17"/>
          <w:color w:val="auto"/>
        </w:rPr>
        <w:t>whether the operational, strategic and other benefits of the Separation can be achieved, and our ability to implement our business strategy;</w:t>
      </w:r>
    </w:p>
    <w:p>
      <w:pPr>
        <w:spacing w:after="0" w:line="128" w:lineRule="exact"/>
        <w:rPr>
          <w:rFonts w:ascii="Arial" w:cs="Arial" w:eastAsia="Arial" w:hAnsi="Arial"/>
          <w:sz w:val="17"/>
          <w:szCs w:val="17"/>
          <w:color w:val="auto"/>
        </w:rPr>
      </w:pPr>
    </w:p>
    <w:p>
      <w:pPr>
        <w:ind w:left="660" w:hanging="328"/>
        <w:spacing w:after="0" w:line="277" w:lineRule="auto"/>
        <w:tabs>
          <w:tab w:leader="none" w:pos="660" w:val="left"/>
        </w:tabs>
        <w:numPr>
          <w:ilvl w:val="0"/>
          <w:numId w:val="87"/>
        </w:numPr>
        <w:rPr>
          <w:rFonts w:ascii="Arial" w:cs="Arial" w:eastAsia="Arial" w:hAnsi="Arial"/>
          <w:sz w:val="18"/>
          <w:szCs w:val="18"/>
          <w:color w:val="auto"/>
        </w:rPr>
      </w:pPr>
      <w:r>
        <w:rPr>
          <w:rFonts w:ascii="Arial" w:cs="Arial" w:eastAsia="Arial" w:hAnsi="Arial"/>
          <w:sz w:val="18"/>
          <w:szCs w:val="18"/>
          <w:color w:val="auto"/>
        </w:rPr>
        <w:t>whether all or any portion of the Separation tax consequences are not as expected, leading to material additional taxes or material adverse consequences to tax attributes booked to us;</w:t>
      </w:r>
    </w:p>
    <w:p>
      <w:pPr>
        <w:spacing w:after="0" w:line="62"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87"/>
        </w:numPr>
        <w:rPr>
          <w:rFonts w:ascii="Arial" w:cs="Arial" w:eastAsia="Arial" w:hAnsi="Arial"/>
          <w:sz w:val="18"/>
          <w:szCs w:val="18"/>
          <w:color w:val="auto"/>
        </w:rPr>
      </w:pPr>
      <w:r>
        <w:rPr>
          <w:rFonts w:ascii="Arial" w:cs="Arial" w:eastAsia="Arial" w:hAnsi="Arial"/>
          <w:sz w:val="18"/>
          <w:szCs w:val="18"/>
          <w:color w:val="auto"/>
        </w:rPr>
        <w:t>the uncertainty of the outcome of any disputes with MetLife over tax-related matters and agreements including the potential of outcomes adverse to us that could cause us to owe MetLife material tax reimbursements or payments;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133</w:t>
      </w:r>
    </w:p>
    <w:p>
      <w:pPr>
        <w:sectPr>
          <w:pgSz w:w="11900" w:h="16838" w:orient="portrait"/>
          <w:cols w:equalWidth="0" w:num="1">
            <w:col w:w="11420"/>
          </w:cols>
          <w:pgMar w:left="240" w:top="126" w:right="239" w:bottom="1440" w:gutter="0" w:footer="0" w:header="0"/>
        </w:sectPr>
      </w:pPr>
    </w:p>
    <w:bookmarkStart w:id="135" w:name="page136"/>
    <w:bookmarkEnd w:id="135"/>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660" w:hanging="328"/>
        <w:spacing w:after="0" w:line="277" w:lineRule="auto"/>
        <w:tabs>
          <w:tab w:leader="none" w:pos="660" w:val="left"/>
        </w:tabs>
        <w:numPr>
          <w:ilvl w:val="0"/>
          <w:numId w:val="88"/>
        </w:numPr>
        <w:rPr>
          <w:rFonts w:ascii="Arial" w:cs="Arial" w:eastAsia="Arial" w:hAnsi="Arial"/>
          <w:sz w:val="18"/>
          <w:szCs w:val="18"/>
          <w:color w:val="auto"/>
        </w:rPr>
      </w:pPr>
      <w:r>
        <w:rPr>
          <w:rFonts w:ascii="Arial" w:cs="Arial" w:eastAsia="Arial" w:hAnsi="Arial"/>
          <w:sz w:val="18"/>
          <w:szCs w:val="18"/>
          <w:color w:val="auto"/>
        </w:rPr>
        <w:t>the impact on our business structure, profitability, cost of capital and flexibility due to restrictions we have agreed to that preserve the tax-free treatment of certain parts of the Separation;</w:t>
      </w:r>
    </w:p>
    <w:p>
      <w:pPr>
        <w:spacing w:after="0" w:line="62"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88"/>
        </w:numPr>
        <w:rPr>
          <w:rFonts w:ascii="Arial" w:cs="Arial" w:eastAsia="Arial" w:hAnsi="Arial"/>
          <w:sz w:val="18"/>
          <w:szCs w:val="18"/>
          <w:color w:val="auto"/>
        </w:rPr>
      </w:pPr>
      <w:r>
        <w:rPr>
          <w:rFonts w:ascii="Arial" w:cs="Arial" w:eastAsia="Arial" w:hAnsi="Arial"/>
          <w:sz w:val="18"/>
          <w:szCs w:val="18"/>
          <w:color w:val="auto"/>
        </w:rPr>
        <w:t>the potential material negative tax impact of proposed legislation that could decrease the value of our tax attributes, lead to increased RBC requirements and cause other cash expenses, such as reserves, to increase materially;</w:t>
      </w:r>
    </w:p>
    <w:p>
      <w:pPr>
        <w:spacing w:after="0" w:line="62"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88"/>
        </w:numPr>
        <w:rPr>
          <w:rFonts w:ascii="Arial" w:cs="Arial" w:eastAsia="Arial" w:hAnsi="Arial"/>
          <w:sz w:val="18"/>
          <w:szCs w:val="18"/>
          <w:color w:val="auto"/>
        </w:rPr>
      </w:pPr>
      <w:r>
        <w:rPr>
          <w:rFonts w:ascii="Arial" w:cs="Arial" w:eastAsia="Arial" w:hAnsi="Arial"/>
          <w:sz w:val="18"/>
          <w:szCs w:val="18"/>
          <w:color w:val="auto"/>
        </w:rPr>
        <w:t>whether the Distribution will qualify for non-recognition treatment for U.S. federal income tax purposes and potential indemnification to MetLife if the Distribution does not so qualify;</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88"/>
        </w:numPr>
        <w:rPr>
          <w:rFonts w:ascii="Arial" w:cs="Arial" w:eastAsia="Arial" w:hAnsi="Arial"/>
          <w:sz w:val="18"/>
          <w:szCs w:val="18"/>
          <w:color w:val="auto"/>
        </w:rPr>
      </w:pPr>
      <w:r>
        <w:rPr>
          <w:rFonts w:ascii="Arial" w:cs="Arial" w:eastAsia="Arial" w:hAnsi="Arial"/>
          <w:sz w:val="18"/>
          <w:szCs w:val="18"/>
          <w:color w:val="auto"/>
        </w:rPr>
        <w:t>our ability to attract and retain key personnel;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88"/>
        </w:numPr>
        <w:rPr>
          <w:rFonts w:ascii="Arial" w:cs="Arial" w:eastAsia="Arial" w:hAnsi="Arial"/>
          <w:sz w:val="18"/>
          <w:szCs w:val="18"/>
          <w:color w:val="auto"/>
        </w:rPr>
      </w:pPr>
      <w:r>
        <w:rPr>
          <w:rFonts w:ascii="Arial" w:cs="Arial" w:eastAsia="Arial" w:hAnsi="Arial"/>
          <w:sz w:val="18"/>
          <w:szCs w:val="18"/>
          <w:color w:val="auto"/>
        </w:rPr>
        <w:t>other factors described in this report and from time to time in documents that we file with the SEC.</w:t>
      </w:r>
    </w:p>
    <w:p>
      <w:pPr>
        <w:spacing w:after="0" w:line="171"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For the reasons described above, we caution you against relying on any forward-looking statements, which should also be read in conjunction with the other cautionary statements included and the risks, uncertainties and other factors identified in the Form 10, in the section entitled “Risk Factors” in this Quarterly Report on Form 10-Q, Brighthouse Financial, Inc.’s subsequent filings with the SEC, and elsewhere in this Quarterly Report on Form 10-Q. Further, any forward-looking statement speaks only as of the date on which it is made, and we undertake no obligation to update or revise any forward-looking statement to reflect events or circumstances after the date on which the statement is made or to reflect the occurrence of unanticipated events, except as otherwise may be required by law. Please consult any further disclosures Brighthouse Financial Inc. makes on related subjects in reports to the SEC.</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Corporate Information</w:t>
      </w:r>
    </w:p>
    <w:p>
      <w:pPr>
        <w:spacing w:after="0" w:line="117"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announce financial and other information about Brighthouse to our investors through the Brighthouse Investor Relations web page at www.brighthousefinancial.com, as well as SEC filings, news releases, public conference calls and webcasts. Brighthouse encourages investors to visit the Investor Relations web page from time to time, as information is updated and new information is posted. The information found on our website is not incorporated by reference into this Quarterly Report on Form 10-Q or in any other report or document we file with the SEC, and any references to our website are intended to be inactive textual references only.</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21"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We regularly analyze our exposure to interest rate, equity market price and foreign currency exchange rate risks. As a result of that analysis, we have determined that the estimated fair values of certain assets and liabilities are materially exposed to changes in interest rates, foreign currency exchange rates and changes in the equity markets. We have exposure to market risk through our insurance operations and investment activities. We use a variety of strategies to manage interest rate, foreign currency exchange rate and equity market risk, including the use of derivatives. A description of our market risk exposures may be found under “Quantitative and Qualitative Disclosures About Market Risk” included in the Form 10. There have been no material changes to our market risk exposures from the market risk exposures previously disclosed in the Form 10.</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2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Management, with the participation of the Chief Executive Officer and Chief Financial Officer, has evaluated the effectiveness of the design and operation of the Company’s disclosure controls and procedures as defined in Rule 13a-15(e) under the Securities Exchange Act of 1934, as amended (“Exchange Act”), as of the end of the period covered by this report. Based on that evaluation, the Chief Executive Officer and Chief Financial Officer have concluded that these disclosure controls and procedures are effective as of September 30, 2017.</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Controls Over Financial Reporting</w:t>
      </w:r>
    </w:p>
    <w:p>
      <w:pPr>
        <w:spacing w:after="0" w:line="117"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Historically, the Company has relied on certain financial, administrative and other resources of MetLife, Inc. to operate our business until the Separation on August 4, 2017. In connection with the Separation, the Company has undergone a redesign of several business processes. As business processes change related to this redesign, the Company identifies, documents and evaluates controls to ensure controls over our financial reporting are effective. We have entered into service agreements with MetLife, Inc. under which MetLife, Inc. will provide some of these services to us on a transitional basis. We consider these to be a material change in our internal control over financial reporting.</w:t>
      </w:r>
    </w:p>
    <w:p>
      <w:pPr>
        <w:spacing w:after="0" w:line="80"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Other than as noted above, no change in our internal control over financial reporting (as defined in Rule 13a-15(f) under the Exchange Act) occurred during the quarter ended September 30, 2017 covered by this report that materially affected, or is reasonably likely to materially affect, our internal control over financial reporting.</w:t>
      </w: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134</w:t>
      </w:r>
    </w:p>
    <w:p>
      <w:pPr>
        <w:sectPr>
          <w:pgSz w:w="11900" w:h="16838" w:orient="portrait"/>
          <w:cols w:equalWidth="0" w:num="1">
            <w:col w:w="11420"/>
          </w:cols>
          <w:pgMar w:left="240" w:top="126" w:right="239" w:bottom="1440" w:gutter="0" w:footer="0" w:header="0"/>
        </w:sectPr>
      </w:pPr>
    </w:p>
    <w:bookmarkStart w:id="136" w:name="page137"/>
    <w:bookmarkEnd w:id="136"/>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 Other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75"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color w:val="auto"/>
        </w:rPr>
        <w:t>The following should be read in conjunction with (i) “Business — Litigation and Regulatory Matters” included in the Form 10; (ii) Part II Item 1, of our Second Quarter Form 10-Q; and (iii) Note 11 of the Notes to the Interim Condensed Consolidated and Combined Financial Statements in Part I of this report.</w:t>
      </w:r>
    </w:p>
    <w:p>
      <w:pPr>
        <w:spacing w:after="0" w:line="16" w:lineRule="exact"/>
        <w:rPr>
          <w:sz w:val="20"/>
          <w:szCs w:val="20"/>
          <w:color w:val="auto"/>
        </w:rPr>
      </w:pPr>
    </w:p>
    <w:p>
      <w:pPr>
        <w:ind w:left="340"/>
        <w:spacing w:after="0"/>
        <w:rPr>
          <w:sz w:val="20"/>
          <w:szCs w:val="20"/>
          <w:color w:val="auto"/>
        </w:rPr>
      </w:pPr>
      <w:r>
        <w:rPr>
          <w:rFonts w:ascii="Arial" w:cs="Arial" w:eastAsia="Arial" w:hAnsi="Arial"/>
          <w:sz w:val="18"/>
          <w:szCs w:val="18"/>
          <w:i w:val="1"/>
          <w:iCs w:val="1"/>
          <w:u w:val="single" w:color="auto"/>
          <w:color w:val="auto"/>
        </w:rPr>
        <w:t>Diversified Lending Group Litigations</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8"/>
          <w:szCs w:val="18"/>
          <w:u w:val="single" w:color="auto"/>
          <w:color w:val="auto"/>
        </w:rPr>
        <w:t>Hartshorne v. NELICO, et al. (Los Angeles County Superior Court, filed March 25, 2015)</w:t>
      </w:r>
    </w:p>
    <w:p>
      <w:pPr>
        <w:spacing w:after="0" w:line="171"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Plaintiffs have named NELICO in twelve related lawsuits in California state court alleging various causes of action including multiple negligence and statutory claims relating to the Diversified Lending Group Ponzi scheme. In August of 2016, a trial of claims by one of the 98 plaintiffs, Christine Ramirez, resulted in a verdict against MetLife, Inc., MetLife Securities, and NELICO for approximately $200 thousand in compensatory damages and $15 million in punitive damages. On November 30, 2016, Ramirez consented to the court’s reduction of punitive damages to approximately $7 million. The judgment against NELICO is approximately $2.7 million. The defendants have filed a notice appealing this judgment to the Second Appellate District of the State of California. On May 2, 2017, the court awarded plaintiff approximately $6.5 million in attorneys’ fees and costs. The defendants have appealed this decision. A settlement in principle has been reached with 97 of the plaintiffs, including Ramirez.</w:t>
      </w:r>
    </w:p>
    <w:p>
      <w:pPr>
        <w:spacing w:after="0" w:line="124"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In addition to the matter discussed above, various litigation, claims and assessments against the Company, in addition to those discussed previously and those otherwise provided for in the Company’s financial statements, have arisen in the course of the Company’s business, including, but not limited to, in connection with its activities as an insurer, investor and taxpayer. Further, state insurance regulatory authorities and other federal and state authorities regularly make inquiries and conduct investigations concerning the Company’s compliance with applicable insurance and other laws and regulations.</w:t>
      </w:r>
    </w:p>
    <w:p>
      <w:pPr>
        <w:spacing w:after="0" w:line="100"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It is not possible to predict the ultimate outcome of all pending investigations and legal proceedings. In some of the matters referred to previously, large and/or indeterminate amounts, including punitive and treble damages, are sought. Although in light of these considerations it is possible that an adverse outcome in certain cases could have a material effect upon the Company’s financial position, based on information currently known by the Company’s management, in its opinion, the outcomes of such pending investigations and legal proceedings are not likely to have such an effect. However, given the large and/or indeterminate amounts sought in certain of these matters and the inherent unpredictability of litigation, it is possible that an adverse outcome in certain matters could, from time to time, have a material effect on the Company’s net income or cash flows in particular quarterly or annual periods.</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2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You should carefully consider the factors described below, in addition to the other information set forth in the Quarterly Report on Form 10-Q. These risk factors are important to understanding the contents of this Quarterly Report on Form 10-Q and our other reports. If any of the following events occur, our business, financial condition and operating results may be materially adversely affected. In that event, the trading price of our securities could decline, and you could lose all or part of your investment.</w:t>
      </w:r>
    </w:p>
    <w:p>
      <w:pPr>
        <w:spacing w:after="0" w:line="79"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materialization of any risks and uncertainties set forth below or identified in “Management’s Discussion and Analysis of Financial Condition and Results of Operations — Note Regarding Forward-Looking Statements” contained in this Quarterly Report on Form 10-Q and our other filings with the SEC or those that are presently unforeseen or that we currently believe to be immaterial could result in significant adverse effects on our financial condition, results of operations and cash flows. See “Management’s Discussion and Analysis of Financial Condition and Results of Operations — Note Regarding Forward-Looking Statements” above.</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Differences between actual experience and actuarial assumptions and the effectiveness of our actuarial models may adversely affect our financial results, capitalization and financial condition</w:t>
      </w:r>
    </w:p>
    <w:p>
      <w:pPr>
        <w:spacing w:after="0" w:line="62"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Our earnings significantly depend upon the extent to which our actual claims experience and benefit payments on our products are consistent with the assumptions we use in setting prices for our products and establishing liabilities for future policy benefits and claims. Such amounts are established based on estimates by actuaries of how much we will need to pay for future benefits and claims. To the extent that actual claims and benefits experience is less favorable than the underlying assumptions we used in establishing such liabilities, we could be required to increase our liabilities. We make assumptions regarding policyholder behavior at the time of pricing and in selecting and utilizing the guaranteed options inherent within our products based in part upon expected persistency of the products, which change the probability that a policy or contract will remain in force from one period to the next. Persistency within our annuities business may be significantly affected by the value of guaranteed minimum benefits (“GMxBs”)</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135</w:t>
      </w:r>
    </w:p>
    <w:p>
      <w:pPr>
        <w:sectPr>
          <w:pgSz w:w="11900" w:h="16838" w:orient="portrait"/>
          <w:cols w:equalWidth="0" w:num="1">
            <w:col w:w="11420"/>
          </w:cols>
          <w:pgMar w:left="240" w:top="126" w:right="239" w:bottom="1440" w:gutter="0" w:footer="0" w:header="0"/>
        </w:sectPr>
      </w:pPr>
    </w:p>
    <w:bookmarkStart w:id="137" w:name="page138"/>
    <w:bookmarkEnd w:id="137"/>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contained in many of our variable annuities being higher than current account values in light of poor equity market performance or extended periods of low interest rates as well as other factors. Persistency could be adversely affected generally by developments affecting policyholder perception of us, including perceptions arising from adverse publicity. The pricing of certain of our variable annuity products that contain certain living benefit guarantees is also based on assumptions about utilization rates, or the percentage of contracts that will utilize the benefit during the contract duration, including the timing of the first lifetime income withdrawal. Results may vary based on differences between actual and expected benefit utilization. A material increase in the valuation of the liability could result to the extent emerging and actual experience deviates from these policyholder option utilization assumptions, and in certain circumstances this deviation may impair our solvency.</w:t>
      </w:r>
    </w:p>
    <w:p>
      <w:pPr>
        <w:spacing w:after="0" w:line="81"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We use actuarial models to assist us in establishing reserves for liabilities arising from our insurance policies and annuity contracts. We periodically review the effectiveness of these models, their underlying logic and assumptions and, from time to time, implement refinements to our models based on these reviews. We only implement refinements after rigorous testing and validation and, even after such validation and testing our models remain subject to inherent limitations. Accordingly, no assurances can be given as to whether or when we will implement refinements to our actuarial models, and, if implemented, the extent of such refinements. Furthermore, if implemented, any such refinements could cause us to increase the reserves we hold for our insurance policy and annuity contract liabilities which would adversely affect our risk-based capital ratio and the amount of variable annuity assets we hold in excess of CTE95 and, in the case of any material model refinements, could materially adversely affect our financial condition and results of operations.</w:t>
      </w:r>
    </w:p>
    <w:p>
      <w:pPr>
        <w:spacing w:after="0" w:line="59"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Due to the nature of the underlying risks and the uncertainty associated with the determination of liabilities for future policy benefits and claims, we cannot determine precisely the amounts which we will ultimately pay to settle our liabilities. Such amounts may vary materially from the estimated amounts, particularly when those payments may not occur until well into the future. We evaluate our liabilities periodically based on accounting requirements, which change from time to time, the assumptions and models used to establish the liabilities, as well as our actual experience. If the liabilities originally established for future benefit payments and claims prove inadequate, we must increase them. Such increases would adversely affect our earnings and could have a material adverse effect on our results of operations and financial condition including our capitalization and our ability to receive statutory dividends from our operating insurance companies, as well as a material adverse effect on the financial strength ratings which are necessary to support our product sales. See “Management’s Discussion and Analysis of Financial Condition and Results of Operations - Policyholder Liabilities.”</w:t>
      </w:r>
    </w:p>
    <w:p>
      <w:pPr>
        <w:spacing w:after="0" w:line="5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Guarantees within certain of our products may decrease our earnings, decrease our capitalization, increase the volatility of our results, result in higher risk management costs and expose us to increased counterparty risk</w:t>
      </w:r>
    </w:p>
    <w:p>
      <w:pPr>
        <w:spacing w:after="0" w:line="62"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7"/>
          <w:szCs w:val="17"/>
          <w:color w:val="auto"/>
        </w:rPr>
        <w:t>Certain of the variable annuity products we offer include guaranteed benefits, including guaranteed minimum death benefits (“GMDBs”), guaranteed minimum withdrawal benefits (“GMWBs”) and guaranteed minimum accumulation benefits (“GMABs”). While we continue to have guaranteed minimum income benefits (“GMIBs”) in force with respect to which we are obligated to perform, we no longer offer GMIBs. We also offer index-linked annuities with guarantees against a defined floor on losses. These guarantees are designed to protect contractholders against significant changes in equity markets and interest rates. Any such periods of significant and sustained negative or low separate account returns, increased equity volatility, or reduced interest rates could result in an increase in the valuation of our liabilities associated with those products. In addition, if the separate account assets consisting of fixed income securities, which support the guaranteed index-linked return feature are insufficient to reflect a period of sustained growth in the equity-index on which the product is based, we may be required to support such separate accounts with assets from our general account and increase our liabilities. An increase in these liabilities would result in a decrease in our net income and depending on the magnitude of any such increase, could materially and adversely affect our financial condition, including our capitalization and our ability to receive statutory dividends from our operating insurance companies, as well as the financial strength ratings which are necessary to support our product sales. See “Business — Description of our Segments, Products and Operations — Variable Annuity Risk Management” included in the Form 10 and “Management’s Discussion and Analysis of Financial Condition and Results of Operations — Executive Summary — Actuarial Assumption Review.”</w:t>
      </w:r>
    </w:p>
    <w:p>
      <w:pPr>
        <w:spacing w:after="0" w:line="80"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Additionally, we make assumptions regarding policyholder behavior at the time of pricing and in selecting and utilizing the guaranteed options inherent within our products (e.g., utilization of option to annuitize within a GMIB product). An increase in the valuation of the liability could result to the extent emerging and actual experience deviates from these policyholder option utilization assumptions. On an annual basis we review key actuarial assumptions used to record our variable annuity liabilities, including those assumptions regarding policyholder behavior. Changes to assumptions based on our annual actuarial assumption review in future years could result in an increase in the liabilities we record for future policy benefits and claims to a level that may materially and adversely affect our results of operations and financial condition which, in certain circumstances, could impair our solvency. See “Management’s Discussion and Analysis of Financial Condition and Results of Operations — Executive Summary — Actuarial Assumption Review.”</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136</w:t>
      </w:r>
    </w:p>
    <w:p>
      <w:pPr>
        <w:sectPr>
          <w:pgSz w:w="11900" w:h="16838" w:orient="portrait"/>
          <w:cols w:equalWidth="0" w:num="1">
            <w:col w:w="11420"/>
          </w:cols>
          <w:pgMar w:left="240" w:top="126" w:right="239" w:bottom="1440" w:gutter="0" w:footer="0" w:header="0"/>
        </w:sectPr>
      </w:pPr>
    </w:p>
    <w:bookmarkStart w:id="138" w:name="page139"/>
    <w:bookmarkEnd w:id="138"/>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We also use hedging and other risk management strategies to mitigate the liability exposure primarily related to capital market risks. These strategies involve the use of reinsurance and derivatives, which may not be completely effective. For example, in the event that reinsurers, derivative counterparties or central clearinghouses are unable or unwilling to pay, we remain liable for the guaranteed benefits. See “— Our variable annuity exposure management strategy may not be effective, may result in net income volatility and may negatively affect our statutory capital.”</w:t>
      </w:r>
    </w:p>
    <w:p>
      <w:pPr>
        <w:spacing w:after="0" w:line="63"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In addition, capital markets hedging instruments may not effectively offset the costs of guarantees or may otherwise be insufficient in relation to our obligations. Furthermore, we are subject to the risk that changes in policyholder behavior or mortality, combined with adverse market events, could produce economic losses not addressed by the risk management techniques employed. These, individually or collectively, may have a material adverse effect on our results of operations, including net income, capitalization, financial condition or liquidity including our ability to receive dividends from our insurance operating companies. See “Business — Description of our Segments, Products and Operations — Annuities — Current Products — Variable Annuities” included in the Form 10 for further consideration of the risks associated with guaranteed benefits.</w:t>
      </w:r>
    </w:p>
    <w:p>
      <w:pPr>
        <w:spacing w:after="0" w:line="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variable annuity exposure management strategy may not be effective, may result in net income volatility and may negatively affect our statutory capital</w:t>
      </w:r>
    </w:p>
    <w:p>
      <w:pPr>
        <w:spacing w:after="0" w:line="6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have recently completed, the process of modifying our variable annuity exposure management strategy to emphasize as an objective the mitigation of the potential adverse effects of changes in equity markets and interest rates on our statutory capitalization and statutory distributable cash flows. The principal focus of our exposure risk management program is to maintain assets supporting our variable annuity contract guarantees at the variable annuity target funding level, which we intend to be CTE95 (the “Variable Annuity Target Funding Level”).</w:t>
      </w:r>
    </w:p>
    <w:p>
      <w:pPr>
        <w:spacing w:after="0" w:line="79"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color w:val="auto"/>
        </w:rPr>
        <w:t>We intend to hold assets supporting our variable annuity contracts at our Variable Annuity Target Funding Level to sustain asset adequacy during modest market downturns without the use of derivative instruments and, accordingly, reduce the need for hedging the daily or weekly fluctuations from small movements in capital markets. We intend to focus our hedging activities primarily on mitigating the risk from larger movements in capital markets, which may deplete contractholder account values and may increase long-term guarantee claims. We also intend to make greater use of longer dated derivative instruments. However, our hedging strategy may not be fully effective. In connection with our exposure risk management program we may determine to seek the approval of applicable regulatory authorities to permit us to increase our hedge limits consistent with those contemplated by the program. No assurance can be given that the approvals we request, if any, will be obtained and whether any such approvals would be subject to qualifications, limitations or conditions. In addition, the hedging instruments we enter into may not effectively offset the costs of variable annuity contract guarantees or may otherwise be insufficient in relation to our obligations. If our capital is depleted in the event of persistent market downturns, we will need to replenish it by holding additional capital, which we may have allocated for other uses, or purchasing additional hedging protection through the use of more expensive derivatives with strike levels at the current market level. Under our hedging strategy, changes from period to period in the valuation of our policyholder benefits and claims and net derivative gains (losses) may result in more significant volatility, which in certain circumstances could be material, to our results of operations and financial condition under GAAP and the statutory capital levels of our insurance subsidiaries than has been the case historically.</w:t>
      </w:r>
    </w:p>
    <w:p>
      <w:pPr>
        <w:spacing w:after="0" w:line="67" w:lineRule="exact"/>
        <w:rPr>
          <w:sz w:val="20"/>
          <w:szCs w:val="20"/>
          <w:color w:val="auto"/>
        </w:rPr>
      </w:pPr>
    </w:p>
    <w:p>
      <w:pPr>
        <w:jc w:val="both"/>
        <w:ind w:right="20" w:firstLine="324"/>
        <w:spacing w:after="0" w:line="259" w:lineRule="auto"/>
        <w:rPr>
          <w:sz w:val="20"/>
          <w:szCs w:val="20"/>
          <w:color w:val="auto"/>
        </w:rPr>
      </w:pPr>
      <w:r>
        <w:rPr>
          <w:rFonts w:ascii="Arial" w:cs="Arial" w:eastAsia="Arial" w:hAnsi="Arial"/>
          <w:sz w:val="18"/>
          <w:szCs w:val="18"/>
          <w:color w:val="auto"/>
        </w:rPr>
        <w:t>In addition, estimates and assumptions we make in connection with hedging activities may fail to reflect or correspond to our actual long-term exposure in respect of our guarantees. Further, the risk of increases in the costs of our guarantees not covered by our hedging and other capital and risk management strategies may become more significant due to changes in policyholder behavior driven by market conditions or other factors. The use of assets and derivative instruments may not effectively mitigate the effect of changes in policyholder behavior.</w:t>
      </w:r>
    </w:p>
    <w:p>
      <w:pPr>
        <w:spacing w:after="0" w:line="79"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Finally, the cost of our hedging program may be greater than anticipated because adverse market conditions can limit the availability and increase the costs of the derivatives we intend to employ and such costs may not be recovered in the pricing of the underlying products we offer. The above factors, individually or collectively, may have a material adverse effect on our results of operations, financial condition, capitalization and liquidity. See “Business — Description of our Segments, Products and Operations — Variable Annuity Risk Management” included in the Form 10 and “ — Guarantees within certain of our products may decrease our earnings, decrease our capitalization, increase the volatility of our results, result in higher risk management costs and expose us to increased counterparty risk” and “Management’s Discussion and Analysis of Financial Condition and Results of Operations — Executive Summary — Actuarial Assumption Review.”</w:t>
      </w:r>
    </w:p>
    <w:p>
      <w:pPr>
        <w:spacing w:after="0" w:line="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ULSG asset requirement target may not ensure we have sufficient assets to meet our future ULSG policyholder obligations and may result in net income volatility</w:t>
      </w:r>
    </w:p>
    <w:p>
      <w:pPr>
        <w:spacing w:after="0" w:line="6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We intend to more actively manage the market risk sensitivity related to our in-force ULSG exposure specifically to adapt to changes in interest rates.</w:t>
      </w: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137</w:t>
      </w:r>
    </w:p>
    <w:p>
      <w:pPr>
        <w:sectPr>
          <w:pgSz w:w="11900" w:h="16838" w:orient="portrait"/>
          <w:cols w:equalWidth="0" w:num="1">
            <w:col w:w="11420"/>
          </w:cols>
          <w:pgMar w:left="240" w:top="126" w:right="239" w:bottom="1440" w:gutter="0" w:footer="0" w:header="0"/>
        </w:sectPr>
      </w:pPr>
    </w:p>
    <w:bookmarkStart w:id="139" w:name="page140"/>
    <w:bookmarkEnd w:id="139"/>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We have utilized our NY Regulation 126 Cash Flow Testing (“ULSG CFT”) modeling approach as the basis for setting our ULSG asset requirement target for our affiliated reinsurance companies. For the business that remains in the operating companies, we set our ULSG asset requirement target to equal the actuarially determined statutory reserves under stressed conditions, which, taken together with our ULSG asset requirement target of our affiliated reinsurers, comprises our total ULSG asset requirement target (“ULSG Target”). Under this approach we assume that interest rates remain flat or decline as compared to current levels and our actuarial assumptions include a provision for adverse deviation.</w:t>
      </w:r>
    </w:p>
    <w:p>
      <w:pPr>
        <w:spacing w:after="0" w:line="64"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We seek to mitigate exposure to interest rate risk associated with these liabilities by maintaining ULSG Assets at or in excess of our ULSG Target in different interest rate environments. We define “ULSG Assets” as (i) total general account assets supporting statutory reserves and capital, and (ii) interest rate derivative instruments dedicated to mitigate ULSG interest rate exposures.</w:t>
      </w:r>
    </w:p>
    <w:p>
      <w:pPr>
        <w:spacing w:after="0" w:line="73"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Our ULSG Target is sensitive to the actual and future expected level of long-term U.S. interest rates. If interest rates fall, our ULSG Target increases, and if interest rates rise, our ULSG Target declines. We primarily use interest rate swaps to better protect statutory capitalization from potential losses due to an increase in reserves to achieve our ULSG Target in lower interest rate environments. We have implemented a dedicated interest rate risk mitigation program for our ULSG business. This risk mitigation strategy may negatively impact the GAAP equity and net income of Brighthouse Financial, Inc. in circumstances in which interest rates are rising. Under rising interest rates, our ULSG Target will likely decline, whereas our reported ULSG GAAP liabilities are predominately insensitive to market conditions.</w:t>
      </w:r>
    </w:p>
    <w:p>
      <w:pPr>
        <w:spacing w:after="0" w:line="8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This risk mitigation strategy will likely result in higher net income volatility due to the insensitivity of GAAP liabilities to changes in interest rates. Our interest rate derivative instruments may not effectively offset the costs of our ULSG policyholder obligations or may otherwise be insufficient in relation to our objectives. In addition, the assumptions we make in connection with our risk mitigation strategy may fail to reflect or correspond to actual long-term exposure to our ULSG policyholder obligations. If our liquid investments are depleted we will need to replenish our liquid portfolio by selling higher-yielding less liquid assets, which we may have allocated for other uses. The above factors, individually or collectively, may have a material adverse effect on our results of operations, financial condition, capitalization or liquidity. See “Business — Description of our Segments, Products and Operations — Run-off — ULSG Market Risk Exposure Management” included in the Form 10.</w:t>
      </w:r>
    </w:p>
    <w:p>
      <w:pPr>
        <w:spacing w:after="0" w:line="8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We may be required to hold additional statutory reserves against our variable annuities as a result of AG 43, which could impair our ability to make distributions to our shareholders</w:t>
      </w:r>
    </w:p>
    <w:p>
      <w:pPr>
        <w:spacing w:after="0" w:line="62"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We are required to calculate the statutory reserves which support our variable annuity products in conformity with AG 43. The principal components of the AG 43 reserve calculation are a calculation referred to as the Conditional Tail Expectation Amount (the “CTE Amount”) utilizing stochastic analysis across 1,000 capital market scenarios and a deterministic calculation based on a single standard scenario (the “Standard Scenario Reserve Amount”). The reserves we carry for our variable annuity contracts are required under AG 43 to include the greater of the CTE Amount or the Standard Scenario Reserve Amount. See “Management’s Discussion and Analysis of Financial Condition and Results of Operations — Liquidity and Capital Resources — Parent Company — Liquidity — Constraints on Parent Company Liquidity” included in the Form 10.</w:t>
      </w:r>
    </w:p>
    <w:p>
      <w:pPr>
        <w:spacing w:after="0" w:line="70"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We intend to support our variable annuity contracts with assets which are $2.0 billion to $3.0 billion in excess of the average amount of assets required under CTE95. Under our Base Case Scenario (which, although we believe reasonable, does not incorporate all capital markets and other scenarios relevant to asset adequacy and reserving) in the early years following the distribution we anticipate the assets we hold to support our variable annuity contracts at CTE95 will exceed the amount required by AG 43. Under this scenario, we anticipate that beginning in approximately 2020 under AG 43 as currently in effect the Standard Scenario Reserve Amount will exceed the amount that would be required to be held consistent with CTE95 (although still less than CTE95 plus $2.0 billion to $3.0 billion), and that the amount of such excess will increase materially in subsequent years.</w:t>
      </w:r>
    </w:p>
    <w:p>
      <w:pPr>
        <w:spacing w:after="0" w:line="70"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During the period that the Standard Scenario Reserve Amount materially exceeds CTE95, our insurance company subsidiaries’ RBC ratios and surplus will be adversely affected to the extent we make distributions to our shareholders. Notwithstanding this impact, and although no assurances can be given, under our Base Case Scenario we believe that during this period our excess reserving requirements under the standard scenario will allow us to maintain our Combined RBC ratio, surplus and financial strength ratings at levels necessary to market and sell our products in accordance with our business plan. If anticipated regulatory reform fails to bring AG 43 calculations in line with current RBC C3 Phase II requirements, which require us to hold assets to support our variable annuity contracts at a CTE90 standard, we may be required to pay extraordinary dividends from Brighthouse Insurance, which would be subject to regulatory approval, in order to make distributions to our shareholders. Furthermore, absent such regulatory reform, we may seek regulatory relief or engage in transactions, including restructuring or financing transactions, to mitigate the effect of the standard scenario on the surplus and RBC ratios of our insurance company subsidiaries.</w:t>
      </w:r>
    </w:p>
    <w:p>
      <w:pPr>
        <w:spacing w:after="0" w:line="8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primary objective of our variable annuity exposure management program is to mitigate the impact on our statutory balance sheet from any increase in CTE95 total asset requirements under capital market stress conditions. We seek to accomplish this by</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138</w:t>
      </w:r>
    </w:p>
    <w:p>
      <w:pPr>
        <w:sectPr>
          <w:pgSz w:w="11900" w:h="16838" w:orient="portrait"/>
          <w:cols w:equalWidth="0" w:num="1">
            <w:col w:w="11420"/>
          </w:cols>
          <w:pgMar w:left="240" w:top="126" w:right="239" w:bottom="1440" w:gutter="0" w:footer="0" w:header="0"/>
        </w:sectPr>
      </w:pPr>
    </w:p>
    <w:bookmarkStart w:id="140" w:name="page141"/>
    <w:bookmarkEnd w:id="140"/>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using derivatives instruments together with holding $2.0 billion to $3.0 billion in excess of the CTE95 requirement to fund the first dollar increase in CTE95 requirements under stressed capital market conditions. We do not currently intend our exposure management program to address any potential increase in excess standard scenario requirements above CTE95 under stressed market conditions. Under moderate to extreme market conditions, this may result in deterioration in the RBC ratio of our insurance company subsidiaries, until capital markets recover, although under these conditions we still expect to maintain the RBC ratio of our insurance company subsidiaries significantly in excess of minimum regulatory requirements. Our current intentions notwithstanding, we may, in the future, opportunistically consider adding incremental hedge protection to mitigate the impact of capital market stress conditions on standard scenario reserve funding requirements in excess of CTE95.</w:t>
      </w:r>
    </w:p>
    <w:p>
      <w:pPr>
        <w:spacing w:after="0" w:line="70"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No assurances can be given that the assumptions underlying our Base Case Scenario can or will be realized. In addition, our liquidity, statutory capitalization, results of operations and financial condition may be affected by a broad range of capital market scenarios, which, depending on whether they positively or adversely affect account values, could materially positively or adversely affect our reserving requirements under AG 43. See “Management’s Discussion and Analysis of Financial Condition and Results of Operations — Liquidity and Capital Resources — Parent Company — Liquidity — Constraints on Parent Company Liquidity” and “Business — Description of our Segments, Products and Operations — Variable Annuity Risk Management” included in the Form 10 and “Management’s Discussion and Analysis of Financial Condition and Results of Operations — Executive Summary — Actuarial Assumption Review.”</w:t>
      </w:r>
    </w:p>
    <w:p>
      <w:pPr>
        <w:spacing w:after="0" w:line="8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A sustained period of low equity market prices and interest rates that are lower than those we assumed when we issued our variable annuity products could have a material adverse effect on our results of operations, capitalization and financial condition</w:t>
      </w:r>
    </w:p>
    <w:p>
      <w:pPr>
        <w:spacing w:after="0" w:line="62"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Future policy benefit liabilities for GMDBs and GMLBs under our variable annuity contracts are based on the value of the benefits we expect to be payable under such contracts in excess of the contractholders’ projected account balances. We determine the fees we charge for providing these guarantees in substantial part on the basis of assumptions we make with respect to the growth of the account values relating to these contracts, including assumptions with respect to investment performance. If the actual growth in account values differs from our initial assumptions we may need to increase or decrease the amount of future benefit liabilities we record to the extent that other factors we consider in estimating the expected value of benefits payable, including policyholder behavior, do not offset the impact of changes in our assumptions with respect to investment performance. Although extreme declines or shocks in equity markets and interest rates can increase the level of reserves we need to hold to fund guarantees, other types of economic scenarios can also impact the adequacy of our reserves. For example, certain scenarios involving sustained stagnation in equity markets and low interest rates would adversely affect growth in account values and could require us to materially increase our benefit liabilities. As a result, in the absence of incremental management actions and not taking into account the effects of new business, our ability to retain the ratings necessary to market and sell our products, as well as our ability to repay or refinance indebtedness for borrowed money, could be materially adversely affected and our solvency could be impaired.</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Elements of our business strategy are new and may not be effective in accomplishing our objectives</w:t>
      </w:r>
    </w:p>
    <w:p>
      <w:pPr>
        <w:spacing w:after="0" w:line="117"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Our objective is to leverage our competitive strengths to distinguish ourselves in the individual life insurance and annuity markets and, over the longer term, to generate more distributable cash from our business. We seek to achieve this by being a focused product manufacturer with an emphasis on independent distribution, while having the goal of achieving a competitive expense ratio through financial discipline. We intend to achieve our goals by focusing on target market segments, concentrating on product manufacturing, maintaining a strong balance sheet and using the scale of our seasoned in-force business to support the effectiveness of our risk management program, and focusing on operating cost and flexibility. See “Business — Our Business Strategy” included in the Form 10.</w:t>
      </w:r>
    </w:p>
    <w:p>
      <w:pPr>
        <w:spacing w:after="0" w:line="85"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There can be no assurance that our strategy will be successful as it may not adequately alleviate the risks relating to less diverse product offerings; volatility of, and capital requirements with respect to, variable annuities; risk of loss with respect to use of derivatives in hedging transactions; and greater dependence on a relatively small number of independent distributors to market our products and generate most of our sales. Furthermore, such distributions may be subject to differing commission structures depending on the product sold and there can be no assurance that these new commission structures will be acceptable. See “ — General Risks — We may experience difficulty in marketing and distributing products through our distribution channels.” We may also be unable to reduce operating costs and enhance efficiencies, at least initially, due to the increased costs as a result of our Separation from MetLife, as well as the cost and duration of transitional services agreements. See “Certain Relationships and Related Person Transactions” included in the Form 10. For these reasons, no assurances can be given that we will be able to execute our strategy or that our strategy will achieve our objectives.</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139</w:t>
      </w:r>
    </w:p>
    <w:p>
      <w:pPr>
        <w:sectPr>
          <w:pgSz w:w="11900" w:h="16838" w:orient="portrait"/>
          <w:cols w:equalWidth="0" w:num="1">
            <w:col w:w="11420"/>
          </w:cols>
          <w:pgMar w:left="240" w:top="126" w:right="239" w:bottom="1440" w:gutter="0" w:footer="0" w:header="0"/>
        </w:sectPr>
      </w:pPr>
    </w:p>
    <w:bookmarkStart w:id="141" w:name="page142"/>
    <w:bookmarkEnd w:id="141"/>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We incurred significant indebtedness in connection with the Separation that for a period of time will not provide us with liquidity or interest-expense tax deductions and the terms of which could restrict our operations and use of funds that may result in a material adverse effect on our results of operations and financial condition</w:t>
      </w:r>
    </w:p>
    <w:p>
      <w:pPr>
        <w:spacing w:after="0" w:line="73"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We incurred substantial indebtedness in connection with the Separation in the form of debt securities and bank debt issued to investors and third-party lenders. These initial borrowings, and any further borrowings, may reduce our capacity to access credit markets for additional liquidity until such time as our equity and credit position are strengthened. We used a significant portion of the proceeds of these initial borrowings to make a distribution to MetLife as partial consideration for MetLife’s transfer of assets to Brighthouse and, accordingly, we are required to service the initial borrowings with cash at Brighthouse and dividends from our insurance companies and other operating company subsidiaries. The funds needed to service these initial borrowings will not be available to meet any short-term liquidity needs we may have, invest in our business or pay dividends on our common stock. Furthermore, Brighthouse Financial, Inc. was incorporated in 2016 and our life insurance subsidiaries were transferred to it on July 28, 2017. Pursuant to current IRS regulations, Brighthouse Financial, Inc. will not be permitted to join in the filing of a U.S. consolidated federal income tax return with our insurance subsidiaries for a period of five taxable years following the Distribution. As a result, during such time we may not be able to fully deduct the interest payments on certain initial indebtedness we incurred at the Brighthouse Financial, Inc. level in connection with the Separation or certain other borrowings from the taxable income of our insurance subsidiaries during such five-year period.</w:t>
      </w:r>
    </w:p>
    <w:p>
      <w:pPr>
        <w:spacing w:after="0" w:line="7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We entered into a $2.0 billion unsecured revolving credit facility, dated as of December 2, 2016, that matures on December 2, 2021 (the “Revolving Credit Facility”) and a $600 million senior unsecured term loan facility, dated as of July 21, 2017, that matures on December 2, 2019 (the “2017 Term Loan Facility” and together with the Revolving Credit Facility, the “Brighthouse Credit Facilities”). We borrowed the full $600 million under the 2017 Term Loan Facility and issued $1.5 billion aggregate principal amount of 3.700% Senior Notes due 2027 (the “2027 Senior Notes”) and $1.5 billion aggregate principal amount of 4.700% Senior Notes due 2047 (the “2047 Senior Notes” and together with the 2027 Senior Notes, the “Senior Notes”) on June 22, 2017 to third party investors.</w:t>
      </w:r>
    </w:p>
    <w:p>
      <w:pPr>
        <w:spacing w:after="0" w:line="85"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We have historically relied upon MetLife for working capital requirements on a short-term basis and for other financial support functions. We are no longer able to rely on MetLife’s earnings, assets or cash flow, and we are responsible for servicing our own debt, obtaining and maintaining sufficient working capital and paying dividends. We may not generate sufficient funds to service our debt and meet our business needs, such as funding working capital or the expansion of our operations. In addition, our substantial leverage could put us at a competitive disadvantage compared to our competitors that are less leveraged. Our substantial leverage could also impede our ability to withstand downturns in our industry or the economy in general. See “ — Risks Related to Our Business — We incurred significant indebtedness in connection with the Separation that for a period of time will not provide us with liquidity or interest-expense tax deductions and the terms of which could restrict our operations and use of funds that may result in a material adverse effect on our results of operations and financial condition.”</w:t>
      </w:r>
    </w:p>
    <w:p>
      <w:pPr>
        <w:spacing w:after="0" w:line="71"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b w:val="1"/>
          <w:bCs w:val="1"/>
          <w:i w:val="1"/>
          <w:iCs w:val="1"/>
          <w:color w:val="auto"/>
        </w:rPr>
        <w:t>Our failure to comply with the agreements relating to our outstanding indebtedness, including as a result of events beyond our control, could result in an event of default that could materially and adversely affect our business, financial condition, results of operations or cash flows.</w:t>
      </w:r>
    </w:p>
    <w:p>
      <w:pPr>
        <w:spacing w:after="0" w:line="16"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If there were an event of default under any of the agreements relating to our outstanding indebtedness, including the Revolving Credit Facility, the 2017 Term Loan Facility and the Senior Notes, we may not be able to incur additional indebtedness under the Revolving Credit Facility and the holders of the defaulted debt could cause all amounts outstanding with respect to that debt to be due and payable immediately.</w:t>
      </w:r>
    </w:p>
    <w:p>
      <w:pPr>
        <w:spacing w:after="0" w:line="73"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The Brighthouse Credit Facilities contain certain administrative, reporting, legal and financial covenants, including requirements to maintain a specified minimum consolidated net worth and to maintain a ratio of indebtedness to total capitalization not in excess of a specified percentage, and limitations on the dollar amount of indebtedness that may be incurred by our subsidiaries, which could restrict our operations and use of funds. See “Management’s Discussion and Analysis of Financial Condition and Results of Operations — Liquidity and Capital Resources — Parent Company — Capital” included in this Quarterly Report on Form 10-Q and “Recapitalization” included in the Form 10. Failure to comply with the covenants in the Revolving Credit Facility or fulfill the conditions to borrowings, or the failure of lenders to fund their lending commitments (whether due to insolvency, illiquidity or other reasons) in the amounts provided for under the terms of the Revolving Credit Facility, would restrict the ability to access the Revolving Credit Facility when needed and, consequently, could have a material adverse effect on our liquidity, results of operations and financial condition.</w:t>
      </w:r>
    </w:p>
    <w:p>
      <w:pPr>
        <w:spacing w:after="0" w:line="7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Our ability to make payments on and to refinance our indebtedness, including the debt retained or incurred pursuant to the distribution as well as any future indebtedness that we may incur, will depend on our ability to generate cash in the future from operations, financings or asset sales. Our ability to generate cash to meet our debt obligations in the future is sensitive to capital market returns, primarily due to our variable annuity business. See “Management’s Discussion and Analysis of Financial Condition</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140</w:t>
      </w:r>
    </w:p>
    <w:p>
      <w:pPr>
        <w:sectPr>
          <w:pgSz w:w="11900" w:h="16838" w:orient="portrait"/>
          <w:cols w:equalWidth="0" w:num="1">
            <w:col w:w="11420"/>
          </w:cols>
          <w:pgMar w:left="240" w:top="126" w:right="239" w:bottom="1440" w:gutter="0" w:footer="0" w:header="0"/>
        </w:sectPr>
      </w:pPr>
    </w:p>
    <w:bookmarkStart w:id="142" w:name="page143"/>
    <w:bookmarkEnd w:id="142"/>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and Results of Operations — Liquidity and Capital Resources — Parent Company — Capital”. Overall, our ability to generate cash is subject to general economic, financial market, competitive, legislative, regulatory, client behavioral, and other factors that are beyond our control.</w:t>
      </w:r>
    </w:p>
    <w:p>
      <w:pPr>
        <w:spacing w:after="0" w:line="62"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The lenders who hold our debt could also accelerate amounts due in the event that we default, which could potentially trigger a default or acceleration of the maturity of our other debt. We cannot assure you that our assets or cash flow would be sufficient to fully repay borrowings under our outstanding debt instruments if accelerated upon an event of default, which could have a material adverse effect on our ability to continue to operate as a going concern. If we are not able to repay or refinance our debt as it becomes due, we may be forced to take disadvantageous actions, including significant business and legal entity restructuring, limited new business investment, selling assets or dedicating an unsustainable level of our cash flow from operations to the payment of principal and interest on our indebtedness. In addition, our ability to withstand competitive pressures and to react to changes in the insurance industry could be impaired. Further, if we are unable to repay, refinance or restructure our secured indebtedness, the holders of such indebtedness could proceed against the collateral securing that indebtedness.</w:t>
      </w:r>
    </w:p>
    <w:p>
      <w:pPr>
        <w:spacing w:after="0" w:line="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A downgrade or a potential downgrade in our financial strength or credit ratings could result in a loss of business and materially adversely affect our financial condition and results of operations</w:t>
      </w:r>
    </w:p>
    <w:p>
      <w:pPr>
        <w:spacing w:after="0" w:line="62"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Financial strength ratings are published by various nationally recognized statistical rating organizations (“NRSROs”) and similar entities not formally recognized as NRSROs. They indicate the NRSROs’ opinions regarding an insurance company’s ability to meet contractholder and policyholder obligations, and are important to maintaining public confidence in our products and our competitive position. See “Management’s Discussion and Analysis of Financial Condition and Results of Operations — Liquidity and Capital Resources — The Company — Rating Agencies” for additional information regarding our financial strength ratings, including current rating agency ratings and outlooks.</w:t>
      </w:r>
    </w:p>
    <w:p>
      <w:pPr>
        <w:spacing w:after="0" w:line="8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Downgrades in our financial strength ratings or changes to our ratings outlooks could have a material adverse effect on our financial condition and results of operations in many ways, including:</w:t>
      </w:r>
    </w:p>
    <w:p>
      <w:pPr>
        <w:spacing w:after="0" w:line="62" w:lineRule="exact"/>
        <w:rPr>
          <w:sz w:val="20"/>
          <w:szCs w:val="20"/>
          <w:color w:val="auto"/>
        </w:rPr>
      </w:pPr>
    </w:p>
    <w:p>
      <w:pPr>
        <w:ind w:left="880" w:hanging="440"/>
        <w:spacing w:after="0"/>
        <w:tabs>
          <w:tab w:leader="none" w:pos="880" w:val="left"/>
        </w:tabs>
        <w:numPr>
          <w:ilvl w:val="0"/>
          <w:numId w:val="89"/>
        </w:numPr>
        <w:rPr>
          <w:rFonts w:ascii="Arial" w:cs="Arial" w:eastAsia="Arial" w:hAnsi="Arial"/>
          <w:sz w:val="18"/>
          <w:szCs w:val="18"/>
          <w:color w:val="auto"/>
        </w:rPr>
      </w:pPr>
      <w:r>
        <w:rPr>
          <w:rFonts w:ascii="Arial" w:cs="Arial" w:eastAsia="Arial" w:hAnsi="Arial"/>
          <w:sz w:val="18"/>
          <w:szCs w:val="18"/>
          <w:color w:val="auto"/>
        </w:rPr>
        <w:t>reducing new sales of insurance products and annuity products;</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89"/>
        </w:numPr>
        <w:rPr>
          <w:rFonts w:ascii="Arial" w:cs="Arial" w:eastAsia="Arial" w:hAnsi="Arial"/>
          <w:sz w:val="18"/>
          <w:szCs w:val="18"/>
          <w:color w:val="auto"/>
        </w:rPr>
      </w:pPr>
      <w:r>
        <w:rPr>
          <w:rFonts w:ascii="Arial" w:cs="Arial" w:eastAsia="Arial" w:hAnsi="Arial"/>
          <w:sz w:val="18"/>
          <w:szCs w:val="18"/>
          <w:color w:val="auto"/>
        </w:rPr>
        <w:t>adversely affecting our relationships with independent sales intermediaries;</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89"/>
        </w:numPr>
        <w:rPr>
          <w:rFonts w:ascii="Arial" w:cs="Arial" w:eastAsia="Arial" w:hAnsi="Arial"/>
          <w:sz w:val="18"/>
          <w:szCs w:val="18"/>
          <w:color w:val="auto"/>
        </w:rPr>
      </w:pPr>
      <w:r>
        <w:rPr>
          <w:rFonts w:ascii="Arial" w:cs="Arial" w:eastAsia="Arial" w:hAnsi="Arial"/>
          <w:sz w:val="18"/>
          <w:szCs w:val="18"/>
          <w:color w:val="auto"/>
        </w:rPr>
        <w:t>increasing the number or amount of policy surrenders and withdrawals by contractholders and policyholders;</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89"/>
        </w:numPr>
        <w:rPr>
          <w:rFonts w:ascii="Arial" w:cs="Arial" w:eastAsia="Arial" w:hAnsi="Arial"/>
          <w:sz w:val="18"/>
          <w:szCs w:val="18"/>
          <w:color w:val="auto"/>
        </w:rPr>
      </w:pPr>
      <w:r>
        <w:rPr>
          <w:rFonts w:ascii="Arial" w:cs="Arial" w:eastAsia="Arial" w:hAnsi="Arial"/>
          <w:sz w:val="18"/>
          <w:szCs w:val="18"/>
          <w:color w:val="auto"/>
        </w:rPr>
        <w:t>requiring us to reduce prices for many of our products and services to remain competitive;</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89"/>
        </w:numPr>
        <w:rPr>
          <w:rFonts w:ascii="Arial" w:cs="Arial" w:eastAsia="Arial" w:hAnsi="Arial"/>
          <w:sz w:val="18"/>
          <w:szCs w:val="18"/>
          <w:color w:val="auto"/>
        </w:rPr>
      </w:pPr>
      <w:r>
        <w:rPr>
          <w:rFonts w:ascii="Arial" w:cs="Arial" w:eastAsia="Arial" w:hAnsi="Arial"/>
          <w:sz w:val="18"/>
          <w:szCs w:val="18"/>
          <w:color w:val="auto"/>
        </w:rPr>
        <w:t>providing termination rights for the benefit of our derivative instrument counterparties;</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89"/>
        </w:numPr>
        <w:rPr>
          <w:rFonts w:ascii="Arial" w:cs="Arial" w:eastAsia="Arial" w:hAnsi="Arial"/>
          <w:sz w:val="18"/>
          <w:szCs w:val="18"/>
          <w:color w:val="auto"/>
        </w:rPr>
      </w:pPr>
      <w:r>
        <w:rPr>
          <w:rFonts w:ascii="Arial" w:cs="Arial" w:eastAsia="Arial" w:hAnsi="Arial"/>
          <w:sz w:val="18"/>
          <w:szCs w:val="18"/>
          <w:color w:val="auto"/>
        </w:rPr>
        <w:t>providing termination rights to cedents under assumed reinsurance contracts;</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89"/>
        </w:numPr>
        <w:rPr>
          <w:rFonts w:ascii="Arial" w:cs="Arial" w:eastAsia="Arial" w:hAnsi="Arial"/>
          <w:sz w:val="18"/>
          <w:szCs w:val="18"/>
          <w:color w:val="auto"/>
        </w:rPr>
      </w:pPr>
      <w:r>
        <w:rPr>
          <w:rFonts w:ascii="Arial" w:cs="Arial" w:eastAsia="Arial" w:hAnsi="Arial"/>
          <w:sz w:val="18"/>
          <w:szCs w:val="18"/>
          <w:color w:val="auto"/>
        </w:rPr>
        <w:t>adversely affecting our ability to obtain reinsurance at reasonable prices, if at all; and</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89"/>
        </w:numPr>
        <w:rPr>
          <w:rFonts w:ascii="Arial" w:cs="Arial" w:eastAsia="Arial" w:hAnsi="Arial"/>
          <w:sz w:val="18"/>
          <w:szCs w:val="18"/>
          <w:color w:val="auto"/>
        </w:rPr>
      </w:pPr>
      <w:r>
        <w:rPr>
          <w:rFonts w:ascii="Arial" w:cs="Arial" w:eastAsia="Arial" w:hAnsi="Arial"/>
          <w:sz w:val="18"/>
          <w:szCs w:val="18"/>
          <w:color w:val="auto"/>
        </w:rPr>
        <w:t>subjecting us to potentially increased regulatory scrutiny.</w:t>
      </w:r>
    </w:p>
    <w:p>
      <w:pPr>
        <w:spacing w:after="0" w:line="117" w:lineRule="exact"/>
        <w:rPr>
          <w:sz w:val="20"/>
          <w:szCs w:val="20"/>
          <w:color w:val="auto"/>
        </w:rPr>
      </w:pPr>
    </w:p>
    <w:p>
      <w:pPr>
        <w:jc w:val="both"/>
        <w:ind w:right="20" w:firstLine="324"/>
        <w:spacing w:after="0" w:line="264" w:lineRule="auto"/>
        <w:rPr>
          <w:sz w:val="20"/>
          <w:szCs w:val="20"/>
          <w:color w:val="auto"/>
        </w:rPr>
      </w:pPr>
      <w:r>
        <w:rPr>
          <w:rFonts w:ascii="Arial" w:cs="Arial" w:eastAsia="Arial" w:hAnsi="Arial"/>
          <w:sz w:val="18"/>
          <w:szCs w:val="18"/>
          <w:color w:val="auto"/>
        </w:rPr>
        <w:t>Certain rating agencies took initial rating actions in response to the initial filing on October 5, 2016 of the registration statement on Form 10, and certain rating agencies took additional rating actions during 2017. For a listing of our current ratings, see “Management’s Discussion and Analysis of Financial Condition and Results of Operations — Liquidity and Capital Resources — The Company — Rating Agencies.”</w:t>
      </w:r>
    </w:p>
    <w:p>
      <w:pPr>
        <w:spacing w:after="0" w:line="73"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Credit ratings are opinions of each agency with respect to specific securities and contractual financial obligations and the issuer’s ability and willingness to meet those obligations when due, and are important factors in our overall financial profile, including funding profiles, and our ability to access certain types of liquidity. Downgrades in our credit or financial strength ratings or changes to our rating outlook could have a material adverse effect on our financial condition and results of operations in many ways, including limiting our access to distributors, restricting our ability to generate new sales because our products depend on strong financial strength ratings to compete effectively, limiting our access to capital markets, and potentially increasing the cost of debt, which could adversely affect our liquidity.</w:t>
      </w:r>
    </w:p>
    <w:p>
      <w:pPr>
        <w:spacing w:after="0" w:line="85"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In view of the difficulties experienced by many financial institutions as a result of the financial crisis and ensuing global recession, including our competitors in the insurance industry, we believe it is possible that the NRSROs will continue to heighten the level of scrutiny that they apply to insurance companies, will continue to increase the frequency and scope of their credit reviews, will continue to request additional information from the companies that they rate, and may adjust upward the capital and other requirements employed in the models for maintenance of certain ratings levels. Our ratings could be downgraded at any time and without notice by any NRSRO. Any such downgrade could result in a reduction in new sales of our insurance products, which could have a material adverse effect on our results of operations. See “Business — Select Financial Targets — Exposure Management of Our VA In-Force — Sensitivity of Our Variable Annuity Target Funding Level to Capital Markets” included in the Form 10.</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141</w:t>
      </w:r>
    </w:p>
    <w:p>
      <w:pPr>
        <w:sectPr>
          <w:pgSz w:w="11900" w:h="16838" w:orient="portrait"/>
          <w:cols w:equalWidth="0" w:num="1">
            <w:col w:w="11420"/>
          </w:cols>
          <w:pgMar w:left="240" w:top="126" w:right="239" w:bottom="1440" w:gutter="0" w:footer="0" w:header="0"/>
        </w:sectPr>
      </w:pPr>
    </w:p>
    <w:bookmarkStart w:id="143" w:name="page144"/>
    <w:bookmarkEnd w:id="143"/>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Reinsurance may not be available, affordable or adequate to protect us against losses</w:t>
      </w:r>
    </w:p>
    <w:p>
      <w:pPr>
        <w:spacing w:after="0" w:line="117"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As part of our overall risk management strategy, our insurance subsidiaries purchase reinsurance from third-party reinsurers for certain risks we underwrite. While reinsurance agreements generally bind the reinsurer for the life of the business reinsured at generally fixed pricing, market conditions beyond our control determine the availability and cost of the reinsurance protection for new business. In certain circumstances, the price of reinsurance for business already reinsured may also increase. Also, under certain of our reinsurance arrangements, it is common for the reinsurer to have a right to increase reinsurance rates on in-force business if there is a systematic deterioration of mortality in the market as a whole. Any decrease in the amount of reinsurance will increase our risk of loss and any increase in the cost of reinsurance will, absent a decrease in the amount of reinsurance, reduce our earnings. Accordingly, we may be forced to incur additional expenses for reinsurance or may not be able to obtain sufficient reinsurance on acceptable terms, which could adversely affect our ability to write future business or result in the assumption of more risk with respect to those policies we issue. See “Business - Annuity and Life Reinsurance” included in the Form 10.</w:t>
      </w:r>
    </w:p>
    <w:p>
      <w:pPr>
        <w:spacing w:after="0" w:line="74" w:lineRule="exact"/>
        <w:rPr>
          <w:sz w:val="20"/>
          <w:szCs w:val="20"/>
          <w:color w:val="auto"/>
        </w:rPr>
      </w:pPr>
    </w:p>
    <w:p>
      <w:pPr>
        <w:jc w:val="both"/>
        <w:spacing w:after="0" w:line="375" w:lineRule="auto"/>
        <w:rPr>
          <w:sz w:val="20"/>
          <w:szCs w:val="20"/>
          <w:color w:val="auto"/>
        </w:rPr>
      </w:pPr>
      <w:r>
        <w:rPr>
          <w:rFonts w:ascii="Arial" w:cs="Arial" w:eastAsia="Arial" w:hAnsi="Arial"/>
          <w:sz w:val="15"/>
          <w:szCs w:val="15"/>
          <w:b w:val="1"/>
          <w:bCs w:val="1"/>
          <w:i w:val="1"/>
          <w:iCs w:val="1"/>
          <w:color w:val="auto"/>
        </w:rPr>
        <w:t>If the counterparties to our reinsurance or indemnification arrangements or to the derivatives we use to hedge our business risks default or fail to perform, we may be exposed to risks we had sought to mitigate, which could materially adversely affect our financial condition and results of operations</w:t>
      </w:r>
    </w:p>
    <w:p>
      <w:pPr>
        <w:spacing w:after="0" w:line="1"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We use reinsurance, indemnification and derivatives to mitigate our risks in various circumstances. In general, reinsurance, indemnification and derivatives do not relieve us of our direct liability to our policyholders, even when the reinsurer is liable to us. Accordingly, we bear credit risk with respect to our reinsurers, indemnitors, counterparties and central clearinghouses. A reinsurer’s, indemnitor’s, counterparty’s or central clearinghouse’s insolvency, inability or unwillingness to make payments under the terms of reinsurance agreements, indemnity agreements or derivatives agreements with us or inability or unwillingness to return collateral could have a material adverse effect on our financial condition and results of operations. See “Business - Annuity and Life Reinsurance” included in the Form 10.</w:t>
      </w:r>
    </w:p>
    <w:p>
      <w:pPr>
        <w:spacing w:after="0" w:line="85"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In addition, we use derivatives to hedge various business risks. We enter into a variety of derivatives, including options, forwards, interest rate, credit default and currency swaps with a number of counterparties on a bilateral basis for uncleared OTC derivatives and with clearing brokers and central clearinghouses for OTC-cleared derivatives. See “Management’s Discussion and Analysis of Financial Condition and Results of Operations - Derivatives.” If our counterparties, clearing brokers or central clearinghouses fail or refuse to honor their obligations under these derivatives, our hedges of the related risk will be ineffective. Such failure could have a material adverse effect on our financial condition and results of operations.</w:t>
      </w:r>
    </w:p>
    <w:p>
      <w:pPr>
        <w:spacing w:after="0" w:line="6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Extreme mortality events resulting from catastrophes may adversely impact liabilities for policyholder claims and reinsurance availability</w:t>
      </w:r>
    </w:p>
    <w:p>
      <w:pPr>
        <w:spacing w:after="0" w:line="129"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Our life insurance operations are exposed to the risk of catastrophic mortality, such as a pandemic or other event that causes a large number of deaths. For example, significant influenza pandemics have occurred three times in the last century. The likelihood, timing, and severity of a future pandemic cannot be predicted. A significant pandemic could have a major impact on the global economy or the economies of particular countries or regions, including travel, trade, tourism, the health system, food supply, consumption, overall economic output, as well as on the financial markets. In addition, a pandemic that affected our employees or the employees of our distributors or of other companies with which we do business could disrupt our business operations. The effectiveness of external parties, including governmental and non-governmental organizations, in combating the spread and severity of such a pandemic could have a material impact on the losses we experience. These events could cause a material adverse effect on our results of operations in any period and, depending on their severity, could also materially and adversely affect our financial condition.</w:t>
      </w:r>
    </w:p>
    <w:p>
      <w:pPr>
        <w:spacing w:after="0" w:line="71"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Consistent with industry practice and accounting standards, we establish liabilities for claims arising from a catastrophe only after assessing the probable losses arising from the event. We cannot be certain that the liabilities we have established will be adequate to cover actual claim liabilities. A catastrophic event or multiple catastrophic events could have a material adverse effect on our results of operations and financial condition. Conversely, improvements in medical care and other developments which positively affect life expectancy can cause our assumptions with respect to longevity, which we use when we price our products, to become incorrect and, accordingly, can adversely affect our results of operations and financial condition.</w:t>
      </w:r>
    </w:p>
    <w:p>
      <w:pPr>
        <w:spacing w:after="0" w:line="6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We may not be able to take credit for reinsurance, our statutory life insurance reserve financings may be subject to cost increases and new financings may be subject to limited market capacity</w:t>
      </w:r>
    </w:p>
    <w:p>
      <w:pPr>
        <w:spacing w:after="0" w:line="62"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currently utilize capital markets solutions to finance a portion of our statutory reserve requirements for several products, including, but not limited to, our level premium term life products subject to the National Association of Insurance Commissioners (the “NAIC”) Valuation of Life Insurance Policies Model Regulation (“Regulation XXX”), and ULSG subject to NAIC Actuarial Guideline 38 (“Guideline AXXX”). Following the receipt of all approvals from applicable regulators, effective April 28, 2017, we merged certain of our affiliate reinsurance companies into Brighthouse Reinsurance Company of Delaware (“BRCD”), a</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142</w:t>
      </w:r>
    </w:p>
    <w:p>
      <w:pPr>
        <w:sectPr>
          <w:pgSz w:w="11900" w:h="16838" w:orient="portrait"/>
          <w:cols w:equalWidth="0" w:num="1">
            <w:col w:w="11420"/>
          </w:cols>
          <w:pgMar w:left="240" w:top="126" w:right="239" w:bottom="1440" w:gutter="0" w:footer="0" w:header="0"/>
        </w:sectPr>
      </w:pPr>
    </w:p>
    <w:bookmarkStart w:id="144" w:name="page145"/>
    <w:bookmarkEnd w:id="144"/>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licensed reinsurance subsidiary of Brighthouse. This single, larger reinsurance subsidiary provides certain benefits to Brighthouse, including (i) enhancing the ability to hedge the interest rate risk of the reinsured liabilities, (ii) allowing increased allocation flexibility in managing an investment portfolio, and (iii) improving operating flexibility and administrative cost efficiency, but there can be no assurance that such benefits will materialize. BRCD obtained statutory reserve financing through a funding structure involving a single financing arrangement supported by a pool of highly rated third-party reinsurers, with financing at a lower cost than previous financing arrangements, which were terminated effective April 28, 2017. The restructured financing facility has a term of 20 years, but the liabilities being supported by such facility have a duration, in some cases, of more than 30 years. Therefore, we may need to refinance this facility in the future and any such refinancing may not be at costs attractive to us or may not be available at all. If such financing cannot be obtained on favorable terms, our statutory capitalization, results of operations and financial condition, as well as our competitiveness, could be adversely affected. See “Formation of Brighthouse and the Restructuring — Formation of Brighthouse — Certain Affiliated Reinsurance Companies” included in the Form 10.</w:t>
      </w:r>
    </w:p>
    <w:p>
      <w:pPr>
        <w:spacing w:after="0" w:line="59"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Future capacity for these statutory reserve funding structures in the marketplace is not guaranteed. During 2014, the NAIC approved a new regulatory framework applicable to the use of captive insurers in connection with Regulation XXX and Guideline AXXX transactions. Among other things, the framework called for more disclosure of an insurer’s use of captives in its statutory financial statements, and narrows the types of assets permitted to back statutory reserves that are required to support the insurer’s future obligations. In 2014, the NAIC implemented the framework through an actuarial guideline (“AG 48”), which requires the actuary of the ceding insurer that opines on the insurer’s reserves to issue a qualified opinion if the framework is not followed. The requirements of AG 48 became effective as of January 1, 2015 in all states, without any further action necessary by state legislatures or insurance regulators to implement them, and apply prospectively to new policies issued and new reinsurance transactions entered into on or after January 1, 2015. AG 48 does not apply to policies included under reinsurance agreements that were in existence as of January 1, 2015.</w:t>
      </w:r>
    </w:p>
    <w:p>
      <w:pPr>
        <w:spacing w:after="0" w:line="71"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In December 2016, the NAIC adopted a revised version of AG 48 (“Updated AG 48”), which applies to new policies issued and new reinsurance transactions entered into on or after January 1, 2017, and which, among other things, includes revisions to the actuarial method used to determine the required level of assets permitted to back statutory reserves and to the exemptions from the actuarial guideline’s requirements. The requirements of Updated AG 48 became effective as of January 1, 2017 in all states, without any further action necessary by state legislatures or insurance regulators to implement them. Updated AG 48 does not apply to policies included under reinsurance agreements that were in existence prior to January 1, 2017. In December 2016, the NAIC also adopted a new model regulation containing the same substantive requirements as Updated AG 48. This new model regulation now has to be adopted by the states. The model regulation will generally replace Updated AG 48 in a state upon the state’s adoption of the model regulation. To the extent the types of assets permitted under AG 48, Updated AG 48 and/or under the new model regulation to back statutory reserves relating to these captive transactions are not available in the future to back such transactions, we would not be able to take some or all statutory reserve credit for such transactions and could consequently be required to materially affect the statutory capitalization of Brighthouse Insurance, which would materially and adversely affect our financial condition.</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Factors affecting our competitiveness may adversely affect our market share and profitability</w:t>
      </w:r>
    </w:p>
    <w:p>
      <w:pPr>
        <w:spacing w:after="0" w:line="117"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We believe competition among insurance companies is based on a number of factors, including service, product features, scale, price, actual or perceived financial strength, claims-paying ratings, credit ratings, e-business capabilities and name recognition. We compete with a large number of other insurance companies, as well as non-insurance financial services companies, such as banks, broker-dealers and asset managers. Some of these companies offer a broader array of products, have more competitive pricing or, with respect to other insurance companies, have higher claims paying ability and financial strength ratings. Some may also have greater financial resources with which to compete. In some circumstances, national banks that sell annuity products of life insurers may also have a pre-existing customer base for financial services products. These competitive pressures may adversely affect the persistency of our products, as well as our ability to sell our products in the future. If, as a result of competitive factors or otherwise, we are unable to generate a sufficient return on insurance policies and annuity products we sell in the future, we may stop selling such policies and products, which could have a material adverse effect on our financial condition and results of operations. See “Business — Annuity and Life Competition” included in the Form 10.</w:t>
      </w:r>
    </w:p>
    <w:p>
      <w:pPr>
        <w:spacing w:after="0" w:line="59"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We have limited control over many of our costs. For example, we have limited control over the cost of third-party reinsurance, the cost of meeting changing regulatory requirements, and our cost to access capital or financing. There can be no assurance that we will be able to achieve or maintain a cost advantage over our competitors. If our cost structure increases and we are not able to achieve or maintain a cost advantage over our competitors, it could have a material adverse effect on our ability to execute our strategy, as well as on our results of operations and financial condition. As a publicly traded company, if we hold substantially more capital than is needed to support credit ratings that are commensurate with our business strategy, over time, our competitive position could be adversely affected.</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143</w:t>
      </w:r>
    </w:p>
    <w:p>
      <w:pPr>
        <w:sectPr>
          <w:pgSz w:w="11900" w:h="16838" w:orient="portrait"/>
          <w:cols w:equalWidth="0" w:num="1">
            <w:col w:w="11420"/>
          </w:cols>
          <w:pgMar w:left="240" w:top="126" w:right="239" w:bottom="1440" w:gutter="0" w:footer="0" w:header="0"/>
        </w:sectPr>
      </w:pPr>
    </w:p>
    <w:bookmarkStart w:id="145" w:name="page146"/>
    <w:bookmarkEnd w:id="145"/>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In addition, since numerous aspects of our business are subject to regulation, legislative and other changes affecting the regulatory environment for our business may have, over time, the effect of supporting or burdening some aspects of the financial services industry. This can affect our competitive position within the life insurance industry and within the broader financial services industry. See “Regulation” included in the Form 10.</w:t>
      </w:r>
    </w:p>
    <w:p>
      <w:pPr>
        <w:spacing w:after="0" w:line="5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 failure of third parties to provide various services that are important to our operations could have a material adverse effect on our business</w:t>
      </w:r>
    </w:p>
    <w:p>
      <w:pPr>
        <w:spacing w:after="0" w:line="140"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7"/>
          <w:szCs w:val="17"/>
          <w:color w:val="auto"/>
        </w:rPr>
        <w:t>A key part of our operating strategy is to outsource certain services important to our business. In July 2016, we entered into a multi-year outsourcing arrangement for the administration of certain in-force policies currently housed on up to 20 systems. Pursuant to this arrangement, at least 13 of such systems will be consolidated down to one. We may further reduce the remaining in-scope systems in the future. We intend to focus on further outsourcing opportunities with third-party vendors after the Transition Services Agreement, Investment Management Agreements and other agreements with MetLife companies expire. See “— Risks Related to Our Separation from, and Continuing Relationship with, MetLife.” The terms of our arrangements with MetLife may be more favorable than we would be able to obtain from an unaffiliated third party. We may be unable to replace the services MetLife provides to us in a timely manner or on comparable terms” for information regarding the potential effect that the Separation of our business from MetLife will have on the pricing of such services. It may be difficult and disruptive for us to replace some of our third-party vendors in a timely manner if they were unwilling or unable to provide us with these services in the future (as a result of their financial or business conditions or otherwise), and our business and operations likely could be materially adversely affected. In addition, if a third-party provider fails to provide the core administrative, operational, financial, and actuarial services we require, fails to meet contractual requirements, such as compliance with applicable laws and regulations, or suffers a cyber-attack or other security breach, our business could suffer economic and reputational harm that could have a material adverse effect on our business and results of operations. See “— Operational Risks — The failure in cyber- or other information security systems, as well as the occurrence of events unanticipated in Brighthouse’s and MetLife’s disaster recovery systems and business continuity planning could result in a loss or disclosure of confidential information, damage to our reputation and impairment of our ability to conduct business effectively.”</w:t>
      </w:r>
    </w:p>
    <w:p>
      <w:pPr>
        <w:spacing w:after="0" w:line="7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our business does not perform well, we may be required to recognize an impairment of long-lived assets or to establish a valuation allowance against the deferred income tax asset, which could adversely affect our results of operations or financial condition</w:t>
      </w:r>
    </w:p>
    <w:p>
      <w:pPr>
        <w:spacing w:after="0" w:line="62"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Long-lived assets, including assets such as real estate, require impairment testing. This testing is done to determine whether changes in circumstances indicate that we will be unable to recover the carrying amount of the asset group. Such writedowns could have a material adverse effect on our results of operations or financial position.</w:t>
      </w:r>
    </w:p>
    <w:p>
      <w:pPr>
        <w:spacing w:after="0" w:line="73"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Deferred income tax represents the tax effect of the differences between the book and tax bases of assets and liabilities. Deferred tax assets are assessed periodically by management to determine whether they are realizable. Factors in management’s determination include the performance of the business including the ability to generate future taxable income. If, based on available information, it is more likely than not that the deferred income tax asset will not be realized, then a valuation allowance must be established with a corresponding charge to net income. Such charges could have a material adverse effect on our results of operations or financial position. In addition, changes in the corporate tax rates could affect the value of our deferred tax assets and may require a write-off of some of those assets. See “Management’s Discussion and Analysis of Financial Condition and Results of Operations — Summary of Critical Accounting Estimates.”</w:t>
      </w:r>
    </w:p>
    <w:p>
      <w:pPr>
        <w:spacing w:after="0" w:line="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If our business does not perform well or if actual experience versus estimates used in valuing and amortizing DAC and VOBA vary significantly, we may be required to accelerate the amortization and/or impair the DAC and VOBA, which could adversely affect our results of operations or financial condition</w:t>
      </w:r>
    </w:p>
    <w:p>
      <w:pPr>
        <w:spacing w:after="0" w:line="73" w:lineRule="exact"/>
        <w:rPr>
          <w:sz w:val="20"/>
          <w:szCs w:val="20"/>
          <w:color w:val="auto"/>
        </w:rPr>
      </w:pPr>
    </w:p>
    <w:p>
      <w:pPr>
        <w:jc w:val="both"/>
        <w:ind w:firstLine="324"/>
        <w:spacing w:after="0" w:line="288" w:lineRule="auto"/>
        <w:rPr>
          <w:sz w:val="20"/>
          <w:szCs w:val="20"/>
          <w:color w:val="auto"/>
        </w:rPr>
      </w:pPr>
      <w:r>
        <w:rPr>
          <w:rFonts w:ascii="Arial" w:cs="Arial" w:eastAsia="Arial" w:hAnsi="Arial"/>
          <w:sz w:val="16"/>
          <w:szCs w:val="16"/>
          <w:color w:val="auto"/>
        </w:rPr>
        <w:t>We incur significant costs in connection with acquiring new and renewal insurance business. Costs that are related directly to the successful acquisition of new and renewal insurance business are deferred and referred to as DAC. Value of business acquired (“VOBA”) represents the excess of book value over the estimated fair value of acquired insurance and annuity contracts in-force at the acquisition date. The estimated fair value of the acquired liabilities is based on actuarially determined projections, by each block of business, of future policy and contract charges, premiums, mortality and morbidity, separate account performance, surrenders, operational expenses, investment returns, nonperformance risk adjustment and other factors. DAC and VOBA related to fixed and variable life and deferred annuity contracts are amortized in proportion to actual and expected future gross profits and for most participating contracts in proportion to actual and expected future gross margins. The amount of future gross profit or margin is dependent principally on investment returns in excess of the amounts credited to policyholders, mortality, morbidity, persistency, interest crediting rates, dividends paid to policyholders, expenses to administer the business, creditworthiness of reinsurance counterparties and certain economic variables, such as inflation. Of these factors, we anticipate that investment returns are most likely to impact the rate of amortization of DAC for the aforementioned contracts.</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144</w:t>
      </w:r>
    </w:p>
    <w:p>
      <w:pPr>
        <w:sectPr>
          <w:pgSz w:w="11900" w:h="16838" w:orient="portrait"/>
          <w:cols w:equalWidth="0" w:num="1">
            <w:col w:w="11420"/>
          </w:cols>
          <w:pgMar w:left="240" w:top="126" w:right="239" w:bottom="1440" w:gutter="0" w:footer="0" w:header="0"/>
        </w:sectPr>
      </w:pPr>
    </w:p>
    <w:bookmarkStart w:id="146" w:name="page147"/>
    <w:bookmarkEnd w:id="146"/>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If actual gross profits or margins are less than originally expected, then the amortization of such costs would be accelerated in the period the actual experience is known and would result in a charge to net income. Significant or sustained equity market declines could result in an acceleration of amortization of DAC and VOBA related to variable annuity and variable life contracts, resulting in a charge to net income. Such adjustments could have a material adverse effect on our results of operations or financial condition. See “Management’s Discussion and Analysis of Financial Condition and Results of Operations — Summary of Critical Accounting Estimates — Deferred Policy Acquisition Costs and Value of Business Acquired” included in the Form 10 for a discussion of how significantly lower net investment spreads may cause us to accelerate amortization, thereby reducing net income in the affected reporting period.</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Economic Environment and Capital Markets-Related Risks</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difficult conditions in the capital markets and the U.S. economy generally persist or are perceived to persist, they may materially adversely affect our business and results of operations</w:t>
      </w:r>
    </w:p>
    <w:p>
      <w:pPr>
        <w:spacing w:after="0" w:line="62"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7"/>
          <w:szCs w:val="17"/>
          <w:color w:val="auto"/>
        </w:rPr>
        <w:t>Our business and results of operations are materially affected by conditions in the capital markets and the U.S. economy generally, as well as by the global economy to the extent it affects the U.S. economy. In addition, while our operations are entirely in the United States, we have foreign investments in our general and separate accounts and, accordingly, conditions in the global capital markets can affect the value of our general account and separate account assets, as well as our financial results. Stressed conditions, volatility and disruptions in financial asset classes or various capital markets can have an adverse effect on us, both because we have a large investment portfolio and our benefit and claim liabilities are sensitive to changing market factors. In addition, perceived difficult conditions in the capital markets may discourage individuals from making investment decisions and purchasing our products. Market factors include interest rates, credit spreads, equity and commodity prices, derivative prices and availability, real estate markets, foreign exchange rates and the volatility and the returns of capital markets. Our business operations and results may also be affected by the level of economic activity, such as the level of employment, business investment and spending, consumer spending and savings; monetary and fiscal policies and their resulting impact on economic activity and conditions like inflation and credit formation. Accordingly, both market and economic factors may affect our business results by adversely affecting our business volumes, profitability, cash flow, capitalization and overall financial condition, our ability to receive dividends from our insurance subsidiaries and meet our obligations at our holding company. Disruptions in one market or asset class can also spread to other markets or asset classes. Upheavals and stagnation in the financial markets can also affect our financial condition (including our liquidity and capital levels) as a result of the impact of such events on our assets and liabilities.</w:t>
      </w:r>
    </w:p>
    <w:p>
      <w:pPr>
        <w:spacing w:after="0" w:line="77"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At times throughout the past several years, volatile conditions have characterized financial markets. Significant market volatility in reaction to geopolitical risks, changing monetary policy and uncertain fiscal policy may exacerbate some of the risks we face. The Federal Reserve may reduce the size of its balance sheet and continue to raise interest rates as it unwinds the monetary accommodation put in place after the Global Financial Crisis, while other major central banks may continue to pursue accommodative, unconventional monetary policies. Uncertainties associated with the United Kingdom’s (the “U.K.”) proposed withdrawal from the European Union (the “EU”) and concerns about the political and/or economic stability of Puerto Rico and certain countries outside the EU have also contributed to market volatility in the United States. This market volatility has affected, and may continue to affect the performance of the various asset classes in which we invest, as well as separate account values. See “Management’s Discussion and Analysis of Financial Condition and Results of Operations - Investments - Current Environment” included in this Quarterly Report on Form 10-Q and “Management’s Discussion and Analysis of Financial Condition and Results of Operations - Industry Trends and Uncertainties - Financial and Economic Environment” included in the Form 10.</w:t>
      </w:r>
    </w:p>
    <w:p>
      <w:pPr>
        <w:spacing w:after="0" w:line="87"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To the extent these uncertain financial market conditions persist, our revenues, reserves and net investment income, as well as the demand for certain of our products, are likely to come under pressure. Similarly, sustained periods of low interest rates and risk asset returns could reduce income from our investment portfolio, increase our liabilities for claims and future benefits, and increase the cost of risk transfer measures such as hedging, causing our profit margins to erode as a result of reduced income from our investment portfolio and increase in insurance liabilities. Extreme declines in equity markets could cause us to incur significant capital and/or operating losses due to, among other reasons, the impact on us of guarantees related to our annuity products, including increases in liabilities, increased capital requirements, and/or collateral requirements associated with our risk transfer arrangements. Even in the absence of a financial market downturn, sustained periods of low market returns and/or low level of U.S. interest rates and/or heightened market volatility may increase the cost of our insurance liabilities, which could have a material adverse effect on the statutory capital and earnings of our insurance subsidiaries as well as impair our financial strength ratings.</w:t>
      </w:r>
    </w:p>
    <w:p>
      <w:pPr>
        <w:spacing w:after="0" w:line="74"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Variable annuity products issued through separate accounts are a significant portion of our in-force business. The account values of these products decrease as a result of declining equity markets. Lower interest rates may result in lower returns in the future due to lower returns on our investments. Decreases in account values reduce certain fees generated by these products, cause the amortization of DAC to accelerate, could increase the level of insurance liabilities we must carry to support such products issued with any associated guarantees and could require us to provide additional funding to our affiliated reinsurer. Even absent</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145</w:t>
      </w:r>
    </w:p>
    <w:p>
      <w:pPr>
        <w:sectPr>
          <w:pgSz w:w="11900" w:h="16838" w:orient="portrait"/>
          <w:cols w:equalWidth="0" w:num="1">
            <w:col w:w="11420"/>
          </w:cols>
          <w:pgMar w:left="240" w:top="126" w:right="239" w:bottom="1440" w:gutter="0" w:footer="0" w:header="0"/>
        </w:sectPr>
      </w:pPr>
    </w:p>
    <w:bookmarkStart w:id="147" w:name="page148"/>
    <w:bookmarkEnd w:id="147"/>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declining equity and bond markets, periods of sustained stagnation in these markets, which are characterized by multiple years of low annualized total returns impacting the growth in separate accounts and/or low level of U.S. interest rates, may materially increase our liabilities for claims and future benefits due to inherent market return guarantees in these liabilities. In an economic downturn characterized by higher unemployment, lower family income, lower corporate earnings, lower business investment and lower consumer spending, the demand for our annuity and insurance products could be adversely affected as customers are unwilling or unable to purchase our products. In addition, we may experience an elevated incidence of claims, adverse utilization of benefits relative to our best estimate expectations and lapses or surrenders of policies. Furthermore, our policyholders may choose to defer paying insurance premiums or stop paying insurance premiums altogether. Such adverse changes in the economy could negatively affect our earnings and capitalization and have a material adverse effect on our results of operations and financial condition.</w:t>
      </w:r>
    </w:p>
    <w:p>
      <w:pPr>
        <w:spacing w:after="0" w:line="71"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Difficult conditions in the U.S. capital markets and the economy generally may also continue to raise the possibility of legislative, judicial, regulatory and other governmental actions. The Trump administration has released a memorandum that generally delayed all pending regulations from publication in the Federal Register pending their review and approval by a department or agency head appointed or designated by President Trump, and has issued an executive order that calls for a comprehensive review of Dodd-Frank Wall Street Reform and Consumer Protection Act (“Dodd-Frank”). Also, on June 8, 2017, the U.S. House of Representatives passed the Financial CHOICE Act of 2017, which proposes to amend or repeal various sections of Dodd-Frank. We cannot predict what other proposals may be made or what legislation may be introduced or enacted, or what impact any such legislation may have on our business, results of operations and financial condition. See “— Regulatory and Legal Risks — Our insurance business is highly regulated, and changes in regulation and in supervisory and enforcement policies may materially impact our capitalization or cash flows, reduce our profitability and limit our growth” and “— Risks Related to Our Business — Factors affecting our competitiveness may adversely affect our market share and profitability.”</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Adverse capital and credit market conditions may significantly affect our ability to meet liquidity needs and our access to capital</w:t>
      </w:r>
    </w:p>
    <w:p>
      <w:pPr>
        <w:spacing w:after="0" w:line="117" w:lineRule="exact"/>
        <w:rPr>
          <w:sz w:val="20"/>
          <w:szCs w:val="20"/>
          <w:color w:val="auto"/>
        </w:rPr>
      </w:pPr>
    </w:p>
    <w:p>
      <w:pPr>
        <w:jc w:val="both"/>
        <w:ind w:right="20" w:firstLine="324"/>
        <w:spacing w:after="0" w:line="308" w:lineRule="auto"/>
        <w:rPr>
          <w:sz w:val="20"/>
          <w:szCs w:val="20"/>
          <w:color w:val="auto"/>
        </w:rPr>
      </w:pPr>
      <w:r>
        <w:rPr>
          <w:rFonts w:ascii="Arial" w:cs="Arial" w:eastAsia="Arial" w:hAnsi="Arial"/>
          <w:sz w:val="17"/>
          <w:szCs w:val="17"/>
          <w:color w:val="auto"/>
        </w:rPr>
        <w:t>The capital and credit markets may be subject to periods of extreme volatility. Disruptions in capital markets could adversely affect our liquidity and credit capacity or limit our access to capital which may in the future be needed to operate our business and meet policyholder obligations.</w:t>
      </w:r>
    </w:p>
    <w:p>
      <w:pPr>
        <w:spacing w:after="0" w:line="38" w:lineRule="exact"/>
        <w:rPr>
          <w:sz w:val="20"/>
          <w:szCs w:val="20"/>
          <w:color w:val="auto"/>
        </w:rPr>
      </w:pPr>
    </w:p>
    <w:p>
      <w:pPr>
        <w:jc w:val="both"/>
        <w:ind w:right="20" w:firstLine="324"/>
        <w:spacing w:after="0" w:line="312" w:lineRule="auto"/>
        <w:rPr>
          <w:sz w:val="20"/>
          <w:szCs w:val="20"/>
          <w:color w:val="auto"/>
        </w:rPr>
      </w:pPr>
      <w:r>
        <w:rPr>
          <w:rFonts w:ascii="Arial" w:cs="Arial" w:eastAsia="Arial" w:hAnsi="Arial"/>
          <w:sz w:val="16"/>
          <w:szCs w:val="16"/>
          <w:color w:val="auto"/>
        </w:rPr>
        <w:t>We need liquidity at our holding company to pay our operational expenses, pay interest on indebtedness we may incur as of or following completion of the distribution and dividends on our capital stock, provide our subsidiaries with cash or collateral, maintain our securities lending activities and replace certain maturing liabilities. Without sufficient liquidity, we could be forced to curtail our operations and limit the investments necessary to grow our business.</w:t>
      </w:r>
    </w:p>
    <w:p>
      <w:pPr>
        <w:spacing w:after="0" w:line="3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For our insurance company subsidiaries, the principal sources of liquidity are insurance premiums and fees paid in connection with annuity products, and cash flow from our investment portfolio to the extent consisting of cash and readily marketable securities.</w:t>
      </w:r>
    </w:p>
    <w:p>
      <w:pPr>
        <w:spacing w:after="0" w:line="62"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In the event capital market or other conditions have an adverse impact on our capital and liquidity, or our stress-testing indicates that such conditions could have such an impact beyond expectations and our current resources do not satisfy our needs or regulatory requirements, we may have to seek additional financing to enhance our capital and liquidity position. The availability of additional financing will depend on a variety of factors such as the then current market conditions, regulatory capital requirements, availability of credit to us and the financial services industry generally, our credit ratings and credit capacity, and the perception of our customers and lenders regarding our long- or short-term financial prospects if we incur large operating or investment losses or if the level of our business activity decreases due to a market downturn. Similarly, our access to funds may be impaired if regulatory authorities or rating agencies take negative actions against us. Our internal sources of liquidity may prove to be insufficient and, in such case, we may not be able to successfully obtain additional financing on favorable terms, or at all.</w:t>
      </w:r>
    </w:p>
    <w:p>
      <w:pPr>
        <w:spacing w:after="0" w:line="71"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In addition, our liquidity requirements may change if, among other things, we are required to return significant amounts of cash collateral on short notice under securities lending agreements or other collateral requirements. See “Investments-Related Risks - Should the need arise, we may have difficulty selling certain holdings in our investment portfolio or in our securities lending program in a timely manner and realizing full value given that not all assets are liquid,” “Management’s Discussion and Analysis of Financial Condition and Results of Operations - Off-Balance Sheet Arrangements - Collateral for Securities Lending, Repurchase Programs and Derivatives” and “Management’s Discussion and Analysis of Financial Condition and Results of Operations — Liquidity and Capital Resources — The Company — Liquidity.”</w:t>
      </w:r>
    </w:p>
    <w:p>
      <w:pPr>
        <w:spacing w:after="0" w:line="8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Such conditions may limit our ability to replace, in a timely manner, maturing liabilities, satisfy regulatory capital requirements, and access the capital necessary to grow our business. See “ — Regulatory and Legal Risks — Our insurance business is highly regulated, and changes in regulation and in supervisory and enforcement policies may materially impact our capitalization or cash flows, reduce our profitability and limit our growth.” As a result, we may be forced to delay raising capital, issue different types of securities than we would have otherwise, less effectively deploy such capital, issue shorter tenor securities than we prefer, or bear an unattractive cost of capital, which could decrease our profitability and significantly reduce our financial flexibility. Our</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146</w:t>
      </w:r>
    </w:p>
    <w:p>
      <w:pPr>
        <w:sectPr>
          <w:pgSz w:w="11900" w:h="16838" w:orient="portrait"/>
          <w:cols w:equalWidth="0" w:num="1">
            <w:col w:w="11420"/>
          </w:cols>
          <w:pgMar w:left="240" w:top="125" w:right="239" w:bottom="1440" w:gutter="0" w:footer="0" w:header="0"/>
        </w:sectPr>
      </w:pPr>
    </w:p>
    <w:bookmarkStart w:id="148" w:name="page149"/>
    <w:bookmarkEnd w:id="148"/>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results of operations, financial condition, cash flows and statutory capital position could be materially adversely affected by disruptions in the financial markets.</w:t>
      </w:r>
    </w:p>
    <w:p>
      <w:pPr>
        <w:spacing w:after="0" w:line="6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We are exposed to significant financial and capital markets risks which may adversely affect our results of operations, financial condition and liquidity, and may cause our net investment income and net income to vary from period to period</w:t>
      </w:r>
    </w:p>
    <w:p>
      <w:pPr>
        <w:spacing w:after="0" w:line="6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are exposed to significant financial and capital markets risks both in the United States and in global markets generally to the extent they influence U.S. financial and capital markets, including changes in interest rates, credit spreads, equity markets, real estate markets, the performance of specific obligors, including governments, included in our investment portfolio, derivatives and other factors outside our control. From time to time we may also have exposure through our investment portfolio to foreign currency and commodity price volatility.</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117"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Some of our current or anticipated future products, principally traditional life, universal life and fixed annuities, as well as funding agreements and structured settlements, expose us to the risk that changes in interest rates will reduce our investment margin or “net investment spread,” or the difference between the amounts that we are required to pay under the contracts in our general account and the rate of return we earn on general account investments intended to support obligations under such contracts. Our net investment spread is a key component of our net income.</w:t>
      </w:r>
    </w:p>
    <w:p>
      <w:pPr>
        <w:spacing w:after="0" w:line="63"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We are affected by the monetary policies of the Board of Governors of the Federal Reserve System (“Federal Reserve Board”) and the Federal Reserve Bank of New York (collectively, with the Federal Reserve Board, the “Federal Reserve”) and other major central banks, as such policies may adversely impact the level of interest rates and, as discussed below, the income we earn on our investments or the level of product sales.</w:t>
      </w:r>
    </w:p>
    <w:p>
      <w:pPr>
        <w:spacing w:after="0" w:line="57"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In a low interest rate environment, we may be forced to reinvest proceeds from investments that have matured or have been prepaid or sold at lower yields, which will reduce our net investment spread. Moreover, borrowers may prepay or redeem the fixed income securities and commercial, agricultural or residential mortgage loans in our investment portfolio with greater frequency in order to borrow at lower market rates, thereby exacerbating this risk. Although reducing interest crediting rates can help offset decreases in net investment spreads on some products, our ability to reduce these rates is limited to the portion of our in-force product portfolio that has adjustable interest crediting rates, and could be limited by the actions of our competitors or contractually guaranteed minimum rates and may not match the timing or magnitude of changes in asset yields. As a result, our net investment spread would decrease or potentially become negative, which could have a material adverse effect on our results of operations and financial condition. See “Management’s Discussion and Analysis of Financial Condition and Results of Operations - Policyholder Liabilities.”</w:t>
      </w:r>
    </w:p>
    <w:p>
      <w:pPr>
        <w:spacing w:after="0" w:line="71"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Our estimation of future net investment spreads is an important component in the amortization of DAC and VOBA. Significantly lower than anticipated net investment spreads reduce our net income and may cause us to accelerate amortization, thereby reducing net income in the affected reporting period and thereby potentially negatively affecting our credit instrument covenants or rating agency assessment of our financial condition.</w:t>
      </w:r>
    </w:p>
    <w:p>
      <w:pPr>
        <w:spacing w:after="0" w:line="5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During periods of declining interest rates, our return on investments that do not support particular policy obligations may decrease. During periods of sustained lower interest rates, our reserves for policy liabilities may not be sufficient to meet future policy obligations and may need to be strengthened. Accordingly, declining and sustained lower interest rates may materially adversely affect our results of operations and financial condition, ability to take dividends from operating insurance companies and significantly reduce our profitability.</w:t>
      </w:r>
    </w:p>
    <w:p>
      <w:pPr>
        <w:spacing w:after="0" w:line="79"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Increases in interest rates could also negatively affect our profitability. In periods of rapidly increasing interest rates, we may not be able to replace, in a timely manner, the investments in our general account with higher yielding investments needed to fund the higher crediting rates necessary to keep interest rate sensitive products competitive. We, therefore, may have to accept a lower credit spread and, thus, lower profitability or face a decline in sales and greater loss of existing contracts and related assets. In addition, policy loans, surrenders and withdrawals may tend to increase as policyholders seek investments with higher perceived returns as interest rates rise. This process may result in cash outflows requiring that we sell investments at a time when the prices of those investments are adversely affected by the increase in interest rates, which may result in realized investment losses. Unanticipated withdrawals, terminations and substantial policy amendments may cause us to accelerate the amortization of DAC and VOBA, which reduces net income and potentially negatively affects our credit instrument covenants and rating agency assessment of our financial condition. An increase in interest rates could also have a material adverse effect on the value of our investment portfolio, for example, by decreasing the estimated fair values of the fixed income securities and mortgage loans that comprise a significant portion of our investment portfolio. Finally, an increase in interest rates could result in decreased fee revenue associated with a decline in the value of variable annuity account balances invested in fixed income funds.</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147</w:t>
      </w:r>
    </w:p>
    <w:p>
      <w:pPr>
        <w:sectPr>
          <w:pgSz w:w="11900" w:h="16838" w:orient="portrait"/>
          <w:cols w:equalWidth="0" w:num="1">
            <w:col w:w="11420"/>
          </w:cols>
          <w:pgMar w:left="240" w:top="126" w:right="239" w:bottom="1440" w:gutter="0" w:footer="0" w:header="0"/>
        </w:sectPr>
      </w:pPr>
    </w:p>
    <w:bookmarkStart w:id="149" w:name="page150"/>
    <w:bookmarkEnd w:id="149"/>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We manage interest rate risk as part of our asset and liability management strategies, which include (i) maintaining an investment portfolio with diversified maturities that has a weighted average duration that is approximately equal to the duration of our estimated liability cash flow profile, and (ii) a hedging program. For certain of our liability portfolios, it is not possible to invest assets to the full liability duration, thereby creating some asset/liability mismatch. Where a liability cash flow may exceed the maturity of available assets, as is the case with certain retirement products, we may support such liabilities with equity investments, derivatives or interest rate mismatch strategies. Although we take measures to manage the economic risks of investing in a changing interest rate environment, we may not be able to mitigate the interest rate risk of our fixed income investments relative to our interest sensitive liabilities. The level of interest rates also affects our liabilities for benefits under our annuity contracts. As interest rates decline we may need to increase our reserves for future benefits under our annuity contracts, which would adversely affect our results of operations and financial condition. See “Quantitative and Qualitative Disclosures About Market Risk.”</w:t>
      </w:r>
    </w:p>
    <w:p>
      <w:pPr>
        <w:spacing w:after="0" w:line="74"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In addition, while we use a risk mitigation strategy relating to our ULSG portfolio intended to reduce our risk to statutory capitalization and long-term economic exposures from sustained low levels of interest rates, this strategy will likely result in higher net income volatility due to the insensitivity of GAAP liabilities to the change in interest rate levels. This strategy may adversely affect our results of operations and financial condition. See “Business — Description of our Segments, Products and Operations — Run-off — ULSG Market Risk Exposure Management” included in the Form 10.</w:t>
      </w:r>
    </w:p>
    <w:p>
      <w:pPr>
        <w:spacing w:after="0" w:line="63"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Significant volatility in the markets could cause changes in the risks described above which, individually or in tandem, could have a material adverse effect on our results of operations, financial condition, liquidity or cash flows through realized investment losses, derivative losses, change in insurance liabilities, impairments, increased valuation allowances, increases in reserves for future policyholder benefits, reduced net investment income and changes in unrealized gain or loss positions.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spread risk</w:t>
      </w:r>
    </w:p>
    <w:p>
      <w:pPr>
        <w:spacing w:after="0" w:line="117"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Our exposure to credit spreads primarily relates to market price volatility. Market price volatility can make it difficult to value certain of our securities if trading becomes less frequent, as was the case, for example, during the financial crisis commencing in 2008. In such case, valuations may include assumptions or estimates that may have significant period-to-period changes, which could have a material adverse effect on our results of operations or financial condition and may require additional reserves. If there is a resumption of significant volatility in the markets, it could cause changes in credit spreads and defaults and a lack of pricing transparency which, individually or in tandem, could have a material adverse effect on our results of operations, financial condition or liquidity. See “Management’s Discussion and Analysis of Financial Condition and Results of Operations — Investments — Investment Risks.” An increase in credit spreads relative to U.S. Treasury benchmarks can also adversely affect the cost of our borrowing if we need to access credit markets.</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risk</w:t>
      </w:r>
    </w:p>
    <w:p>
      <w:pPr>
        <w:spacing w:after="0" w:line="117"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Our primary exposure to equity relates to the potential for lower earnings associated with certain of our businesses where fee income is earned based upon the estimated market value of the separate account assets and other assets related to our variable annuity business. Because these products generate fees related primarily to the value of separate account assets and other assets under management, a decline in the equity markets could reduce our revenues as a result of the reduction in the value of the investments supporting those products and services. The variable annuity business in particular is highly sensitive to equity markets, and a sustained weakness or stagnation in the equity markets could decrease revenues and earnings with respect to those products. Furthermore, certain of our variable annuity products offer guaranteed benefits which increase our potential benefit exposure should equity markets decline or stagnate. We seek to mitigate the impact of such increased potential benefit exposures from market declines through the use of derivatives, reinsurance and capital management. However, such derivatives and reinsurance may become less available and, to the extent available, their price could materially increase in a period characterized by volatile equity markets. The risk of stagnation in equity market returns cannot be addressed by hedging. See “Business — Description of our Segments, Products and Operations — Annuities — Current Products — Variable Annuities” included in the Form 10 for details regarding sensitivity of our variable annuity business to capital markets.</w:t>
      </w:r>
    </w:p>
    <w:p>
      <w:pPr>
        <w:spacing w:after="0" w:line="75"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In addition, a portion of our investments are in leveraged buy-out funds, hedge funds and other private equity funds. The amount and timing of net investment income from such funds tends to be uneven as a result of the performance of the underlying investments. The timing of distributions from such funds, which depends on particular events relating to the underlying investments, as well as the funds’ schedules for making distributions and their needs for cash, can be difficult to predict. As a result, the amount of net investment income from these investments can vary substantially from period to period. Significant volatility could adversely impact returns and net investment income on these alternative investments. In addition, the estimated fair value of such investments may be impacted by downturns or volatility in equity markets. See “ — Investments-Related Risks - Our valuation of securities and investments and the determination of the amount of allowances and impairments taken on our investments are subjective and, if changed, could materially adversely affect our results of operations or financial condition.” In addition, we rely, and expect to continue to rely, on MLIA for a period to provide the services required to manage the portfolio.</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148</w:t>
      </w:r>
    </w:p>
    <w:p>
      <w:pPr>
        <w:sectPr>
          <w:pgSz w:w="11900" w:h="16838" w:orient="portrait"/>
          <w:cols w:equalWidth="0" w:num="1">
            <w:col w:w="11420"/>
          </w:cols>
          <w:pgMar w:left="240" w:top="126" w:right="239" w:bottom="1440" w:gutter="0" w:footer="0" w:header="0"/>
        </w:sectPr>
      </w:pPr>
    </w:p>
    <w:bookmarkStart w:id="150" w:name="page151"/>
    <w:bookmarkEnd w:id="150"/>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Real estate risk</w:t>
      </w:r>
    </w:p>
    <w:p>
      <w:pPr>
        <w:spacing w:after="0" w:line="117"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A portion of our investment portfolio consists of mortgage loans on commercial, agricultural and residential real estate. Our exposure to this risk stems from various factors, including the supply and demand of leasable commercial space, creditworthiness of tenants and partners, capital markets volatility, interest rate fluctuations, agricultural prices and farm incomes, which have recently been declining. Although we manage credit risk and market valuation risk for our commercial, agricultural and residential real estate assets through geographic, property type and product type diversification and asset allocation, general economic conditions in the commercial, agricultural and residential real estate sectors will continue to influence the performance of these investments. These factors, which are beyond our control, could have a material adverse effect on our results of operations, financial condition, liquidity or cash flows. In addition, we rely, and expect to continue to rely, on MLIA for a period to provide the services required to manage the portfolio.</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Obligor-related risk</w:t>
      </w:r>
    </w:p>
    <w:p>
      <w:pPr>
        <w:spacing w:after="0" w:line="117"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Fixed income securities and mortgage loans represent a significant portion of our investment portfolio. We are subject to the risk that the issuers, or guarantors, of fixed income securities and mortgage loans we own may default on principal and interest payments they owe us. We are also subject to the risk that the underlying collateral within asset-backed securities, including mortgage-backed securities, may default on principal and interest payments causing an adverse change in cash flows. The occurrence of a major economic downturn, acts of corporate malfeasance, widening mortgage or credit spreads, or other events that adversely affect the issuers, guarantors or underlying collateral of these securities and mortgage loans could cause the estimated fair value of our portfolio of fixed income securities and mortgage loans and our earnings to decline and the default rate of the fixed income securities and mortgage loans in our investment portfolio to increase.</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Derivatives risk</w:t>
      </w:r>
    </w:p>
    <w:p>
      <w:pPr>
        <w:spacing w:after="0" w:line="117"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We use the payments we receive from counterparties pursuant to derivative instruments we have entered into to offset future changes in the fair value of our assets and liabilities and current or future changes in cash flows. We enter into a variety of derivative instruments, including options, futures, forwards, and interest rate and credit default swaps with a number of counterparties. Amounts that we expect to collect under current and future derivatives are subject to counterparty risk. Our obligations under our products are not changed by our hedging activities and we are liable for our obligations even if our derivative counterparties do not pay us. Such defaults could have a material adverse effect on our financial condition and results of operations. Substantially all of our derivatives require us to pledge or receive collateral or make payments related to any decline in the net estimated fair value of such derivatives executed through a specific broker at a clearinghouse or entered into with a specific counterparty on a bilateral basis. In addition, ratings downgrades or financial difficulties of derivative counterparties may require us to utilize additional capital with respect to the impacted businesses.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Summary</w:t>
      </w:r>
    </w:p>
    <w:p>
      <w:pPr>
        <w:spacing w:after="0" w:line="117"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In addition to the economic or counterparty risks described above which, individually or in tandem, could have a material adverse effect on our results of operations, financial condition, liquidity or cash flows through realized investment losses, derivative losses, change in insurance liabilities, impairments, increased valuation allowances, increases in reserves for future policyholder benefits, reduced net investment income and changes in unrealized gain or loss positions, we are also exposed to volatility risk with respect to any one or more of these economic risks. Significant volatility in the markets could cause changes in the risks set forth above which, individually or in tandem, could have a material adverse effect on our results of operations, financial condition, liquidity or cash flows through realized investment losses, derivative losses, change in insurance liabilities, impairments, increased valuation allowances, increases in reserves for future policyholder benefits, reduced net investment income and changes in unrealized gain or loss positions.</w:t>
      </w:r>
    </w:p>
    <w:p>
      <w:pPr>
        <w:spacing w:after="0" w:line="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Regulatory and Legal Risks</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insurance business is highly regulated, and changes in regulation and in supervisory and enforcement policies may materially impact our capitalization or cash flows, reduce our profitability and limit our growth</w:t>
      </w:r>
    </w:p>
    <w:p>
      <w:pPr>
        <w:spacing w:after="0" w:line="62"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Our insurance operations are subject to a wide variety of insurance and other laws and regulations. See “Regulation” included in the Form 10. Our insurance company operating subsidiaries are domiciled in Delaware, Massachusetts and New York. Each entity is subject to regulation by its primary state regulator, and is also subject to other regulation in states in which it operates.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NAIC - Existing and proposed insurance regulation</w:t>
      </w:r>
    </w:p>
    <w:p>
      <w:pPr>
        <w:spacing w:after="0" w:line="117"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NAIC is an organization whose mission is to assist state insurance regulatory authorities in serving the public interest and achieving the insurance regulatory goals of its members, the state insurance regulatory officials. State insurance regulators may act independently or adopt regulations proposed by the NAIC. State insurance regulators and the NAIC regularly re-examine</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149</w:t>
      </w:r>
    </w:p>
    <w:p>
      <w:pPr>
        <w:sectPr>
          <w:pgSz w:w="11900" w:h="16838" w:orient="portrait"/>
          <w:cols w:equalWidth="0" w:num="1">
            <w:col w:w="11420"/>
          </w:cols>
          <w:pgMar w:left="240" w:top="126" w:right="239" w:bottom="1440" w:gutter="0" w:footer="0" w:header="0"/>
        </w:sectPr>
      </w:pPr>
    </w:p>
    <w:bookmarkStart w:id="151" w:name="page152"/>
    <w:bookmarkEnd w:id="151"/>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existing laws and regulations applicable to insurance companies and their products. Some NAIC pronouncements take effect automatically in the various states, particularly with respect to accounting issues. Statutes, regulations and interpretations may be applied with retroactive impact, particularly in areas such as accounting and reserve requirements. Changes in existing laws and regulations, or in interpretations thereof, can sometimes lead to additional expense for the insurer and, thus, could have a material adverse effect on our financial condition and results of operations.</w:t>
      </w:r>
    </w:p>
    <w:p>
      <w:pPr>
        <w:spacing w:after="0" w:line="63"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During 2014, the NAIC approved a new regulatory framework applicable to the use of captive insurers in connection with Regulation XXX and Guideline AXXX transactions. This could impact our competitiveness and have a material adverse effect on our results of operations and financial condition. See “— Risks Related to Our Business — We may not be able to take credit for reinsurance, our statutory life insurance reserve financings may be subject to cost increases and new financings may be subject to limited market capacity.”</w:t>
      </w:r>
    </w:p>
    <w:p>
      <w:pPr>
        <w:spacing w:after="0" w:line="79" w:lineRule="exact"/>
        <w:rPr>
          <w:sz w:val="20"/>
          <w:szCs w:val="20"/>
          <w:color w:val="auto"/>
        </w:rPr>
      </w:pPr>
    </w:p>
    <w:p>
      <w:pPr>
        <w:jc w:val="both"/>
        <w:ind w:firstLine="324"/>
        <w:spacing w:after="0" w:line="267" w:lineRule="auto"/>
        <w:rPr>
          <w:sz w:val="20"/>
          <w:szCs w:val="20"/>
          <w:color w:val="auto"/>
        </w:rPr>
      </w:pPr>
      <w:r>
        <w:rPr>
          <w:rFonts w:ascii="Arial" w:cs="Arial" w:eastAsia="Arial" w:hAnsi="Arial"/>
          <w:sz w:val="17"/>
          <w:szCs w:val="17"/>
          <w:color w:val="auto"/>
        </w:rPr>
        <w:t>In 2015, the NAIC commissioned an initiative to identify changes to the statutory framework for variable annuities that can remove or mitigate the motivation for insurers to engage in captive reinsurance transactions. In September 2015, a third-party consultant engaged by the NAIC provided the NAIC with a preliminary report covering several sets of recommendations regarding AG 43 and RBC C3 Phase II reserve requirements. These recommendations generally focus on (1) addressing inconsistencies between the statutory reserve and RBC regimes, (2) mitigating the asset-liability accounting mismatch between hedge instruments and statutory instruments and statutory liabilities, (3) removing the non-economic volatility in statutory total asset requirements and the resulting solvency ratios and (4) facilitating greater harmonization across insurers and products for greater comparability. An updated variable annuity reserve and capital framework proposal was presented at the August 2016 NAIC meeting, followed by a 90-day comment period on the proposal. This updated proposal included the initial recommendations from 2015, but also some new aspects. The standard scenario floor for reserves may incorporate multiple paths instead of the current single deterministic scenario, also known as the standard scenario. The stochastic calculations may include alternative calibration criteria for equities and other market risk factors, and the RBC C3 Phase II component may reflect a new level of capitalization. The NAIC is continuing its consideration of these recommendations. These recommendations, if adopted, would likely apply to all existing business and may materially change the sensitivity of reserve and capital requirements to capital markets including interest rate, equity markets and volatility as well as prescribed assumptions for policyholder behavior. It is not possible at this time to predict whether the amount of reserves or capital required to support our variable annuity contracts would increase or decrease if the NAIC adopts any new model laws, regulations and/or other standards applicable to variable annuity business after considering such recommendations, nor is it possible to predict the materiality of any such increase or decrease. It is also not possible to predict the extent to which any such model laws, regulations and/or other standards would affect the effectiveness and design of our risk mitigation and hedging programs. Furthermore, no assurances can be given to whether any such model laws, regulations and/or other standards will be adopted or to the timing of any such adoption.</w:t>
      </w:r>
    </w:p>
    <w:p>
      <w:pPr>
        <w:spacing w:after="0" w:line="83"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The NAIC has adopted a new approach for the calculation of life insurance reserves, known as principle-based reserving (“PBR”). PBR became operative on January 1, 2017 in those states where it has been adopted, to be followed by a three-year phase-in period for business issued on or after this date. With respect to the states in which our insurance subsidiaries are domiciled: in Delaware, the Delaware Department of Insurance implemented PBR on January 1, 2017;in New York, the NYDFS has publicly stated its intention to implement this approach beginning in January 2018, subject to a working group of the NYDFS establishing the necessary reserves safeguards, although the New York State Legislature has yet to adopt enabling legislation for PBR; and in Massachusetts, PBR has not yet been adopted but the legislature is considering legislation in this area. We cannot predict how PBR will impact the reserves or compliance costs, if any, of our insurance subsidiaries. See “Regulation — Insurance Regulation — NAIC” included in the Form 10.</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State insurance guaranty associations</w:t>
      </w:r>
    </w:p>
    <w:p>
      <w:pPr>
        <w:spacing w:after="0" w:line="117"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Most of the jurisdictions in which we transact business require life insurers doing business within the jurisdiction to participate in guaranty associations. These associations are organized to pay contractual benefits owed pursuant to insurance policies issued by impaired, insolvent or failed insurers, or those that may become impaired, insolvent or fail, for example, following the occurrence of one or more catastrophic events. These associations levy assessments, up to prescribed limits, on all member insurers in a particular state on the basis of the proportionate share of the premiums written by member insurers in the lines of business in which the impaired, insolvent or failed insurer is engaged. In addition, certain states have government owned or controlled organizations providing life insurance to their citizens. The activities of such organizations could also place additional stress on the adequacy of guaranty fund assessments. Many of these organizations also have the power to levy assessments similar to those of the guaranty associations described above. Some states permit member insurers to recover assessments paid through full or partial premium tax offsets. See “Regulation — Insurance Regulation — Guaranty Associations and Similar Arrangements” included in the Form 10.</w:t>
      </w:r>
    </w:p>
    <w:p>
      <w:pPr>
        <w:spacing w:after="0" w:line="74"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It is possible that additional insurance company insolvencies or failures could render the guaranty funds from assessments previously levied against us inadequate and we may be called upon to contribute additional amounts, which may have a material impact on our financial condition or results of operations in a particular period. We have established liabilities for guaranty fund</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150</w:t>
      </w:r>
    </w:p>
    <w:p>
      <w:pPr>
        <w:sectPr>
          <w:pgSz w:w="11900" w:h="16838" w:orient="portrait"/>
          <w:cols w:equalWidth="0" w:num="1">
            <w:col w:w="11420"/>
          </w:cols>
          <w:pgMar w:left="240" w:top="125" w:right="239" w:bottom="1440" w:gutter="0" w:footer="0" w:header="0"/>
        </w:sectPr>
      </w:pPr>
    </w:p>
    <w:bookmarkStart w:id="152" w:name="page153"/>
    <w:bookmarkEnd w:id="152"/>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assessments that we consider adequate, but additional liabilities may be necessary. See “Regulation — Insurance Regulation — Guaranty Associations and Similar Arrangements” included in the Form 10.</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Federal - Insurance regulation</w:t>
      </w:r>
    </w:p>
    <w:p>
      <w:pPr>
        <w:spacing w:after="0" w:line="117"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7"/>
          <w:szCs w:val="17"/>
          <w:color w:val="auto"/>
        </w:rPr>
        <w:t>Currently, the U.S. federal government does not directly regulate the business of insurance. However, Dodd-Frank established the FIO within the Department of the Treasury, which has the authority to, among other things, collect information about the insurance industry, negotiate covered agreements with one or more foreign governments and recommend prudential standards. On December 12, 2013, the FIO issued a report, mandated by Dodd-Frank, which, among other things, urged the states to modernize and promote greater uniformity in insurance regulation. The report raised the possibility of a greater role for the federal government if states do not achieve greater uniformity in their laws and regulations. Following the transition occurring in the federal government and the priorities of the Trump administration, we cannot predict whether any such legislation or regulatory changes will be adopted, or what impact they will have on our business, financial condition or results of operations. See “Regulation — Insurance Regulation — Federal Initiatives” included in the Form 10. The Trump administration and the Republican party have expressed goals to dismantle or roll back Dodd-Frank and President Trump has issued an executive order that calls for a comprehensive review of Dodd-Frank in light of certain enumerated core principles of financial system regulation. On June 8, 2017, the U.S. House of Representatives passed the Financial CHOICE Act of 2017, which proposes to amend or repeal various sections of Dodd-Frank. This proposed legislation will now be considered by the U.S. Senate. We are not able to predict whether any such proposal to roll back Dodd-Frank would have a material effect on our business operations and cannot currently identify the risks, if any, that may be posed to our businesses as a result of changes to, or legislative replacements for, Dodd-Frank.</w:t>
      </w:r>
    </w:p>
    <w:p>
      <w:pPr>
        <w:spacing w:after="0" w:line="8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Federal legislation and administrative policies can significantly and adversely affect insurance companies, including policies regarding financial services regulation, securities regulation, derivatives regulation, pension regulation, privacy, tort reform legislation and taxation. In addition, various forms of direct and indirect federal regulation of insurance have been proposed from time to time, including proposals for the establishment of an optional federal charter for insurance companies.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Department of Labor and ERISA considerations</w:t>
      </w:r>
    </w:p>
    <w:p>
      <w:pPr>
        <w:spacing w:after="0" w:line="117"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We manufacture annuities for third parties to sell to tax-qualified pension plans, retirement plans and individual retirement accounts, as well as individual retirement annuities sold to individuals that are subject to ERISA or the Code. Also, a portion of our in-force life insurance products are held by tax-qualified pension and retirement plans. While we currently believe manufacturers do not have as much exposure to ERISA and the Code as distributors, certain activities are subject to the restrictions imposed by ERISA and the Code, including the requirement under ERISA that fiduciaries must perform their duties solely in the interests of ERISA plan participants and beneficiaries, and those fiduciaries may not cause a covered plan to engage in certain prohibited transactions. The prohibited transaction rules of ERISA and the Code generally restrict the provision of investment advice to ERISA qualified plans and participants and IRAs if the investment recommendation results in fees paid to the individual advisor, the firm that employs the advisor or their affiliates that vary according to the investment recommendation chosen. Similarly, without an exemption, fiduciary advisors are prohibited from receiving compensation from third parties in connection with their advice. ERISA also affects certain of our in-force insurance policies and annuity contracts as well as insurance policies and annuity contracts we may sell in the future.</w:t>
      </w:r>
    </w:p>
    <w:p>
      <w:pPr>
        <w:spacing w:after="0" w:line="70"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The Department of Labor (“DOL”) issued new regulations on April 6, 2016 that became applicable on June 9, 2017 (the “Fiduciary Rule”). As initially adopted, the Fiduciary Rule substantially expands the definition of “investment advice” and requires that an impartial or “best interests” standard be met in providing such advice, thereby broadening the circumstances under which we or our representatives, in providing investment advice with respect to ERISA plans, plan participants or IRAs, could be deemed a fiduciary under ERISA or the Code. Pursuant to the final rule, certain communications with plans, plan participants and IRA holders, including the marketing of products, and marketing of investment management or advisory services, could be deemed fiduciary investment advice, thus causing increased exposure to fiduciary liability if the distributor does not recommend what is in the client’s best interests.</w:t>
      </w:r>
    </w:p>
    <w:p>
      <w:pPr>
        <w:spacing w:after="0" w:line="57"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DOL also issued amendments to certain of its prohibited transaction exemptions, and issued BIC, a new exemption that applies more onerous disclosure and contract requirements to transactions involving ERISA plans, plan participants and IRAs. The new and amended exemptions increase fiduciary requirements and liability exposure for transactions involving ERISA plans, plan participants and IRAs. The application of the BIC contract and point of sale disclosures required under BIC and the changes made to prohibited transaction exemption 84-24 were delayed until January 1, 2018, except for the impartial conduct standards (i.e., compliance with the “best interest” standard, reasonable compensation, and no misleading statements), which are applicable as of June 9, 2017.</w:t>
      </w:r>
    </w:p>
    <w:p>
      <w:pPr>
        <w:spacing w:after="0" w:line="8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On February 3, 2017, President Trump, in a memorandum to the Secretary of Labor, requested that the DOL prepare an updated economic and legal analysis concerning the likely impact of the new rules, and possible revisions to the rules. In response to President Trump’s request, on June 29, 2017, the DOL issued a request for information related to the final Fiduciary Rule and the DOL’s new and amended exemptions that were published in conjunction with the final rule. The request for information</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151</w:t>
      </w:r>
    </w:p>
    <w:p>
      <w:pPr>
        <w:sectPr>
          <w:pgSz w:w="11900" w:h="16838" w:orient="portrait"/>
          <w:cols w:equalWidth="0" w:num="1">
            <w:col w:w="11420"/>
          </w:cols>
          <w:pgMar w:left="240" w:top="126" w:right="239" w:bottom="1440" w:gutter="0" w:footer="0" w:header="0"/>
        </w:sectPr>
      </w:pPr>
    </w:p>
    <w:bookmarkStart w:id="153" w:name="page154"/>
    <w:bookmarkEnd w:id="153"/>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sought public input that could lead to new exemptions or changes and revisions to the final rule. On August 31, 2017, the DOL proposed an 18-month delay from January 1, 2018 to July 1, 2019, of the applicability of significant portions of the previously proposed exemptions (including BIC and prohibited transaction exemption 84-24), to afford sufficient time to review further the previously adopted rules and such exemptions. The comment period for this proposed delay ended on September 15, 2017. On November 1, the DOL filed with the OMB to implement the 18-month delay, which is pending review. The DOL also updated its enforcement policy for 2017 to indicate that the DOL and Internal Revenue Service will not pursue claims, until January 1, 2018, against fiduciaries who are working diligently and in good faith to comply with the final Fiduciary Rule or treat those fiduciaries as being in violation of the final Fiduciary Rule.</w:t>
      </w:r>
    </w:p>
    <w:p>
      <w:pPr>
        <w:spacing w:after="0" w:line="81"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While we continue to analyze the impact of the final regulations on our business, we anticipate that we will need to undertake certain additional tasks in order to comply with certain of the exemptions provided in the DOL regulations, including additional compliance reviews of material shared with distributors, wholesaler and call center training, and product reporting and analysis. The change of administration, the DOL’s June 29, 2017 request for information related to the Fiduciary Rule and related exemptions, and the August 31, 2017 proposed further extension of the applicability of many of the conditions of the proposed and revised exemptions leaves uncertainty over whether the regulations will be substantially modified or repealed. This uncertainty may create confusion among our distribution partners, which could negatively impact product sales. We cannot predict what other proposals may be made, what legislation or regulations may be introduced or enacted, or what impact any such legislation or regulations may have on our business, results of operations and financial condition.</w:t>
      </w:r>
    </w:p>
    <w:p>
      <w:pPr>
        <w:spacing w:after="0" w:line="84"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While the final rule also provides that, to a limited extent, contracts sold and advice provided prior to the applicable date would not have to be modified to comply with the new investment advice regulations, there is lack of clarity surrounding some of the conditions for qualifying for this limited exception. There can be no assurance that the DOL will agree with our interpretation of these provisions, in which case the DOL and IRS could assess significant penalties against a portion of products sold prior to the applicable date of the new regulations. The assessment of such penalties could also trigger substantial litigation risk. Any such penalties and related litigation could adversely affect our results of operations and financial condition.</w:t>
      </w:r>
    </w:p>
    <w:p>
      <w:pPr>
        <w:spacing w:after="0" w:line="64"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While we continue to analyze the impact of the final regulation on our business, we believe it could have an adverse effect on sales of annuity products to ERISA qualified plans and IRAs through our independent distribution partners. A significant portion of our annuity sales are to IRAs. The new regulation deems advisors, including independent distributors, who sell fixed index-linked annuities to IRAs, IRA rollovers or 401(k) plans, to be fiduciaries and prohibits them from receiving compensation unless they comply with a prohibited transaction exemption. The relevant exemption requires advisors to comply with impartial conduct standards and may require us to exercise additional oversight of the sales process. Compliance with the prohibited transaction exemptions will likely result in increased regulatory burdens on us and our independent distribution partners, changes to our compensation practices and product offerings and increased litigation risk, which could adversely affect our results of operations and financial condition. See “Management’s Discussion and Analysis of Financial Condition and Results of Operations — Industry Trends — Regulatory Developments — Department of Labor and ERISA Considerations.”</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w:t>
      </w:r>
    </w:p>
    <w:p>
      <w:pPr>
        <w:spacing w:after="0" w:line="117"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From time to time, regulators raise issues during examinations or audits of us that could, if determined adversely, have a material adverse effect on us. In addition, the interpretations of regulations by regulators may change and statutes may be enacted with retroactive impact, particularly in areas such as accounting or statutory reserve requirements. Compliance with applicable laws and regulations is time consuming and personnel-intensive, and changes in these laws and regulations may materially increase our direct and indirect compliance and other expenses of doing business, thus having a material adverse effect on our financial condition and results of operations.</w:t>
      </w:r>
    </w:p>
    <w:p>
      <w:pPr>
        <w:spacing w:after="0" w:line="8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A decrease in the RBC ratio (as a result of a reduction in statutory surplus and/or increase in RBC requirements) of our insurance subsidiaries could result in increased scrutiny by insurance regulators and rating agencies and have a material adverse effect on our results of operations and financial condition</w:t>
      </w:r>
    </w:p>
    <w:p>
      <w:pPr>
        <w:spacing w:after="0" w:line="73"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The NAIC has established model regulations that provide minimum capitalization requirements based on RBC formulas for insurance companies. The RBC formula for life insurance companies establishes capital requirements relating to asset, insurance, interest rate, market and business risks, including equity, interest rate and expense recovery risks associated with variable annuities that contain certain guaranteed minimum death and living benefits. Each of our insurance subsidiaries is subject to RBC standards and/or other minimum statutory capital and surplus requirements imposed under the laws of its respective jurisdiction of domicile. See “Regulation — Insurance Regulation — Surplus and Capital; Risk-Based Capital” included in the Form 10.</w:t>
      </w:r>
    </w:p>
    <w:p>
      <w:pPr>
        <w:spacing w:after="0" w:line="50"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In any particular year, statutory surplus amounts and RBC ratios may increase or decrease depending on a variety of factors, including the amount of statutory income or losses generated by the insurance subsidiary (which itself is sensitive to equity market and credit market conditions), the amount of additional capital such insurer must hold to support business growth, changes in equity market levels, the value and credit ratings of certain fixed-income and equity securities in its investment portfolio, the value of certain derivative instruments that do not receive hedge accounting and changes in interest rates, as well as changes to</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152</w:t>
      </w:r>
    </w:p>
    <w:p>
      <w:pPr>
        <w:sectPr>
          <w:pgSz w:w="11900" w:h="16838" w:orient="portrait"/>
          <w:cols w:equalWidth="0" w:num="1">
            <w:col w:w="11420"/>
          </w:cols>
          <w:pgMar w:left="240" w:top="126" w:right="239" w:bottom="1440" w:gutter="0" w:footer="0" w:header="0"/>
        </w:sectPr>
      </w:pPr>
    </w:p>
    <w:bookmarkStart w:id="154" w:name="page155"/>
    <w:bookmarkEnd w:id="154"/>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the RBC formulas and the interpretation of the NAIC’s instructions with respect to RBC calculation methodologies. Our financial strength and credit ratings are significantly influenced by statutory surplus amounts and RBC ratios. In addition, rating agencies may implement changes to their own internal models, which differ from the RBC capital model, that have the effect of increasing or decreasing the amount of statutory capital we or our insurance subsidiaries should hold relative to the rating agencies’ expectations. Under stressed or stagnant capital market conditions and with the aging of existing insurance liabilities, without offsets from new business, the amount of additional statutory reserves that an insurance subsidiary is required to hold may materially increase. This increase in reserves would decrease the statutory surplus available for use in calculating the subsidiary’s RBC ratios. To the extent that an insurance subsidiary’s RBC ratio is deemed to be insufficient, we may seek to take actions either to increase the capitalization of the insurer or to reduce the capitalization requirements. If we were unable to accomplish such actions, the rating agencies may view this as a reason for a ratings downgrade.</w:t>
      </w:r>
    </w:p>
    <w:p>
      <w:pPr>
        <w:spacing w:after="0" w:line="58"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The failure of any of our insurance subsidiaries to meet its applicable RBC requirements or minimum capital and surplus requirements could subject it to further examination or corrective action imposed by insurance regulators, including limitations on its ability to write additional business, supervision by regulators or seizure or liquidation. Any corrective action imposed could have a material adverse effect on our business, results of operations and financial condition. A decline in RBC ratios, whether or not it results in a failure to meet applicable RBC requirements, may limit the ability of an insurance subsidiary to make dividends or distributions to us, could result in a loss of customers or new business, and could be a factor in causing ratings agencies to downgrade the insurer’s financial strength ratings, each of which could have a material adverse effect on our business, results of operations and financial condition.</w:t>
      </w:r>
    </w:p>
    <w:p>
      <w:pPr>
        <w:spacing w:after="0" w:line="57"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b w:val="1"/>
          <w:bCs w:val="1"/>
          <w:i w:val="1"/>
          <w:iCs w:val="1"/>
          <w:color w:val="auto"/>
        </w:rPr>
        <w:t>The Dodd-Frank provisions compelling the liquidation of certain types of financial institutions could materially and adversely affect us, as such a financial institution and as an investor in or counterparty to other such financial institutions, as well as our respective investors</w:t>
      </w:r>
    </w:p>
    <w:p>
      <w:pPr>
        <w:spacing w:after="0" w:line="38" w:lineRule="exact"/>
        <w:rPr>
          <w:sz w:val="20"/>
          <w:szCs w:val="20"/>
          <w:color w:val="auto"/>
        </w:rPr>
      </w:pPr>
    </w:p>
    <w:p>
      <w:pPr>
        <w:jc w:val="both"/>
        <w:ind w:firstLine="324"/>
        <w:spacing w:after="0" w:line="288" w:lineRule="auto"/>
        <w:rPr>
          <w:sz w:val="20"/>
          <w:szCs w:val="20"/>
          <w:color w:val="auto"/>
        </w:rPr>
      </w:pPr>
      <w:r>
        <w:rPr>
          <w:rFonts w:ascii="Arial" w:cs="Arial" w:eastAsia="Arial" w:hAnsi="Arial"/>
          <w:sz w:val="16"/>
          <w:szCs w:val="16"/>
          <w:color w:val="auto"/>
        </w:rPr>
        <w:t>Under provisions of Dodd-Frank, if we or another financial institution were to become insolvent or were in danger of defaulting on our or its respective obligations and it was determined that such default would have serious effects on financial stability in the United States, we or such other financial institution could be compelled to undergo liquidation with the Federal Deposit Insurance Corporation (the “FDIC”) as receiver. Under this new regime an insurance company such as Brighthouse Insurance, Brighthouse Life Insurance Company of NY (“Brighthouse Insurance of NY”) or NELICO would be resolved in accordance with state insurance law. If the FDIC were to be appointed as the receiver for another type of company (including an insurance holding company such as Brighthouse), the liquidation of that company would occur under the provisions of the new liquidation authority, and not under the Bankruptcy Code, which ordinarily governs liquidations. In an FDIC-managed liquidation, holders of a company’s debt could in certain respects be treated differently than they would be under the Bankruptcy Code and similarly situated creditors could be treated differently. In particular, unsecured creditors and shareholders are intended to bear the losses of the company being liquidated. These provisions could apply to some financial institutions whose debt securities Brighthouse holds in its investment portfolios and could adversely affect the respective positions of creditors and the value of their respective holdings.</w:t>
      </w:r>
    </w:p>
    <w:p>
      <w:pPr>
        <w:spacing w:after="0" w:line="61"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Dodd-Frank also provides for the assessment of charges against certain financial institutions, including non-bank SIFIs and bank holding companies, to cover the costs of liquidating any financial company subject to the new liquidation authority. The liquidation authority could increase the funding charges assessed against Brighthouse.</w:t>
      </w:r>
    </w:p>
    <w:p>
      <w:pPr>
        <w:spacing w:after="0" w:line="7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We are subject to U.S. federal, state and other securities and state insurance laws and regulations which, among other things, require that we distribute certain of our products through a registered broker-dealer; failure to comply with these laws or changes to these laws may have a material adverse effect on our operations and our profitability</w:t>
      </w:r>
    </w:p>
    <w:p>
      <w:pPr>
        <w:spacing w:after="0" w:line="73"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Federal and state securities laws and regulations apply to insurance products that are also “securities,” including variable annuity contracts and variable life insurance policies, to the separate accounts that issue them, and to certain fixed interest rate or index-linked contracts (“registered fixed annuity contracts”). Such laws and regulations require that we distribute these products through a broker-dealer that is registered with the SEC and certain state securities regulators and is a member of the Financial Industry Regulatory Authority, Inc. (“FINRA”). Accordingly, our offering and selling of variable annuity contracts, variable life insurance policies and registered fixed annuity contracts, and in managing certain proprietary mutual funds associated with those products, are subject to extensive regulation under federal and state securities laws as well as FINRA rules. Costs related to compliance with these securities laws will be greater than for our unregistered products. Due to the increased operating and compliance costs, the profitability of issuing these products is uncertain.</w:t>
      </w:r>
    </w:p>
    <w:p>
      <w:pPr>
        <w:spacing w:after="0" w:line="84"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While in the past we relied on a MetLife-affiliated broker-dealer to distribute our variable and registered fixed products, we currently and in the future will utilize Brighthouse Securities, LLC (“Brighthouse Securities”), a subsidiary we acquired from MetLife in the Separation. Brighthouse Securities is a FINRA member and a broker-dealer registered with the SEC and applicable state regulators.</w:t>
      </w:r>
    </w:p>
    <w:p>
      <w:pPr>
        <w:spacing w:after="0" w:line="73"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Federal and state securities laws and regulations are primarily intended to ensure the integrity of the financial markets, to protect investors in the securities markets, and to protect investment advisory or brokerage clients. These laws and regulations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153</w:t>
      </w:r>
    </w:p>
    <w:p>
      <w:pPr>
        <w:sectPr>
          <w:pgSz w:w="11900" w:h="16838" w:orient="portrait"/>
          <w:cols w:equalWidth="0" w:num="1">
            <w:col w:w="11420"/>
          </w:cols>
          <w:pgMar w:left="240" w:top="126" w:right="239" w:bottom="1440" w:gutter="0" w:footer="0" w:header="0"/>
        </w:sectPr>
      </w:pPr>
    </w:p>
    <w:bookmarkStart w:id="155" w:name="page156"/>
    <w:bookmarkEnd w:id="155"/>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generally grant regulatory and self-regulatory agencies broad rulemaking and enforcement powers, including the power to adopt new rules impacting new and/or existing products, regulate the issuance, sale and distribution of our products and limit or restrict the conduct of business for failure to comply with securities laws and regulations.</w:t>
      </w:r>
    </w:p>
    <w:p>
      <w:pPr>
        <w:spacing w:after="0" w:line="73"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As a result of Dodd-Frank, there have been a number of proposed or adopted changes to the laws and regulations that govern the conduct of our variable and registered fixed insurance products business and the firms that distribute these products. The future impact of recently adopted revisions to laws and regulations, as well as revisions that are still in the proposal stage, on the way we conduct our business and the products we sell is unclear. Such impact could adversely affect our operations and profitability, including increasing the regulatory and compliance burden upon us, resulting in increased costs, or limiting the type, amount or structure of compensation arrangements into which we may enter with certain of our employees, negatively impacting our ability to compete with other companies in recruiting and maintaining key personnel. See “Regulation — Insurance Regulation — Federal Initiatives” included in the Form 10. However, following the change of administration, we cannot predict with certainty whether any such proposals will be adopted, or what impact adopted revisions will have on our business, financial condition or results of operations. See “— Our insurance business is highly regulated, and changes in regulation and in supervisory and enforcement policies may materially impact our capitalization or cash flows, reduce our profitability and limit our growth.”</w:t>
      </w:r>
    </w:p>
    <w:p>
      <w:pPr>
        <w:spacing w:after="0" w:line="59"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global financial crisis has led to significant changes in economic and financial markets that have, in turn, led to a dynamic competitive landscape for variable and registered fixed annuity contract issuers. Our ability to react to rapidly changing market and economic conditions will depend on the continued efficacy of provisions we have incorporated into our product design allowing frequent and contemporaneous revisions of key pricing elements and our ability to work collaboratively with federal securities regulators. Changes in regulatory approval processes, rules and other dynamics in the regulatory process could adversely impact our ability to react to such changing conditions.</w:t>
      </w:r>
    </w:p>
    <w:p>
      <w:pPr>
        <w:spacing w:after="0" w:line="8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Changes in tax laws or interpretations of such laws could reduce our earnings and materially impact our operations by increasing our corporate taxes and making some of our products less attractive to consumers</w:t>
      </w:r>
    </w:p>
    <w:p>
      <w:pPr>
        <w:spacing w:after="0" w:line="62"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Changes in tax laws could have a material adverse effect on our profitability and financial condition, and could result in our incurring materially higher corporate taxes. Higher tax rates may adversely affect our business, financial condition, results of operations and liquidity. Conversely, if tax rates decline it could adversely affect the desirability of our products.</w:t>
      </w:r>
    </w:p>
    <w:p>
      <w:pPr>
        <w:spacing w:after="0" w:line="73"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Trump administration and Congress have publicly stated that fundamental U.S. tax reform is a priority, though the substance, timing and likelihood of any future tax reform are uncertain. To the extent that any such legislation is enacted in the future, we could be adversely affected. Any such reform could impact our corporate taxes and products, whether favorably or adversely.</w:t>
      </w:r>
    </w:p>
    <w:p>
      <w:pPr>
        <w:spacing w:after="0" w:line="73"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On November 2, 2017, the U.S. House of Representatives proposed the Tax Cuts and Jobs Act bill (the “House Proposed Tax Bill”) that generally calls for a reduction in tax rates, a repeal of the estate tax and simplification of the tax code. The House Proposed Tax Bill provides for a flat 20% corporate income tax rate. To help offset the cost of the rate reductions, the House Proposed Tax Bill includes a number of revenue raisers, including:</w:t>
      </w:r>
    </w:p>
    <w:p>
      <w:pPr>
        <w:spacing w:after="0" w:line="57" w:lineRule="exact"/>
        <w:rPr>
          <w:sz w:val="20"/>
          <w:szCs w:val="20"/>
          <w:color w:val="auto"/>
        </w:rPr>
      </w:pPr>
    </w:p>
    <w:p>
      <w:pPr>
        <w:ind w:left="960" w:hanging="628"/>
        <w:spacing w:after="0"/>
        <w:tabs>
          <w:tab w:leader="none" w:pos="960" w:val="left"/>
        </w:tabs>
        <w:numPr>
          <w:ilvl w:val="0"/>
          <w:numId w:val="90"/>
        </w:numPr>
        <w:rPr>
          <w:rFonts w:ascii="Arial" w:cs="Arial" w:eastAsia="Arial" w:hAnsi="Arial"/>
          <w:sz w:val="18"/>
          <w:szCs w:val="18"/>
          <w:color w:val="auto"/>
        </w:rPr>
      </w:pPr>
      <w:r>
        <w:rPr>
          <w:rFonts w:ascii="Arial" w:cs="Arial" w:eastAsia="Arial" w:hAnsi="Arial"/>
          <w:sz w:val="18"/>
          <w:szCs w:val="18"/>
          <w:color w:val="auto"/>
        </w:rPr>
        <w:t>a modification of the calculation of the DRD;</w:t>
      </w:r>
    </w:p>
    <w:p>
      <w:pPr>
        <w:spacing w:after="0" w:line="117" w:lineRule="exact"/>
        <w:rPr>
          <w:rFonts w:ascii="Arial" w:cs="Arial" w:eastAsia="Arial" w:hAnsi="Arial"/>
          <w:sz w:val="18"/>
          <w:szCs w:val="18"/>
          <w:color w:val="auto"/>
        </w:rPr>
      </w:pPr>
    </w:p>
    <w:p>
      <w:pPr>
        <w:ind w:left="960" w:hanging="628"/>
        <w:spacing w:after="0"/>
        <w:tabs>
          <w:tab w:leader="none" w:pos="960" w:val="left"/>
        </w:tabs>
        <w:numPr>
          <w:ilvl w:val="0"/>
          <w:numId w:val="90"/>
        </w:numPr>
        <w:rPr>
          <w:rFonts w:ascii="Arial" w:cs="Arial" w:eastAsia="Arial" w:hAnsi="Arial"/>
          <w:sz w:val="18"/>
          <w:szCs w:val="18"/>
          <w:color w:val="auto"/>
        </w:rPr>
      </w:pPr>
      <w:r>
        <w:rPr>
          <w:rFonts w:ascii="Arial" w:cs="Arial" w:eastAsia="Arial" w:hAnsi="Arial"/>
          <w:sz w:val="18"/>
          <w:szCs w:val="18"/>
          <w:color w:val="auto"/>
        </w:rPr>
        <w:t>a change in how deductions are determined for insurance reserves;</w:t>
      </w:r>
    </w:p>
    <w:p>
      <w:pPr>
        <w:spacing w:after="0" w:line="117" w:lineRule="exact"/>
        <w:rPr>
          <w:rFonts w:ascii="Arial" w:cs="Arial" w:eastAsia="Arial" w:hAnsi="Arial"/>
          <w:sz w:val="18"/>
          <w:szCs w:val="18"/>
          <w:color w:val="auto"/>
        </w:rPr>
      </w:pPr>
    </w:p>
    <w:p>
      <w:pPr>
        <w:ind w:left="960" w:hanging="628"/>
        <w:spacing w:after="0"/>
        <w:tabs>
          <w:tab w:leader="none" w:pos="960" w:val="left"/>
        </w:tabs>
        <w:numPr>
          <w:ilvl w:val="0"/>
          <w:numId w:val="90"/>
        </w:numPr>
        <w:rPr>
          <w:rFonts w:ascii="Arial" w:cs="Arial" w:eastAsia="Arial" w:hAnsi="Arial"/>
          <w:sz w:val="18"/>
          <w:szCs w:val="18"/>
          <w:color w:val="auto"/>
        </w:rPr>
      </w:pPr>
      <w:r>
        <w:rPr>
          <w:rFonts w:ascii="Arial" w:cs="Arial" w:eastAsia="Arial" w:hAnsi="Arial"/>
          <w:sz w:val="18"/>
          <w:szCs w:val="18"/>
          <w:color w:val="auto"/>
        </w:rPr>
        <w:t>an increase in the amount of policy acquisition expense (also called tax “DAC”);</w:t>
      </w:r>
    </w:p>
    <w:p>
      <w:pPr>
        <w:spacing w:after="0" w:line="117" w:lineRule="exact"/>
        <w:rPr>
          <w:rFonts w:ascii="Arial" w:cs="Arial" w:eastAsia="Arial" w:hAnsi="Arial"/>
          <w:sz w:val="18"/>
          <w:szCs w:val="18"/>
          <w:color w:val="auto"/>
        </w:rPr>
      </w:pPr>
    </w:p>
    <w:p>
      <w:pPr>
        <w:ind w:left="960" w:hanging="628"/>
        <w:spacing w:after="0"/>
        <w:tabs>
          <w:tab w:leader="none" w:pos="960" w:val="left"/>
        </w:tabs>
        <w:numPr>
          <w:ilvl w:val="0"/>
          <w:numId w:val="90"/>
        </w:numPr>
        <w:rPr>
          <w:rFonts w:ascii="Arial" w:cs="Arial" w:eastAsia="Arial" w:hAnsi="Arial"/>
          <w:sz w:val="18"/>
          <w:szCs w:val="18"/>
          <w:color w:val="auto"/>
        </w:rPr>
      </w:pPr>
      <w:r>
        <w:rPr>
          <w:rFonts w:ascii="Arial" w:cs="Arial" w:eastAsia="Arial" w:hAnsi="Arial"/>
          <w:sz w:val="18"/>
          <w:szCs w:val="18"/>
          <w:color w:val="auto"/>
        </w:rPr>
        <w:t>limitations on the use of NOLs; and</w:t>
      </w:r>
    </w:p>
    <w:p>
      <w:pPr>
        <w:spacing w:after="0" w:line="117" w:lineRule="exact"/>
        <w:rPr>
          <w:rFonts w:ascii="Arial" w:cs="Arial" w:eastAsia="Arial" w:hAnsi="Arial"/>
          <w:sz w:val="18"/>
          <w:szCs w:val="18"/>
          <w:color w:val="auto"/>
        </w:rPr>
      </w:pPr>
    </w:p>
    <w:p>
      <w:pPr>
        <w:ind w:left="960" w:hanging="628"/>
        <w:spacing w:after="0"/>
        <w:tabs>
          <w:tab w:leader="none" w:pos="960" w:val="left"/>
        </w:tabs>
        <w:numPr>
          <w:ilvl w:val="0"/>
          <w:numId w:val="90"/>
        </w:numPr>
        <w:rPr>
          <w:rFonts w:ascii="Arial" w:cs="Arial" w:eastAsia="Arial" w:hAnsi="Arial"/>
          <w:sz w:val="18"/>
          <w:szCs w:val="18"/>
          <w:color w:val="auto"/>
        </w:rPr>
      </w:pPr>
      <w:r>
        <w:rPr>
          <w:rFonts w:ascii="Arial" w:cs="Arial" w:eastAsia="Arial" w:hAnsi="Arial"/>
          <w:sz w:val="18"/>
          <w:szCs w:val="18"/>
          <w:color w:val="auto"/>
        </w:rPr>
        <w:t>limitations on deductions for net interest expense.</w:t>
      </w:r>
    </w:p>
    <w:p>
      <w:pPr>
        <w:spacing w:after="0" w:line="117"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On November 9, 2017, an amendment was proposed to the House Proposed Tax Bill further modifying the DRD, and inserting an 8% surtax on insurance company taxable income in lieu of the proposed modifications to deductible insurance reserves and DAC. The amendment indicates that the surtax is a placeholder so that more precise decisions could be made to these complex provisions.</w:t>
      </w:r>
    </w:p>
    <w:p>
      <w:pPr>
        <w:spacing w:after="0" w:line="73"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Some of our products are sold to customers in order to help them meet their estate tax planning needs. The House Proposed Tax Bill proposes to repeal the estate tax in 2023. If the estate tax were so repealed, sales of such products could be adversely affected.</w:t>
      </w:r>
    </w:p>
    <w:p>
      <w:pPr>
        <w:spacing w:after="0" w:line="62"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The House Proposed Tax Bill will continue to be substantially revised throughout the legislative process and we cannot predict the final version of any tax reform legislation that will be enacted. It is possible that despite a lower corporate tax rate, any final legislation could have an adverse impact on us by increasing the amount of income subject to tax, accelerating amounts subject to tax or reducing or eliminating deductions that offset tax liability.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154</w:t>
      </w:r>
    </w:p>
    <w:p>
      <w:pPr>
        <w:sectPr>
          <w:pgSz w:w="11900" w:h="16838" w:orient="portrait"/>
          <w:cols w:equalWidth="0" w:num="1">
            <w:col w:w="11420"/>
          </w:cols>
          <w:pgMar w:left="240" w:top="126" w:right="239" w:bottom="1440" w:gutter="0" w:footer="0" w:header="0"/>
        </w:sectPr>
      </w:pPr>
    </w:p>
    <w:bookmarkStart w:id="156" w:name="page157"/>
    <w:bookmarkEnd w:id="156"/>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Litigation and regulatory investigations are increasingly common in our businesses and may result in significant financial losses and/or harm to our reputation</w:t>
      </w:r>
    </w:p>
    <w:p>
      <w:pPr>
        <w:spacing w:after="0" w:line="62"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We face a significant risk of litigation and regulatory investigations and actions in the ordinary course of operating our businesses, including the risk of class action lawsuits. Our pending legal and regulatory actions include proceedings specific to us, as well as other proceedings that raise issues that are generally applicable to business practices in the industries in which we operate. In connection with our insurance operations, plaintiffs’ lawyers may bring or are bringing class actions and individual suits alleging, among other things, issues relating to sales or underwriting practices, claims payments and procedures, product design, disclosure, administration, investments, denial or delay of benefits and breaches of fiduciary or other duties to customers. Plaintiffs in class action and other lawsuits against us may seek very large and/or indeterminate amounts, including punitive and treble damages. Due to the vagaries of litigation, the outcome of a litigation matter and the amount or range of potential loss at particular points in time may be difficult to ascertain. Uncertainties can include how fact finders will evaluate documentary evidence and the credibility and effectiveness of witness testimony, and how trial and appellate courts will apply the law in the context of the pleadings or evidence presented, whether by motion practice, at trial, or on appeal. Disposition valuations are also subject to the uncertainty of how opposing parties and their counsel will themselves view the relevant evidence and applicable law. Material pending litigation and regulatory matters affecting us and risks to our business presented by these proceedings, if any, are discussed in Note 11 of the notes to the interim condensed consolidated and combined financial statements.</w:t>
      </w:r>
    </w:p>
    <w:p>
      <w:pPr>
        <w:spacing w:after="0" w:line="72"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A substantial legal liability or a significant federal, state or other regulatory action against us, as well as regulatory inquiries or investigations, could harm our reputation, result in material fines or penalties, result in significant legal costs and otherwise have a material adverse effect on our business, financial condition and results of operations. Even if we ultimately prevail in the litigation, regulatory action or investigation, our ability to attract new customers, retain our current customers and recruit and retain employees could be materially and adversely impacted. Regulatory inquiries and litigation may also cause volatility in the price of stocks of companies in our industry.</w:t>
      </w:r>
    </w:p>
    <w:p>
      <w:pPr>
        <w:spacing w:after="0" w:line="80"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Current claims, litigation, unasserted claims probable of assertion, investigations and other proceedings against us could have a material adverse effect on our business, financial condition or results of operations. It is also possible that related or unrelated claims, litigation, unasserted claims probable of assertion, investigations and proceedings may be commenced in the future, and we could become subject to further investigations and have lawsuits filed or enforcement actions initiated against us. Increased regulatory scrutiny and any resulting investigations or proceedings in any of the jurisdictions where we operate could result in new legal actions and precedents or changes in regulations that could adversely affect our business, financial condition and results of operations.</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Investments-Related Risks</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Should the need arise, we may have difficulty selling certain holdings in our investment portfolio or in our securities lending program in a timely manner and realizing full value given that not all assets are liquid</w:t>
      </w:r>
    </w:p>
    <w:p>
      <w:pPr>
        <w:spacing w:after="0" w:line="62"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There may be a limited market for certain investments we hold in our investment portfolio, making them relatively illiquid. These include privately-placed fixed maturity securities, derivative instruments such as options, mortgage loans, policy loans, leveraged leases, other limited partnership interests, and real estate equity, such as real estate joint ventures and funds. In the past, even some of our very high quality investments experienced reduced liquidity during periods of market volatility or disruption. If we were forced to sell certain of our investments during periods of market volatility or disruption, market prices may be lower than our carrying value in such investments. This could result in realized losses which could have a material adverse effect on our results of operations and financial condition, as well as our financial ratios, which could affect compliance with our credit instruments and rating agency capital adequacy measures.</w:t>
      </w:r>
    </w:p>
    <w:p>
      <w:pPr>
        <w:spacing w:after="0" w:line="81"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Similarly, we loan blocks of our securities to third parties (primarily brokerage firms and commercial banks) through our securities lending program, including fixed maturity securities and short-term investments. Under this program, we obtain collateral, usually cash, at the inception of a loan and typically purchase securities with the cash collateral. Upon the return to us of these loaned securities, we must return to the third-party the cash collateral we received. If the cash collateral has been invested in securities, we need to sell the securities. However, in some cases, the maturity of those securities may exceed the term of the related securities on loan and the estimated fair value of the securities we need to sell may fall below the amount of cash received.</w:t>
      </w:r>
    </w:p>
    <w:p>
      <w:pPr>
        <w:spacing w:after="0" w:line="50"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If we are required to return significant amounts of cash collateral in connection with our securities lending or otherwise need significant amounts of cash on short notice and we are forced to sell securities, we may have difficulty selling such collateral that is invested in securities in a timely manner, be forced to sell securities in a volatile or illiquid market for less than we otherwise would have been able to realize under normal market conditions, or both. In the event of a forced sale, accounting guidance requires the recognition of a loss for securities in an unrealized loss position and may require the impairment of other securities based on our ability to hold those securities, which would negatively impact our financial condition, as well as our financial ratios, which could affect compliance with our credit instruments and rating agency capital adequacy measures. In addition, under stressful capital market and economic conditions, liquidity broadly deteriorates, which may further restrict our</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155</w:t>
      </w:r>
    </w:p>
    <w:p>
      <w:pPr>
        <w:sectPr>
          <w:pgSz w:w="11900" w:h="16838" w:orient="portrait"/>
          <w:cols w:equalWidth="0" w:num="1">
            <w:col w:w="11420"/>
          </w:cols>
          <w:pgMar w:left="240" w:top="126" w:right="239" w:bottom="1440" w:gutter="0" w:footer="0" w:header="0"/>
        </w:sectPr>
      </w:pPr>
    </w:p>
    <w:bookmarkStart w:id="157" w:name="page158"/>
    <w:bookmarkEnd w:id="157"/>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ability to sell securities. Furthermore, if we decrease the amount of our securities lending activities over time, the amount of net investment income generated by these activities will also likely decline. See “Management’s Discussion and Analysis of Financial Condition and Results of Operations — Investments — Securities Lending.”</w:t>
      </w:r>
    </w:p>
    <w:p>
      <w:pPr>
        <w:spacing w:after="0" w:line="7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Our requirements to pledge collateral or make payments related to declines in estimated fair value of derivatives transactions or specified assets in connection with OTC-cleared, OTC-bilateral transactions and exchange traded derivatives may adversely affect our liquidity, expose us to central clearinghouse and counterparty credit risk, and increase our costs of hedging</w:t>
      </w:r>
    </w:p>
    <w:p>
      <w:pPr>
        <w:spacing w:after="0" w:line="73"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Many of our derivatives transactions require us to pledge collateral related to any decline in the net estimated fair value of such derivatives transactions executed through a specific broker at a clearinghouse or entered into with a specific counterparty on a bilateral basis. The amount of collateral we may be required to pledge and the payments we may be required to make under our derivatives transactions may increase under certain circumstances and will increase as a result of the requirement to pledge initial margin for OTC-cleared transactions entered into after June 10, 2013 and for OTC-bilateral transactions entered into after the phase-in period, which would be applicable to us in 2020 as a result of the adoption by the Office of the Comptroller of the Currency, the Federal Reserve Board, FDIC, Farm Credit Administration and Federal Housing Finance Agency (collectively, the “Prudential Regulators”) and the U.S. Commodity Futures Trading Commission (“CFTC”) of final margin requirements for non-centrally cleared derivatives. Although the final rules allow us to pledge a broad range of non-cash collateral as initial and variation margin, the Prudential Regulators, CFTC, central clearinghouses and counterparties may restrict or eliminate certain types of previously eligible collateral, or charge us to pledge such non-cash collateral, which would increase our costs and could adversely affect our liquidity and the composition of our investment portfolio. See “Regulation — Regulation of Over-the-Counter Derivatives” included in the Form 10.</w:t>
      </w:r>
    </w:p>
    <w:p>
      <w:pPr>
        <w:spacing w:after="0" w:line="7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Gross unrealized losses on fixed maturity and equity securities and defaults, downgrades or other events may result in future impairments to the carrying value of such securities, resulting in a reduction in our net income</w:t>
      </w:r>
    </w:p>
    <w:p>
      <w:pPr>
        <w:spacing w:after="0" w:line="62"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Fixed maturity and equity securities classified as available-for-sale (“AFS”) securities are reported at their estimated fair value. Unrealized gains or losses on AFS securities are recognized as a component of other comprehensive income (loss) (“OCI”) and are, therefore, excluded from net income. In recent periods, as a result of low interest rates, the unrealized gains on our fixed maturity securities have exceeded the unrealized losses. However, if interest rates rise, our unrealized gains would decrease and our unrealized losses would increase, perhaps substantially. The accumulated change in estimated fair value of these AFS securities is recognized in net income when the gain or loss is realized upon the sale of the security or in the event that the decline in estimated fair value is determined to be other-than-temporary and impairment charges to earnings are taken. See “Management’s Discussion and Analysis of Financial Condition and Results of Operations — Investments — Fixed Maturity and Equity Securities Available-for-Sale.”</w:t>
      </w:r>
    </w:p>
    <w:p>
      <w:pPr>
        <w:spacing w:after="0" w:line="70"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The occurrence of a major economic downturn, acts of corporate malfeasance, widening credit risk spreads, or other events that adversely affect the issuers or guarantors of securities or the underlying collateral of structured securities could cause the estimated fair value of our fixed maturity securities portfolio and corresponding earnings to decline and cause the default rate of the fixed maturity securities in our investment portfolio to increase. A ratings downgrade affecting issuers or guarantors of particular securities, or similar trends that could worsen the credit quality of issuers, such as the corporate issuers of securities in our investment portfolio, could also have a similar effect. With economic uncertainty, credit quality of issuers or guarantors could be adversely affected. Similarly, a ratings downgrade affecting a security we hold could indicate the credit quality of that security has deteriorated and could increase the capital we must hold to support that security to maintain our RBC levels. Levels of write-downs or impairments are impacted by intent to sell, or our assessment of the likelihood that we will be required to sell, fixed maturity securities, as well as our intent and ability to hold equity securities which have declined in value until recovery. Realized losses or impairments on these securities may have a material adverse effect on our results of operations and financial condition in, or at the end of, any quarterly or annual period.</w:t>
      </w:r>
    </w:p>
    <w:p>
      <w:pPr>
        <w:spacing w:after="0" w:line="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valuation of securities and investments and the determination of the amount of allowances and impairments taken on our investments are subjective and, if changed, could materially adversely affect our results of operations or financial condition</w:t>
      </w:r>
    </w:p>
    <w:p>
      <w:pPr>
        <w:spacing w:after="0" w:line="62"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Fixed maturity and equity securities, as well as short-term investments that are reported at estimated fair value, represent the majority of our total cash and investments. We define fair value generally as the price that would be received to sell an asset or paid to transfer a liability. Considerable judgment is often required in interpreting market data to develop estimates of fair value, and the use of different assumptions or valuation methodologies may have a material effect of the estimated fair value amounts. During periods of market disruption, including periods of significantly rising or high interest rates, rapidly widening credit spreads or illiquidity, it may be difficult to value certain of our securities if trading becomes less frequent and/or market data becomes less observable. In addition, in times of financial market disruption, certain asset classes that were in active markets with significant observable data may become illiquid. In those cases, the valuation process includes inputs that are less observable and require more subjectivity and management judgment. Valuations may result in estimated fair values which vary significantly from the amount at which the investments may ultimately be sold. Further, rapidly changing and unprecedented credit and equity market conditions could materially impact the valuation of securities as reported within our combined financial statements and</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156</w:t>
      </w:r>
    </w:p>
    <w:p>
      <w:pPr>
        <w:sectPr>
          <w:pgSz w:w="11900" w:h="16838" w:orient="portrait"/>
          <w:cols w:equalWidth="0" w:num="1">
            <w:col w:w="11420"/>
          </w:cols>
          <w:pgMar w:left="240" w:top="126" w:right="239" w:bottom="1440" w:gutter="0" w:footer="0" w:header="0"/>
        </w:sectPr>
      </w:pPr>
    </w:p>
    <w:bookmarkStart w:id="158" w:name="page159"/>
    <w:bookmarkEnd w:id="158"/>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period-to-period changes in estimated fair value could vary significantly. Decreases in the estimated fair value of securities we hold may have a material adverse effect on our financial condition. See “Management’s Discussion and Analysis of Financial Condition and Results of Operations — Summary of Critical Accounting Estimates — Estimated Fair Value of Investments” included in the Form 10.</w:t>
      </w:r>
    </w:p>
    <w:p>
      <w:pPr>
        <w:spacing w:after="0" w:line="73"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The determination of the amount of allowances and impairments varies by investment type and is based upon our periodic evaluation and assessment of known and inherent risks associated with the respective asset class. Such evaluations and assessments are revised as conditions change and new information becomes available. We reflect any changes in allowances and impairments in earnings as such evaluations are revised. However, historical trends may not be indicative of future impairments or allowances. In addition, any such future impairments or allowances could have a materially adverse effect on our earnings and financial position. See “Management’s Discussion and Analysis of Financial Condition and Results of Operations — Summary of Critical Accounting Estimates — Investment Impairments” included in the Form 10.</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Defaults on our mortgage loans and volatility in performance may adversely affect our profitability</w:t>
      </w:r>
    </w:p>
    <w:p>
      <w:pPr>
        <w:spacing w:after="0" w:line="117"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Our mortgage loans face default risk and are principally collateralized by commercial, agricultural and residential properties. We establish valuation allowances for estimated impairments, which are based on loan risk characteristics, historical default rates and loss severities, real estate market fundamentals, such as housing prices and unemployment, and outlooks, as well as other relevant factors (for example, local economic conditions). In addition, substantially all of our commercial and agricultural mortgage loans held-for-investment have balloon payment maturities. An increase in the default rate of our mortgage loan investments or fluctuations in their performance could have a material adverse effect on our results of operations and financial condition.</w:t>
      </w:r>
    </w:p>
    <w:p>
      <w:pPr>
        <w:spacing w:after="0" w:line="50"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Further, any geographic or property type concentration of our mortgage loans may have adverse effects on our investment portfolio and consequently on our results of operations or financial condition. Events or developments that have a negative effect on any particular geographic region or sector may have a greater adverse effect on our investment portfolio to the extent that the portfolio is concentrated. Moreover, our ability to sell assets relating to a group of related assets may be limited if other market participants are seeking to sell at the same time. In addition, scrutiny of the mortgage industry continues and there may be legislative proposals that would allow or require modifications to the terms of mortgage loans could be enacted. We cannot predict whether any such proposals will be adopted, or what impact, if any, such proposals or, if enacted, such laws, could have on our business or investments. See “Management’s Discussion and Analysis of Financial Condition and Results of Operations — Investments — Mortgage Loans.”</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defaults or deteriorating credit of other financial institutions could adversely affect us</w:t>
      </w:r>
    </w:p>
    <w:p>
      <w:pPr>
        <w:spacing w:after="0" w:line="117"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We have exposure to many different industries and counterparties, and routinely execute transactions with counterparties in the financial services industry, including brokers and dealers, central clearinghouses, commercial banks, investment banks, hedge funds and investment funds and other financial institutions. Many of these transactions expose us to credit risk in the event of the default of our counterparty. In addition, with respect to secured transactions, our credit risk may be exacerbated when the collateral held by us cannot be realized or is liquidated at prices not sufficient to recover the full amount of the loan or derivative exposure due to us. We also have exposure to these financial institutions in the form of unsecured debt instruments, non-redeemable and redeemable preferred securities, derivatives and joint venture, hedge fund and equity investments. Further, potential action by governments and regulatory bodies in response to the financial crisis affecting the global banking system and financial markets, such as investment, nationalization, conservatorship, receivership and other intervention, whether under existing legal authority or any new authority that may be created, or lack of action by governments and central banks, as well as deterioration in the banks’ credit standing, could negatively impact these instruments, securities, transactions and investments or limit our ability to trade with them. Any such losses or impairments to the carrying value of these investments or other changes may materially and adversely affect our results of operations and financial condition.</w:t>
      </w:r>
    </w:p>
    <w:p>
      <w:pPr>
        <w:spacing w:after="0" w:line="7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The continued threat of terrorism and ongoing military actions may adversely affect the value of our investment portfolio and the level of claim losses we incur</w:t>
      </w:r>
    </w:p>
    <w:p>
      <w:pPr>
        <w:spacing w:after="0" w:line="62"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The continued threat of terrorism, both within the United States and abroad, ongoing military and other actions and heightened security measures in response to these types of threats may cause significant volatility in global financial markets and result in loss of life, property damage, additional disruptions to commerce and reduced economic activity. The value of assets in our investment portfolio may be adversely affected by declines in the credit and equity markets and reduced economic activity caused by the continued threat of terrorism. Companies in which we maintain investments may suffer losses as a result of financial, commercial or economic disruptions and such disruptions might affect the ability of those companies to pay interest or principal on their securities or mortgage loans. Terrorist actions also could disrupt our operations centers in the U.S. and result in higher than anticipated claims under our insurance policies. See “Management’s Discussion and Analysis of Financial Condition and Results of Operations — Policyholder Liabilities.”</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157</w:t>
      </w:r>
    </w:p>
    <w:p>
      <w:pPr>
        <w:sectPr>
          <w:pgSz w:w="11900" w:h="16838" w:orient="portrait"/>
          <w:cols w:equalWidth="0" w:num="1">
            <w:col w:w="11420"/>
          </w:cols>
          <w:pgMar w:left="240" w:top="126" w:right="239" w:bottom="1440" w:gutter="0" w:footer="0" w:header="0"/>
        </w:sectPr>
      </w:pPr>
    </w:p>
    <w:bookmarkStart w:id="159" w:name="page160"/>
    <w:bookmarkEnd w:id="159"/>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Capital-Related Risks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 a holding company, Brighthouse Financial, Inc. depends on the ability of its subsidiaries to pay dividends</w:t>
      </w:r>
    </w:p>
    <w:p>
      <w:pPr>
        <w:spacing w:after="0" w:line="11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Brighthouse Financial, Inc. is a holding company for its insurance subsidiaries and does not have any significant operations of its own. We depend on the cash at the holding company plus dividends from our subsidiaries to meet our obligations and to pay common stock dividends, if any. See “Management’s Discussion and Analysis of Financial Condition and Results of Operations — Liquidity and Capital Resources — The Company — Capital — Restrictions on Dividends and Returns of Capital from Insurance Company Subsidiaries.”</w:t>
      </w:r>
    </w:p>
    <w:p>
      <w:pPr>
        <w:spacing w:after="0" w:line="79"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If the cash Brighthouse Financial, Inc. receives from its subsidiaries is insufficient for it to fund its debt service and other holding company obligations, Brighthouse Financial, Inc. may be required to raise cash through the incurrence of indebtedness, the issuance of additional equity or the sale of assets. Our ability to access funds through such methods is subject to prevailing market conditions and there can be no assurance that we will be able to do so. See “— Economic Environment and Capital Markets—Related Risks — Adverse capital and credit market conditions may significantly affect our ability to meet liquidity needs and our access to capital.”</w:t>
      </w:r>
    </w:p>
    <w:p>
      <w:pPr>
        <w:spacing w:after="0" w:line="80"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7"/>
          <w:szCs w:val="17"/>
          <w:color w:val="auto"/>
        </w:rPr>
        <w:t>The payment of dividends and other distributions to Brighthouse Financial, Inc. by its insurance subsidiaries is regulated by insurance laws and regulations. In general, dividends in excess of prescribed limits require insurance regulatory approval. In addition, insurance regulators may prohibit the payment of dividends or other payments to Brighthouse Financial, Inc. by its insurance subsidiaries if they determine that the payment could be adverse to the interests of our policyholders or contractholders. In connection with our affiliated reinsurance company restructuring, the Delaware Department of Insurance approved the payment of a dividend from Brighthouse Reinsurance Company of Delaware, to its parent, Brighthouse Insurance, which we completed in May 2017. Any additional dividends by Brighthouse Reinsurance Company of Delaware are subject to the approval of the Delaware Department of Insurance. Any requested payment of dividends by Brighthouse Insurance to Brighthouse Financial, Inc. in excess of its 2017 ordinary dividend capacity would be considered an extraordinary dividend subject to prior approval by the Delaware Department of Insurance. The payment of dividends and other distributions by insurance companies is also influenced by business conditions including the Risk Factors listed above and rating agency considerations. See “Management’s Discussion and Analysis of Financial Condition and Results of Operations — Liquidity and Capital Resources — The Company — Capital — Restrictions on Dividends and Returns of Capital from Insurance Company Subsidiaries” and “— Regulatory and Legal Risks — A decrease in the RBC ratio (as a result of a reduction in statutory surplus and/or increase in RBC requirements) of our insurance subsidiaries could result in increased scrutiny by insurance regulators and rating agencies and have a material adverse effect on our results of operations and financial condition” included in this Quarterly Report on Form 10-Q and “Regulation — Insurance Regulation” included in the Form 10.</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Operational Risks</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Gaps in our risk management policies and procedures may leave us exposed to unidentified or unanticipated risk, which could negatively affect our business</w:t>
      </w:r>
    </w:p>
    <w:p>
      <w:pPr>
        <w:spacing w:after="0" w:line="62"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color w:val="auto"/>
        </w:rPr>
        <w:t>We have developed and continue to develop risk management policies and procedures to reflect the ongoing review of our risks and expect to continue to do so in the future. Nonetheless, our policies and procedures may not be comprehensive and may not identify every risk to which we are exposed. Many of our methods for managing risk and exposures are based upon the use of observed historical market behavior to model or project potential future exposure. Models used by our business are based on assumptions and projections which may be inaccurate. Business decisions based on incorrect or misused model output and reports could have a material adverse impact on our results of operations. Model risk may be the result of a model being misspecified for its intended purpose, being misused or producing incorrect or inappropriate results. Models used by our business may not operate properly and could contain errors related to model inputs, data, assumptions, calculations, or output which could give rise to adjustments to models that may adversely impact our results of operations. As a result, these methods may not fully predict future exposures, which can be significantly greater than our historical measures indicate. Other risk management methods depend upon the evaluation of information regarding markets, clients, catastrophe occurrence or other matters that are publicly available or otherwise accessible to us. This information may not always be accurate, complete, up-to-date or properly evaluated. Furthermore, there can be no assurance that we can effectively review and monitor all risks or that all of our employees will follow our risk management policies and procedures, nor can there be any assurance that our risk management policies and procedures will enable us to accurately identify all risks and limit our exposures based on our assessments. In addition, we may have to implement more extensive and perhaps different risk management policies and procedures under pending regulations. See “— Risks Related to Our Business — Our variable annuity exposure management strategy may not be effective, may result in net income volatility and may negatively affect our statutory capital.”</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158</w:t>
      </w:r>
    </w:p>
    <w:p>
      <w:pPr>
        <w:sectPr>
          <w:pgSz w:w="11900" w:h="16838" w:orient="portrait"/>
          <w:cols w:equalWidth="0" w:num="1">
            <w:col w:w="11420"/>
          </w:cols>
          <w:pgMar w:left="240" w:top="126" w:right="239" w:bottom="1440" w:gutter="0" w:footer="0" w:header="0"/>
        </w:sectPr>
      </w:pPr>
    </w:p>
    <w:bookmarkStart w:id="160" w:name="page161"/>
    <w:bookmarkEnd w:id="160"/>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The failure in cyber- or other information security systems, as well as the occurrence of events unanticipated in Brighthouse’s and MetLife’s disaster recovery systems and business continuity planning could result in a loss or disclosure of confidential information, damage to our reputation and impairment of our ability to conduct business effectively</w:t>
      </w:r>
    </w:p>
    <w:p>
      <w:pPr>
        <w:spacing w:after="0" w:line="73"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Our business is highly dependent upon the effective operation of our computer systems and, for the duration of the Transition Services Agreement and other agreements with MetLife companies, MetLife’s computer systems. We rely on these systems throughout our business for a variety of functions, including processing new business, claims, and post-issue transactions, providing information to customers and distributors, performing actuarial analyses and maintaining financial records. We also retain confidential and proprietary information on such computer systems and we rely on sophisticated technologies to maintain the security of that information. Such computer systems have been, and will likely continue to be, subject to a variety of forms of cyber attacks with the objective of gaining unauthorized access to Brighthouse systems and data or disrupting Brighthouse operations. These include, but are not limited to, phishing attacks, malware, ransomware, denial of service attacks, and other computer-related penetrations. Administrative and technical controls and other preventive actions taken to reduce the risk of cyber-incidents and protect our information technology may be insufficient to prevent physical and electronic break-ins, cyber-attacks or other security breaches to such computer systems. In some cases, such physical and electronic break-ins, cyber-attacks or other security breaches may not be immediately detected. This may impede or interrupt our business operations and could adversely affect our business, financial condition and results of operations. In addition, the availability and cost of insurance for operational and other risks relating to our business and systems may change and any such change may affect our results of operations.</w:t>
      </w:r>
    </w:p>
    <w:p>
      <w:pPr>
        <w:spacing w:after="0" w:line="61"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In the event of a disaster such as a natural catastrophe, epidemic, industrial accident, blackout, computer virus, terrorist attack, cyberattack or war, unanticipated problems with our disaster recovery systems or, for the duration of the Transition Services Agreement and other agreements with MetLife companies, MetLife’s disaster recovery systems, could have a material adverse impact on our ability to conduct business and on our results of operations and financial position, particularly if those problems affect our computer-based data processing, transmission, storage and retrieval systems and destroy valuable data. In addition, in the event that a significant number of our or MetLife’s managers were unavailable following a disaster, our ability to effectively conduct business could be severely compromised. These interruptions also may interfere with our suppliers’ ability to provide goods and services and our employees’ ability to perform their job responsibilities.</w:t>
      </w:r>
    </w:p>
    <w:p>
      <w:pPr>
        <w:spacing w:after="0" w:line="81"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The failure of our computer systems or, for the duration of the Transition Services Agreement and other agreements with MetLife companies, MetLife’s systems, and/or our respective disaster recovery plans for any reason could cause significant interruptions in our operations and result in a failure to maintain the security, confidentiality or privacy of sensitive data, including personal information relating to our customers. Such a failure could harm our reputation, subject us to regulatory sanctions and legal claims, lead to a loss of customers and revenues and otherwise adversely affect our business and financial results. Vendors, distributors, and other third parties, including MetLife, provide operational or information technology services to us. The failure of such third parties’ or MetLife’s computer systems and/or their disaster recovery plans for any reason might cause significant interruptions in our operations and result in a failure to maintain the security, confidentiality or privacy of sensitive data, including personal information relating to our customers. Such a failure could harm our reputation, subject us to regulatory sanctions and legal claims, lead to a loss of customers and revenues and otherwise adversely affect our business and financial results. While we maintain cyber liability insurance that provides both third-party liability and first-party liability coverages, this insurance may not be sufficient to protect us against all losses. There can be no assurance that our information security policies and systems in place can prevent unauthorized use or disclosure of confidential information, including nonpublic personal information. Any failure to protect the confidentiality of customer information could adversely affect our reputation and have a material adverse effect on our business, financial condition and results of operations.</w:t>
      </w:r>
    </w:p>
    <w:p>
      <w:pPr>
        <w:spacing w:after="0" w:line="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associates and those of MetLife may take excessive risks which could negatively affect our financial condition and business</w:t>
      </w:r>
    </w:p>
    <w:p>
      <w:pPr>
        <w:spacing w:after="0" w:line="117" w:lineRule="exact"/>
        <w:rPr>
          <w:sz w:val="20"/>
          <w:szCs w:val="20"/>
          <w:color w:val="auto"/>
        </w:rPr>
      </w:pPr>
    </w:p>
    <w:p>
      <w:pPr>
        <w:jc w:val="both"/>
        <w:ind w:firstLine="324"/>
        <w:spacing w:after="0" w:line="288" w:lineRule="auto"/>
        <w:rPr>
          <w:sz w:val="20"/>
          <w:szCs w:val="20"/>
          <w:color w:val="auto"/>
        </w:rPr>
      </w:pPr>
      <w:r>
        <w:rPr>
          <w:rFonts w:ascii="Arial" w:cs="Arial" w:eastAsia="Arial" w:hAnsi="Arial"/>
          <w:sz w:val="16"/>
          <w:szCs w:val="16"/>
          <w:color w:val="auto"/>
        </w:rPr>
        <w:t>As an insurance enterprise, we are in the business of accepting certain risks. The associates who conduct our business, including executive officers and other members of management, sales intermediaries, investment professionals, product managers, and other associates, as well as associates of MetLife who provide services to Brighthouse in connection with the Transition Services Agreement, the Third-Party Administrative Services Agreement or the Investment Management Agreements do so in part by making decisions and choices that involve exposing us to risk. See “Certain Relationships and Related Person Transactions — Agreements Between Us and MetLife” included in the Form 10 for information regarding such agreements. These include decisions such as setting underwriting guidelines and standards, product design and pricing, determining what assets to purchase for investment and when to sell them, which business opportunities to pursue, and other decisions. Associates may take excessive risks regardless of the structure of our compensation programs and practices. Similarly, our controls and procedures designed to monitor associates’ business decisions and prevent them from taking excessive risks, and to prevent employee misconduct, may not be effective. If our associates take excessive risks, the impact of those risks could harm our reputation and have a material adverse effect on our financial condition and business operations.</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159</w:t>
      </w:r>
    </w:p>
    <w:p>
      <w:pPr>
        <w:sectPr>
          <w:pgSz w:w="11900" w:h="16838" w:orient="portrait"/>
          <w:cols w:equalWidth="0" w:num="1">
            <w:col w:w="11420"/>
          </w:cols>
          <w:pgMar w:left="240" w:top="126" w:right="239" w:bottom="1440" w:gutter="0" w:footer="0" w:header="0"/>
        </w:sectPr>
      </w:pPr>
    </w:p>
    <w:bookmarkStart w:id="161" w:name="page162"/>
    <w:bookmarkEnd w:id="161"/>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Risks</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Changes in accounting standards issued by the Financial Accounting Standards Board or other standard-setting bodies may adversely affect our financial statements</w:t>
      </w:r>
    </w:p>
    <w:p>
      <w:pPr>
        <w:spacing w:after="0" w:line="62"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Our financial statements are subject to the application of GAAP, which is periodically revised. Accordingly, from time to time we are required to adopt new or revised accounting standards issued by recognized authoritative bodies, including the FASB. The impact of accounting pronouncements that have been issued but not yet implemented will be disclosed in our reports filed with the SEC. See “Management’s Discussion and Analysis of Financial Condition and Results of Operations — Future Adoption of New Accounting Pronouncements.” The FASB issued several proposed amendments to the accounting for long duration insurance contracts on September 29, 2016. One of the proposed amendments, in particular, would require all guarantees associated with our variable annuity business to be accounted for at fair value, with changes in fair value reported in net income (excluding the change in fair value attributable to nonperformance risk, which would be reported in other comprehensive income). Any of the proposed amendments to the accounting for long duration insurance contracts, if adopted, would not be expected to be effective for several years after issuance of a final standard. An assessment of the potential impact of proposed FASB standards, including the proposed changes to long duration insurance accounting, is not provided as such proposals are subject to change through the exposure process and official positions of the FASB are determined only after extensive due process and deliberations. Therefore, the effects on our financial statements cannot be meaningfully assessed. The required adoption of future accounting standards could have a material adverse effect on our GAAP basis equity and results of operations, including on our net income.</w:t>
      </w:r>
    </w:p>
    <w:p>
      <w:pPr>
        <w:spacing w:after="0" w:line="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protect our intellectual property and may be subject to infringement claims</w:t>
      </w:r>
    </w:p>
    <w:p>
      <w:pPr>
        <w:spacing w:after="0" w:line="117"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We rely on a combination of contractual rights with third parties and copyright, trademark, patent and trade secret laws to establish and protect our intellectual property. Third parties may infringe or misappropriate our intellectual property. We may have to litigate to enforce and protect our copyrights, trademarks, patents, trade secrets and know-how or to determine their scope, validity or enforceability. This would represent a diversion of resources that may be significant and our efforts may not prove successful. The inability to secure or protect our intellectual property assets could harm our reputation and have a material adverse effect on our business and our ability to compete with other insurance companies and financial institutions. See “— Risks Related to Our Separation from, and Continuing Relationship with, MetLife — Our Separation from MetLife could adversely affect our business and profitability due to MetLife’s strong brand and reputation.”</w:t>
      </w:r>
    </w:p>
    <w:p>
      <w:pPr>
        <w:spacing w:after="0" w:line="81"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In addition, we may be subject to claims by third parties for (i) patent, trademark or copyright infringement, (ii) breach of patent, trademark or copyright license usage rights, or (iii) misappropriation of trade secrets. Any such claims or resulting litigation could result in significant expense and liability for damages. If we were found to have infringed or misappropriated a third-party patent or other intellectual property right, we could in some circumstances be enjoined from providing certain products or services to our customers or from utilizing and benefiting from certain patents, copyrights, trademarks, trade secrets or licenses. Alternatively, we could be required to enter into costly licensing arrangements with third parties or implement a costly alternative. Any of these scenarios could harm our reputation and have a material adverse effect on our business and results of operations.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experience difficulty in marketing and distributing products through our distribution channels</w:t>
      </w:r>
    </w:p>
    <w:p>
      <w:pPr>
        <w:spacing w:after="0" w:line="117"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We distribute our products exclusively through a variety of third-party distribution channels. We may periodically negotiate the terms of these relationships, and there can be no assurance that such terms will remain acceptable to us or such third parties. Such distributors will be subject to differing commission structures, depending on the product sold, one of which is a level/asset-based commission structure; other products are subject to a more traditional commission structure. If a particular commission structure is not acceptable to these distributors, or if we are unsuccessful in attracting and retaining key associates who conduct our business, including wholesalers and financial advisors, our sales of individual insurance, annuities and investment products could decline and our results of operations and financial condition could be materially adversely affected. See “— Risks Related to Our Business — Elements of our business strategy are new and may not be effective in accomplishing our objectives.”</w:t>
      </w:r>
    </w:p>
    <w:p>
      <w:pPr>
        <w:spacing w:after="0" w:line="70" w:lineRule="exact"/>
        <w:rPr>
          <w:sz w:val="20"/>
          <w:szCs w:val="20"/>
          <w:color w:val="auto"/>
        </w:rPr>
      </w:pPr>
    </w:p>
    <w:p>
      <w:pPr>
        <w:jc w:val="both"/>
        <w:ind w:firstLine="324"/>
        <w:spacing w:after="0" w:line="288" w:lineRule="auto"/>
        <w:rPr>
          <w:sz w:val="20"/>
          <w:szCs w:val="20"/>
          <w:color w:val="auto"/>
        </w:rPr>
      </w:pPr>
      <w:r>
        <w:rPr>
          <w:rFonts w:ascii="Arial" w:cs="Arial" w:eastAsia="Arial" w:hAnsi="Arial"/>
          <w:sz w:val="16"/>
          <w:szCs w:val="16"/>
          <w:color w:val="auto"/>
        </w:rPr>
        <w:t>Furthermore, an interruption in certain key relationships could materially affect our ability to market our products and could have a material adverse effect on our results of operations and financial condition. Our Separation from MetLife could prompt some third parties to re-price, modify or terminate their distribution or vendor relationships with us. An interruption or significant change in certain key relationships could materially affect our ability to market our products and could have a material adverse effect on our results of operations and financial condition. In February 2016, Fidelity, which was responsible for $209 million or 36% of the annualized new premium (“ANP”) for our annuity products for the year ended December 31, 2015, elected to suspend its distribution relationship with us following the announcement of the planned separation from MetLife. The suspension of sales by such distributor was the primary cause of a significant reduction in our sales of variable annuities year-over-year for the year ended December 31, 2016. Other distributors may elect to suspend, alter, reduce or terminate their distribution relationships with us for various reasons, including uncertainty related to our Separation from MetLife, changes in our distribution strategy, adverse developments in our business, adverse rating agency actions, or concerns about market-related risks. We are also at risk that key distribution partners may merge, change their business models in ways that affect how our products are sold,</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160</w:t>
      </w:r>
    </w:p>
    <w:p>
      <w:pPr>
        <w:sectPr>
          <w:pgSz w:w="11900" w:h="16838" w:orient="portrait"/>
          <w:cols w:equalWidth="0" w:num="1">
            <w:col w:w="11420"/>
          </w:cols>
          <w:pgMar w:left="240" w:top="126" w:right="239" w:bottom="1440" w:gutter="0" w:footer="0" w:header="0"/>
        </w:sectPr>
      </w:pPr>
    </w:p>
    <w:bookmarkStart w:id="162" w:name="page163"/>
    <w:bookmarkEnd w:id="162"/>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or terminate their distribution contracts with us, or that new distribution channels could emerge and adversely impact the effectiveness of our distribution efforts. In addition, we rely on a core number of our distributors to produce the majority of our sales. If any one such distributor were to terminate its relationship with us or reduce the amount of sales which it produces for us our results of operations could be adversely affected. An increase in bank and broker-dealer consolidation activity could increase competition for access to distributors, result in greater distribution expenses and impair our ability to market products through these channels. Consolidation of distributors and/or other industry changes may also increase the likelihood that distributors will try to renegotiate the terms of any existing selling agreements to terms less favorable to us.</w:t>
      </w:r>
    </w:p>
    <w:p>
      <w:pPr>
        <w:spacing w:after="0" w:line="8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Because our products are distributed through unaffiliated firms, we may not be able to monitor or control the manner of their distribution despite our training and compliance programs. If our products are distributed by such firms in an inappropriate manner, or to customers for whom they are unsuitable, we may suffer reputational and other harm to our business.</w:t>
      </w:r>
    </w:p>
    <w:p>
      <w:pPr>
        <w:spacing w:after="0" w:line="73"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In addition, our distributors may also sell our competitors’ products. If our competitors offer products that are more attractive than ours, or pay higher commission rates to the sales representatives than we do, these representatives may concentrate their efforts in selling our competitors’ products instead of ours. Prior to the sale of MPCG to MassMutual we distributed a significant portion of our annuity products and insurance policies through MPCG. In connection with the sale we entered into an agreement which would permit us to serve as the exclusive manufacturer for certain proprietary products which would be offered through MassMutual’s career agent channel. We partnered with MassMutual to develop the initial product distributed under this arrangement, the Index Horizons fixed indexed annuity, and agreed on the terms of the related reinsurance. While the agreement has a term of 10 years, it is possible that MassMutual may terminate our exclusivity or the agreement itself in specified circumstances, such as our inability or failure to provide product designs that reasonably meet MassMutual requirements. Although we expect MassMutual to be an important distribution partner with respect to certain of our products, we believe that the level of sales, if any, produced through this channel will be materially less than the levels produced historically through MPCG.</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unable to attract and retain key personnel to support our business</w:t>
      </w:r>
    </w:p>
    <w:p>
      <w:pPr>
        <w:spacing w:after="0" w:line="117"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Our success depends, in large part, on our ability to attract and retain key personnel. We compete with other financial services companies for personnel primarily on the basis of compensation, support services and financial position. Intense competition exists for key personnel with demonstrated ability, and we may be unable to hire or retain such personnel. The unexpected loss of services of one or more of our key personnel could have a material adverse effect on our business due to loss of their skills, knowledge of our business, their years of industry experience and the potential difficulty of promptly finding qualified replacement personnel in North Carolina or elsewhere who are prepared to relocate. There are a number of open positions which we need to fill in order to operate consistent with our strategy going forward. We may not be able to attract and retain qualified personnel to fill these open positions or replace or succeed members of our senior management team or other key personnel. Proposed rules implementing the executive compensation provisions of Dodd-Frank may limit the type and structure of compensation arrangements into which we may enter with certain of our employees and officers. In addition, proposed rules under Dodd-Frank would prohibit the payment of “excessive compensation” to our executives. These restrictions could negatively impact our ability to compete with other companies in recruiting and retaining key personnel.</w:t>
      </w:r>
    </w:p>
    <w:p>
      <w:pPr>
        <w:spacing w:after="0" w:line="70"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Our ability to attract and retain highly qualified independent sales intermediaries for our products may also be negatively affected by our Separation from MetLife. We may be required to lower the prices of our products, increase our sales commissions and fees, change long-term selling and marketing agreements and take other actions to maintain our relationship with our sales intermediaries and distribution partners, all of which could have an adverse effect on our financial condition and results of operations. We cannot accurately predict the long-term effect that our Separation from MetLife will have on our business, sales intermediaries, customers, distributors or associates who conduct our business. In addition, we agreed in the Master Separation Agreement with MetLife that for a certain period following the date of the Master Separation Agreement, subject to customary exceptions regarding prior associates who conduct our business, general solicitation and employees who contact us without being solicited, we will not solicit for employment certain current employees of MetLife or any of its affiliates. We cannot predict how this potential agreement not to solicit employees will impact our ability to attract and recruit associates necessary to the operation of our business.</w:t>
      </w:r>
    </w:p>
    <w:p>
      <w:pPr>
        <w:spacing w:after="0" w:line="7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Any failure to protect the confidentiality of client information could adversely affect our reputation and have a material adverse effect on our business, financial condition and results of operations</w:t>
      </w:r>
    </w:p>
    <w:p>
      <w:pPr>
        <w:spacing w:after="0" w:line="62"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Pursuant to federal and state laws, various government agencies have established rules protecting the privacy and security of personal information. In addition, most states have enacted laws, which vary significantly from jurisdiction to jurisdiction, to safeguard the privacy and security of personal information. Many of the associates who conduct our business have access to, and routinely process, personal information of clients through a variety of media, including information technology systems. We rely on various internal processes and controls to protect the confidentiality of client information that is accessible to, or in the possession of, our company and our associates. It is possible that an associate could, intentionally or unintentionally, disclose or misappropriate confidential client information or our data could be the subject of a cyber-attack. If we fail to maintain adequate</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161</w:t>
      </w:r>
    </w:p>
    <w:p>
      <w:pPr>
        <w:sectPr>
          <w:pgSz w:w="11900" w:h="16838" w:orient="portrait"/>
          <w:cols w:equalWidth="0" w:num="1">
            <w:col w:w="11420"/>
          </w:cols>
          <w:pgMar w:left="240" w:top="126" w:right="239" w:bottom="1440" w:gutter="0" w:footer="0" w:header="0"/>
        </w:sectPr>
      </w:pPr>
    </w:p>
    <w:bookmarkStart w:id="163" w:name="page164"/>
    <w:bookmarkEnd w:id="163"/>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internal controls or if our associates fail to comply with our policies and procedures, misappropriation or intentional or unintentional inappropriate disclosure or misuse of client information could occur. Such internal control inadequacies or non-compliance could materially damage our reputation or lead to civil or criminal penalties, which, in turn, could have a material adverse effect on our business, financial condition and results of operations. In addition, we analyze customer data to better manage our business. There has been increased scrutiny, including from state regulators, regarding the use of “big data” techniques such as price optimization. We cannot predict what, if any, actions may be taken with regard to “big data,” but any inquiry in connection with our “big data” business practices could cause reputational harm and any limitations could have a material impact on our business, financial condition and results of operations.</w:t>
      </w:r>
    </w:p>
    <w:p>
      <w:pPr>
        <w:spacing w:after="0" w:line="8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could face difficulties, unforeseen liabilities, asset impairments or rating actions arising from business acquisitions or dispositions</w:t>
      </w:r>
    </w:p>
    <w:p>
      <w:pPr>
        <w:spacing w:after="0" w:line="129"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We may engage in dispositions and acquisitions of businesses. Such activity exposes us to a number of risks arising from (i) potential difficulties achieving projected financial results including the costs and benefits of integration or deconsolidation; (ii) unforeseen liabilities or asset impairments; (iii) the scope and duration of rights to indemnification for losses; (iv) the use of capital which could be used for other purposes; (v) rating agency reactions;</w:t>
      </w:r>
    </w:p>
    <w:p>
      <w:pPr>
        <w:ind w:firstLine="8"/>
        <w:spacing w:after="0" w:line="261" w:lineRule="auto"/>
        <w:tabs>
          <w:tab w:leader="none" w:pos="313" w:val="left"/>
        </w:tabs>
        <w:numPr>
          <w:ilvl w:val="0"/>
          <w:numId w:val="91"/>
        </w:numPr>
        <w:rPr>
          <w:rFonts w:ascii="Arial" w:cs="Arial" w:eastAsia="Arial" w:hAnsi="Arial"/>
          <w:sz w:val="18"/>
          <w:szCs w:val="18"/>
          <w:color w:val="auto"/>
        </w:rPr>
      </w:pPr>
      <w:r>
        <w:rPr>
          <w:rFonts w:ascii="Arial" w:cs="Arial" w:eastAsia="Arial" w:hAnsi="Arial"/>
          <w:sz w:val="18"/>
          <w:szCs w:val="18"/>
          <w:color w:val="auto"/>
        </w:rPr>
        <w:t>regulatory requirements that could impact our operations or capital requirements; (vii) changes in statutory or GAAP accounting principles, practices or policies; and (viii) certain other risks specifically arising from activities relating to a legal entity reorganization.</w:t>
      </w:r>
    </w:p>
    <w:p>
      <w:pPr>
        <w:spacing w:after="0" w:line="76"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Our ability to achieve certain financial benefits we anticipate from any acquisitions of businesses will depend in part upon our ability to successfully integrate such businesses in an efficient and effective manner. There may be liabilities or asset impairments that we fail, or are unable, to discover in the course of performing acquisition-related due diligence investigations. Furthermore, even for obligations and liabilities that we do discover during the due diligence process, neither the valuation adjustment nor the contractual protections we negotiate may be sufficient to fully protect us from losses.</w:t>
      </w:r>
    </w:p>
    <w:p>
      <w:pPr>
        <w:spacing w:after="0" w:line="63"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7"/>
          <w:szCs w:val="17"/>
          <w:color w:val="auto"/>
        </w:rPr>
        <w:t>We may from time to time dispose of business or blocks of in-force business through outright sales, reinsurance transactions or by alternate means. After a disposition, we may remain liable to the acquirer or to third parties for certain losses or costs arising from the divested business or on other bases. We may also not realize the anticipated profit on a disposition or incur a loss on the disposition. In anticipation of any disposition, we may need to restructure our operations, which could disrupt such operations and affect our ability to recruit key personnel needed to operate and grow such business pending the completion of such transaction. In addition, the actions of key employees of the business to be divested could adversely affect the success of such disposition as they may be more focused on obtaining employment, or the terms of their employment, than on maximizing the value of the business to be divested. Furthermore, transition services or tax arrangements related to any such separation could further disrupt our operations and may impose restrictions, liabilities, losses or indemnification obligations on us. Depending on its particulars, a separation could increase our exposure to certain risks, such as by decreasing the diversification of our sources of revenue. Moreover, we may be unable to timely dissolve all contractual relationships with the divested business in the course of the proposed transaction, which may materially adversely affect our ability to realize value from the disposition. Such restructuring could also adversely affect our internal controls and procedures and impair our relationships with key customers, distributors and suppliers. An interruption or significant change in certain key relationships could materially affect our ability to market our products and could have a material adverse effect on our business, operating results and financial condition.</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Separation from, and Continuing Relationship with, MetLife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Separation from MetLife could adversely affect our business and profitability due to MetLife’s strong brand and reputation</w:t>
      </w:r>
    </w:p>
    <w:p>
      <w:pPr>
        <w:spacing w:after="0" w:line="11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Prior to the Distribution, as a wholly-owned subsidiary of MetLife, we marketed our products and services using the “MetLife” brand name and logo. We have also benefited from trademarks licensed in connection with the MetLife brand. We believe the association with MetLife provided us with preferred status among our customers, vendors and other persons due to MetLife’s globally recognized brand, reputation for high quality products and services and strong capital base and financial strength.</w:t>
      </w:r>
    </w:p>
    <w:p>
      <w:pPr>
        <w:spacing w:after="0" w:line="79"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Our Separation from MetLife could adversely affect our ability to attract and retain customers, which could result in reduced sales of our products. In connection with the Distribution, we entered into the Intellectual Property License Agreement and Master Separation Agreement with MetLife, pursuant to which we have a license to use certain trademarks and the “MetLife” name in certain limited circumstances, including as part of a marketing tag line, for a transition period or otherwise to refer to our historic affiliation with MetLife on selected materials for a limited period of time following the Distribution. See “Certain Relationships and Related Person Transactions — Agreements Between Us and MetLife — Master Separation Agreement — The separation of our business” included in the Form 10. We have undergone operational and legal work to rebrand to “Brighthouse.”</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162</w:t>
      </w:r>
    </w:p>
    <w:p>
      <w:pPr>
        <w:sectPr>
          <w:pgSz w:w="11900" w:h="16838" w:orient="portrait"/>
          <w:cols w:equalWidth="0" w:num="1">
            <w:col w:w="11420"/>
          </w:cols>
          <w:pgMar w:left="240" w:top="126" w:right="239" w:bottom="1440" w:gutter="0" w:footer="0" w:header="0"/>
        </w:sectPr>
      </w:pPr>
    </w:p>
    <w:bookmarkStart w:id="164" w:name="page165"/>
    <w:bookmarkEnd w:id="164"/>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We have filed trademark applications to protect the Brighthouse Financial name and logo, as well as certain of our products, in the United States. However, the registration of some of these trademarks is not complete and they may not all ultimately become registered. Our use of the Brighthouse Financial name for the Company or for our existing or any new products in the United States has been challenged by third parties, and we have become involved in legal proceedings to protect or defend our rights with respect to the Brighthouse Financial name and trademarks, all of which could have a material adverse effect on our business and results of operations. Although the parties to these proceedings have resolved this matter and dismissed the action, we are aware of other challenges to our trademarks that have not yet resulted in litigation.</w:t>
      </w:r>
    </w:p>
    <w:p>
      <w:pPr>
        <w:spacing w:after="0" w:line="70"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As a result of our Separation from MetLife, some of our existing policyholders, contract owners and other customers have chosen, and some may in the future choose to stop doing business with us, which could increase the rate of surrenders and withdrawals in our policies and contracts. In addition, other potential policyholders and contract owners may decide not to purchase our products because we no longer are a part of MetLife.</w:t>
      </w:r>
    </w:p>
    <w:p>
      <w:pPr>
        <w:spacing w:after="0" w:line="5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The terms of our arrangements with MetLife may be more favorable than we would be able to obtain from an unaffiliated third party. We may be unable to replace the services MetLife provides to us in a timely manner or on comparable terms</w:t>
      </w:r>
    </w:p>
    <w:p>
      <w:pPr>
        <w:spacing w:after="0" w:line="62"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color w:val="auto"/>
        </w:rPr>
        <w:t>We have contractual arrangements, such as the Transition Services Agreement, Investment Management Agreements, the Intellectual Property License Agreement, the Investment Finance Services Agreements entered into in connection with the Investment Management Agreements and other agreements that require MetLife affiliates to provide certain services to us, including the receipt of certain IT services pursuant to software license agreements that MetLife affiliates have with certain third-party software vendors, and the provision of investment management and related accounting and reporting services by MetLife Investment Advisors LLC with respect to Brighthouse’s general and separate account investment portfolios. See “Certain Relationships and Related Person Transactions” included in the Form 10. There can be no assurance that the services to be provided by the MetLife affiliates will be sufficient to meet our operational and business needs, that the MetLife affiliates will be able to perform such functions in a manner satisfactory to us or that any remedies available under these arrangements will be sufficient to us in the event of a dispute or nonperformance. Upon termination or expiration of any agreement between us and MetLife affiliates, there can be no assurance that these services will be sustained at the same levels as they were when we were receiving such services from MetLife or that we will be able to obtain the same benefits from another provider or our indemnity rights from such third parties will not be limited. We may not be able to replace services and arrangements in a timely manner or on terms and conditions, including cost, as favorable as those we have previously received from MetLife. The agreements with the MetLife affiliates were entered into in the context of intercompany relationships that arose from enterprise-wide agreements with vendors, and we may have to pay higher prices for similar services from MetLife or unaffiliated third parties in the future.</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Brighthouse Board and its directors and officers may have limited liability to us and you for breach of fiduciary duty</w:t>
      </w:r>
    </w:p>
    <w:p>
      <w:pPr>
        <w:spacing w:after="0" w:line="117"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Our amended and restated certificate of incorporation provides that none of our directors and officers will be personally liable to us or our shareholders for monetary damages for breach of fiduciary duty, except for liability for breach of their duty of loyalty, acts or omissions not in good faith or which involve intentional misconduct or a knowing violation of law, dividend payments or stock repurchases that are unlawful under Delaware law or any transaction in which a director has derived an improper personal benefit. See “Description of Capital Stock — Limitation of Liability and Indemnification of Directors and Officers” included in the Form 10.</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There are incremental costs as a separate, public company</w:t>
      </w:r>
    </w:p>
    <w:p>
      <w:pPr>
        <w:spacing w:after="0" w:line="117"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As a result of the Separation, we needed to replicate or replace certain functions, systems and infrastructure to which we do not have the same access. We have also begun to make infrastructure investments in order to operate without the same access to MetLife’s existing operational and administrative infrastructure. These initiatives involve substantial costs, the hiring and integration of a large number of new employees, and integration of the new and expanded operations and infrastructure with our existing operations and infrastructure and, in some cases, the operations and infrastructure of our partners and other third parties. They also require significant time and attention from our senior management and others throughout the Company, in addition to their day-to-day responsibilities running the business. Our operations and infrastructure need to be developed to support functions that were previously provided by MetLife at the enterprise level. There can be no assurance that we will be able to establish and expand the operations and infrastructure to the extent required, in the time, or at the costs anticipated, and without disrupting our ongoing business operations in a material way, all of which could have a material adverse effect on our business and results of operations.</w:t>
      </w:r>
    </w:p>
    <w:p>
      <w:pPr>
        <w:spacing w:after="0" w:line="7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Our business has benefited from MetLife’s purchasing power when procuring goods and services. As a standalone company, we may be unable to obtain such goods and services at comparable prices or on terms as favorable as those obtained prior to the Distribution, which could decrease our overall profitability. See “— The terms of our arrangements with MetLife may be more favorable than we would be able to obtain from an unaffiliated third party. We may be unable to replace the services MetLife provides to us in a timely manner or on comparable terms.”</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163</w:t>
      </w:r>
    </w:p>
    <w:p>
      <w:pPr>
        <w:sectPr>
          <w:pgSz w:w="11900" w:h="16838" w:orient="portrait"/>
          <w:cols w:equalWidth="0" w:num="1">
            <w:col w:w="11420"/>
          </w:cols>
          <w:pgMar w:left="240" w:top="126" w:right="239" w:bottom="1440" w:gutter="0" w:footer="0" w:header="0"/>
        </w:sectPr>
      </w:pPr>
    </w:p>
    <w:bookmarkStart w:id="165" w:name="page166"/>
    <w:bookmarkEnd w:id="165"/>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a very large number of shareholders which may impact the efficacy of shareholder votes and will result in increased costs</w:t>
      </w:r>
    </w:p>
    <w:p>
      <w:pPr>
        <w:spacing w:after="0" w:line="117"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Under the plan of reorganization of Metropolitan Life Insurance Company (“MLIC”), the MetLife Policyholder Trust was established to hold the shares of MetLife common stock allocated to eligible policyholders not receiving cash or policy credits under the plan. As of October 25, 2017, 156,304,534, or 14.9%, of the outstanding shares of MetLife common stock were held in the MetLife Policyholder Trust for the benefit of approximately three million trust beneficiaries. These trust beneficiaries are eligible to vote only on certain fundamental corporate actions of MetLife. The trustee of the MetLife Policyholder Trust votes on their behalf on all other matters in accordance with the recommendation of the MetLife Board.</w:t>
      </w:r>
    </w:p>
    <w:p>
      <w:pPr>
        <w:spacing w:after="0" w:line="6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Brighthouse does not have such a trust structure and, therefore a large number of trust beneficiaries became shareholders of Brighthouse. The addition of this large number of additional shareholders with full voting rights to our shareholder base may have a significant impact on matters brought to a shareholder vote and other aspects of our corporate governance. We will also incur increased costs in connection with a larger shareholder base. These costs may include mailing costs and vendor fees related to servicing the needs of these shareholders.</w:t>
      </w:r>
    </w:p>
    <w:p>
      <w:pPr>
        <w:spacing w:after="0" w:line="7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As a separate, public company, we expend additional time and resources to comply with rules and regulations that did not apply to us prior to the Separation</w:t>
      </w:r>
    </w:p>
    <w:p>
      <w:pPr>
        <w:spacing w:after="0" w:line="6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As a separate, public company, the various rules and regulations of the SEC, as well as the rules of Nasdaq, on which our common stock is listed, require us to implement additional corporate governance practices and adhere to a variety of reporting requirements. Compliance with these public company obligations has increased our legal and financial compliance costs and could place additional demands on our finance, legal and accounting staff and on our financial, accounting and information systems.</w:t>
      </w:r>
    </w:p>
    <w:p>
      <w:pPr>
        <w:spacing w:after="0" w:line="79"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In particular, as a separate, public company, our management will be required to conduct an annual evaluation of our internal controls over financial reporting and include a report of management on our internal controls in our Annual Reports on Form 10-K. In addition, we will be required to have our independent registered public accounting firm attest to the effectiveness of our internal controls over financial reporting pursuant to Auditing Standard No. 5. If we are unable to conclude that we have effective internal controls over financial reporting, investors could lose confidence in the reliability of our financial statements, which could result in a decrease in the value of our common stock.</w:t>
      </w:r>
    </w:p>
    <w:p>
      <w:pPr>
        <w:spacing w:after="0" w:line="8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Our historical combined financial data are not necessarily representative of the results we would have achieved as a separate company and may not be a reliable indicator of our future results</w:t>
      </w:r>
    </w:p>
    <w:p>
      <w:pPr>
        <w:spacing w:after="0" w:line="62"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Our historical combined financial data included in the Form 10 and in our other filings with the SEC do not necessarily reflect the financial condition, results of operations or cash flows we would have achieved as a standalone company during the periods presented or those we will achieve in the future. For example, as described in “Recapitalization” included in the Form 10, we are in the process of adjusting our capital structure to more closely align with U.S. public companies. As a result, financial metrics that are influenced by our capital structure, such as interest expense and return on equity, will not necessarily be indicative for historical periods of the performance we may achieve as a separate company. In addition, significant increases may occur in our cost structure as a result of the Distribution, including costs related to public company reporting, investor relations and compliance with the Sarbanes-Oxley Act of 2002. Also, we anticipate incurring substantial expenses in connection with rebranding our business.</w:t>
      </w:r>
    </w:p>
    <w:p>
      <w:pPr>
        <w:spacing w:after="0" w:line="7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As a result of these matters, among others, it may be difficult for investors to compare our future results to historical results or to evaluate our relative performance or trends in our business.</w:t>
      </w:r>
    </w:p>
    <w:p>
      <w:pPr>
        <w:spacing w:after="0" w:line="6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We have agreed under the Master Separation Agreement with MetLife to indemnify MetLife, its directors, officers and employees and certain of its agents for liabilities relating to, arising out of or resulting from certain events relating to our business</w:t>
      </w:r>
    </w:p>
    <w:p>
      <w:pPr>
        <w:spacing w:after="0" w:line="62"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The Master Separation Agreement provides that, subject to certain exceptions, we will indemnify, hold harmless and defend MetLife (excluding any member of Brighthouse) and certain related individuals (generally including MetLife’s directors, officers and employees and certain agents), from and against all liabilities relating to, arising out of or resulting from certain events relating to our business. We cannot predict whether any event triggering this indemnity will occur or the extent to which we may be obligated to indemnify MetLife or such related individuals. In addition, the Master Separation Agreement provides that, subject to certain exceptions, MetLife will indemnify, hold harmless and defend us and certain related individuals (generally including our directors, officers and employees and certain agents), from and against all liabilities relating to, arising out of or resulting from certain events relating to its business. There can be no assurance that MetLife will be able to satisfy its indemnification obligation to us or that such indemnification will be sufficient to us in the event of a dispute or nonperformance by MetLife. See “Certain Relationships and Related Person Transactions — Agreements Between Us and MetLife — Master Separation Agreement — Provisions relating to indemnification and liability insurance” included in the Form 10.</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164</w:t>
      </w:r>
    </w:p>
    <w:p>
      <w:pPr>
        <w:sectPr>
          <w:pgSz w:w="11900" w:h="16838" w:orient="portrait"/>
          <w:cols w:equalWidth="0" w:num="1">
            <w:col w:w="11420"/>
          </w:cols>
          <w:pgMar w:left="240" w:top="126" w:right="239" w:bottom="1440" w:gutter="0" w:footer="0" w:header="0"/>
        </w:sectPr>
      </w:pPr>
    </w:p>
    <w:bookmarkStart w:id="166" w:name="page167"/>
    <w:bookmarkEnd w:id="166"/>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the Distribution</w:t>
      </w:r>
    </w:p>
    <w:p>
      <w:pPr>
        <w:spacing w:after="0" w:line="121"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b w:val="1"/>
          <w:bCs w:val="1"/>
          <w:i w:val="1"/>
          <w:iCs w:val="1"/>
          <w:color w:val="auto"/>
        </w:rPr>
        <w:t>If the Distribution were to fail to qualify for non-recognition treatment for U.S. federal income tax purposes, then we and our shareholders could be subject to significant tax liabilities</w:t>
      </w:r>
    </w:p>
    <w:p>
      <w:pPr>
        <w:spacing w:after="0" w:line="62"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The Distribution was conditioned on the continued validity as of the distribution date of the private letter ruling that MetLife has received from the IRS regarding certain significant issues under the Code, and the receipt and continued validity of an opinion from MetLife’s tax advisor that the Distribution will qualify for non-recognition of gain or loss to MetLife and MetLife’s shareholders pursuant to Sections 355 and 361 of the Code, except to the extent of cash received in lieu of fractional shares, each subject to the accuracy of and compliance with certain representations, assumptions and covenants therein.</w:t>
      </w:r>
    </w:p>
    <w:p>
      <w:pPr>
        <w:spacing w:after="0" w:line="46"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Notwithstanding the receipt of the private letter ruling and the tax opinion, the IRS could determine that the Distribution should be treated as a taxable transaction if it determines that any of the representations, assumptions or covenants on which the private letter ruling is based are untrue or have been violated. Furthermore, as part of the IRS’s policy, the IRS did not determine whether the Distribution satisfies certain conditions that are necessary to qualify for non-recognition treatment. Rather, the private letter ruling is based on representations by MetLife and us that these conditions have been satisfied. The tax opinion addresses the satisfaction of these conditions.</w:t>
      </w:r>
    </w:p>
    <w:p>
      <w:pPr>
        <w:spacing w:after="0" w:line="8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tax opinion is not binding on the IRS or the courts, and there can be no assurance that the IRS or a court will not take a contrary position. In addition, the tax advisor relied on certain representations and covenants that have been delivered by MetLife and us.</w:t>
      </w:r>
    </w:p>
    <w:p>
      <w:pPr>
        <w:spacing w:after="0" w:line="6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If the IRS ultimately determines that the Distribution is taxable, we could incur significant U.S. federal income tax liabilities, and we could have an indemnification obligation to MetLife. For a more detailed discussion, see “— Potential indemnification obligations if the Distribution does not qualify for non-recognition treatment or if certain other steps that are part of the Separation do not qualify for their intended tax treatment could materially adversely affect our financial condition.”</w:t>
      </w:r>
    </w:p>
    <w:p>
      <w:pPr>
        <w:spacing w:after="0" w:line="79" w:lineRule="exact"/>
        <w:rPr>
          <w:sz w:val="20"/>
          <w:szCs w:val="20"/>
          <w:color w:val="auto"/>
        </w:rPr>
      </w:pPr>
    </w:p>
    <w:p>
      <w:pPr>
        <w:ind w:right="580"/>
        <w:spacing w:after="0" w:line="308" w:lineRule="auto"/>
        <w:rPr>
          <w:sz w:val="20"/>
          <w:szCs w:val="20"/>
          <w:color w:val="auto"/>
        </w:rPr>
      </w:pPr>
      <w:r>
        <w:rPr>
          <w:rFonts w:ascii="Arial" w:cs="Arial" w:eastAsia="Arial" w:hAnsi="Arial"/>
          <w:sz w:val="17"/>
          <w:szCs w:val="17"/>
          <w:b w:val="1"/>
          <w:bCs w:val="1"/>
          <w:i w:val="1"/>
          <w:iCs w:val="1"/>
          <w:color w:val="auto"/>
        </w:rPr>
        <w:t>Potential indemnification obligations if the Distribution does not qualify for non-recognition treatment or if certain other steps that are part of the Separation do not qualify for their intended tax treatment could materially adversely affect our financial condition</w:t>
      </w:r>
    </w:p>
    <w:p>
      <w:pPr>
        <w:spacing w:after="0" w:line="38"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Generally, taxes resulting from the failure of the Distribution to qualify for non-recognition treatment for U.S. federal income tax purposes would be imposed on MetLife or MetLife’s shareholders and, under the Tax Separation Agreement, MetLife is generally obligated to indemnify us against such taxes if the failure to qualify for tax-free treatment results from any action or inaction that is within MetLife’s control or if the failure results from any direct or indirect transfer of MetLife’s stock. MetLife may have an adverse interpretation of or object to its indemnification obligations to us under the Tax Separation Agreement, and there can be no assurance that MetLife will be able to satisfy its indemnification obligation to us or that such indemnification will be sufficient to us in the event of a dispute or nonperformance by MetLife. The failure of MetLife to fully indemnify us could have a material adverse effect on our financial condition and results of operations.</w:t>
      </w:r>
    </w:p>
    <w:p>
      <w:pPr>
        <w:spacing w:after="0" w:line="81"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In addition, MetLife will generally bear tax-related losses due to the failure of certain steps that were part of the Separation to qualify for their intended tax treatment. However, the IRS could seek to hold us responsible for such liabilities, and under the Tax Separation Agreement, we could be required, under certain circumstances, to indemnify MetLife and its affiliates against certain tax-related liabilities caused by those failures, to the extent those liabilities result from an action we or our affiliates take or from any breach of our or our affiliates’ representations, covenants or obligations under the Tax Separation Agreement. Events triggering an indemnification obligation under the Tax Separation Agreement include ceasing to actively conduct our business and events occurring after the Distribution that cause MetLife to recognize a gain under Section 355(e) of the Code. If the Distribution does not qualify for non-recognition treatment or if certain other steps that are part of the Separation do not qualify for their intended tax treatment, we could be required to pay material additional taxes or an indemnification obligation to MetLife, which could materially and adversely affect our financial condition. See “Certain Relationships and Related Person Transactions — Agreements Between Us and MetLife — Tax Agreements — Tax Separation Agreement” included in the Form 10.</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could be required to pay material additional taxes or suffer other material adverse tax consequences if the tax consequences of the Separation to us are not as expected</w:t>
      </w:r>
    </w:p>
    <w:p>
      <w:pPr>
        <w:spacing w:after="0" w:line="62"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The Separation is expected to have certain federal income tax consequences to MetLife and to us, as set forth in a private letter ruling issued by the IRS to MetLife and opinions provided by MetLife’s tax advisors. These opinions are not binding on the IRS or the courts, and the tax opinions and the private letter ruling do not address all of the tax consequences of the Separation to us. The Separation is a complex transaction subject to numerous tax rules, including rules that could require us to reduce our tax attributes (such as the basis in our assets) in certain circumstances, and the application of these various rules to the Separation is not entirely clear. The ultimate tax consequences to us of the Separation may not be finally determined for many years and</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165</w:t>
      </w:r>
    </w:p>
    <w:p>
      <w:pPr>
        <w:sectPr>
          <w:pgSz w:w="11900" w:h="16838" w:orient="portrait"/>
          <w:cols w:equalWidth="0" w:num="1">
            <w:col w:w="11420"/>
          </w:cols>
          <w:pgMar w:left="240" w:top="126" w:right="239" w:bottom="1440" w:gutter="0" w:footer="0" w:header="0"/>
        </w:sectPr>
      </w:pPr>
    </w:p>
    <w:bookmarkStart w:id="167" w:name="page168"/>
    <w:bookmarkEnd w:id="167"/>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may differ from the tax consequences that we and MetLife currently expect and intend to report. As a result, we could be required to pay material additional taxes and to materially reduce the tax assets (or materially increase the tax liabilities) on our consolidated balance sheet. These changes could impact our available capital, ratings or cost of capital. There can be no assurance that the Tax Separation Agreement will protect us from any such consequences, or that any issue that may arise will be subject to indemnification by MetLife under the Tax Separation Agreement. As a result our financial condition and results of operations could be materially and adversely affected.</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Disputes with MetLife regarding tax-related matters may affect our financial statements and business operations</w:t>
      </w:r>
    </w:p>
    <w:p>
      <w:pPr>
        <w:spacing w:after="0" w:line="117"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In connection with our Separation from MetLife, we entered into certain agreements that provide a framework for our ongoing relationship, including a Tax Separation Agreement and a Tax Receivables Agreement. Our agreements with MetLife may not reflect terms that would have resulted from negotiation between unaffiliated parties. Such provisions may include, among other things, indemnification rights and obligations, the allocation of tax liabilities, and other payment obligations between us and MetLife. Disagreements regarding the obligations of MetLife or us under these agreements or any renegotiation of their terms could create disputes that may be resolved in a manner unfavorable to us and our shareholders. In addition, there can be no assurance that any remedies available under these agreements will be sufficient to us in the event of a dispute or nonperformance by MetLife. The failure of MetLife to perform its obligations under these agreements (or claims by MetLife that we have failed to perform our obligations under the agreements) may have a material adverse effect on our financial statements, and could consume substantial resources and attention thus creating a material adverse impact on our business performance.</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required to pay MetLife for certain tax benefits, which amounts are expected to be material</w:t>
      </w:r>
    </w:p>
    <w:p>
      <w:pPr>
        <w:spacing w:after="0" w:line="117" w:lineRule="exact"/>
        <w:rPr>
          <w:sz w:val="20"/>
          <w:szCs w:val="20"/>
          <w:color w:val="auto"/>
        </w:rPr>
      </w:pPr>
    </w:p>
    <w:p>
      <w:pPr>
        <w:jc w:val="both"/>
        <w:ind w:firstLine="324"/>
        <w:spacing w:after="0" w:line="288" w:lineRule="auto"/>
        <w:rPr>
          <w:sz w:val="20"/>
          <w:szCs w:val="20"/>
          <w:color w:val="auto"/>
        </w:rPr>
      </w:pPr>
      <w:r>
        <w:rPr>
          <w:rFonts w:ascii="Arial" w:cs="Arial" w:eastAsia="Arial" w:hAnsi="Arial"/>
          <w:sz w:val="16"/>
          <w:szCs w:val="16"/>
          <w:color w:val="auto"/>
        </w:rPr>
        <w:t>In partial consideration for the assets contributed by MetLife to us, we have entered into a Tax Receivables Agreement with MetLife that provides for the payment by us to MetLife of 86% of the amount of cash savings, if any, in U.S. federal income tax that we and our subsidiaries actually realize (or are deemed to realize under certain circumstances, as discussed in more detail below under the heading “Certain Relationships and Related Person Transactions</w:t>
      </w:r>
    </w:p>
    <w:p>
      <w:pPr>
        <w:jc w:val="both"/>
        <w:spacing w:after="0" w:line="254" w:lineRule="auto"/>
        <w:rPr>
          <w:sz w:val="20"/>
          <w:szCs w:val="20"/>
          <w:color w:val="auto"/>
        </w:rPr>
      </w:pPr>
      <w:r>
        <w:rPr>
          <w:rFonts w:ascii="Arial" w:cs="Arial" w:eastAsia="Arial" w:hAnsi="Arial"/>
          <w:sz w:val="18"/>
          <w:szCs w:val="18"/>
          <w:color w:val="auto"/>
        </w:rPr>
        <w:t>— Agreements Between Us and MetLife — Tax Agreements — Tax Receivables Agreement” included in the Form 10) as a result of the utilization of our and our subsidiaries’ net operating losses, capital losses, tax basis and amortization or depreciation deductions in respect of certain tax benefits we may realize as a result of certain transactions involved in the Separation, together with interest accrued from the date the applicable tax return is due (without extension) until the date the applicable payment is due.</w:t>
      </w:r>
    </w:p>
    <w:p>
      <w:pPr>
        <w:spacing w:after="0" w:line="82"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Estimating the amount of payments that may be made under the Tax Receivables Agreement is by its nature imprecise, insofar as the calculation of amounts payable depends on a variety of factors. The actual amount and utilization of net operating losses, tax basis and other tax attributes, as well as the amount and timing of any payments under the Tax Receivables Agreement, will vary depending upon a number of factors, including the amount, character and timing of our and our subsidiaries’ taxable income in the future. The Base Case Scenario has not assumed any benefit from the deferred taxes that are subject to the Tax Receivables Agreement.</w:t>
      </w:r>
    </w:p>
    <w:p>
      <w:pPr>
        <w:spacing w:after="0" w:line="80"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If we breach any of our material obligations under the Tax Receivables Agreement or undergo a change of control as defined in the Tax Receivables Agreement, the Tax Receivables Agreement will terminate and we will be required to make a lump sum payment equal to the present value of expected future payments under the Tax Receivables Agreement, which payment would be based on certain assumptions, including those relating to our and our subsidiaries’ future taxable income. Additionally, if we or a direct or indirect subsidiary transfers any asset to a corporation with which we do not file a consolidated tax return, we will be treated as having sold that asset for its fair market value in a taxable transaction for purposes of determining the cash savings in income tax under the Tax Receivables Agreement. If we sell or otherwise dispose of any of our subsidiaries in a transaction that is not a change of control, we will be required to make a payment equal to the present value of future payments under the Tax Receivables Agreement attributable to the tax benefits of such subsidiary that is sold or disposed of, applying the assumptions described above. Any such payment resulting from a breach of material obligations, change of control, asset transfer or subsidiary disposition could be substantial and could exceed our actual cash tax savings.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have agreed to numerous restrictions to preserve the non-recognition treatment of the transactions, which may reduce our strategic and operating flexibility</w:t>
      </w:r>
    </w:p>
    <w:p>
      <w:pPr>
        <w:spacing w:after="0" w:line="62"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Even if the Distribution otherwise qualifies for non-recognition of gain or loss under Section 355 of the Code, it may be taxable to MetLife, but not MetLife’s shareholders, under Section 355(e) of the Code if 50% or more (by vote or value) of our common stock or MetLife’s common stock is acquired as part of a plan or series of related transactions that include the Distribution. For this purpose, any acquisitions of MetLife’s or our common stock within two years before or after the Distribution are presumed to be part of such a plan, although MetLife or we may be able to rebut that presumption based on either applicable facts and circumstances or a “safe harbor” described in the tax regulations. We have provided numerous covenants not to engage in certain transactions for two years after the Distribution and have agreed to indemnify MetLife if we do not comply with such</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166</w:t>
      </w:r>
    </w:p>
    <w:p>
      <w:pPr>
        <w:sectPr>
          <w:pgSz w:w="11900" w:h="16838" w:orient="portrait"/>
          <w:cols w:equalWidth="0" w:num="1">
            <w:col w:w="11420"/>
          </w:cols>
          <w:pgMar w:left="240" w:top="126" w:right="239" w:bottom="1440" w:gutter="0" w:footer="0" w:header="0"/>
        </w:sectPr>
      </w:pPr>
    </w:p>
    <w:bookmarkStart w:id="168" w:name="page169"/>
    <w:bookmarkEnd w:id="168"/>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covenants. These covenants and indemnity obligations may limit our ability to pursue strategic transactions or engage in new business or other transactions, such as a share repurchase program, that may maximize the value of our business, and may discourage or delay a strategic transaction that our shareholders may consider favorable, including limiting our ability to use our equity to raise capital or fund acquisitions. Any payments required under these indemnity obligations could be significant and could materially adversely affect our business, results of operations and financial condition. See “Certain Relationships and Related Person Transactions — Agreements Between Us and MetLife — Tax Agreements — Tax Separation Agreement” included in the Form 10.</w:t>
      </w:r>
    </w:p>
    <w:p>
      <w:pPr>
        <w:spacing w:after="0" w:line="5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may be unable to achieve some or all of the benefits that we expect to achieve from the Separation and the cost of achieving such benefits may be more than we estimated</w:t>
      </w:r>
    </w:p>
    <w:p>
      <w:pPr>
        <w:spacing w:after="0" w:line="62" w:lineRule="exact"/>
        <w:rPr>
          <w:sz w:val="20"/>
          <w:szCs w:val="20"/>
          <w:color w:val="auto"/>
        </w:rPr>
      </w:pPr>
    </w:p>
    <w:p>
      <w:pPr>
        <w:jc w:val="both"/>
        <w:ind w:firstLine="324"/>
        <w:spacing w:after="0" w:line="288" w:lineRule="auto"/>
        <w:rPr>
          <w:sz w:val="20"/>
          <w:szCs w:val="20"/>
          <w:color w:val="auto"/>
        </w:rPr>
      </w:pPr>
      <w:r>
        <w:rPr>
          <w:rFonts w:ascii="Arial" w:cs="Arial" w:eastAsia="Arial" w:hAnsi="Arial"/>
          <w:sz w:val="16"/>
          <w:szCs w:val="16"/>
          <w:color w:val="auto"/>
        </w:rPr>
        <w:t>We believe that, as a separate, public company, we will be able to, among other matters, better focus our financial and operational resources on our specific business, growth profile and strategic priorities, design and implement corporate strategies and policies targeted to our operational focus and strategic priorities, streamline our processes and infrastructure to focus on our core manufacturing strengths, implement and maintain a capital structure designed to meet our specific needs and more effectively respond to industry dynamics. However, we may be unable to achieve some or all of these benefits. For example, in order to position ourselves for the Distribution, we undertook a series of strategic, structural and process realignment and restructuring actions within our operations, including significant cost-cutting initiatives. These actions may not provide the cost benefits we currently expect, may cost more to achieve than we have estimated, and could lead to disruption of our operations, loss of, or inability to recruit, key personnel needed to operate and grow our businesses following the Distribution. As a result, these actions could cause a weakening of our internal standards, controls or procedures and impairment of our key customer and supplier relationships. If we fail to achieve some or all of the benefits that we expect to achieve as a separate company, or do not achieve them in the time we expect, our business, financial condition and results of operations could be materially and adversely affected.</w:t>
      </w:r>
    </w:p>
    <w:p>
      <w:pPr>
        <w:spacing w:after="0" w:line="6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Certain of our directors and officers may have actual or potential conflicts of interest because of their MetLife equity ownership or their former MetLife positions</w:t>
      </w:r>
    </w:p>
    <w:p>
      <w:pPr>
        <w:spacing w:after="0" w:line="62"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Certain of the persons who currently are our executive officers and directors have been MetLife officers, directors or employees and, thus, will have professional relationships with MetLife’s executive officers, directors or employees. In addition, because of their former MetLife positions, certain of our directors and executive officers may own MetLife common stock, restricted stock or options to acquire shares of MetLife common stock, and, for some of these individuals, their individual holdings may be significant compared to their total assets. These relationships and financial interests may create, or may create the appearance of, conflicts of interest when these directors and officers are faced with decisions that could have different implications for MetLife and us. For example, potential conflicts of interest could arise in connection with the resolution of any dispute that may arise between MetLife and us regarding the terms of the agreements governing the Distribution and the Separation, and the relationship thereafter between the companies.</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Our Common Stock</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stock price may fluctuate significantly</w:t>
      </w:r>
    </w:p>
    <w:p>
      <w:pPr>
        <w:spacing w:after="0" w:line="11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We cannot predict the prices at which our common stock may trade. The market price of our common stock may fluctuate widely, depending on many factors, some of which may be beyond our control, including:</w:t>
      </w:r>
    </w:p>
    <w:p>
      <w:pPr>
        <w:spacing w:after="0" w:line="62" w:lineRule="exact"/>
        <w:rPr>
          <w:sz w:val="20"/>
          <w:szCs w:val="20"/>
          <w:color w:val="auto"/>
        </w:rPr>
      </w:pPr>
    </w:p>
    <w:p>
      <w:pPr>
        <w:ind w:left="880" w:hanging="440"/>
        <w:spacing w:after="0"/>
        <w:tabs>
          <w:tab w:leader="none" w:pos="880" w:val="left"/>
        </w:tabs>
        <w:numPr>
          <w:ilvl w:val="0"/>
          <w:numId w:val="93"/>
        </w:numPr>
        <w:rPr>
          <w:rFonts w:ascii="Arial" w:cs="Arial" w:eastAsia="Arial" w:hAnsi="Arial"/>
          <w:sz w:val="18"/>
          <w:szCs w:val="18"/>
          <w:color w:val="auto"/>
        </w:rPr>
      </w:pPr>
      <w:r>
        <w:rPr>
          <w:rFonts w:ascii="Arial" w:cs="Arial" w:eastAsia="Arial" w:hAnsi="Arial"/>
          <w:sz w:val="18"/>
          <w:szCs w:val="18"/>
          <w:color w:val="auto"/>
        </w:rPr>
        <w:t>actual or anticipated fluctuations in our operating results due to factors related to our business;</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93"/>
        </w:numPr>
        <w:rPr>
          <w:rFonts w:ascii="Arial" w:cs="Arial" w:eastAsia="Arial" w:hAnsi="Arial"/>
          <w:sz w:val="18"/>
          <w:szCs w:val="18"/>
          <w:color w:val="auto"/>
        </w:rPr>
      </w:pPr>
      <w:r>
        <w:rPr>
          <w:rFonts w:ascii="Arial" w:cs="Arial" w:eastAsia="Arial" w:hAnsi="Arial"/>
          <w:sz w:val="18"/>
          <w:szCs w:val="18"/>
          <w:color w:val="auto"/>
        </w:rPr>
        <w:t>success or failure of our business strategies;</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93"/>
        </w:numPr>
        <w:rPr>
          <w:rFonts w:ascii="Arial" w:cs="Arial" w:eastAsia="Arial" w:hAnsi="Arial"/>
          <w:sz w:val="18"/>
          <w:szCs w:val="18"/>
          <w:color w:val="auto"/>
        </w:rPr>
      </w:pPr>
      <w:r>
        <w:rPr>
          <w:rFonts w:ascii="Arial" w:cs="Arial" w:eastAsia="Arial" w:hAnsi="Arial"/>
          <w:sz w:val="18"/>
          <w:szCs w:val="18"/>
          <w:color w:val="auto"/>
        </w:rPr>
        <w:t>our quarterly or annual earnings, or those of other companies in our industry;</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93"/>
        </w:numPr>
        <w:rPr>
          <w:rFonts w:ascii="Arial" w:cs="Arial" w:eastAsia="Arial" w:hAnsi="Arial"/>
          <w:sz w:val="18"/>
          <w:szCs w:val="18"/>
          <w:color w:val="auto"/>
        </w:rPr>
      </w:pPr>
      <w:r>
        <w:rPr>
          <w:rFonts w:ascii="Arial" w:cs="Arial" w:eastAsia="Arial" w:hAnsi="Arial"/>
          <w:sz w:val="18"/>
          <w:szCs w:val="18"/>
          <w:color w:val="auto"/>
        </w:rPr>
        <w:t>our ability to obtain financing as needed;</w:t>
      </w:r>
    </w:p>
    <w:p>
      <w:pPr>
        <w:spacing w:after="0" w:line="117" w:lineRule="exact"/>
        <w:rPr>
          <w:rFonts w:ascii="Arial" w:cs="Arial" w:eastAsia="Arial" w:hAnsi="Arial"/>
          <w:sz w:val="18"/>
          <w:szCs w:val="18"/>
          <w:color w:val="auto"/>
        </w:rPr>
      </w:pPr>
    </w:p>
    <w:p>
      <w:pPr>
        <w:ind w:left="880" w:hanging="440"/>
        <w:spacing w:after="0" w:line="277" w:lineRule="auto"/>
        <w:tabs>
          <w:tab w:leader="none" w:pos="880" w:val="left"/>
        </w:tabs>
        <w:numPr>
          <w:ilvl w:val="0"/>
          <w:numId w:val="93"/>
        </w:numPr>
        <w:rPr>
          <w:rFonts w:ascii="Arial" w:cs="Arial" w:eastAsia="Arial" w:hAnsi="Arial"/>
          <w:sz w:val="18"/>
          <w:szCs w:val="18"/>
          <w:color w:val="auto"/>
        </w:rPr>
      </w:pPr>
      <w:r>
        <w:rPr>
          <w:rFonts w:ascii="Arial" w:cs="Arial" w:eastAsia="Arial" w:hAnsi="Arial"/>
          <w:sz w:val="18"/>
          <w:szCs w:val="18"/>
          <w:color w:val="auto"/>
        </w:rPr>
        <w:t>our announcements or our competitors’ announcements regarding new products or services, enhancements, significant contracts, acquisitions or strategic investments;</w:t>
      </w:r>
    </w:p>
    <w:p>
      <w:pPr>
        <w:spacing w:after="0" w:line="62" w:lineRule="exact"/>
        <w:rPr>
          <w:rFonts w:ascii="Arial" w:cs="Arial" w:eastAsia="Arial" w:hAnsi="Arial"/>
          <w:sz w:val="18"/>
          <w:szCs w:val="18"/>
          <w:color w:val="auto"/>
        </w:rPr>
      </w:pPr>
    </w:p>
    <w:p>
      <w:pPr>
        <w:ind w:left="880" w:hanging="440"/>
        <w:spacing w:after="0"/>
        <w:tabs>
          <w:tab w:leader="none" w:pos="880" w:val="left"/>
        </w:tabs>
        <w:numPr>
          <w:ilvl w:val="0"/>
          <w:numId w:val="93"/>
        </w:numPr>
        <w:rPr>
          <w:rFonts w:ascii="Arial" w:cs="Arial" w:eastAsia="Arial" w:hAnsi="Arial"/>
          <w:sz w:val="18"/>
          <w:szCs w:val="18"/>
          <w:color w:val="auto"/>
        </w:rPr>
      </w:pPr>
      <w:r>
        <w:rPr>
          <w:rFonts w:ascii="Arial" w:cs="Arial" w:eastAsia="Arial" w:hAnsi="Arial"/>
          <w:sz w:val="18"/>
          <w:szCs w:val="18"/>
          <w:color w:val="auto"/>
        </w:rPr>
        <w:t>changes in accounting standards, policies, guidance, interpretations or principles;</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93"/>
        </w:numPr>
        <w:rPr>
          <w:rFonts w:ascii="Arial" w:cs="Arial" w:eastAsia="Arial" w:hAnsi="Arial"/>
          <w:sz w:val="18"/>
          <w:szCs w:val="18"/>
          <w:color w:val="auto"/>
        </w:rPr>
      </w:pPr>
      <w:r>
        <w:rPr>
          <w:rFonts w:ascii="Arial" w:cs="Arial" w:eastAsia="Arial" w:hAnsi="Arial"/>
          <w:sz w:val="18"/>
          <w:szCs w:val="18"/>
          <w:color w:val="auto"/>
        </w:rPr>
        <w:t>the failure of securities analysts to cover our common stock;</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93"/>
        </w:numPr>
        <w:rPr>
          <w:rFonts w:ascii="Arial" w:cs="Arial" w:eastAsia="Arial" w:hAnsi="Arial"/>
          <w:sz w:val="18"/>
          <w:szCs w:val="18"/>
          <w:color w:val="auto"/>
        </w:rPr>
      </w:pPr>
      <w:r>
        <w:rPr>
          <w:rFonts w:ascii="Arial" w:cs="Arial" w:eastAsia="Arial" w:hAnsi="Arial"/>
          <w:sz w:val="18"/>
          <w:szCs w:val="18"/>
          <w:color w:val="auto"/>
        </w:rPr>
        <w:t>changes in earnings estimates by securities analysts;</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93"/>
        </w:numPr>
        <w:rPr>
          <w:rFonts w:ascii="Arial" w:cs="Arial" w:eastAsia="Arial" w:hAnsi="Arial"/>
          <w:sz w:val="18"/>
          <w:szCs w:val="18"/>
          <w:color w:val="auto"/>
        </w:rPr>
      </w:pPr>
      <w:r>
        <w:rPr>
          <w:rFonts w:ascii="Arial" w:cs="Arial" w:eastAsia="Arial" w:hAnsi="Arial"/>
          <w:sz w:val="18"/>
          <w:szCs w:val="18"/>
          <w:color w:val="auto"/>
        </w:rPr>
        <w:t>failure to meet any guidance given by us or any change in any guidance given by us, or changes by us to our guidance practices;</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93"/>
        </w:numPr>
        <w:rPr>
          <w:rFonts w:ascii="Arial" w:cs="Arial" w:eastAsia="Arial" w:hAnsi="Arial"/>
          <w:sz w:val="18"/>
          <w:szCs w:val="18"/>
          <w:color w:val="auto"/>
        </w:rPr>
      </w:pPr>
      <w:r>
        <w:rPr>
          <w:rFonts w:ascii="Arial" w:cs="Arial" w:eastAsia="Arial" w:hAnsi="Arial"/>
          <w:sz w:val="18"/>
          <w:szCs w:val="18"/>
          <w:color w:val="auto"/>
        </w:rPr>
        <w:t>the operating and stock price performance of other comparable companies;</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93"/>
        </w:numPr>
        <w:rPr>
          <w:rFonts w:ascii="Arial" w:cs="Arial" w:eastAsia="Arial" w:hAnsi="Arial"/>
          <w:sz w:val="18"/>
          <w:szCs w:val="18"/>
          <w:color w:val="auto"/>
        </w:rPr>
      </w:pPr>
      <w:r>
        <w:rPr>
          <w:rFonts w:ascii="Arial" w:cs="Arial" w:eastAsia="Arial" w:hAnsi="Arial"/>
          <w:sz w:val="18"/>
          <w:szCs w:val="18"/>
          <w:color w:val="auto"/>
        </w:rPr>
        <w:t>investor perception of our company and the insurance industry;</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167</w:t>
      </w:r>
    </w:p>
    <w:p>
      <w:pPr>
        <w:sectPr>
          <w:pgSz w:w="11900" w:h="16838" w:orient="portrait"/>
          <w:cols w:equalWidth="0" w:num="1">
            <w:col w:w="11420"/>
          </w:cols>
          <w:pgMar w:left="240" w:top="126" w:right="239" w:bottom="1440" w:gutter="0" w:footer="0" w:header="0"/>
        </w:sectPr>
      </w:pPr>
    </w:p>
    <w:bookmarkStart w:id="169" w:name="page170"/>
    <w:bookmarkEnd w:id="169"/>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880" w:hanging="440"/>
        <w:spacing w:after="0"/>
        <w:tabs>
          <w:tab w:leader="none" w:pos="880" w:val="left"/>
        </w:tabs>
        <w:numPr>
          <w:ilvl w:val="0"/>
          <w:numId w:val="94"/>
        </w:numPr>
        <w:rPr>
          <w:rFonts w:ascii="Arial" w:cs="Arial" w:eastAsia="Arial" w:hAnsi="Arial"/>
          <w:sz w:val="18"/>
          <w:szCs w:val="18"/>
          <w:color w:val="auto"/>
        </w:rPr>
      </w:pPr>
      <w:r>
        <w:rPr>
          <w:rFonts w:ascii="Arial" w:cs="Arial" w:eastAsia="Arial" w:hAnsi="Arial"/>
          <w:sz w:val="18"/>
          <w:szCs w:val="18"/>
          <w:color w:val="auto"/>
        </w:rPr>
        <w:t>speculation in the press or investment community;</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94"/>
        </w:numPr>
        <w:rPr>
          <w:rFonts w:ascii="Arial" w:cs="Arial" w:eastAsia="Arial" w:hAnsi="Arial"/>
          <w:sz w:val="18"/>
          <w:szCs w:val="18"/>
          <w:color w:val="auto"/>
        </w:rPr>
      </w:pPr>
      <w:r>
        <w:rPr>
          <w:rFonts w:ascii="Arial" w:cs="Arial" w:eastAsia="Arial" w:hAnsi="Arial"/>
          <w:sz w:val="18"/>
          <w:szCs w:val="18"/>
          <w:color w:val="auto"/>
        </w:rPr>
        <w:t>our business profile, dividend policy or market capitalization;</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94"/>
        </w:numPr>
        <w:rPr>
          <w:rFonts w:ascii="Arial" w:cs="Arial" w:eastAsia="Arial" w:hAnsi="Arial"/>
          <w:sz w:val="18"/>
          <w:szCs w:val="18"/>
          <w:color w:val="auto"/>
        </w:rPr>
      </w:pPr>
      <w:r>
        <w:rPr>
          <w:rFonts w:ascii="Arial" w:cs="Arial" w:eastAsia="Arial" w:hAnsi="Arial"/>
          <w:sz w:val="18"/>
          <w:szCs w:val="18"/>
          <w:color w:val="auto"/>
        </w:rPr>
        <w:t>actions by institutional stockholders and other large stockholders (including MetLife), including future sales of our common stock;</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94"/>
        </w:numPr>
        <w:rPr>
          <w:rFonts w:ascii="Arial" w:cs="Arial" w:eastAsia="Arial" w:hAnsi="Arial"/>
          <w:sz w:val="18"/>
          <w:szCs w:val="18"/>
          <w:color w:val="auto"/>
        </w:rPr>
      </w:pPr>
      <w:r>
        <w:rPr>
          <w:rFonts w:ascii="Arial" w:cs="Arial" w:eastAsia="Arial" w:hAnsi="Arial"/>
          <w:sz w:val="18"/>
          <w:szCs w:val="18"/>
          <w:color w:val="auto"/>
        </w:rPr>
        <w:t>overall market fluctuations;</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94"/>
        </w:numPr>
        <w:rPr>
          <w:rFonts w:ascii="Arial" w:cs="Arial" w:eastAsia="Arial" w:hAnsi="Arial"/>
          <w:sz w:val="18"/>
          <w:szCs w:val="18"/>
          <w:color w:val="auto"/>
        </w:rPr>
      </w:pPr>
      <w:r>
        <w:rPr>
          <w:rFonts w:ascii="Arial" w:cs="Arial" w:eastAsia="Arial" w:hAnsi="Arial"/>
          <w:sz w:val="18"/>
          <w:szCs w:val="18"/>
          <w:color w:val="auto"/>
        </w:rPr>
        <w:t>results from any material litigation or government investigation;</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94"/>
        </w:numPr>
        <w:rPr>
          <w:rFonts w:ascii="Arial" w:cs="Arial" w:eastAsia="Arial" w:hAnsi="Arial"/>
          <w:sz w:val="18"/>
          <w:szCs w:val="18"/>
          <w:color w:val="auto"/>
        </w:rPr>
      </w:pPr>
      <w:r>
        <w:rPr>
          <w:rFonts w:ascii="Arial" w:cs="Arial" w:eastAsia="Arial" w:hAnsi="Arial"/>
          <w:sz w:val="18"/>
          <w:szCs w:val="18"/>
          <w:color w:val="auto"/>
        </w:rPr>
        <w:t>changes in laws, rules and regulations, including insurance laws and regulations, affecting our business;</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94"/>
        </w:numPr>
        <w:rPr>
          <w:rFonts w:ascii="Arial" w:cs="Arial" w:eastAsia="Arial" w:hAnsi="Arial"/>
          <w:sz w:val="18"/>
          <w:szCs w:val="18"/>
          <w:color w:val="auto"/>
        </w:rPr>
      </w:pPr>
      <w:r>
        <w:rPr>
          <w:rFonts w:ascii="Arial" w:cs="Arial" w:eastAsia="Arial" w:hAnsi="Arial"/>
          <w:sz w:val="18"/>
          <w:szCs w:val="18"/>
          <w:color w:val="auto"/>
        </w:rPr>
        <w:t>changes in our customers’ preferences;</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94"/>
        </w:numPr>
        <w:rPr>
          <w:rFonts w:ascii="Arial" w:cs="Arial" w:eastAsia="Arial" w:hAnsi="Arial"/>
          <w:sz w:val="18"/>
          <w:szCs w:val="18"/>
          <w:color w:val="auto"/>
        </w:rPr>
      </w:pPr>
      <w:r>
        <w:rPr>
          <w:rFonts w:ascii="Arial" w:cs="Arial" w:eastAsia="Arial" w:hAnsi="Arial"/>
          <w:sz w:val="18"/>
          <w:szCs w:val="18"/>
          <w:color w:val="auto"/>
        </w:rPr>
        <w:t>changes in capital gains taxes and taxes on dividends affecting shareholders;</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94"/>
        </w:numPr>
        <w:rPr>
          <w:rFonts w:ascii="Arial" w:cs="Arial" w:eastAsia="Arial" w:hAnsi="Arial"/>
          <w:sz w:val="18"/>
          <w:szCs w:val="18"/>
          <w:color w:val="auto"/>
        </w:rPr>
      </w:pPr>
      <w:r>
        <w:rPr>
          <w:rFonts w:ascii="Arial" w:cs="Arial" w:eastAsia="Arial" w:hAnsi="Arial"/>
          <w:sz w:val="18"/>
          <w:szCs w:val="18"/>
          <w:color w:val="auto"/>
        </w:rPr>
        <w:t>epidemic disease, “Acts of God,” war and terrorist acts;</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94"/>
        </w:numPr>
        <w:rPr>
          <w:rFonts w:ascii="Arial" w:cs="Arial" w:eastAsia="Arial" w:hAnsi="Arial"/>
          <w:sz w:val="18"/>
          <w:szCs w:val="18"/>
          <w:color w:val="auto"/>
        </w:rPr>
      </w:pPr>
      <w:r>
        <w:rPr>
          <w:rFonts w:ascii="Arial" w:cs="Arial" w:eastAsia="Arial" w:hAnsi="Arial"/>
          <w:sz w:val="18"/>
          <w:szCs w:val="18"/>
          <w:color w:val="auto"/>
        </w:rPr>
        <w:t>additions or departures of key personnel; and</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94"/>
        </w:numPr>
        <w:rPr>
          <w:rFonts w:ascii="Arial" w:cs="Arial" w:eastAsia="Arial" w:hAnsi="Arial"/>
          <w:sz w:val="18"/>
          <w:szCs w:val="18"/>
          <w:color w:val="auto"/>
        </w:rPr>
      </w:pPr>
      <w:r>
        <w:rPr>
          <w:rFonts w:ascii="Arial" w:cs="Arial" w:eastAsia="Arial" w:hAnsi="Arial"/>
          <w:sz w:val="18"/>
          <w:szCs w:val="18"/>
          <w:color w:val="auto"/>
        </w:rPr>
        <w:t>general economic conditions and other external factors.</w:t>
      </w:r>
    </w:p>
    <w:p>
      <w:pPr>
        <w:spacing w:after="0" w:line="11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Stock markets in general have experienced volatility that has often been unrelated to the operating performance of a particular company. These broad market fluctuations could also adversely affect the trading price of our common stock.</w:t>
      </w:r>
    </w:p>
    <w:p>
      <w:pPr>
        <w:spacing w:after="0" w:line="6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do not anticipate declaring or paying regular dividends on our common stock in the near term, and our indebtedness could limit our ability to pay dividends on our common stock</w:t>
      </w:r>
    </w:p>
    <w:p>
      <w:pPr>
        <w:spacing w:after="0" w:line="62"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We do not currently anticipate declaring or paying regular cash dividends on our common stock in the near term. We currently intend to use our future earnings, if any, to pay debt obligations, to fund our growth, to develop our business, for working capital needs and for general corporate purposes. Therefore, you are not likely to receive any dividends on your common stock in the near term, and the success of an investment in shares of our common stock will depend upon any future appreciation in their value. There is no guarantee that shares of our common stock will appreciate in value or even maintain the price at which the shares currently trade. Any future declaration and payment of dividends or other distributions of capital will be at the discretion of our Board of Directors and the payment of any future dividends or other distributions of capital will depend on many factors, including our financial condition, earnings, cash needs, regulatory constraints, capital requirements (including requirements of our subsidiaries) and any other factors that our Board of Directors deems relevant in making such a determination. In addition, the terms of the agreements governing the debt we incurred, or debt that we may incur, may limit or prohibit the payment of dividends. For more information, see “Dividend Policy” included in the Form 10. There can be no assurance that we will establish a dividend policy or pay dividends in the future or continue to pay any dividend if we do commence paying dividends pursuant to a dividend policy or otherwise.</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Any future sales by us or our existing stockholders may cause our stock price to decline</w:t>
      </w:r>
    </w:p>
    <w:p>
      <w:pPr>
        <w:spacing w:after="0" w:line="117"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Any transfer or sales of substantial amounts of our common stock in the public market or the perception that such transfer or sales might occur may cause the market price of our common stock to decline. As of November 8, 2017, we had an aggregate of 119,773,106 shares of our common stock issued and outstanding. Shares will generally be freely tradeable without restriction or further registration under the Securities Act, except for shares owned by one of our “affiliates,” as that term is defined in Rule 405 under the Securities Act. Shares held by “affiliates” may be sold in the public market if registered or if they qualify for an exemption from registration under Rule 144. Further, we plan to file one or more registration statements to cover the shares issuable under our equity-based benefit plans</w:t>
      </w:r>
    </w:p>
    <w:p>
      <w:pPr>
        <w:spacing w:after="0" w:line="8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MetLife beneficially owns 23,154,101 shares of our common stock. MetLife has announced that, subject to market conditions and regulatory approval, it currently intends to divest of this remaining ownership interest through an exchange offer for MetLife common stock during 2018. Any disposition by MetLife of our common stock in the public market in one or more offerings or the perception that such dispositions could occur, could adversely affect prevailing market prices for our common stock.</w:t>
      </w:r>
    </w:p>
    <w:p>
      <w:pPr>
        <w:spacing w:after="0" w:line="79"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We also have a large shareholder base of former MetLife policyholder trust beneficiaries, and it is not possible to predict whether or not those shareholders will wish to sell their shares of our common stock. The sales of significant amounts of shares our common stock or the perception in the market that this will occur may result in the lowering of the market price of our common stock.</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168</w:t>
      </w:r>
    </w:p>
    <w:p>
      <w:pPr>
        <w:sectPr>
          <w:pgSz w:w="11900" w:h="16838" w:orient="portrait"/>
          <w:cols w:equalWidth="0" w:num="1">
            <w:col w:w="11420"/>
          </w:cols>
          <w:pgMar w:left="240" w:top="126" w:right="239" w:bottom="1440" w:gutter="0" w:footer="0" w:header="0"/>
        </w:sectPr>
      </w:pPr>
    </w:p>
    <w:bookmarkStart w:id="170" w:name="page171"/>
    <w:bookmarkEnd w:id="170"/>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Our amended and restated certificate of incorporation designates the Court of Chancery of the State of Delaware as the sole and exclusive forum for certain litigation that may be initiated by our stockholders, which could limit our stockholders’ ability to obtain a favorable judicial forum for disputes with us or our current or former directors, officers or stockholders</w:t>
      </w:r>
    </w:p>
    <w:p>
      <w:pPr>
        <w:spacing w:after="0" w:line="73"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Our amended and restated certificate of incorporation provides that, unless we consent in writing to the selection of an alternative forum, the Court of Chancery of the State of Delaware is the sole and exclusive forum for any (i) derivative action or proceeding brought on our behalf, (ii) action asserting a claim of breach of a fiduciary duty owed to us or our stockholders by any of our current or former directors, officers or stockholders, (iii) action asserting a claim arising out of or pursuant to the Delaware General Corporation Law (the “DGCL”) or our amended and restated certificate of incorporation or our amended and restated bylaws, or as to which the DGCL confers jurisdiction on the Court of Chancery of the State of Delaware or (iv) action asserting a claim governed by the internal affairs doctrine. By becoming a stockholder in our company, you will be deemed to have notice of and have consented to the provisions of our amended and restated certificate of incorporation related to choice of forum. The choice of forum provision in our amended and restated certificate of incorporation may limit our stockholders’ ability to bring a claim in a judicial forum that they find favorable for disputes with us or any of our current or former directors, officers or stockholders, which may discourage lawsuits with respect to such claims. Alternatively, if a court were to find the choice of forum provision contained in our amended and restated certificate of incorporation to be inapplicable or unenforceable in an action, we may incur additional costs associated with resolving such action in other jurisdictions, which could materially and adversely affect our results of operations and financial condition.</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Your percentage ownership in Brighthouse may be diluted in the future</w:t>
      </w:r>
    </w:p>
    <w:p>
      <w:pPr>
        <w:spacing w:after="0" w:line="117"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Your percentage ownership in Brighthouse may be diluted in the future because of equity awards that we expect to grant to our directors, officers and employees. We have adopted, subject to shareholder approval, equity incentive plans that will permit the grant of common stock-based equity awards to our directors, officers and other employees. In addition, we may issue equity as all or part of the consideration paid for acquisitions and strategic investments we may make in the future or for currently unanticipated future development or unforeseen circumstances, given uncertainties related to our business.</w:t>
      </w:r>
    </w:p>
    <w:p>
      <w:pPr>
        <w:spacing w:after="0" w:line="46"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State insurance laws and Delaware corporate law may prevent or delay an acquisition of us, which could decrease the trading price of our common stock</w:t>
      </w:r>
    </w:p>
    <w:p>
      <w:pPr>
        <w:spacing w:after="0" w:line="152"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State laws may delay, deter, prevent or render more difficult a takeover attempt that our stockholders might consider in their best interests. For example, such laws may prevent our stockholders from receiving the benefit from any premium to the market price of our common stock offered by a bidder in a takeover context.</w:t>
      </w:r>
    </w:p>
    <w:p>
      <w:pPr>
        <w:spacing w:after="0" w:line="73"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The insurance laws and regulations of the various states in which our insurance subsidiaries are organized may delay or impede a business combination involving the Company. State insurance laws prohibit an entity from acquiring control of an insurance company without the prior approval of the domestic insurance regulator. Under most states’ statutes, an entity is presumed to have control of an insurance company if it owns, directly or indirectly, 10% or more of the voting stock of that insurance company or its parent company. These regulatory restrictions may delay, deter or prevent a potential merger or sale of our company, even if the Brighthouse Board decides that it is in the best interests of stockholders for us to merge or be sold. These restrictions also may delay sales by us or acquisitions by third parties of our insurance subsidiaries. In addition, the Investment Company Act of 1940, as amended (the “Investment Company Act”), may require approval by the contract owners of our variable contracts in order to effectuate a change of control of any affiliated investment advisor to a mutual fund underlying our variable contracts, including Brighthouse Investment Advisers, LLC, formerly known as MetLife Advisers LLC. Further, FINRA approval would be necessary for a change of control of any broker-dealer that is a direct or indirect subsidiary of Brighthouse.</w:t>
      </w:r>
    </w:p>
    <w:p>
      <w:pPr>
        <w:spacing w:after="0" w:line="59"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Section 203 of the DGCL may affect the ability of an “interested stockholder” to engage in certain business combinations, including, among other things, mergers, consolidations or acquisitions of additional shares of our capital stock, for a period of three years following the time that the stockholder becomes an “interested stockholder.” An “interested stockholder” is defined to include persons who, together with affiliates, own, or did own within three years prior to the determination of interested stockholder status, 15% or more of the outstanding voting stock of a corporation.</w:t>
      </w:r>
    </w:p>
    <w:p>
      <w:pPr>
        <w:spacing w:after="0" w:line="6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Certain provisions in our amended and restated certificate of incorporation and amended and restated bylaws may prevent or delay an acquisition of us, which could decrease the trading price of our common stock</w:t>
      </w:r>
    </w:p>
    <w:p>
      <w:pPr>
        <w:spacing w:after="0" w:line="62"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Our amended and restated certificate of incorporation and amended and restated bylaws contain provisions that are intended to deter coercive takeover practices and inadequate takeover bids to encourage prospective acquirers to negotiate with our Board of Directors rather than to attempt a hostile takeover. These provisions include, among others:</w:t>
      </w:r>
    </w:p>
    <w:p>
      <w:pPr>
        <w:spacing w:after="0" w:line="73" w:lineRule="exact"/>
        <w:rPr>
          <w:sz w:val="20"/>
          <w:szCs w:val="20"/>
          <w:color w:val="auto"/>
        </w:rPr>
      </w:pPr>
    </w:p>
    <w:p>
      <w:pPr>
        <w:ind w:left="880" w:hanging="440"/>
        <w:spacing w:after="0"/>
        <w:tabs>
          <w:tab w:leader="none" w:pos="880" w:val="left"/>
        </w:tabs>
        <w:numPr>
          <w:ilvl w:val="0"/>
          <w:numId w:val="95"/>
        </w:numPr>
        <w:rPr>
          <w:rFonts w:ascii="Arial" w:cs="Arial" w:eastAsia="Arial" w:hAnsi="Arial"/>
          <w:sz w:val="18"/>
          <w:szCs w:val="18"/>
          <w:color w:val="auto"/>
        </w:rPr>
      </w:pPr>
      <w:r>
        <w:rPr>
          <w:rFonts w:ascii="Arial" w:cs="Arial" w:eastAsia="Arial" w:hAnsi="Arial"/>
          <w:sz w:val="18"/>
          <w:szCs w:val="18"/>
          <w:color w:val="auto"/>
        </w:rPr>
        <w:t>the inability of our stockholders to act by written consent;</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95"/>
        </w:numPr>
        <w:rPr>
          <w:rFonts w:ascii="Arial" w:cs="Arial" w:eastAsia="Arial" w:hAnsi="Arial"/>
          <w:sz w:val="18"/>
          <w:szCs w:val="18"/>
          <w:color w:val="auto"/>
        </w:rPr>
      </w:pPr>
      <w:r>
        <w:rPr>
          <w:rFonts w:ascii="Arial" w:cs="Arial" w:eastAsia="Arial" w:hAnsi="Arial"/>
          <w:sz w:val="18"/>
          <w:szCs w:val="18"/>
          <w:color w:val="auto"/>
        </w:rPr>
        <w:t>rules regarding how stockholders may present proposals or nominate directors for election at stockholder meetings;</w:t>
      </w:r>
    </w:p>
    <w:p>
      <w:pPr>
        <w:spacing w:after="0" w:line="117" w:lineRule="exact"/>
        <w:rPr>
          <w:rFonts w:ascii="Arial" w:cs="Arial" w:eastAsia="Arial" w:hAnsi="Arial"/>
          <w:sz w:val="18"/>
          <w:szCs w:val="18"/>
          <w:color w:val="auto"/>
        </w:rPr>
      </w:pPr>
    </w:p>
    <w:p>
      <w:pPr>
        <w:ind w:left="880" w:hanging="440"/>
        <w:spacing w:after="0"/>
        <w:tabs>
          <w:tab w:leader="none" w:pos="880" w:val="left"/>
        </w:tabs>
        <w:numPr>
          <w:ilvl w:val="0"/>
          <w:numId w:val="95"/>
        </w:numPr>
        <w:rPr>
          <w:rFonts w:ascii="Arial" w:cs="Arial" w:eastAsia="Arial" w:hAnsi="Arial"/>
          <w:sz w:val="18"/>
          <w:szCs w:val="18"/>
          <w:color w:val="auto"/>
        </w:rPr>
      </w:pPr>
      <w:r>
        <w:rPr>
          <w:rFonts w:ascii="Arial" w:cs="Arial" w:eastAsia="Arial" w:hAnsi="Arial"/>
          <w:sz w:val="18"/>
          <w:szCs w:val="18"/>
          <w:color w:val="auto"/>
        </w:rPr>
        <w:t>the right of our Board to issue preferred stock without stockholder approval;</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169</w:t>
      </w:r>
    </w:p>
    <w:p>
      <w:pPr>
        <w:sectPr>
          <w:pgSz w:w="11900" w:h="16838" w:orient="portrait"/>
          <w:cols w:equalWidth="0" w:num="1">
            <w:col w:w="11420"/>
          </w:cols>
          <w:pgMar w:left="240" w:top="126" w:right="239" w:bottom="1440" w:gutter="0" w:footer="0" w:header="0"/>
        </w:sectPr>
      </w:pPr>
    </w:p>
    <w:bookmarkStart w:id="171" w:name="page172"/>
    <w:bookmarkEnd w:id="171"/>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880" w:hanging="440"/>
        <w:spacing w:after="0"/>
        <w:tabs>
          <w:tab w:leader="none" w:pos="880" w:val="left"/>
        </w:tabs>
        <w:numPr>
          <w:ilvl w:val="0"/>
          <w:numId w:val="96"/>
        </w:numPr>
        <w:rPr>
          <w:rFonts w:ascii="Arial" w:cs="Arial" w:eastAsia="Arial" w:hAnsi="Arial"/>
          <w:sz w:val="18"/>
          <w:szCs w:val="18"/>
          <w:color w:val="auto"/>
        </w:rPr>
      </w:pPr>
      <w:r>
        <w:rPr>
          <w:rFonts w:ascii="Arial" w:cs="Arial" w:eastAsia="Arial" w:hAnsi="Arial"/>
          <w:sz w:val="18"/>
          <w:szCs w:val="18"/>
          <w:color w:val="auto"/>
        </w:rPr>
        <w:t>the ability of our remaining directors to fill vacancies and newly created directorships on our Board;</w:t>
      </w:r>
    </w:p>
    <w:p>
      <w:pPr>
        <w:spacing w:after="0" w:line="117" w:lineRule="exact"/>
        <w:rPr>
          <w:rFonts w:ascii="Arial" w:cs="Arial" w:eastAsia="Arial" w:hAnsi="Arial"/>
          <w:sz w:val="18"/>
          <w:szCs w:val="18"/>
          <w:color w:val="auto"/>
        </w:rPr>
      </w:pPr>
    </w:p>
    <w:p>
      <w:pPr>
        <w:ind w:left="880" w:right="20" w:hanging="440"/>
        <w:spacing w:after="0" w:line="277" w:lineRule="auto"/>
        <w:tabs>
          <w:tab w:leader="none" w:pos="880" w:val="left"/>
        </w:tabs>
        <w:numPr>
          <w:ilvl w:val="0"/>
          <w:numId w:val="96"/>
        </w:numPr>
        <w:rPr>
          <w:rFonts w:ascii="Arial" w:cs="Arial" w:eastAsia="Arial" w:hAnsi="Arial"/>
          <w:sz w:val="18"/>
          <w:szCs w:val="18"/>
          <w:color w:val="auto"/>
        </w:rPr>
      </w:pPr>
      <w:r>
        <w:rPr>
          <w:rFonts w:ascii="Arial" w:cs="Arial" w:eastAsia="Arial" w:hAnsi="Arial"/>
          <w:sz w:val="18"/>
          <w:szCs w:val="18"/>
          <w:color w:val="auto"/>
        </w:rPr>
        <w:t>the division of our Board into classes of directors until such times as all directors are elected annually commencing at the Company’s 2020 annual meeting of stockholders;</w:t>
      </w:r>
    </w:p>
    <w:p>
      <w:pPr>
        <w:spacing w:after="0" w:line="62" w:lineRule="exact"/>
        <w:rPr>
          <w:rFonts w:ascii="Arial" w:cs="Arial" w:eastAsia="Arial" w:hAnsi="Arial"/>
          <w:sz w:val="18"/>
          <w:szCs w:val="18"/>
          <w:color w:val="auto"/>
        </w:rPr>
      </w:pPr>
    </w:p>
    <w:p>
      <w:pPr>
        <w:ind w:left="880" w:hanging="440"/>
        <w:spacing w:after="0"/>
        <w:tabs>
          <w:tab w:leader="none" w:pos="880" w:val="left"/>
        </w:tabs>
        <w:numPr>
          <w:ilvl w:val="0"/>
          <w:numId w:val="96"/>
        </w:numPr>
        <w:rPr>
          <w:rFonts w:ascii="Arial" w:cs="Arial" w:eastAsia="Arial" w:hAnsi="Arial"/>
          <w:sz w:val="18"/>
          <w:szCs w:val="18"/>
          <w:color w:val="auto"/>
        </w:rPr>
      </w:pPr>
      <w:r>
        <w:rPr>
          <w:rFonts w:ascii="Arial" w:cs="Arial" w:eastAsia="Arial" w:hAnsi="Arial"/>
          <w:sz w:val="18"/>
          <w:szCs w:val="18"/>
          <w:color w:val="auto"/>
        </w:rPr>
        <w:t>the inability of our stockholders to remove directors other than for cause while the Board is classified; and</w:t>
      </w:r>
    </w:p>
    <w:p>
      <w:pPr>
        <w:spacing w:after="0" w:line="117" w:lineRule="exact"/>
        <w:rPr>
          <w:rFonts w:ascii="Arial" w:cs="Arial" w:eastAsia="Arial" w:hAnsi="Arial"/>
          <w:sz w:val="18"/>
          <w:szCs w:val="18"/>
          <w:color w:val="auto"/>
        </w:rPr>
      </w:pPr>
    </w:p>
    <w:p>
      <w:pPr>
        <w:ind w:left="880" w:hanging="440"/>
        <w:spacing w:after="0" w:line="277" w:lineRule="auto"/>
        <w:tabs>
          <w:tab w:leader="none" w:pos="880" w:val="left"/>
        </w:tabs>
        <w:numPr>
          <w:ilvl w:val="0"/>
          <w:numId w:val="96"/>
        </w:numPr>
        <w:rPr>
          <w:rFonts w:ascii="Arial" w:cs="Arial" w:eastAsia="Arial" w:hAnsi="Arial"/>
          <w:sz w:val="18"/>
          <w:szCs w:val="18"/>
          <w:color w:val="auto"/>
        </w:rPr>
      </w:pPr>
      <w:r>
        <w:rPr>
          <w:rFonts w:ascii="Arial" w:cs="Arial" w:eastAsia="Arial" w:hAnsi="Arial"/>
          <w:sz w:val="18"/>
          <w:szCs w:val="18"/>
          <w:color w:val="auto"/>
        </w:rPr>
        <w:t>the requirement that the affirmative vote of holders of at least two-thirds of our outstanding voting stock is required to amend certain provisions of our amended and restated certificate of incorporation and to amend our amended and restated bylaws.</w:t>
      </w:r>
    </w:p>
    <w:p>
      <w:pPr>
        <w:spacing w:after="0" w:line="62"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These provisions are not intended to make us immune from takeovers. However, these provisions will apply even if the offer may be considered beneficial by some stockholders and could delay or prevent an acquisition that our Board determines is not in the best interests of Brighthouse and our stockholders. These provisions may also prevent or discourage attempts to remove and replace incumbent directors. For additional tax considerations, see “— We have agreed to numerous restrictions to preserve the non-recognition treatment of the transactions, which may reduce our strategic and operating flexibility.”</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Not applicable</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Not applicable.</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2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b w:val="1"/>
          <w:bCs w:val="1"/>
          <w:i w:val="1"/>
          <w:iCs w:val="1"/>
          <w:color w:val="auto"/>
        </w:rPr>
        <w:t xml:space="preserve">Stockholder Proposals for Inclusion in the Proxy Statement. </w:t>
      </w:r>
      <w:r>
        <w:rPr>
          <w:rFonts w:ascii="Arial" w:cs="Arial" w:eastAsia="Arial" w:hAnsi="Arial"/>
          <w:sz w:val="18"/>
          <w:szCs w:val="18"/>
          <w:color w:val="auto"/>
        </w:rPr>
        <w:t>Any stockholder who desires to submit a proposal for consideration at the 2018 annual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meeting of stockholders and wishes to have such proposal included in our proxy statement and proxy card for that meeting must deliver such proposal to our principal executive offices in Charlotte, North Carolina on or before the close of business on January 2, 2018. Proposals should be sent to: Corporate Secretary, c/o Brighthouse Financial, Inc., 11225 North Community House Road, Charlotte, North Carolina 28277 and must comply with SEC rules and the terms of our amended and restated bylaws.</w:t>
      </w:r>
    </w:p>
    <w:p>
      <w:pPr>
        <w:spacing w:after="0" w:line="80"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b w:val="1"/>
          <w:bCs w:val="1"/>
          <w:i w:val="1"/>
          <w:iCs w:val="1"/>
          <w:color w:val="auto"/>
        </w:rPr>
        <w:t xml:space="preserve">Stockholder Nominations of Persons for Election to the Board of Directors and Proposals of Other Business. </w:t>
      </w:r>
      <w:r>
        <w:rPr>
          <w:rFonts w:ascii="Arial" w:cs="Arial" w:eastAsia="Arial" w:hAnsi="Arial"/>
          <w:sz w:val="16"/>
          <w:szCs w:val="16"/>
          <w:color w:val="auto"/>
        </w:rPr>
        <w:t>Any stockholder who desires to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nominate an individual for our board of directors or propose other business for consideration at the 2018 annual meeting of stockholders (but not have such nomination or proposal included in our proxy statement and proxy card for that meeting) must submit the nomination or proposal in writing to: Corporate Secretary, c/o Brighthouse Financial, Inc., 11225 North Community House Road, Charlotte, North Carolina 28277 not less than 90 and no more than 120 days prior to the first anniversary of the previous year’s annual meeting, which our amended and restated bylaws deem to have occurred on May 1, 2017. For the 2018 annual meeting of stockholders, the Corporate Secretary must receive this notice after the close of business on January 1, 2018, and before the close of business on January 31, 2018. All stockholder nominations and proposals must comply with SEC rules and the terms of our amended and restated bylaws.</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170</w:t>
      </w:r>
    </w:p>
    <w:p>
      <w:pPr>
        <w:sectPr>
          <w:pgSz w:w="11900" w:h="16838" w:orient="portrait"/>
          <w:cols w:equalWidth="0" w:num="1">
            <w:col w:w="11420"/>
          </w:cols>
          <w:pgMar w:left="240" w:top="126" w:right="239" w:bottom="1440" w:gutter="0" w:footer="0" w:header="0"/>
        </w:sectPr>
      </w:pPr>
    </w:p>
    <w:bookmarkStart w:id="172" w:name="page173"/>
    <w:bookmarkEnd w:id="172"/>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121"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b w:val="1"/>
          <w:bCs w:val="1"/>
          <w:i w:val="1"/>
          <w:iCs w:val="1"/>
          <w:color w:val="auto"/>
        </w:rPr>
        <w:t xml:space="preserve">(Note Regarding Reliance on Statements in Our Contracts: </w:t>
      </w:r>
      <w:r>
        <w:rPr>
          <w:rFonts w:ascii="Arial" w:cs="Arial" w:eastAsia="Arial" w:hAnsi="Arial"/>
          <w:sz w:val="16"/>
          <w:szCs w:val="16"/>
          <w:i w:val="1"/>
          <w:iCs w:val="1"/>
          <w:color w:val="auto"/>
        </w:rPr>
        <w:t>In reviewing the agreements included as exhibits to this Quarterly Report on Form 10-Q,</w:t>
      </w:r>
      <w:r>
        <w:rPr>
          <w:rFonts w:ascii="Arial" w:cs="Arial" w:eastAsia="Arial" w:hAnsi="Arial"/>
          <w:sz w:val="16"/>
          <w:szCs w:val="16"/>
          <w:b w:val="1"/>
          <w:bCs w:val="1"/>
          <w:i w:val="1"/>
          <w:iCs w:val="1"/>
          <w:color w:val="auto"/>
        </w:rPr>
        <w:t xml:space="preserve"> </w:t>
      </w:r>
      <w:r>
        <w:rPr>
          <w:rFonts w:ascii="Arial" w:cs="Arial" w:eastAsia="Arial" w:hAnsi="Arial"/>
          <w:sz w:val="16"/>
          <w:szCs w:val="16"/>
          <w:i w:val="1"/>
          <w:iCs w:val="1"/>
          <w:color w:val="auto"/>
        </w:rPr>
        <w:t>please remember that they are included to provide you with information regarding their terms and are not intended to provide any other factual or disclosure information about Brighthouse Financial, Inc. and its subsidiaries or affiliates, or the other parties to the agreements. The agreements contain representations and warranties by each of the parties to the applicable agreement. These representations and warranties have been made solely for the benefit of the other parties to the applicable agreement and (i) should not in all instances be treated as categorical statements of fact, but rather as a way of allocating the risk to one of the parties if those statements prove to be inaccurate; (ii) have been qualified by disclosures that were made to the other party in connection with the negotiation of the applicable agreement, which disclosures are not necessarily reflected in the agreement; (iii) may apply standards of materiality in a way that is different from what may be viewed as material to investors; and (iv) were made only at the date of the applicable agreement or such other date or dates as may be specified in the agreement and are subject to more recent developments. Accordingly, these representations and warranties may not describe the actual state of affairs at the date they were made or at any other time. Additional information about Brighthouse Financial, Inc. and its subsidiaries and affiliates may be found elsewhere in this Quarterly Report on Form 10-Q and Brighthouse Financial, Inc.’s other public filings, which are available without charge through the U.S. Securities and Exchange Commission website at www.sec.gov.)</w:t>
      </w: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171</w:t>
      </w:r>
    </w:p>
    <w:p>
      <w:pPr>
        <w:sectPr>
          <w:pgSz w:w="11900" w:h="16838" w:orient="portrait"/>
          <w:cols w:equalWidth="0" w:num="1">
            <w:col w:w="11420"/>
          </w:cols>
          <w:pgMar w:left="240" w:top="126" w:right="239" w:bottom="1440" w:gutter="0" w:footer="0" w:header="0"/>
        </w:sectPr>
      </w:pPr>
    </w:p>
    <w:bookmarkStart w:id="173" w:name="page174"/>
    <w:bookmarkEnd w:id="173"/>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6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8"/>
              </w:rPr>
              <w:t>Exhibit</w:t>
            </w:r>
          </w:p>
        </w:tc>
        <w:tc>
          <w:tcPr>
            <w:tcW w:w="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280" w:type="dxa"/>
            <w:vAlign w:val="bottom"/>
            <w:gridSpan w:val="25"/>
            <w:vMerge w:val="restart"/>
          </w:tcPr>
          <w:p>
            <w:pPr>
              <w:ind w:left="2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92"/>
        </w:trPr>
        <w:tc>
          <w:tcPr>
            <w:tcW w:w="16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8"/>
              </w:rPr>
              <w:t>No.</w:t>
            </w:r>
          </w:p>
        </w:tc>
        <w:tc>
          <w:tcPr>
            <w:tcW w:w="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5280" w:type="dxa"/>
            <w:vAlign w:val="bottom"/>
            <w:gridSpan w:val="25"/>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1260" w:type="dxa"/>
            <w:vAlign w:val="bottom"/>
            <w:tcBorders>
              <w:top w:val="single" w:sz="8" w:color="auto"/>
            </w:tcBorders>
          </w:tcPr>
          <w:p>
            <w:pPr>
              <w:jc w:val="center"/>
              <w:spacing w:after="0" w:line="202" w:lineRule="exact"/>
              <w:rPr>
                <w:sz w:val="20"/>
                <w:szCs w:val="20"/>
                <w:color w:val="auto"/>
              </w:rPr>
            </w:pPr>
            <w:r>
              <w:rPr>
                <w:rFonts w:ascii="Arial" w:cs="Arial" w:eastAsia="Arial" w:hAnsi="Arial"/>
                <w:sz w:val="18"/>
                <w:szCs w:val="18"/>
                <w:color w:val="auto"/>
                <w:w w:val="87"/>
              </w:rPr>
              <w:t>2.1</w:t>
            </w:r>
          </w:p>
        </w:tc>
        <w:tc>
          <w:tcPr>
            <w:tcW w:w="360" w:type="dxa"/>
            <w:vAlign w:val="bottom"/>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9740" w:type="dxa"/>
            <w:vAlign w:val="bottom"/>
            <w:tcBorders>
              <w:top w:val="single" w:sz="8" w:color="auto"/>
              <w:bottom w:val="single" w:sz="8" w:color="0000EE"/>
            </w:tcBorders>
            <w:gridSpan w:val="29"/>
          </w:tcPr>
          <w:p>
            <w:pPr>
              <w:spacing w:after="0" w:line="202" w:lineRule="exact"/>
              <w:rPr>
                <w:rFonts w:ascii="Arial" w:cs="Arial" w:eastAsia="Arial" w:hAnsi="Arial"/>
                <w:sz w:val="18"/>
                <w:szCs w:val="18"/>
                <w:color w:val="0000EE"/>
                <w:w w:val="90"/>
              </w:rPr>
            </w:pPr>
            <w:hyperlink r:id="rId107">
              <w:r>
                <w:rPr>
                  <w:rFonts w:ascii="Arial" w:cs="Arial" w:eastAsia="Arial" w:hAnsi="Arial"/>
                  <w:sz w:val="18"/>
                  <w:szCs w:val="18"/>
                  <w:color w:val="0000EE"/>
                  <w:w w:val="90"/>
                </w:rPr>
                <w:t>Master Separation Agreement dated as of August 4, 2017 by and between MetLife, Inc. and Brighthouse Financial, Inc. is incorporated</w:t>
              </w:r>
            </w:hyperlink>
          </w:p>
        </w:tc>
        <w:tc>
          <w:tcPr>
            <w:tcW w:w="4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860" w:type="dxa"/>
            <w:vAlign w:val="bottom"/>
            <w:tcBorders>
              <w:bottom w:val="single" w:sz="8" w:color="0000EE"/>
            </w:tcBorders>
            <w:gridSpan w:val="10"/>
          </w:tcPr>
          <w:p>
            <w:pPr>
              <w:spacing w:after="0" w:line="196" w:lineRule="exact"/>
              <w:rPr>
                <w:rFonts w:ascii="Arial" w:cs="Arial" w:eastAsia="Arial" w:hAnsi="Arial"/>
                <w:sz w:val="18"/>
                <w:szCs w:val="18"/>
                <w:color w:val="0000EE"/>
                <w:w w:val="91"/>
              </w:rPr>
            </w:pPr>
            <w:hyperlink r:id="rId107">
              <w:r>
                <w:rPr>
                  <w:rFonts w:ascii="Arial" w:cs="Arial" w:eastAsia="Arial" w:hAnsi="Arial"/>
                  <w:sz w:val="18"/>
                  <w:szCs w:val="18"/>
                  <w:color w:val="0000EE"/>
                  <w:w w:val="91"/>
                </w:rPr>
                <w:t>by reference to our Current Report on Form 8-K filed on August 9, 2017 (File No. 001-37905).</w:t>
              </w:r>
            </w:hyperlink>
          </w:p>
        </w:tc>
        <w:tc>
          <w:tcPr>
            <w:tcW w:w="2920" w:type="dxa"/>
            <w:vAlign w:val="bottom"/>
            <w:gridSpan w:val="20"/>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1260" w:type="dxa"/>
            <w:vAlign w:val="bottom"/>
          </w:tcPr>
          <w:p>
            <w:pPr>
              <w:jc w:val="center"/>
              <w:spacing w:after="0"/>
              <w:rPr>
                <w:sz w:val="20"/>
                <w:szCs w:val="20"/>
                <w:color w:val="auto"/>
              </w:rPr>
            </w:pPr>
            <w:r>
              <w:rPr>
                <w:rFonts w:ascii="Arial" w:cs="Arial" w:eastAsia="Arial" w:hAnsi="Arial"/>
                <w:sz w:val="18"/>
                <w:szCs w:val="18"/>
                <w:color w:val="auto"/>
                <w:w w:val="87"/>
              </w:rPr>
              <w:t>3.1</w:t>
            </w:r>
          </w:p>
        </w:tc>
        <w:tc>
          <w:tcPr>
            <w:tcW w:w="3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700" w:type="dxa"/>
            <w:vAlign w:val="bottom"/>
            <w:tcBorders>
              <w:bottom w:val="single" w:sz="8" w:color="0000EE"/>
            </w:tcBorders>
            <w:gridSpan w:val="27"/>
          </w:tcPr>
          <w:p>
            <w:pPr>
              <w:spacing w:after="0"/>
              <w:rPr>
                <w:rFonts w:ascii="Arial" w:cs="Arial" w:eastAsia="Arial" w:hAnsi="Arial"/>
                <w:sz w:val="18"/>
                <w:szCs w:val="18"/>
                <w:color w:val="0000EE"/>
                <w:w w:val="91"/>
              </w:rPr>
            </w:pPr>
            <w:hyperlink r:id="rId108">
              <w:r>
                <w:rPr>
                  <w:rFonts w:ascii="Arial" w:cs="Arial" w:eastAsia="Arial" w:hAnsi="Arial"/>
                  <w:sz w:val="18"/>
                  <w:szCs w:val="18"/>
                  <w:color w:val="0000EE"/>
                  <w:w w:val="91"/>
                </w:rPr>
                <w:t>Amended and Restated Certificate of Incorporation of Brighthouse Financial, Inc. is incorporated by reference to our Quarterly Report</w:t>
              </w:r>
            </w:hyperlink>
          </w:p>
        </w:tc>
        <w:tc>
          <w:tcPr>
            <w:tcW w:w="80" w:type="dxa"/>
            <w:vAlign w:val="bottom"/>
            <w:gridSpan w:val="3"/>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12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500" w:type="dxa"/>
            <w:vAlign w:val="bottom"/>
            <w:tcBorders>
              <w:bottom w:val="single" w:sz="8" w:color="0000EE"/>
            </w:tcBorders>
            <w:gridSpan w:val="5"/>
          </w:tcPr>
          <w:p>
            <w:pPr>
              <w:spacing w:after="0" w:line="196" w:lineRule="exact"/>
              <w:rPr>
                <w:rFonts w:ascii="Arial" w:cs="Arial" w:eastAsia="Arial" w:hAnsi="Arial"/>
                <w:sz w:val="18"/>
                <w:szCs w:val="18"/>
                <w:color w:val="0000EE"/>
                <w:w w:val="92"/>
              </w:rPr>
            </w:pPr>
            <w:hyperlink r:id="rId108">
              <w:r>
                <w:rPr>
                  <w:rFonts w:ascii="Arial" w:cs="Arial" w:eastAsia="Arial" w:hAnsi="Arial"/>
                  <w:sz w:val="18"/>
                  <w:szCs w:val="18"/>
                  <w:color w:val="0000EE"/>
                  <w:w w:val="92"/>
                </w:rPr>
                <w:t>on Form 10-Q filed on August 15, 2017 (File No. 001-37905).</w:t>
              </w:r>
            </w:hyperlink>
          </w:p>
        </w:tc>
        <w:tc>
          <w:tcPr>
            <w:tcW w:w="5280" w:type="dxa"/>
            <w:vAlign w:val="bottom"/>
            <w:gridSpan w:val="25"/>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1260" w:type="dxa"/>
            <w:vAlign w:val="bottom"/>
          </w:tcPr>
          <w:p>
            <w:pPr>
              <w:jc w:val="center"/>
              <w:spacing w:after="0"/>
              <w:rPr>
                <w:sz w:val="20"/>
                <w:szCs w:val="20"/>
                <w:color w:val="auto"/>
              </w:rPr>
            </w:pPr>
            <w:r>
              <w:rPr>
                <w:rFonts w:ascii="Arial" w:cs="Arial" w:eastAsia="Arial" w:hAnsi="Arial"/>
                <w:sz w:val="18"/>
                <w:szCs w:val="18"/>
                <w:color w:val="auto"/>
                <w:w w:val="87"/>
              </w:rPr>
              <w:t>3.2</w:t>
            </w:r>
          </w:p>
        </w:tc>
        <w:tc>
          <w:tcPr>
            <w:tcW w:w="3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780" w:type="dxa"/>
            <w:vAlign w:val="bottom"/>
            <w:gridSpan w:val="30"/>
          </w:tcPr>
          <w:p>
            <w:pPr>
              <w:spacing w:after="0"/>
              <w:rPr>
                <w:rFonts w:ascii="Arial" w:cs="Arial" w:eastAsia="Arial" w:hAnsi="Arial"/>
                <w:sz w:val="18"/>
                <w:szCs w:val="18"/>
                <w:color w:val="0000EE"/>
                <w:w w:val="92"/>
              </w:rPr>
            </w:pPr>
            <w:hyperlink r:id="rId109">
              <w:r>
                <w:rPr>
                  <w:rFonts w:ascii="Arial" w:cs="Arial" w:eastAsia="Arial" w:hAnsi="Arial"/>
                  <w:sz w:val="18"/>
                  <w:szCs w:val="18"/>
                  <w:color w:val="0000EE"/>
                  <w:w w:val="92"/>
                </w:rPr>
                <w:t>Amended and Restated Bylaws of Brighthouse Financial, Inc. is incorporated by reference to our Quarterly Report on Form 10-Q filed</w:t>
              </w:r>
            </w:hyperlink>
          </w:p>
        </w:tc>
        <w:tc>
          <w:tcPr>
            <w:tcW w:w="0" w:type="dxa"/>
            <w:vAlign w:val="bottom"/>
          </w:tcPr>
          <w:p>
            <w:pPr>
              <w:spacing w:after="0"/>
              <w:rPr>
                <w:sz w:val="1"/>
                <w:szCs w:val="1"/>
                <w:color w:val="auto"/>
              </w:rPr>
            </w:pPr>
          </w:p>
        </w:tc>
      </w:tr>
      <w:tr>
        <w:trPr>
          <w:trHeight w:val="196"/>
        </w:trPr>
        <w:tc>
          <w:tcPr>
            <w:tcW w:w="12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700" w:type="dxa"/>
            <w:vAlign w:val="bottom"/>
            <w:tcBorders>
              <w:top w:val="single" w:sz="8" w:color="0000EE"/>
            </w:tcBorders>
            <w:gridSpan w:val="27"/>
          </w:tcPr>
          <w:p>
            <w:pPr>
              <w:spacing w:after="0" w:line="196" w:lineRule="exact"/>
              <w:rPr>
                <w:rFonts w:ascii="Arial" w:cs="Arial" w:eastAsia="Arial" w:hAnsi="Arial"/>
                <w:sz w:val="18"/>
                <w:szCs w:val="18"/>
                <w:color w:val="0000EE"/>
              </w:rPr>
            </w:pPr>
            <w:hyperlink r:id="rId109">
              <w:r>
                <w:rPr>
                  <w:rFonts w:ascii="Arial" w:cs="Arial" w:eastAsia="Arial" w:hAnsi="Arial"/>
                  <w:sz w:val="18"/>
                  <w:szCs w:val="18"/>
                  <w:color w:val="0000EE"/>
                </w:rPr>
                <w:t>on August 15, 2017 (File No. 001-37905).</w:t>
              </w:r>
            </w:hyperlink>
          </w:p>
        </w:tc>
        <w:tc>
          <w:tcPr>
            <w:tcW w:w="8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138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26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3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780" w:type="dxa"/>
            <w:vAlign w:val="bottom"/>
            <w:gridSpan w:val="30"/>
          </w:tcPr>
          <w:p>
            <w:pPr>
              <w:spacing w:after="0"/>
              <w:rPr>
                <w:rFonts w:ascii="Arial" w:cs="Arial" w:eastAsia="Arial" w:hAnsi="Arial"/>
                <w:sz w:val="18"/>
                <w:szCs w:val="18"/>
                <w:color w:val="0000EE"/>
                <w:w w:val="91"/>
              </w:rPr>
            </w:pPr>
            <w:hyperlink r:id="rId110">
              <w:r>
                <w:rPr>
                  <w:rFonts w:ascii="Arial" w:cs="Arial" w:eastAsia="Arial" w:hAnsi="Arial"/>
                  <w:sz w:val="18"/>
                  <w:szCs w:val="18"/>
                  <w:color w:val="0000EE"/>
                  <w:w w:val="91"/>
                </w:rPr>
                <w:t>Transition Services Agreement, dated as of January 1, 2017, between MetLife Services and Solutions, LLC and Brighthouse Services,</w:t>
              </w:r>
            </w:hyperlink>
          </w:p>
        </w:tc>
        <w:tc>
          <w:tcPr>
            <w:tcW w:w="0" w:type="dxa"/>
            <w:vAlign w:val="bottom"/>
          </w:tcPr>
          <w:p>
            <w:pPr>
              <w:spacing w:after="0"/>
              <w:rPr>
                <w:sz w:val="1"/>
                <w:szCs w:val="1"/>
                <w:color w:val="auto"/>
              </w:rPr>
            </w:pPr>
          </w:p>
        </w:tc>
      </w:tr>
      <w:tr>
        <w:trPr>
          <w:trHeight w:val="196"/>
        </w:trPr>
        <w:tc>
          <w:tcPr>
            <w:tcW w:w="12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460" w:type="dxa"/>
            <w:vAlign w:val="bottom"/>
            <w:tcBorders>
              <w:top w:val="single" w:sz="8" w:color="0000EE"/>
              <w:bottom w:val="single" w:sz="8" w:color="0000EE"/>
            </w:tcBorders>
            <w:gridSpan w:val="20"/>
          </w:tcPr>
          <w:p>
            <w:pPr>
              <w:spacing w:after="0" w:line="196" w:lineRule="exact"/>
              <w:rPr>
                <w:rFonts w:ascii="Arial" w:cs="Arial" w:eastAsia="Arial" w:hAnsi="Arial"/>
                <w:sz w:val="18"/>
                <w:szCs w:val="18"/>
                <w:color w:val="0000EE"/>
                <w:w w:val="92"/>
              </w:rPr>
            </w:pPr>
            <w:hyperlink r:id="rId110">
              <w:r>
                <w:rPr>
                  <w:rFonts w:ascii="Arial" w:cs="Arial" w:eastAsia="Arial" w:hAnsi="Arial"/>
                  <w:sz w:val="18"/>
                  <w:szCs w:val="18"/>
                  <w:color w:val="0000EE"/>
                  <w:w w:val="92"/>
                </w:rPr>
                <w:t>LLC and for purposes of Article VII only, MetLife, Inc. and Brighthouse Financial, Inc. is incorporated by reference to our Current</w:t>
              </w:r>
            </w:hyperlink>
          </w:p>
        </w:tc>
        <w:tc>
          <w:tcPr>
            <w:tcW w:w="200" w:type="dxa"/>
            <w:vAlign w:val="bottom"/>
            <w:tcBorders>
              <w:top w:val="single" w:sz="8" w:color="0000EE"/>
            </w:tcBorders>
            <w:gridSpan w:val="5"/>
          </w:tcPr>
          <w:p>
            <w:pPr>
              <w:spacing w:after="0"/>
              <w:rPr>
                <w:sz w:val="17"/>
                <w:szCs w:val="17"/>
                <w:color w:val="auto"/>
              </w:rPr>
            </w:pPr>
          </w:p>
        </w:tc>
        <w:tc>
          <w:tcPr>
            <w:tcW w:w="12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60" w:type="dxa"/>
            <w:vAlign w:val="bottom"/>
            <w:tcBorders>
              <w:bottom w:val="single" w:sz="8" w:color="0000EE"/>
            </w:tcBorders>
            <w:gridSpan w:val="6"/>
          </w:tcPr>
          <w:p>
            <w:pPr>
              <w:spacing w:after="0" w:line="196" w:lineRule="exact"/>
              <w:rPr>
                <w:rFonts w:ascii="Arial" w:cs="Arial" w:eastAsia="Arial" w:hAnsi="Arial"/>
                <w:sz w:val="18"/>
                <w:szCs w:val="18"/>
                <w:color w:val="0000EE"/>
                <w:w w:val="92"/>
              </w:rPr>
            </w:pPr>
            <w:hyperlink r:id="rId110">
              <w:r>
                <w:rPr>
                  <w:rFonts w:ascii="Arial" w:cs="Arial" w:eastAsia="Arial" w:hAnsi="Arial"/>
                  <w:sz w:val="18"/>
                  <w:szCs w:val="18"/>
                  <w:color w:val="0000EE"/>
                  <w:w w:val="92"/>
                </w:rPr>
                <w:t>Report on Form 8-K filed on August 9, 2017 (File No. 001-37905).</w:t>
              </w:r>
            </w:hyperlink>
          </w:p>
        </w:tc>
        <w:tc>
          <w:tcPr>
            <w:tcW w:w="4920" w:type="dxa"/>
            <w:vAlign w:val="bottom"/>
            <w:gridSpan w:val="24"/>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1260" w:type="dxa"/>
            <w:vAlign w:val="bottom"/>
          </w:tcPr>
          <w:p>
            <w:pPr>
              <w:jc w:val="center"/>
              <w:spacing w:after="0"/>
              <w:rPr>
                <w:sz w:val="20"/>
                <w:szCs w:val="20"/>
                <w:color w:val="auto"/>
              </w:rPr>
            </w:pPr>
            <w:r>
              <w:rPr>
                <w:rFonts w:ascii="Arial" w:cs="Arial" w:eastAsia="Arial" w:hAnsi="Arial"/>
                <w:sz w:val="18"/>
                <w:szCs w:val="18"/>
                <w:color w:val="auto"/>
                <w:w w:val="91"/>
              </w:rPr>
              <w:t>10.2</w:t>
            </w:r>
          </w:p>
        </w:tc>
        <w:tc>
          <w:tcPr>
            <w:tcW w:w="3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780" w:type="dxa"/>
            <w:vAlign w:val="bottom"/>
            <w:gridSpan w:val="30"/>
          </w:tcPr>
          <w:p>
            <w:pPr>
              <w:spacing w:after="0"/>
              <w:rPr>
                <w:rFonts w:ascii="Arial" w:cs="Arial" w:eastAsia="Arial" w:hAnsi="Arial"/>
                <w:sz w:val="18"/>
                <w:szCs w:val="18"/>
                <w:color w:val="0000EE"/>
                <w:w w:val="92"/>
              </w:rPr>
            </w:pPr>
            <w:hyperlink r:id="rId111">
              <w:r>
                <w:rPr>
                  <w:rFonts w:ascii="Arial" w:cs="Arial" w:eastAsia="Arial" w:hAnsi="Arial"/>
                  <w:sz w:val="18"/>
                  <w:szCs w:val="18"/>
                  <w:color w:val="0000EE"/>
                  <w:w w:val="92"/>
                </w:rPr>
                <w:t>Registration Rights Agreement, dated as of August 4, 2017, between MetLife, Inc. and Brighthouse Financial, Inc. is incorporated by</w:t>
              </w:r>
            </w:hyperlink>
          </w:p>
        </w:tc>
        <w:tc>
          <w:tcPr>
            <w:tcW w:w="0" w:type="dxa"/>
            <w:vAlign w:val="bottom"/>
          </w:tcPr>
          <w:p>
            <w:pPr>
              <w:spacing w:after="0"/>
              <w:rPr>
                <w:sz w:val="1"/>
                <w:szCs w:val="1"/>
                <w:color w:val="auto"/>
              </w:rPr>
            </w:pPr>
          </w:p>
        </w:tc>
      </w:tr>
      <w:tr>
        <w:trPr>
          <w:trHeight w:val="196"/>
        </w:trPr>
        <w:tc>
          <w:tcPr>
            <w:tcW w:w="12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640" w:type="dxa"/>
            <w:vAlign w:val="bottom"/>
            <w:tcBorders>
              <w:top w:val="single" w:sz="8" w:color="0000EE"/>
              <w:bottom w:val="single" w:sz="8" w:color="0000EE"/>
            </w:tcBorders>
            <w:gridSpan w:val="9"/>
          </w:tcPr>
          <w:p>
            <w:pPr>
              <w:spacing w:after="0" w:line="196" w:lineRule="exact"/>
              <w:rPr>
                <w:rFonts w:ascii="Arial" w:cs="Arial" w:eastAsia="Arial" w:hAnsi="Arial"/>
                <w:sz w:val="18"/>
                <w:szCs w:val="18"/>
                <w:color w:val="0000EE"/>
                <w:w w:val="91"/>
              </w:rPr>
            </w:pPr>
            <w:hyperlink r:id="rId111">
              <w:r>
                <w:rPr>
                  <w:rFonts w:ascii="Arial" w:cs="Arial" w:eastAsia="Arial" w:hAnsi="Arial"/>
                  <w:sz w:val="18"/>
                  <w:szCs w:val="18"/>
                  <w:color w:val="0000EE"/>
                  <w:w w:val="91"/>
                </w:rPr>
                <w:t>reference to our Current Report on Form 8-K filed on August 9, 2017 (File No. 001-37905).</w:t>
              </w:r>
            </w:hyperlink>
          </w:p>
        </w:tc>
        <w:tc>
          <w:tcPr>
            <w:tcW w:w="2960" w:type="dxa"/>
            <w:vAlign w:val="bottom"/>
            <w:tcBorders>
              <w:top w:val="single" w:sz="8" w:color="0000EE"/>
            </w:tcBorders>
            <w:gridSpan w:val="14"/>
          </w:tcPr>
          <w:p>
            <w:pPr>
              <w:spacing w:after="0"/>
              <w:rPr>
                <w:sz w:val="17"/>
                <w:szCs w:val="17"/>
                <w:color w:val="auto"/>
              </w:rPr>
            </w:pPr>
          </w:p>
        </w:tc>
        <w:tc>
          <w:tcPr>
            <w:tcW w:w="180" w:type="dxa"/>
            <w:vAlign w:val="bottom"/>
            <w:gridSpan w:val="7"/>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1260" w:type="dxa"/>
            <w:vAlign w:val="bottom"/>
          </w:tcPr>
          <w:p>
            <w:pPr>
              <w:jc w:val="center"/>
              <w:spacing w:after="0"/>
              <w:rPr>
                <w:sz w:val="20"/>
                <w:szCs w:val="20"/>
                <w:color w:val="auto"/>
              </w:rPr>
            </w:pPr>
            <w:r>
              <w:rPr>
                <w:rFonts w:ascii="Arial" w:cs="Arial" w:eastAsia="Arial" w:hAnsi="Arial"/>
                <w:sz w:val="18"/>
                <w:szCs w:val="18"/>
                <w:color w:val="auto"/>
                <w:w w:val="91"/>
              </w:rPr>
              <w:t>10.3</w:t>
            </w:r>
          </w:p>
        </w:tc>
        <w:tc>
          <w:tcPr>
            <w:tcW w:w="3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560" w:type="dxa"/>
            <w:vAlign w:val="bottom"/>
            <w:tcBorders>
              <w:bottom w:val="single" w:sz="8" w:color="0000EE"/>
            </w:tcBorders>
            <w:gridSpan w:val="22"/>
          </w:tcPr>
          <w:p>
            <w:pPr>
              <w:spacing w:after="0"/>
              <w:rPr>
                <w:rFonts w:ascii="Arial" w:cs="Arial" w:eastAsia="Arial" w:hAnsi="Arial"/>
                <w:sz w:val="18"/>
                <w:szCs w:val="18"/>
                <w:color w:val="0000EE"/>
                <w:w w:val="91"/>
              </w:rPr>
            </w:pPr>
            <w:hyperlink r:id="rId112">
              <w:r>
                <w:rPr>
                  <w:rFonts w:ascii="Arial" w:cs="Arial" w:eastAsia="Arial" w:hAnsi="Arial"/>
                  <w:sz w:val="18"/>
                  <w:szCs w:val="18"/>
                  <w:color w:val="0000EE"/>
                  <w:w w:val="91"/>
                </w:rPr>
                <w:t>Investment Management Agreement, dated as of January 1, 2017, between MetLife Investment Advisors, LLC and Brighthouse Life</w:t>
              </w:r>
            </w:hyperlink>
          </w:p>
        </w:tc>
        <w:tc>
          <w:tcPr>
            <w:tcW w:w="220" w:type="dxa"/>
            <w:vAlign w:val="bottom"/>
            <w:gridSpan w:val="8"/>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12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780" w:type="dxa"/>
            <w:vAlign w:val="bottom"/>
            <w:gridSpan w:val="30"/>
          </w:tcPr>
          <w:p>
            <w:pPr>
              <w:spacing w:after="0" w:line="196" w:lineRule="exact"/>
              <w:rPr>
                <w:rFonts w:ascii="Arial" w:cs="Arial" w:eastAsia="Arial" w:hAnsi="Arial"/>
                <w:sz w:val="18"/>
                <w:szCs w:val="18"/>
                <w:color w:val="0000EE"/>
                <w:w w:val="95"/>
              </w:rPr>
            </w:pPr>
            <w:hyperlink r:id="rId112">
              <w:r>
                <w:rPr>
                  <w:rFonts w:ascii="Arial" w:cs="Arial" w:eastAsia="Arial" w:hAnsi="Arial"/>
                  <w:sz w:val="18"/>
                  <w:szCs w:val="18"/>
                  <w:color w:val="0000EE"/>
                  <w:w w:val="95"/>
                </w:rPr>
                <w:t>Insurance Company (formerly known as MetLife Insurance Company USA) is incorporated by reference to our Current Report on</w:t>
              </w:r>
            </w:hyperlink>
          </w:p>
        </w:tc>
        <w:tc>
          <w:tcPr>
            <w:tcW w:w="0" w:type="dxa"/>
            <w:vAlign w:val="bottom"/>
          </w:tcPr>
          <w:p>
            <w:pPr>
              <w:spacing w:after="0"/>
              <w:rPr>
                <w:sz w:val="1"/>
                <w:szCs w:val="1"/>
                <w:color w:val="auto"/>
              </w:rPr>
            </w:pPr>
          </w:p>
        </w:tc>
      </w:tr>
      <w:tr>
        <w:trPr>
          <w:trHeight w:val="196"/>
        </w:trPr>
        <w:tc>
          <w:tcPr>
            <w:tcW w:w="12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10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92"/>
              </w:rPr>
            </w:pPr>
            <w:hyperlink r:id="rId112">
              <w:r>
                <w:rPr>
                  <w:rFonts w:ascii="Arial" w:cs="Arial" w:eastAsia="Arial" w:hAnsi="Arial"/>
                  <w:sz w:val="18"/>
                  <w:szCs w:val="18"/>
                  <w:color w:val="0000EE"/>
                  <w:w w:val="92"/>
                </w:rPr>
                <w:t>Form 8-K filed on August 9, 2017 (File No. 001-37905).</w:t>
              </w:r>
            </w:hyperlink>
          </w:p>
        </w:tc>
        <w:tc>
          <w:tcPr>
            <w:tcW w:w="5280" w:type="dxa"/>
            <w:vAlign w:val="bottom"/>
            <w:tcBorders>
              <w:top w:val="single" w:sz="8" w:color="0000EE"/>
            </w:tcBorders>
            <w:gridSpan w:val="14"/>
          </w:tcPr>
          <w:p>
            <w:pPr>
              <w:spacing w:after="0"/>
              <w:rPr>
                <w:sz w:val="17"/>
                <w:szCs w:val="17"/>
                <w:color w:val="auto"/>
              </w:rPr>
            </w:pPr>
          </w:p>
        </w:tc>
        <w:tc>
          <w:tcPr>
            <w:tcW w:w="400" w:type="dxa"/>
            <w:vAlign w:val="bottom"/>
            <w:gridSpan w:val="12"/>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1260" w:type="dxa"/>
            <w:vAlign w:val="bottom"/>
          </w:tcPr>
          <w:p>
            <w:pPr>
              <w:jc w:val="center"/>
              <w:spacing w:after="0"/>
              <w:rPr>
                <w:sz w:val="20"/>
                <w:szCs w:val="20"/>
                <w:color w:val="auto"/>
              </w:rPr>
            </w:pPr>
            <w:r>
              <w:rPr>
                <w:rFonts w:ascii="Arial" w:cs="Arial" w:eastAsia="Arial" w:hAnsi="Arial"/>
                <w:sz w:val="18"/>
                <w:szCs w:val="18"/>
                <w:color w:val="auto"/>
                <w:w w:val="91"/>
              </w:rPr>
              <w:t>10.4</w:t>
            </w:r>
          </w:p>
        </w:tc>
        <w:tc>
          <w:tcPr>
            <w:tcW w:w="3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780" w:type="dxa"/>
            <w:vAlign w:val="bottom"/>
            <w:gridSpan w:val="30"/>
          </w:tcPr>
          <w:p>
            <w:pPr>
              <w:spacing w:after="0"/>
              <w:rPr>
                <w:rFonts w:ascii="Arial" w:cs="Arial" w:eastAsia="Arial" w:hAnsi="Arial"/>
                <w:sz w:val="18"/>
                <w:szCs w:val="18"/>
                <w:color w:val="0000EE"/>
                <w:w w:val="92"/>
              </w:rPr>
            </w:pPr>
            <w:hyperlink r:id="rId113">
              <w:r>
                <w:rPr>
                  <w:rFonts w:ascii="Arial" w:cs="Arial" w:eastAsia="Arial" w:hAnsi="Arial"/>
                  <w:sz w:val="18"/>
                  <w:szCs w:val="18"/>
                  <w:color w:val="0000EE"/>
                  <w:w w:val="92"/>
                </w:rPr>
                <w:t>Intellectual Property License Agreement, dated as of August 4, 2017, by and among Metropolitan Life Insurance Company, on behalf</w:t>
              </w:r>
            </w:hyperlink>
          </w:p>
        </w:tc>
        <w:tc>
          <w:tcPr>
            <w:tcW w:w="0" w:type="dxa"/>
            <w:vAlign w:val="bottom"/>
          </w:tcPr>
          <w:p>
            <w:pPr>
              <w:spacing w:after="0"/>
              <w:rPr>
                <w:sz w:val="1"/>
                <w:szCs w:val="1"/>
                <w:color w:val="auto"/>
              </w:rPr>
            </w:pPr>
          </w:p>
        </w:tc>
      </w:tr>
      <w:tr>
        <w:trPr>
          <w:trHeight w:val="196"/>
        </w:trPr>
        <w:tc>
          <w:tcPr>
            <w:tcW w:w="12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620" w:type="dxa"/>
            <w:vAlign w:val="bottom"/>
            <w:tcBorders>
              <w:top w:val="single" w:sz="8" w:color="0000EE"/>
            </w:tcBorders>
            <w:gridSpan w:val="24"/>
          </w:tcPr>
          <w:p>
            <w:pPr>
              <w:spacing w:after="0" w:line="196" w:lineRule="exact"/>
              <w:rPr>
                <w:rFonts w:ascii="Arial" w:cs="Arial" w:eastAsia="Arial" w:hAnsi="Arial"/>
                <w:sz w:val="18"/>
                <w:szCs w:val="18"/>
                <w:color w:val="0000EE"/>
                <w:w w:val="91"/>
              </w:rPr>
            </w:pPr>
            <w:hyperlink r:id="rId113">
              <w:r>
                <w:rPr>
                  <w:rFonts w:ascii="Arial" w:cs="Arial" w:eastAsia="Arial" w:hAnsi="Arial"/>
                  <w:sz w:val="18"/>
                  <w:szCs w:val="18"/>
                  <w:color w:val="0000EE"/>
                  <w:w w:val="91"/>
                </w:rPr>
                <w:t>of itself and its Affiliates other than the Brighthouse Company Group, and Brighthouse Services LLC is incorporated by reference to</w:t>
              </w:r>
            </w:hyperlink>
          </w:p>
        </w:tc>
        <w:tc>
          <w:tcPr>
            <w:tcW w:w="160" w:type="dxa"/>
            <w:vAlign w:val="bottom"/>
            <w:gridSpan w:val="6"/>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740" w:type="dxa"/>
            <w:vAlign w:val="bottom"/>
            <w:tcBorders>
              <w:top w:val="single" w:sz="8" w:color="0000EE"/>
              <w:bottom w:val="single" w:sz="8" w:color="0000EE"/>
            </w:tcBorders>
            <w:gridSpan w:val="8"/>
          </w:tcPr>
          <w:p>
            <w:pPr>
              <w:spacing w:after="0" w:line="196" w:lineRule="exact"/>
              <w:rPr>
                <w:rFonts w:ascii="Arial" w:cs="Arial" w:eastAsia="Arial" w:hAnsi="Arial"/>
                <w:sz w:val="18"/>
                <w:szCs w:val="18"/>
                <w:color w:val="0000EE"/>
                <w:w w:val="92"/>
              </w:rPr>
            </w:pPr>
            <w:hyperlink r:id="rId113">
              <w:r>
                <w:rPr>
                  <w:rFonts w:ascii="Arial" w:cs="Arial" w:eastAsia="Arial" w:hAnsi="Arial"/>
                  <w:sz w:val="18"/>
                  <w:szCs w:val="18"/>
                  <w:color w:val="0000EE"/>
                  <w:w w:val="92"/>
                </w:rPr>
                <w:t>our Current Report on Form 8-K filed on August 9, 2017 (File No. 001-37905).</w:t>
              </w:r>
            </w:hyperlink>
          </w:p>
        </w:tc>
        <w:tc>
          <w:tcPr>
            <w:tcW w:w="3820" w:type="dxa"/>
            <w:vAlign w:val="bottom"/>
            <w:tcBorders>
              <w:top w:val="single" w:sz="8" w:color="0000EE"/>
            </w:tcBorders>
            <w:gridSpan w:val="14"/>
          </w:tcPr>
          <w:p>
            <w:pPr>
              <w:spacing w:after="0"/>
              <w:rPr>
                <w:sz w:val="17"/>
                <w:szCs w:val="17"/>
                <w:color w:val="auto"/>
              </w:rPr>
            </w:pPr>
          </w:p>
        </w:tc>
        <w:tc>
          <w:tcPr>
            <w:tcW w:w="220" w:type="dxa"/>
            <w:vAlign w:val="bottom"/>
            <w:gridSpan w:val="8"/>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1260" w:type="dxa"/>
            <w:vAlign w:val="bottom"/>
          </w:tcPr>
          <w:p>
            <w:pPr>
              <w:jc w:val="center"/>
              <w:spacing w:after="0"/>
              <w:rPr>
                <w:sz w:val="20"/>
                <w:szCs w:val="20"/>
                <w:color w:val="auto"/>
              </w:rPr>
            </w:pPr>
            <w:r>
              <w:rPr>
                <w:rFonts w:ascii="Arial" w:cs="Arial" w:eastAsia="Arial" w:hAnsi="Arial"/>
                <w:sz w:val="18"/>
                <w:szCs w:val="18"/>
                <w:color w:val="auto"/>
                <w:w w:val="91"/>
              </w:rPr>
              <w:t>10.5</w:t>
            </w:r>
          </w:p>
        </w:tc>
        <w:tc>
          <w:tcPr>
            <w:tcW w:w="3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780" w:type="dxa"/>
            <w:vAlign w:val="bottom"/>
            <w:gridSpan w:val="30"/>
          </w:tcPr>
          <w:p>
            <w:pPr>
              <w:spacing w:after="0"/>
              <w:rPr>
                <w:rFonts w:ascii="Arial" w:cs="Arial" w:eastAsia="Arial" w:hAnsi="Arial"/>
                <w:sz w:val="18"/>
                <w:szCs w:val="18"/>
                <w:color w:val="0000EE"/>
                <w:w w:val="95"/>
              </w:rPr>
            </w:pPr>
            <w:hyperlink r:id="rId114">
              <w:r>
                <w:rPr>
                  <w:rFonts w:ascii="Arial" w:cs="Arial" w:eastAsia="Arial" w:hAnsi="Arial"/>
                  <w:sz w:val="18"/>
                  <w:szCs w:val="18"/>
                  <w:color w:val="0000EE"/>
                  <w:w w:val="95"/>
                </w:rPr>
                <w:t>Tax Receivables Agreement, dated as of July 27, 2017, between MetLife, Inc. and Brighthouse Financial, Inc. is incorporated by</w:t>
              </w:r>
            </w:hyperlink>
          </w:p>
        </w:tc>
        <w:tc>
          <w:tcPr>
            <w:tcW w:w="0" w:type="dxa"/>
            <w:vAlign w:val="bottom"/>
          </w:tcPr>
          <w:p>
            <w:pPr>
              <w:spacing w:after="0"/>
              <w:rPr>
                <w:sz w:val="1"/>
                <w:szCs w:val="1"/>
                <w:color w:val="auto"/>
              </w:rPr>
            </w:pPr>
          </w:p>
        </w:tc>
      </w:tr>
      <w:tr>
        <w:trPr>
          <w:trHeight w:val="196"/>
        </w:trPr>
        <w:tc>
          <w:tcPr>
            <w:tcW w:w="12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640" w:type="dxa"/>
            <w:vAlign w:val="bottom"/>
            <w:tcBorders>
              <w:top w:val="single" w:sz="8" w:color="0000EE"/>
              <w:bottom w:val="single" w:sz="8" w:color="0000EE"/>
            </w:tcBorders>
            <w:gridSpan w:val="9"/>
          </w:tcPr>
          <w:p>
            <w:pPr>
              <w:spacing w:after="0" w:line="196" w:lineRule="exact"/>
              <w:rPr>
                <w:rFonts w:ascii="Arial" w:cs="Arial" w:eastAsia="Arial" w:hAnsi="Arial"/>
                <w:sz w:val="18"/>
                <w:szCs w:val="18"/>
                <w:color w:val="0000EE"/>
                <w:w w:val="91"/>
              </w:rPr>
            </w:pPr>
            <w:hyperlink r:id="rId114">
              <w:r>
                <w:rPr>
                  <w:rFonts w:ascii="Arial" w:cs="Arial" w:eastAsia="Arial" w:hAnsi="Arial"/>
                  <w:sz w:val="18"/>
                  <w:szCs w:val="18"/>
                  <w:color w:val="0000EE"/>
                  <w:w w:val="91"/>
                </w:rPr>
                <w:t>reference to our Current Report on Form 8-K filed on August 9, 2017 (File No. 001-37905).</w:t>
              </w:r>
            </w:hyperlink>
          </w:p>
        </w:tc>
        <w:tc>
          <w:tcPr>
            <w:tcW w:w="2620" w:type="dxa"/>
            <w:vAlign w:val="bottom"/>
            <w:tcBorders>
              <w:top w:val="single" w:sz="8" w:color="0000EE"/>
            </w:tcBorders>
            <w:gridSpan w:val="7"/>
          </w:tcPr>
          <w:p>
            <w:pPr>
              <w:spacing w:after="0"/>
              <w:rPr>
                <w:sz w:val="17"/>
                <w:szCs w:val="17"/>
                <w:color w:val="auto"/>
              </w:rPr>
            </w:pPr>
          </w:p>
        </w:tc>
        <w:tc>
          <w:tcPr>
            <w:tcW w:w="520" w:type="dxa"/>
            <w:vAlign w:val="bottom"/>
            <w:gridSpan w:val="14"/>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1260" w:type="dxa"/>
            <w:vAlign w:val="bottom"/>
          </w:tcPr>
          <w:p>
            <w:pPr>
              <w:jc w:val="center"/>
              <w:spacing w:after="0"/>
              <w:rPr>
                <w:sz w:val="20"/>
                <w:szCs w:val="20"/>
                <w:color w:val="auto"/>
              </w:rPr>
            </w:pPr>
            <w:r>
              <w:rPr>
                <w:rFonts w:ascii="Arial" w:cs="Arial" w:eastAsia="Arial" w:hAnsi="Arial"/>
                <w:sz w:val="18"/>
                <w:szCs w:val="18"/>
                <w:color w:val="auto"/>
                <w:w w:val="91"/>
              </w:rPr>
              <w:t>10.6</w:t>
            </w:r>
          </w:p>
        </w:tc>
        <w:tc>
          <w:tcPr>
            <w:tcW w:w="3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480" w:type="dxa"/>
            <w:vAlign w:val="bottom"/>
            <w:tcBorders>
              <w:bottom w:val="single" w:sz="8" w:color="0000EE"/>
            </w:tcBorders>
            <w:gridSpan w:val="21"/>
          </w:tcPr>
          <w:p>
            <w:pPr>
              <w:spacing w:after="0"/>
              <w:rPr>
                <w:rFonts w:ascii="Arial" w:cs="Arial" w:eastAsia="Arial" w:hAnsi="Arial"/>
                <w:sz w:val="18"/>
                <w:szCs w:val="18"/>
                <w:color w:val="0000EE"/>
                <w:w w:val="91"/>
              </w:rPr>
            </w:pPr>
            <w:hyperlink r:id="rId115">
              <w:r>
                <w:rPr>
                  <w:rFonts w:ascii="Arial" w:cs="Arial" w:eastAsia="Arial" w:hAnsi="Arial"/>
                  <w:sz w:val="18"/>
                  <w:szCs w:val="18"/>
                  <w:color w:val="0000EE"/>
                  <w:w w:val="91"/>
                </w:rPr>
                <w:t>Tax Separation Agreement, dated as of July 27, 2017, by and among MetLife, Inc. and its Affiliates and Brighthouse Financial, Inc.</w:t>
              </w:r>
            </w:hyperlink>
          </w:p>
        </w:tc>
        <w:tc>
          <w:tcPr>
            <w:tcW w:w="300" w:type="dxa"/>
            <w:vAlign w:val="bottom"/>
            <w:gridSpan w:val="9"/>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12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220" w:type="dxa"/>
            <w:vAlign w:val="bottom"/>
            <w:tcBorders>
              <w:bottom w:val="single" w:sz="8" w:color="0000EE"/>
            </w:tcBorders>
            <w:gridSpan w:val="14"/>
          </w:tcPr>
          <w:p>
            <w:pPr>
              <w:spacing w:after="0" w:line="196" w:lineRule="exact"/>
              <w:rPr>
                <w:rFonts w:ascii="Arial" w:cs="Arial" w:eastAsia="Arial" w:hAnsi="Arial"/>
                <w:sz w:val="18"/>
                <w:szCs w:val="18"/>
                <w:color w:val="0000EE"/>
                <w:w w:val="92"/>
              </w:rPr>
            </w:pPr>
            <w:hyperlink r:id="rId115">
              <w:r>
                <w:rPr>
                  <w:rFonts w:ascii="Arial" w:cs="Arial" w:eastAsia="Arial" w:hAnsi="Arial"/>
                  <w:sz w:val="18"/>
                  <w:szCs w:val="18"/>
                  <w:color w:val="0000EE"/>
                  <w:w w:val="92"/>
                </w:rPr>
                <w:t>and its Affiliates is incorporated by reference to our Current Report on Form 8-K filed on August 9, 2017 (File No. 001-37905).</w:t>
              </w:r>
            </w:hyperlink>
          </w:p>
        </w:tc>
        <w:tc>
          <w:tcPr>
            <w:tcW w:w="560" w:type="dxa"/>
            <w:vAlign w:val="bottom"/>
            <w:gridSpan w:val="16"/>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1260" w:type="dxa"/>
            <w:vAlign w:val="bottom"/>
          </w:tcPr>
          <w:p>
            <w:pPr>
              <w:jc w:val="center"/>
              <w:spacing w:after="0"/>
              <w:rPr>
                <w:sz w:val="20"/>
                <w:szCs w:val="20"/>
                <w:color w:val="auto"/>
              </w:rPr>
            </w:pPr>
            <w:r>
              <w:rPr>
                <w:rFonts w:ascii="Arial" w:cs="Arial" w:eastAsia="Arial" w:hAnsi="Arial"/>
                <w:sz w:val="18"/>
                <w:szCs w:val="18"/>
                <w:color w:val="auto"/>
                <w:w w:val="91"/>
              </w:rPr>
              <w:t>10.7</w:t>
            </w:r>
          </w:p>
        </w:tc>
        <w:tc>
          <w:tcPr>
            <w:tcW w:w="3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680" w:type="dxa"/>
            <w:vAlign w:val="bottom"/>
            <w:tcBorders>
              <w:bottom w:val="single" w:sz="8" w:color="0000EE"/>
            </w:tcBorders>
            <w:gridSpan w:val="26"/>
          </w:tcPr>
          <w:p>
            <w:pPr>
              <w:spacing w:after="0"/>
              <w:rPr>
                <w:rFonts w:ascii="Arial" w:cs="Arial" w:eastAsia="Arial" w:hAnsi="Arial"/>
                <w:sz w:val="18"/>
                <w:szCs w:val="18"/>
                <w:color w:val="0000EE"/>
                <w:w w:val="91"/>
              </w:rPr>
            </w:pPr>
            <w:hyperlink r:id="rId116">
              <w:r>
                <w:rPr>
                  <w:rFonts w:ascii="Arial" w:cs="Arial" w:eastAsia="Arial" w:hAnsi="Arial"/>
                  <w:sz w:val="18"/>
                  <w:szCs w:val="18"/>
                  <w:color w:val="0000EE"/>
                  <w:w w:val="91"/>
                </w:rPr>
                <w:t>Term Loan Agreement, dated as of July 21, 2017, among Brighthouse Financial, Inc., Bank of America, N.A., as administrative agent,</w:t>
              </w:r>
            </w:hyperlink>
          </w:p>
        </w:tc>
        <w:tc>
          <w:tcPr>
            <w:tcW w:w="100" w:type="dxa"/>
            <w:vAlign w:val="bottom"/>
            <w:gridSpan w:val="4"/>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12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780" w:type="dxa"/>
            <w:vAlign w:val="bottom"/>
            <w:gridSpan w:val="30"/>
          </w:tcPr>
          <w:p>
            <w:pPr>
              <w:spacing w:after="0" w:line="196" w:lineRule="exact"/>
              <w:rPr>
                <w:rFonts w:ascii="Arial" w:cs="Arial" w:eastAsia="Arial" w:hAnsi="Arial"/>
                <w:sz w:val="18"/>
                <w:szCs w:val="18"/>
                <w:color w:val="0000EE"/>
                <w:w w:val="94"/>
              </w:rPr>
            </w:pPr>
            <w:hyperlink r:id="rId116">
              <w:r>
                <w:rPr>
                  <w:rFonts w:ascii="Arial" w:cs="Arial" w:eastAsia="Arial" w:hAnsi="Arial"/>
                  <w:sz w:val="18"/>
                  <w:szCs w:val="18"/>
                  <w:color w:val="0000EE"/>
                  <w:w w:val="94"/>
                </w:rPr>
                <w:t>and the other lenders party thereto is incorporated by reference to our Current Report on Form 8-K filed on July 21, 2017 (File No.</w:t>
              </w:r>
            </w:hyperlink>
          </w:p>
        </w:tc>
        <w:tc>
          <w:tcPr>
            <w:tcW w:w="0" w:type="dxa"/>
            <w:vAlign w:val="bottom"/>
          </w:tcPr>
          <w:p>
            <w:pPr>
              <w:spacing w:after="0"/>
              <w:rPr>
                <w:sz w:val="1"/>
                <w:szCs w:val="1"/>
                <w:color w:val="auto"/>
              </w:rPr>
            </w:pPr>
          </w:p>
        </w:tc>
      </w:tr>
      <w:tr>
        <w:trPr>
          <w:trHeight w:val="196"/>
        </w:trPr>
        <w:tc>
          <w:tcPr>
            <w:tcW w:w="12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60" w:type="dxa"/>
            <w:vAlign w:val="bottom"/>
            <w:tcBorders>
              <w:top w:val="single" w:sz="8" w:color="0000EE"/>
            </w:tcBorders>
            <w:gridSpan w:val="2"/>
          </w:tcPr>
          <w:p>
            <w:pPr>
              <w:spacing w:after="0" w:line="196" w:lineRule="exact"/>
              <w:rPr>
                <w:rFonts w:ascii="Arial" w:cs="Arial" w:eastAsia="Arial" w:hAnsi="Arial"/>
                <w:sz w:val="18"/>
                <w:szCs w:val="18"/>
                <w:color w:val="0000EE"/>
              </w:rPr>
            </w:pPr>
            <w:hyperlink r:id="rId116">
              <w:r>
                <w:rPr>
                  <w:rFonts w:ascii="Arial" w:cs="Arial" w:eastAsia="Arial" w:hAnsi="Arial"/>
                  <w:sz w:val="18"/>
                  <w:szCs w:val="18"/>
                  <w:color w:val="0000EE"/>
                </w:rPr>
                <w:t>001-37905).</w:t>
              </w:r>
            </w:hyperlink>
          </w:p>
        </w:tc>
        <w:tc>
          <w:tcPr>
            <w:tcW w:w="780" w:type="dxa"/>
            <w:vAlign w:val="bottom"/>
            <w:tcBorders>
              <w:top w:val="single" w:sz="8" w:color="0000EE"/>
            </w:tcBorders>
          </w:tcPr>
          <w:p>
            <w:pPr>
              <w:spacing w:after="0"/>
              <w:rPr>
                <w:sz w:val="17"/>
                <w:szCs w:val="17"/>
                <w:color w:val="auto"/>
              </w:rPr>
            </w:pPr>
          </w:p>
        </w:tc>
        <w:tc>
          <w:tcPr>
            <w:tcW w:w="1060" w:type="dxa"/>
            <w:vAlign w:val="bottom"/>
            <w:tcBorders>
              <w:top w:val="single" w:sz="8" w:color="0000EE"/>
            </w:tcBorders>
          </w:tcPr>
          <w:p>
            <w:pPr>
              <w:spacing w:after="0"/>
              <w:rPr>
                <w:sz w:val="17"/>
                <w:szCs w:val="17"/>
                <w:color w:val="auto"/>
              </w:rPr>
            </w:pPr>
          </w:p>
        </w:tc>
        <w:tc>
          <w:tcPr>
            <w:tcW w:w="400" w:type="dxa"/>
            <w:vAlign w:val="bottom"/>
            <w:tcBorders>
              <w:top w:val="single" w:sz="8" w:color="0000EE"/>
            </w:tcBorders>
          </w:tcPr>
          <w:p>
            <w:pPr>
              <w:spacing w:after="0"/>
              <w:rPr>
                <w:sz w:val="17"/>
                <w:szCs w:val="17"/>
                <w:color w:val="auto"/>
              </w:rPr>
            </w:pPr>
          </w:p>
        </w:tc>
        <w:tc>
          <w:tcPr>
            <w:tcW w:w="36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700" w:type="dxa"/>
            <w:vAlign w:val="bottom"/>
            <w:tcBorders>
              <w:top w:val="single" w:sz="8" w:color="0000EE"/>
            </w:tcBorders>
          </w:tcPr>
          <w:p>
            <w:pPr>
              <w:spacing w:after="0"/>
              <w:rPr>
                <w:sz w:val="17"/>
                <w:szCs w:val="17"/>
                <w:color w:val="auto"/>
              </w:rPr>
            </w:pPr>
          </w:p>
        </w:tc>
        <w:tc>
          <w:tcPr>
            <w:tcW w:w="90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19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780" w:type="dxa"/>
            <w:vAlign w:val="bottom"/>
            <w:gridSpan w:val="5"/>
          </w:tcPr>
          <w:p>
            <w:pPr>
              <w:spacing w:after="0" w:line="20" w:lineRule="exact"/>
              <w:rPr>
                <w:sz w:val="1"/>
                <w:szCs w:val="1"/>
                <w:color w:val="auto"/>
              </w:rPr>
            </w:pPr>
          </w:p>
        </w:tc>
        <w:tc>
          <w:tcPr>
            <w:tcW w:w="21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20" w:type="dxa"/>
            <w:vAlign w:val="bottom"/>
            <w:gridSpan w:val="11"/>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260" w:type="dxa"/>
            <w:vAlign w:val="bottom"/>
          </w:tcPr>
          <w:p>
            <w:pPr>
              <w:jc w:val="center"/>
              <w:spacing w:after="0"/>
              <w:rPr>
                <w:sz w:val="20"/>
                <w:szCs w:val="20"/>
                <w:color w:val="auto"/>
              </w:rPr>
            </w:pPr>
            <w:r>
              <w:rPr>
                <w:rFonts w:ascii="Arial" w:cs="Arial" w:eastAsia="Arial" w:hAnsi="Arial"/>
                <w:sz w:val="18"/>
                <w:szCs w:val="18"/>
                <w:color w:val="auto"/>
                <w:w w:val="91"/>
              </w:rPr>
              <w:t>10.8</w:t>
            </w:r>
          </w:p>
        </w:tc>
        <w:tc>
          <w:tcPr>
            <w:tcW w:w="3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780" w:type="dxa"/>
            <w:vAlign w:val="bottom"/>
            <w:gridSpan w:val="30"/>
          </w:tcPr>
          <w:p>
            <w:pPr>
              <w:spacing w:after="0"/>
              <w:rPr>
                <w:rFonts w:ascii="Arial" w:cs="Arial" w:eastAsia="Arial" w:hAnsi="Arial"/>
                <w:sz w:val="18"/>
                <w:szCs w:val="18"/>
                <w:color w:val="0000EE"/>
                <w:w w:val="92"/>
              </w:rPr>
            </w:pPr>
            <w:hyperlink r:id="rId117">
              <w:r>
                <w:rPr>
                  <w:rFonts w:ascii="Arial" w:cs="Arial" w:eastAsia="Arial" w:hAnsi="Arial"/>
                  <w:sz w:val="18"/>
                  <w:szCs w:val="18"/>
                  <w:color w:val="0000EE"/>
                  <w:w w:val="92"/>
                </w:rPr>
                <w:t>Brighthouse Services, LLC Auxiliary Savings Plan is incorporated by reference to our Quarterly Report on Form 10-Q filed on August</w:t>
              </w:r>
            </w:hyperlink>
          </w:p>
        </w:tc>
        <w:tc>
          <w:tcPr>
            <w:tcW w:w="0" w:type="dxa"/>
            <w:vAlign w:val="bottom"/>
          </w:tcPr>
          <w:p>
            <w:pPr>
              <w:spacing w:after="0"/>
              <w:rPr>
                <w:sz w:val="1"/>
                <w:szCs w:val="1"/>
                <w:color w:val="auto"/>
              </w:rPr>
            </w:pPr>
          </w:p>
        </w:tc>
      </w:tr>
      <w:tr>
        <w:trPr>
          <w:trHeight w:val="196"/>
        </w:trPr>
        <w:tc>
          <w:tcPr>
            <w:tcW w:w="12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6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91"/>
              </w:rPr>
            </w:pPr>
            <w:hyperlink r:id="rId117">
              <w:r>
                <w:rPr>
                  <w:rFonts w:ascii="Arial" w:cs="Arial" w:eastAsia="Arial" w:hAnsi="Arial"/>
                  <w:sz w:val="18"/>
                  <w:szCs w:val="18"/>
                  <w:color w:val="0000EE"/>
                  <w:w w:val="91"/>
                </w:rPr>
                <w:t>15, 2017 (File No. 001-37905).</w:t>
              </w:r>
            </w:hyperlink>
          </w:p>
        </w:tc>
        <w:tc>
          <w:tcPr>
            <w:tcW w:w="7460" w:type="dxa"/>
            <w:vAlign w:val="bottom"/>
            <w:tcBorders>
              <w:top w:val="single" w:sz="8" w:color="0000EE"/>
            </w:tcBorders>
            <w:gridSpan w:val="26"/>
          </w:tcPr>
          <w:p>
            <w:pPr>
              <w:spacing w:after="0"/>
              <w:rPr>
                <w:sz w:val="17"/>
                <w:szCs w:val="17"/>
                <w:color w:val="auto"/>
              </w:rPr>
            </w:pPr>
          </w:p>
        </w:tc>
        <w:tc>
          <w:tcPr>
            <w:tcW w:w="6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1260" w:type="dxa"/>
            <w:vAlign w:val="bottom"/>
          </w:tcPr>
          <w:p>
            <w:pPr>
              <w:jc w:val="center"/>
              <w:spacing w:after="0"/>
              <w:rPr>
                <w:sz w:val="20"/>
                <w:szCs w:val="20"/>
                <w:color w:val="auto"/>
              </w:rPr>
            </w:pPr>
            <w:r>
              <w:rPr>
                <w:rFonts w:ascii="Arial" w:cs="Arial" w:eastAsia="Arial" w:hAnsi="Arial"/>
                <w:sz w:val="18"/>
                <w:szCs w:val="18"/>
                <w:color w:val="auto"/>
                <w:w w:val="91"/>
              </w:rPr>
              <w:t>10.9</w:t>
            </w:r>
          </w:p>
        </w:tc>
        <w:tc>
          <w:tcPr>
            <w:tcW w:w="3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780" w:type="dxa"/>
            <w:vAlign w:val="bottom"/>
            <w:gridSpan w:val="30"/>
          </w:tcPr>
          <w:p>
            <w:pPr>
              <w:spacing w:after="0"/>
              <w:rPr>
                <w:rFonts w:ascii="Arial" w:cs="Arial" w:eastAsia="Arial" w:hAnsi="Arial"/>
                <w:sz w:val="18"/>
                <w:szCs w:val="18"/>
                <w:color w:val="0000EE"/>
                <w:w w:val="96"/>
              </w:rPr>
            </w:pPr>
            <w:hyperlink r:id="rId118">
              <w:r>
                <w:rPr>
                  <w:rFonts w:ascii="Arial" w:cs="Arial" w:eastAsia="Arial" w:hAnsi="Arial"/>
                  <w:sz w:val="18"/>
                  <w:szCs w:val="18"/>
                  <w:color w:val="0000EE"/>
                  <w:w w:val="96"/>
                </w:rPr>
                <w:t>Amendment Number One to the Brighthouse Services, LLC Auxiliary Savings Plan is incorporated by reference to our Quarterly</w:t>
              </w:r>
            </w:hyperlink>
          </w:p>
        </w:tc>
        <w:tc>
          <w:tcPr>
            <w:tcW w:w="0" w:type="dxa"/>
            <w:vAlign w:val="bottom"/>
          </w:tcPr>
          <w:p>
            <w:pPr>
              <w:spacing w:after="0"/>
              <w:rPr>
                <w:sz w:val="1"/>
                <w:szCs w:val="1"/>
                <w:color w:val="auto"/>
              </w:rPr>
            </w:pPr>
          </w:p>
        </w:tc>
      </w:tr>
      <w:tr>
        <w:trPr>
          <w:trHeight w:val="196"/>
        </w:trPr>
        <w:tc>
          <w:tcPr>
            <w:tcW w:w="12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040" w:type="dxa"/>
            <w:vAlign w:val="bottom"/>
            <w:tcBorders>
              <w:top w:val="single" w:sz="8" w:color="0000EE"/>
              <w:bottom w:val="single" w:sz="8" w:color="0000EE"/>
            </w:tcBorders>
            <w:gridSpan w:val="7"/>
          </w:tcPr>
          <w:p>
            <w:pPr>
              <w:spacing w:after="0" w:line="196" w:lineRule="exact"/>
              <w:rPr>
                <w:rFonts w:ascii="Arial" w:cs="Arial" w:eastAsia="Arial" w:hAnsi="Arial"/>
                <w:sz w:val="18"/>
                <w:szCs w:val="18"/>
                <w:color w:val="0000EE"/>
                <w:w w:val="92"/>
              </w:rPr>
            </w:pPr>
            <w:hyperlink r:id="rId118">
              <w:r>
                <w:rPr>
                  <w:rFonts w:ascii="Arial" w:cs="Arial" w:eastAsia="Arial" w:hAnsi="Arial"/>
                  <w:sz w:val="18"/>
                  <w:szCs w:val="18"/>
                  <w:color w:val="0000EE"/>
                  <w:w w:val="92"/>
                </w:rPr>
                <w:t>Report on Form 10-Q filed on August 15, 2017 (File No. 001-37905).</w:t>
              </w:r>
            </w:hyperlink>
          </w:p>
        </w:tc>
        <w:tc>
          <w:tcPr>
            <w:tcW w:w="4260" w:type="dxa"/>
            <w:vAlign w:val="bottom"/>
            <w:tcBorders>
              <w:top w:val="single" w:sz="8" w:color="0000EE"/>
            </w:tcBorders>
            <w:gridSpan w:val="10"/>
          </w:tcPr>
          <w:p>
            <w:pPr>
              <w:spacing w:after="0"/>
              <w:rPr>
                <w:sz w:val="17"/>
                <w:szCs w:val="17"/>
                <w:color w:val="auto"/>
              </w:rPr>
            </w:pPr>
          </w:p>
        </w:tc>
        <w:tc>
          <w:tcPr>
            <w:tcW w:w="480" w:type="dxa"/>
            <w:vAlign w:val="bottom"/>
            <w:gridSpan w:val="13"/>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1260" w:type="dxa"/>
            <w:vAlign w:val="bottom"/>
          </w:tcPr>
          <w:p>
            <w:pPr>
              <w:jc w:val="center"/>
              <w:spacing w:after="0"/>
              <w:rPr>
                <w:sz w:val="20"/>
                <w:szCs w:val="20"/>
                <w:color w:val="auto"/>
              </w:rPr>
            </w:pPr>
            <w:r>
              <w:rPr>
                <w:rFonts w:ascii="Arial" w:cs="Arial" w:eastAsia="Arial" w:hAnsi="Arial"/>
                <w:sz w:val="18"/>
                <w:szCs w:val="18"/>
                <w:color w:val="auto"/>
                <w:w w:val="88"/>
              </w:rPr>
              <w:t>10.10</w:t>
            </w:r>
          </w:p>
        </w:tc>
        <w:tc>
          <w:tcPr>
            <w:tcW w:w="3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780" w:type="dxa"/>
            <w:vAlign w:val="bottom"/>
            <w:gridSpan w:val="30"/>
          </w:tcPr>
          <w:p>
            <w:pPr>
              <w:spacing w:after="0"/>
              <w:rPr>
                <w:rFonts w:ascii="Arial" w:cs="Arial" w:eastAsia="Arial" w:hAnsi="Arial"/>
                <w:sz w:val="18"/>
                <w:szCs w:val="18"/>
                <w:color w:val="0000EE"/>
                <w:w w:val="96"/>
              </w:rPr>
            </w:pPr>
            <w:hyperlink r:id="rId119">
              <w:r>
                <w:rPr>
                  <w:rFonts w:ascii="Arial" w:cs="Arial" w:eastAsia="Arial" w:hAnsi="Arial"/>
                  <w:sz w:val="18"/>
                  <w:szCs w:val="18"/>
                  <w:color w:val="0000EE"/>
                  <w:w w:val="96"/>
                </w:rPr>
                <w:t>Amended and Restated Brighthouse Services, LLC Annual Variable Incentive Plan is incorporated by reference to our Quarterly</w:t>
              </w:r>
            </w:hyperlink>
          </w:p>
        </w:tc>
        <w:tc>
          <w:tcPr>
            <w:tcW w:w="0" w:type="dxa"/>
            <w:vAlign w:val="bottom"/>
          </w:tcPr>
          <w:p>
            <w:pPr>
              <w:spacing w:after="0"/>
              <w:rPr>
                <w:sz w:val="1"/>
                <w:szCs w:val="1"/>
                <w:color w:val="auto"/>
              </w:rPr>
            </w:pPr>
          </w:p>
        </w:tc>
      </w:tr>
      <w:tr>
        <w:trPr>
          <w:trHeight w:val="196"/>
        </w:trPr>
        <w:tc>
          <w:tcPr>
            <w:tcW w:w="12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040" w:type="dxa"/>
            <w:vAlign w:val="bottom"/>
            <w:tcBorders>
              <w:top w:val="single" w:sz="8" w:color="0000EE"/>
              <w:bottom w:val="single" w:sz="8" w:color="0000EE"/>
            </w:tcBorders>
            <w:gridSpan w:val="7"/>
          </w:tcPr>
          <w:p>
            <w:pPr>
              <w:spacing w:after="0" w:line="196" w:lineRule="exact"/>
              <w:rPr>
                <w:rFonts w:ascii="Arial" w:cs="Arial" w:eastAsia="Arial" w:hAnsi="Arial"/>
                <w:sz w:val="18"/>
                <w:szCs w:val="18"/>
                <w:color w:val="0000EE"/>
                <w:w w:val="92"/>
              </w:rPr>
            </w:pPr>
            <w:hyperlink r:id="rId119">
              <w:r>
                <w:rPr>
                  <w:rFonts w:ascii="Arial" w:cs="Arial" w:eastAsia="Arial" w:hAnsi="Arial"/>
                  <w:sz w:val="18"/>
                  <w:szCs w:val="18"/>
                  <w:color w:val="0000EE"/>
                  <w:w w:val="92"/>
                </w:rPr>
                <w:t>Report on Form 10-Q filed on August 15, 2017 (File No. 001-37905).</w:t>
              </w:r>
            </w:hyperlink>
          </w:p>
        </w:tc>
        <w:tc>
          <w:tcPr>
            <w:tcW w:w="4200" w:type="dxa"/>
            <w:vAlign w:val="bottom"/>
            <w:tcBorders>
              <w:top w:val="single" w:sz="8" w:color="0000EE"/>
            </w:tcBorders>
            <w:gridSpan w:val="8"/>
          </w:tcPr>
          <w:p>
            <w:pPr>
              <w:spacing w:after="0"/>
              <w:rPr>
                <w:sz w:val="17"/>
                <w:szCs w:val="17"/>
                <w:color w:val="auto"/>
              </w:rPr>
            </w:pPr>
          </w:p>
        </w:tc>
        <w:tc>
          <w:tcPr>
            <w:tcW w:w="540" w:type="dxa"/>
            <w:vAlign w:val="bottom"/>
            <w:gridSpan w:val="15"/>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1260" w:type="dxa"/>
            <w:vAlign w:val="bottom"/>
          </w:tcPr>
          <w:p>
            <w:pPr>
              <w:jc w:val="center"/>
              <w:spacing w:after="0"/>
              <w:rPr>
                <w:sz w:val="20"/>
                <w:szCs w:val="20"/>
                <w:color w:val="auto"/>
              </w:rPr>
            </w:pPr>
            <w:r>
              <w:rPr>
                <w:rFonts w:ascii="Arial" w:cs="Arial" w:eastAsia="Arial" w:hAnsi="Arial"/>
                <w:sz w:val="18"/>
                <w:szCs w:val="18"/>
                <w:color w:val="auto"/>
                <w:w w:val="95"/>
              </w:rPr>
              <w:t>31.1*</w:t>
            </w:r>
          </w:p>
        </w:tc>
        <w:tc>
          <w:tcPr>
            <w:tcW w:w="3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240" w:type="dxa"/>
            <w:vAlign w:val="bottom"/>
            <w:tcBorders>
              <w:bottom w:val="single" w:sz="8" w:color="0000EE"/>
            </w:tcBorders>
            <w:gridSpan w:val="13"/>
          </w:tcPr>
          <w:p>
            <w:pPr>
              <w:spacing w:after="0"/>
              <w:rPr>
                <w:rFonts w:ascii="Arial" w:cs="Arial" w:eastAsia="Arial" w:hAnsi="Arial"/>
                <w:sz w:val="18"/>
                <w:szCs w:val="18"/>
                <w:color w:val="0000EE"/>
                <w:w w:val="92"/>
              </w:rPr>
            </w:pPr>
            <w:hyperlink w:anchor="page178">
              <w:r>
                <w:rPr>
                  <w:rFonts w:ascii="Arial" w:cs="Arial" w:eastAsia="Arial" w:hAnsi="Arial"/>
                  <w:sz w:val="18"/>
                  <w:szCs w:val="18"/>
                  <w:color w:val="0000EE"/>
                  <w:w w:val="92"/>
                </w:rPr>
                <w:t>Certification of Chief Executive Officer pursuant to Section 302 of the Sarbanes-Oxley Act of 2002.</w:t>
              </w:r>
            </w:hyperlink>
          </w:p>
        </w:tc>
        <w:tc>
          <w:tcPr>
            <w:tcW w:w="2540" w:type="dxa"/>
            <w:vAlign w:val="bottom"/>
            <w:gridSpan w:val="17"/>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1260" w:type="dxa"/>
            <w:vAlign w:val="bottom"/>
          </w:tcPr>
          <w:p>
            <w:pPr>
              <w:jc w:val="center"/>
              <w:spacing w:after="0"/>
              <w:rPr>
                <w:sz w:val="20"/>
                <w:szCs w:val="20"/>
                <w:color w:val="auto"/>
              </w:rPr>
            </w:pPr>
            <w:r>
              <w:rPr>
                <w:rFonts w:ascii="Arial" w:cs="Arial" w:eastAsia="Arial" w:hAnsi="Arial"/>
                <w:sz w:val="18"/>
                <w:szCs w:val="18"/>
                <w:color w:val="auto"/>
                <w:w w:val="95"/>
              </w:rPr>
              <w:t>31.2*</w:t>
            </w:r>
          </w:p>
        </w:tc>
        <w:tc>
          <w:tcPr>
            <w:tcW w:w="3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200" w:type="dxa"/>
            <w:vAlign w:val="bottom"/>
            <w:tcBorders>
              <w:bottom w:val="single" w:sz="8" w:color="0000EE"/>
            </w:tcBorders>
            <w:gridSpan w:val="12"/>
          </w:tcPr>
          <w:p>
            <w:pPr>
              <w:spacing w:after="0"/>
              <w:rPr>
                <w:rFonts w:ascii="Arial" w:cs="Arial" w:eastAsia="Arial" w:hAnsi="Arial"/>
                <w:sz w:val="18"/>
                <w:szCs w:val="18"/>
                <w:color w:val="0000EE"/>
                <w:w w:val="92"/>
              </w:rPr>
            </w:pPr>
            <w:hyperlink w:anchor="page179">
              <w:r>
                <w:rPr>
                  <w:rFonts w:ascii="Arial" w:cs="Arial" w:eastAsia="Arial" w:hAnsi="Arial"/>
                  <w:sz w:val="18"/>
                  <w:szCs w:val="18"/>
                  <w:color w:val="0000EE"/>
                  <w:w w:val="92"/>
                </w:rPr>
                <w:t>Certification of Chief Financial Officer pursuant to Section 302 of the Sarbanes-Oxley Act of 2002.</w:t>
              </w:r>
            </w:hyperlink>
          </w:p>
        </w:tc>
        <w:tc>
          <w:tcPr>
            <w:tcW w:w="2580" w:type="dxa"/>
            <w:vAlign w:val="bottom"/>
            <w:gridSpan w:val="18"/>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1260" w:type="dxa"/>
            <w:vAlign w:val="bottom"/>
          </w:tcPr>
          <w:p>
            <w:pPr>
              <w:jc w:val="center"/>
              <w:spacing w:after="0"/>
              <w:rPr>
                <w:sz w:val="20"/>
                <w:szCs w:val="20"/>
                <w:color w:val="auto"/>
              </w:rPr>
            </w:pPr>
            <w:r>
              <w:rPr>
                <w:rFonts w:ascii="Arial" w:cs="Arial" w:eastAsia="Arial" w:hAnsi="Arial"/>
                <w:sz w:val="18"/>
                <w:szCs w:val="18"/>
                <w:color w:val="auto"/>
                <w:w w:val="95"/>
              </w:rPr>
              <w:t>32.1*</w:t>
            </w:r>
          </w:p>
        </w:tc>
        <w:tc>
          <w:tcPr>
            <w:tcW w:w="3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240" w:type="dxa"/>
            <w:vAlign w:val="bottom"/>
            <w:tcBorders>
              <w:bottom w:val="single" w:sz="8" w:color="0000EE"/>
            </w:tcBorders>
            <w:gridSpan w:val="13"/>
          </w:tcPr>
          <w:p>
            <w:pPr>
              <w:spacing w:after="0"/>
              <w:rPr>
                <w:rFonts w:ascii="Arial" w:cs="Arial" w:eastAsia="Arial" w:hAnsi="Arial"/>
                <w:sz w:val="18"/>
                <w:szCs w:val="18"/>
                <w:color w:val="0000EE"/>
                <w:w w:val="92"/>
              </w:rPr>
            </w:pPr>
            <w:hyperlink w:anchor="page180">
              <w:r>
                <w:rPr>
                  <w:rFonts w:ascii="Arial" w:cs="Arial" w:eastAsia="Arial" w:hAnsi="Arial"/>
                  <w:sz w:val="18"/>
                  <w:szCs w:val="18"/>
                  <w:color w:val="0000EE"/>
                  <w:w w:val="92"/>
                </w:rPr>
                <w:t>Certification of Chief Executive Officer pursuant to Section 906 of the Sarbanes-Oxley Act of 2002.</w:t>
              </w:r>
            </w:hyperlink>
          </w:p>
        </w:tc>
        <w:tc>
          <w:tcPr>
            <w:tcW w:w="2540" w:type="dxa"/>
            <w:vAlign w:val="bottom"/>
            <w:gridSpan w:val="17"/>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1260" w:type="dxa"/>
            <w:vAlign w:val="bottom"/>
          </w:tcPr>
          <w:p>
            <w:pPr>
              <w:jc w:val="center"/>
              <w:spacing w:after="0"/>
              <w:rPr>
                <w:sz w:val="20"/>
                <w:szCs w:val="20"/>
                <w:color w:val="auto"/>
              </w:rPr>
            </w:pPr>
            <w:r>
              <w:rPr>
                <w:rFonts w:ascii="Arial" w:cs="Arial" w:eastAsia="Arial" w:hAnsi="Arial"/>
                <w:sz w:val="18"/>
                <w:szCs w:val="18"/>
                <w:color w:val="auto"/>
                <w:w w:val="95"/>
              </w:rPr>
              <w:t>32.2*</w:t>
            </w:r>
          </w:p>
        </w:tc>
        <w:tc>
          <w:tcPr>
            <w:tcW w:w="3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780" w:type="dxa"/>
            <w:vAlign w:val="bottom"/>
            <w:gridSpan w:val="30"/>
          </w:tcPr>
          <w:p>
            <w:pPr>
              <w:spacing w:after="0"/>
              <w:rPr>
                <w:rFonts w:ascii="Arial" w:cs="Arial" w:eastAsia="Arial" w:hAnsi="Arial"/>
                <w:sz w:val="18"/>
                <w:szCs w:val="18"/>
                <w:color w:val="0000EE"/>
              </w:rPr>
            </w:pPr>
            <w:hyperlink w:anchor="page181">
              <w:r>
                <w:rPr>
                  <w:rFonts w:ascii="Arial" w:cs="Arial" w:eastAsia="Arial" w:hAnsi="Arial"/>
                  <w:sz w:val="18"/>
                  <w:szCs w:val="18"/>
                  <w:color w:val="0000EE"/>
                </w:rPr>
                <w:t>Certification of Chief Financial Officer pursuant to Section 906 of the Sarbanes-Oxley Act of 2002.</w:t>
              </w:r>
            </w:hyperlink>
          </w:p>
        </w:tc>
        <w:tc>
          <w:tcPr>
            <w:tcW w:w="0" w:type="dxa"/>
            <w:vAlign w:val="bottom"/>
          </w:tcPr>
          <w:p>
            <w:pPr>
              <w:spacing w:after="0"/>
              <w:rPr>
                <w:sz w:val="1"/>
                <w:szCs w:val="1"/>
                <w:color w:val="auto"/>
              </w:rPr>
            </w:pPr>
          </w:p>
        </w:tc>
      </w:tr>
      <w:tr>
        <w:trPr>
          <w:trHeight w:val="291"/>
        </w:trPr>
        <w:tc>
          <w:tcPr>
            <w:tcW w:w="1620" w:type="dxa"/>
            <w:vAlign w:val="bottom"/>
            <w:gridSpan w:val="2"/>
          </w:tcPr>
          <w:p>
            <w:pPr>
              <w:jc w:val="center"/>
              <w:ind w:right="360"/>
              <w:spacing w:after="0"/>
              <w:rPr>
                <w:sz w:val="20"/>
                <w:szCs w:val="20"/>
                <w:color w:val="auto"/>
              </w:rPr>
            </w:pPr>
            <w:r>
              <w:rPr>
                <w:rFonts w:ascii="Arial" w:cs="Arial" w:eastAsia="Arial" w:hAnsi="Arial"/>
                <w:sz w:val="18"/>
                <w:szCs w:val="18"/>
                <w:color w:val="auto"/>
                <w:w w:val="97"/>
              </w:rPr>
              <w:t>101.INS*</w:t>
            </w:r>
          </w:p>
        </w:tc>
        <w:tc>
          <w:tcPr>
            <w:tcW w:w="20" w:type="dxa"/>
            <w:vAlign w:val="bottom"/>
          </w:tcPr>
          <w:p>
            <w:pPr>
              <w:spacing w:after="0"/>
              <w:rPr>
                <w:sz w:val="24"/>
                <w:szCs w:val="24"/>
                <w:color w:val="auto"/>
              </w:rPr>
            </w:pPr>
          </w:p>
        </w:tc>
        <w:tc>
          <w:tcPr>
            <w:tcW w:w="7180" w:type="dxa"/>
            <w:vAlign w:val="bottom"/>
            <w:tcBorders>
              <w:top w:val="single" w:sz="8" w:color="0000EE"/>
            </w:tcBorders>
            <w:gridSpan w:val="11"/>
          </w:tcPr>
          <w:p>
            <w:pPr>
              <w:spacing w:after="0"/>
              <w:rPr>
                <w:sz w:val="20"/>
                <w:szCs w:val="20"/>
                <w:color w:val="auto"/>
              </w:rPr>
            </w:pPr>
            <w:r>
              <w:rPr>
                <w:rFonts w:ascii="Arial" w:cs="Arial" w:eastAsia="Arial" w:hAnsi="Arial"/>
                <w:sz w:val="18"/>
                <w:szCs w:val="18"/>
                <w:color w:val="auto"/>
              </w:rPr>
              <w:t>XBRL Instance Document.</w:t>
            </w:r>
          </w:p>
        </w:tc>
        <w:tc>
          <w:tcPr>
            <w:tcW w:w="2600" w:type="dxa"/>
            <w:vAlign w:val="bottom"/>
            <w:gridSpan w:val="19"/>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620" w:type="dxa"/>
            <w:vAlign w:val="bottom"/>
            <w:gridSpan w:val="2"/>
          </w:tcPr>
          <w:p>
            <w:pPr>
              <w:jc w:val="center"/>
              <w:ind w:right="340"/>
              <w:spacing w:after="0"/>
              <w:rPr>
                <w:sz w:val="20"/>
                <w:szCs w:val="20"/>
                <w:color w:val="auto"/>
              </w:rPr>
            </w:pPr>
            <w:r>
              <w:rPr>
                <w:rFonts w:ascii="Arial" w:cs="Arial" w:eastAsia="Arial" w:hAnsi="Arial"/>
                <w:sz w:val="18"/>
                <w:szCs w:val="18"/>
                <w:color w:val="auto"/>
                <w:w w:val="94"/>
              </w:rPr>
              <w:t>101.SCH*</w:t>
            </w:r>
          </w:p>
        </w:tc>
        <w:tc>
          <w:tcPr>
            <w:tcW w:w="20" w:type="dxa"/>
            <w:vAlign w:val="bottom"/>
          </w:tcPr>
          <w:p>
            <w:pPr>
              <w:spacing w:after="0"/>
              <w:rPr>
                <w:sz w:val="23"/>
                <w:szCs w:val="23"/>
                <w:color w:val="auto"/>
              </w:rPr>
            </w:pPr>
          </w:p>
        </w:tc>
        <w:tc>
          <w:tcPr>
            <w:tcW w:w="9780" w:type="dxa"/>
            <w:vAlign w:val="bottom"/>
            <w:gridSpan w:val="30"/>
          </w:tcPr>
          <w:p>
            <w:pPr>
              <w:spacing w:after="0"/>
              <w:rPr>
                <w:sz w:val="20"/>
                <w:szCs w:val="20"/>
                <w:color w:val="auto"/>
              </w:rPr>
            </w:pPr>
            <w:r>
              <w:rPr>
                <w:rFonts w:ascii="Arial" w:cs="Arial" w:eastAsia="Arial" w:hAnsi="Arial"/>
                <w:sz w:val="18"/>
                <w:szCs w:val="18"/>
                <w:color w:val="auto"/>
              </w:rPr>
              <w:t>XBRL Taxonomy Extension Schema Document.</w:t>
            </w:r>
          </w:p>
        </w:tc>
        <w:tc>
          <w:tcPr>
            <w:tcW w:w="0" w:type="dxa"/>
            <w:vAlign w:val="bottom"/>
          </w:tcPr>
          <w:p>
            <w:pPr>
              <w:spacing w:after="0"/>
              <w:rPr>
                <w:sz w:val="1"/>
                <w:szCs w:val="1"/>
                <w:color w:val="auto"/>
              </w:rPr>
            </w:pPr>
          </w:p>
        </w:tc>
      </w:tr>
      <w:tr>
        <w:trPr>
          <w:trHeight w:val="270"/>
        </w:trPr>
        <w:tc>
          <w:tcPr>
            <w:tcW w:w="1620" w:type="dxa"/>
            <w:vAlign w:val="bottom"/>
            <w:gridSpan w:val="2"/>
          </w:tcPr>
          <w:p>
            <w:pPr>
              <w:jc w:val="center"/>
              <w:ind w:right="340"/>
              <w:spacing w:after="0"/>
              <w:rPr>
                <w:sz w:val="20"/>
                <w:szCs w:val="20"/>
                <w:color w:val="auto"/>
              </w:rPr>
            </w:pPr>
            <w:r>
              <w:rPr>
                <w:rFonts w:ascii="Arial" w:cs="Arial" w:eastAsia="Arial" w:hAnsi="Arial"/>
                <w:sz w:val="18"/>
                <w:szCs w:val="18"/>
                <w:color w:val="auto"/>
                <w:w w:val="98"/>
              </w:rPr>
              <w:t>101.CAL*</w:t>
            </w:r>
          </w:p>
        </w:tc>
        <w:tc>
          <w:tcPr>
            <w:tcW w:w="20" w:type="dxa"/>
            <w:vAlign w:val="bottom"/>
          </w:tcPr>
          <w:p>
            <w:pPr>
              <w:spacing w:after="0"/>
              <w:rPr>
                <w:sz w:val="23"/>
                <w:szCs w:val="23"/>
                <w:color w:val="auto"/>
              </w:rPr>
            </w:pPr>
          </w:p>
        </w:tc>
        <w:tc>
          <w:tcPr>
            <w:tcW w:w="9780" w:type="dxa"/>
            <w:vAlign w:val="bottom"/>
            <w:gridSpan w:val="30"/>
          </w:tcPr>
          <w:p>
            <w:pPr>
              <w:spacing w:after="0"/>
              <w:rPr>
                <w:sz w:val="20"/>
                <w:szCs w:val="20"/>
                <w:color w:val="auto"/>
              </w:rPr>
            </w:pPr>
            <w:r>
              <w:rPr>
                <w:rFonts w:ascii="Arial" w:cs="Arial" w:eastAsia="Arial" w:hAnsi="Arial"/>
                <w:sz w:val="18"/>
                <w:szCs w:val="18"/>
                <w:color w:val="auto"/>
              </w:rPr>
              <w:t>XBRL Taxonomy Extension Calculation Linkbase Document.</w:t>
            </w:r>
          </w:p>
        </w:tc>
        <w:tc>
          <w:tcPr>
            <w:tcW w:w="0" w:type="dxa"/>
            <w:vAlign w:val="bottom"/>
          </w:tcPr>
          <w:p>
            <w:pPr>
              <w:spacing w:after="0"/>
              <w:rPr>
                <w:sz w:val="1"/>
                <w:szCs w:val="1"/>
                <w:color w:val="auto"/>
              </w:rPr>
            </w:pPr>
          </w:p>
        </w:tc>
      </w:tr>
      <w:tr>
        <w:trPr>
          <w:trHeight w:val="270"/>
        </w:trPr>
        <w:tc>
          <w:tcPr>
            <w:tcW w:w="1620" w:type="dxa"/>
            <w:vAlign w:val="bottom"/>
            <w:gridSpan w:val="2"/>
          </w:tcPr>
          <w:p>
            <w:pPr>
              <w:jc w:val="center"/>
              <w:ind w:right="340"/>
              <w:spacing w:after="0"/>
              <w:rPr>
                <w:sz w:val="20"/>
                <w:szCs w:val="20"/>
                <w:color w:val="auto"/>
              </w:rPr>
            </w:pPr>
            <w:r>
              <w:rPr>
                <w:rFonts w:ascii="Arial" w:cs="Arial" w:eastAsia="Arial" w:hAnsi="Arial"/>
                <w:sz w:val="18"/>
                <w:szCs w:val="18"/>
                <w:color w:val="auto"/>
                <w:w w:val="99"/>
              </w:rPr>
              <w:t>101.LAB*</w:t>
            </w:r>
          </w:p>
        </w:tc>
        <w:tc>
          <w:tcPr>
            <w:tcW w:w="20" w:type="dxa"/>
            <w:vAlign w:val="bottom"/>
          </w:tcPr>
          <w:p>
            <w:pPr>
              <w:spacing w:after="0"/>
              <w:rPr>
                <w:sz w:val="23"/>
                <w:szCs w:val="23"/>
                <w:color w:val="auto"/>
              </w:rPr>
            </w:pPr>
          </w:p>
        </w:tc>
        <w:tc>
          <w:tcPr>
            <w:tcW w:w="9780" w:type="dxa"/>
            <w:vAlign w:val="bottom"/>
            <w:gridSpan w:val="30"/>
          </w:tcPr>
          <w:p>
            <w:pPr>
              <w:spacing w:after="0"/>
              <w:rPr>
                <w:sz w:val="20"/>
                <w:szCs w:val="20"/>
                <w:color w:val="auto"/>
              </w:rPr>
            </w:pPr>
            <w:r>
              <w:rPr>
                <w:rFonts w:ascii="Arial" w:cs="Arial" w:eastAsia="Arial" w:hAnsi="Arial"/>
                <w:sz w:val="18"/>
                <w:szCs w:val="18"/>
                <w:color w:val="auto"/>
              </w:rPr>
              <w:t>XBRL Taxonomy Extension Label Linkbase Document.</w:t>
            </w:r>
          </w:p>
        </w:tc>
        <w:tc>
          <w:tcPr>
            <w:tcW w:w="0" w:type="dxa"/>
            <w:vAlign w:val="bottom"/>
          </w:tcPr>
          <w:p>
            <w:pPr>
              <w:spacing w:after="0"/>
              <w:rPr>
                <w:sz w:val="1"/>
                <w:szCs w:val="1"/>
                <w:color w:val="auto"/>
              </w:rPr>
            </w:pPr>
          </w:p>
        </w:tc>
      </w:tr>
      <w:tr>
        <w:trPr>
          <w:trHeight w:val="270"/>
        </w:trPr>
        <w:tc>
          <w:tcPr>
            <w:tcW w:w="1620" w:type="dxa"/>
            <w:vAlign w:val="bottom"/>
            <w:gridSpan w:val="2"/>
          </w:tcPr>
          <w:p>
            <w:pPr>
              <w:jc w:val="center"/>
              <w:ind w:right="360"/>
              <w:spacing w:after="0"/>
              <w:rPr>
                <w:sz w:val="20"/>
                <w:szCs w:val="20"/>
                <w:color w:val="auto"/>
              </w:rPr>
            </w:pPr>
            <w:r>
              <w:rPr>
                <w:rFonts w:ascii="Arial" w:cs="Arial" w:eastAsia="Arial" w:hAnsi="Arial"/>
                <w:sz w:val="18"/>
                <w:szCs w:val="18"/>
                <w:color w:val="auto"/>
                <w:w w:val="93"/>
              </w:rPr>
              <w:t>101.PRE*</w:t>
            </w:r>
          </w:p>
        </w:tc>
        <w:tc>
          <w:tcPr>
            <w:tcW w:w="20" w:type="dxa"/>
            <w:vAlign w:val="bottom"/>
          </w:tcPr>
          <w:p>
            <w:pPr>
              <w:spacing w:after="0"/>
              <w:rPr>
                <w:sz w:val="23"/>
                <w:szCs w:val="23"/>
                <w:color w:val="auto"/>
              </w:rPr>
            </w:pPr>
          </w:p>
        </w:tc>
        <w:tc>
          <w:tcPr>
            <w:tcW w:w="9780" w:type="dxa"/>
            <w:vAlign w:val="bottom"/>
            <w:gridSpan w:val="30"/>
          </w:tcPr>
          <w:p>
            <w:pPr>
              <w:spacing w:after="0"/>
              <w:rPr>
                <w:sz w:val="20"/>
                <w:szCs w:val="20"/>
                <w:color w:val="auto"/>
              </w:rPr>
            </w:pPr>
            <w:r>
              <w:rPr>
                <w:rFonts w:ascii="Arial" w:cs="Arial" w:eastAsia="Arial" w:hAnsi="Arial"/>
                <w:sz w:val="18"/>
                <w:szCs w:val="18"/>
                <w:color w:val="auto"/>
              </w:rPr>
              <w:t>XBRL Taxonomy Extension Presentation Linkbase Document.</w:t>
            </w:r>
          </w:p>
        </w:tc>
        <w:tc>
          <w:tcPr>
            <w:tcW w:w="0" w:type="dxa"/>
            <w:vAlign w:val="bottom"/>
          </w:tcPr>
          <w:p>
            <w:pPr>
              <w:spacing w:after="0"/>
              <w:rPr>
                <w:sz w:val="1"/>
                <w:szCs w:val="1"/>
                <w:color w:val="auto"/>
              </w:rPr>
            </w:pPr>
          </w:p>
        </w:tc>
      </w:tr>
      <w:tr>
        <w:trPr>
          <w:trHeight w:val="270"/>
        </w:trPr>
        <w:tc>
          <w:tcPr>
            <w:tcW w:w="1620" w:type="dxa"/>
            <w:vAlign w:val="bottom"/>
            <w:gridSpan w:val="2"/>
          </w:tcPr>
          <w:p>
            <w:pPr>
              <w:jc w:val="center"/>
              <w:ind w:right="360"/>
              <w:spacing w:after="0"/>
              <w:rPr>
                <w:sz w:val="20"/>
                <w:szCs w:val="20"/>
                <w:color w:val="auto"/>
              </w:rPr>
            </w:pPr>
            <w:r>
              <w:rPr>
                <w:rFonts w:ascii="Arial" w:cs="Arial" w:eastAsia="Arial" w:hAnsi="Arial"/>
                <w:sz w:val="18"/>
                <w:szCs w:val="18"/>
                <w:color w:val="auto"/>
                <w:w w:val="94"/>
              </w:rPr>
              <w:t>101.DEF*</w:t>
            </w:r>
          </w:p>
        </w:tc>
        <w:tc>
          <w:tcPr>
            <w:tcW w:w="20" w:type="dxa"/>
            <w:vAlign w:val="bottom"/>
          </w:tcPr>
          <w:p>
            <w:pPr>
              <w:spacing w:after="0"/>
              <w:rPr>
                <w:sz w:val="23"/>
                <w:szCs w:val="23"/>
                <w:color w:val="auto"/>
              </w:rPr>
            </w:pPr>
          </w:p>
        </w:tc>
        <w:tc>
          <w:tcPr>
            <w:tcW w:w="9780" w:type="dxa"/>
            <w:vAlign w:val="bottom"/>
            <w:gridSpan w:val="30"/>
          </w:tcPr>
          <w:p>
            <w:pPr>
              <w:spacing w:after="0"/>
              <w:rPr>
                <w:sz w:val="20"/>
                <w:szCs w:val="20"/>
                <w:color w:val="auto"/>
              </w:rPr>
            </w:pPr>
            <w:r>
              <w:rPr>
                <w:rFonts w:ascii="Arial" w:cs="Arial" w:eastAsia="Arial" w:hAnsi="Arial"/>
                <w:sz w:val="18"/>
                <w:szCs w:val="18"/>
                <w:color w:val="auto"/>
              </w:rPr>
              <w:t>XBRL Taxonomy Extension Definition Linkbase Document.</w:t>
            </w:r>
          </w:p>
        </w:tc>
        <w:tc>
          <w:tcPr>
            <w:tcW w:w="0" w:type="dxa"/>
            <w:vAlign w:val="bottom"/>
          </w:tcPr>
          <w:p>
            <w:pPr>
              <w:spacing w:after="0"/>
              <w:rPr>
                <w:sz w:val="1"/>
                <w:szCs w:val="1"/>
                <w:color w:val="auto"/>
              </w:rPr>
            </w:pPr>
          </w:p>
        </w:tc>
      </w:tr>
    </w:tbl>
    <w:p>
      <w:pPr>
        <w:spacing w:after="0" w:line="121" w:lineRule="exact"/>
        <w:rPr>
          <w:sz w:val="20"/>
          <w:szCs w:val="20"/>
          <w:color w:val="auto"/>
        </w:rPr>
      </w:pPr>
    </w:p>
    <w:p>
      <w:pPr>
        <w:ind w:left="980"/>
        <w:spacing w:after="0"/>
        <w:rPr>
          <w:sz w:val="20"/>
          <w:szCs w:val="20"/>
          <w:color w:val="auto"/>
        </w:rPr>
      </w:pPr>
      <w:r>
        <w:rPr>
          <w:rFonts w:ascii="Arial" w:cs="Arial" w:eastAsia="Arial" w:hAnsi="Arial"/>
          <w:sz w:val="18"/>
          <w:szCs w:val="18"/>
          <w:color w:val="auto"/>
        </w:rPr>
        <w:t>* Filed herewith</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172</w:t>
      </w:r>
    </w:p>
    <w:p>
      <w:pPr>
        <w:sectPr>
          <w:pgSz w:w="11900" w:h="16838" w:orient="portrait"/>
          <w:cols w:equalWidth="0" w:num="1">
            <w:col w:w="11420"/>
          </w:cols>
          <w:pgMar w:left="240" w:top="126" w:right="239" w:bottom="1440" w:gutter="0" w:footer="0" w:header="0"/>
        </w:sectPr>
      </w:pPr>
    </w:p>
    <w:bookmarkStart w:id="174" w:name="page175"/>
    <w:bookmarkEnd w:id="174"/>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BRIGHTHOUSE FINANCIAL, INC.</w:t>
      </w:r>
    </w:p>
    <w:p>
      <w:pPr>
        <w:spacing w:after="0" w:line="387" w:lineRule="exact"/>
        <w:rPr>
          <w:sz w:val="20"/>
          <w:szCs w:val="20"/>
          <w:color w:val="auto"/>
        </w:rPr>
      </w:pPr>
    </w:p>
    <w:tbl>
      <w:tblPr>
        <w:tblLayout w:type="fixed"/>
        <w:tblInd w:w="340" w:type="dxa"/>
        <w:tblCellMar>
          <w:top w:w="0" w:type="dxa"/>
          <w:left w:w="0" w:type="dxa"/>
          <w:bottom w:w="0" w:type="dxa"/>
          <w:right w:w="0" w:type="dxa"/>
        </w:tblCellMar>
      </w:tblPr>
      <w:tr>
        <w:trPr>
          <w:trHeight w:val="230"/>
        </w:trPr>
        <w:tc>
          <w:tcPr>
            <w:tcW w:w="5660" w:type="dxa"/>
            <w:vAlign w:val="bottom"/>
            <w:gridSpan w:val="2"/>
          </w:tcPr>
          <w:p>
            <w:pPr>
              <w:jc w:val="right"/>
              <w:ind w:right="910"/>
              <w:spacing w:after="0"/>
              <w:rPr>
                <w:sz w:val="20"/>
                <w:szCs w:val="20"/>
                <w:color w:val="auto"/>
              </w:rPr>
            </w:pPr>
            <w:r>
              <w:rPr>
                <w:rFonts w:ascii="Arial" w:cs="Arial" w:eastAsia="Arial" w:hAnsi="Arial"/>
                <w:sz w:val="18"/>
                <w:szCs w:val="18"/>
                <w:color w:val="auto"/>
              </w:rPr>
              <w:t>By:</w:t>
            </w:r>
          </w:p>
        </w:tc>
        <w:tc>
          <w:tcPr>
            <w:tcW w:w="5420" w:type="dxa"/>
            <w:vAlign w:val="bottom"/>
          </w:tcPr>
          <w:p>
            <w:pPr>
              <w:ind w:left="160"/>
              <w:spacing w:after="0"/>
              <w:rPr>
                <w:sz w:val="20"/>
                <w:szCs w:val="20"/>
                <w:color w:val="auto"/>
              </w:rPr>
            </w:pPr>
            <w:r>
              <w:rPr>
                <w:rFonts w:ascii="Arial" w:cs="Arial" w:eastAsia="Arial" w:hAnsi="Arial"/>
                <w:sz w:val="18"/>
                <w:szCs w:val="18"/>
                <w:color w:val="auto"/>
              </w:rPr>
              <w:t>/s/ Anant Bhalla</w:t>
            </w:r>
          </w:p>
        </w:tc>
      </w:tr>
      <w:tr>
        <w:trPr>
          <w:trHeight w:val="27"/>
        </w:trPr>
        <w:tc>
          <w:tcPr>
            <w:tcW w:w="490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5420" w:type="dxa"/>
            <w:vAlign w:val="bottom"/>
            <w:tcBorders>
              <w:bottom w:val="single" w:sz="8" w:color="auto"/>
            </w:tcBorders>
          </w:tcPr>
          <w:p>
            <w:pPr>
              <w:spacing w:after="0"/>
              <w:rPr>
                <w:sz w:val="2"/>
                <w:szCs w:val="2"/>
                <w:color w:val="auto"/>
              </w:rPr>
            </w:pPr>
          </w:p>
        </w:tc>
      </w:tr>
      <w:tr>
        <w:trPr>
          <w:trHeight w:val="237"/>
        </w:trPr>
        <w:tc>
          <w:tcPr>
            <w:tcW w:w="4900" w:type="dxa"/>
            <w:vAlign w:val="bottom"/>
          </w:tcPr>
          <w:p>
            <w:pPr>
              <w:spacing w:after="0"/>
              <w:rPr>
                <w:sz w:val="20"/>
                <w:szCs w:val="20"/>
                <w:color w:val="auto"/>
              </w:rPr>
            </w:pPr>
          </w:p>
        </w:tc>
        <w:tc>
          <w:tcPr>
            <w:tcW w:w="760" w:type="dxa"/>
            <w:vAlign w:val="bottom"/>
          </w:tcPr>
          <w:p>
            <w:pPr>
              <w:ind w:left="20"/>
              <w:spacing w:after="0"/>
              <w:rPr>
                <w:sz w:val="20"/>
                <w:szCs w:val="20"/>
                <w:color w:val="auto"/>
              </w:rPr>
            </w:pPr>
            <w:r>
              <w:rPr>
                <w:rFonts w:ascii="Arial" w:cs="Arial" w:eastAsia="Arial" w:hAnsi="Arial"/>
                <w:sz w:val="18"/>
                <w:szCs w:val="18"/>
                <w:color w:val="auto"/>
              </w:rPr>
              <w:t>Name:</w:t>
            </w:r>
          </w:p>
        </w:tc>
        <w:tc>
          <w:tcPr>
            <w:tcW w:w="5420" w:type="dxa"/>
            <w:vAlign w:val="bottom"/>
          </w:tcPr>
          <w:p>
            <w:pPr>
              <w:ind w:left="160"/>
              <w:spacing w:after="0"/>
              <w:rPr>
                <w:sz w:val="20"/>
                <w:szCs w:val="20"/>
                <w:color w:val="auto"/>
              </w:rPr>
            </w:pPr>
            <w:r>
              <w:rPr>
                <w:rFonts w:ascii="Arial" w:cs="Arial" w:eastAsia="Arial" w:hAnsi="Arial"/>
                <w:sz w:val="18"/>
                <w:szCs w:val="18"/>
                <w:color w:val="auto"/>
              </w:rPr>
              <w:t>Anant Bhalla</w:t>
            </w:r>
          </w:p>
        </w:tc>
      </w:tr>
      <w:tr>
        <w:trPr>
          <w:trHeight w:val="486"/>
        </w:trPr>
        <w:tc>
          <w:tcPr>
            <w:tcW w:w="4900" w:type="dxa"/>
            <w:vAlign w:val="bottom"/>
          </w:tcPr>
          <w:p>
            <w:pPr>
              <w:spacing w:after="0"/>
              <w:rPr>
                <w:sz w:val="24"/>
                <w:szCs w:val="24"/>
                <w:color w:val="auto"/>
              </w:rPr>
            </w:pPr>
          </w:p>
        </w:tc>
        <w:tc>
          <w:tcPr>
            <w:tcW w:w="760" w:type="dxa"/>
            <w:vAlign w:val="bottom"/>
          </w:tcPr>
          <w:p>
            <w:pPr>
              <w:ind w:left="20"/>
              <w:spacing w:after="0"/>
              <w:rPr>
                <w:sz w:val="20"/>
                <w:szCs w:val="20"/>
                <w:color w:val="auto"/>
              </w:rPr>
            </w:pPr>
            <w:r>
              <w:rPr>
                <w:rFonts w:ascii="Arial" w:cs="Arial" w:eastAsia="Arial" w:hAnsi="Arial"/>
                <w:sz w:val="18"/>
                <w:szCs w:val="18"/>
                <w:color w:val="auto"/>
              </w:rPr>
              <w:t>Title:</w:t>
            </w:r>
          </w:p>
        </w:tc>
        <w:tc>
          <w:tcPr>
            <w:tcW w:w="5420" w:type="dxa"/>
            <w:vAlign w:val="bottom"/>
          </w:tcPr>
          <w:p>
            <w:pPr>
              <w:ind w:left="160"/>
              <w:spacing w:after="0"/>
              <w:rPr>
                <w:sz w:val="20"/>
                <w:szCs w:val="20"/>
                <w:color w:val="auto"/>
              </w:rPr>
            </w:pPr>
            <w:r>
              <w:rPr>
                <w:rFonts w:ascii="Arial" w:cs="Arial" w:eastAsia="Arial" w:hAnsi="Arial"/>
                <w:sz w:val="18"/>
                <w:szCs w:val="18"/>
                <w:color w:val="auto"/>
              </w:rPr>
              <w:t>Executive Vice President and Chief Financial Officer</w:t>
            </w:r>
          </w:p>
        </w:tc>
      </w:tr>
      <w:tr>
        <w:trPr>
          <w:trHeight w:val="486"/>
        </w:trPr>
        <w:tc>
          <w:tcPr>
            <w:tcW w:w="49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420" w:type="dxa"/>
            <w:vAlign w:val="bottom"/>
          </w:tcPr>
          <w:p>
            <w:pPr>
              <w:ind w:left="160"/>
              <w:spacing w:after="0"/>
              <w:rPr>
                <w:sz w:val="20"/>
                <w:szCs w:val="20"/>
                <w:color w:val="auto"/>
              </w:rPr>
            </w:pPr>
            <w:r>
              <w:rPr>
                <w:rFonts w:ascii="Arial" w:cs="Arial" w:eastAsia="Arial" w:hAnsi="Arial"/>
                <w:sz w:val="18"/>
                <w:szCs w:val="18"/>
                <w:color w:val="auto"/>
              </w:rPr>
              <w:t>(Authorized Signatory and Principal Financial Officer)</w:t>
            </w:r>
          </w:p>
        </w:tc>
      </w:tr>
      <w:tr>
        <w:trPr>
          <w:trHeight w:val="459"/>
        </w:trPr>
        <w:tc>
          <w:tcPr>
            <w:tcW w:w="5660" w:type="dxa"/>
            <w:vAlign w:val="bottom"/>
            <w:gridSpan w:val="2"/>
          </w:tcPr>
          <w:p>
            <w:pPr>
              <w:jc w:val="right"/>
              <w:ind w:right="3790"/>
              <w:spacing w:after="0"/>
              <w:rPr>
                <w:sz w:val="20"/>
                <w:szCs w:val="20"/>
                <w:color w:val="auto"/>
              </w:rPr>
            </w:pPr>
            <w:r>
              <w:rPr>
                <w:rFonts w:ascii="Arial" w:cs="Arial" w:eastAsia="Arial" w:hAnsi="Arial"/>
                <w:sz w:val="18"/>
                <w:szCs w:val="18"/>
                <w:color w:val="auto"/>
                <w:w w:val="89"/>
              </w:rPr>
              <w:t>Date: November 9, 2017</w:t>
            </w:r>
          </w:p>
        </w:tc>
        <w:tc>
          <w:tcPr>
            <w:tcW w:w="5420" w:type="dxa"/>
            <w:vAlign w:val="bottom"/>
          </w:tcPr>
          <w:p>
            <w:pPr>
              <w:spacing w:after="0"/>
              <w:rPr>
                <w:sz w:val="24"/>
                <w:szCs w:val="24"/>
                <w:color w:val="auto"/>
              </w:rPr>
            </w:pPr>
          </w:p>
        </w:tc>
      </w:tr>
      <w:tr>
        <w:trPr>
          <w:trHeight w:val="459"/>
        </w:trPr>
        <w:tc>
          <w:tcPr>
            <w:tcW w:w="5660" w:type="dxa"/>
            <w:vAlign w:val="bottom"/>
            <w:gridSpan w:val="2"/>
          </w:tcPr>
          <w:p>
            <w:pPr>
              <w:jc w:val="right"/>
              <w:ind w:right="70"/>
              <w:spacing w:after="0"/>
              <w:rPr>
                <w:sz w:val="20"/>
                <w:szCs w:val="20"/>
                <w:color w:val="auto"/>
              </w:rPr>
            </w:pPr>
            <w:r>
              <w:rPr>
                <w:rFonts w:ascii="Arial" w:cs="Arial" w:eastAsia="Arial" w:hAnsi="Arial"/>
                <w:sz w:val="18"/>
                <w:szCs w:val="18"/>
                <w:color w:val="auto"/>
              </w:rPr>
              <w:t>173</w:t>
            </w:r>
          </w:p>
        </w:tc>
        <w:tc>
          <w:tcPr>
            <w:tcW w:w="5420" w:type="dxa"/>
            <w:vAlign w:val="bottom"/>
          </w:tcPr>
          <w:p>
            <w:pPr>
              <w:spacing w:after="0"/>
              <w:rPr>
                <w:sz w:val="24"/>
                <w:szCs w:val="24"/>
                <w:color w:val="auto"/>
              </w:rPr>
            </w:pPr>
          </w:p>
        </w:tc>
      </w:tr>
    </w:tbl>
    <w:p>
      <w:pPr>
        <w:sectPr>
          <w:pgSz w:w="11900" w:h="16838" w:orient="portrait"/>
          <w:cols w:equalWidth="0" w:num="1">
            <w:col w:w="11420"/>
          </w:cols>
          <w:pgMar w:left="240" w:top="126" w:right="239" w:bottom="1440" w:gutter="0" w:footer="0" w:header="0"/>
        </w:sectPr>
      </w:pPr>
    </w:p>
    <w:bookmarkStart w:id="175" w:name="page176"/>
    <w:bookmarkEnd w:id="175"/>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Exhibit Index</w:t>
      </w:r>
    </w:p>
    <w:p>
      <w:pPr>
        <w:spacing w:after="0" w:line="108"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6"/>
          <w:szCs w:val="16"/>
          <w:b w:val="1"/>
          <w:bCs w:val="1"/>
          <w:i w:val="1"/>
          <w:iCs w:val="1"/>
          <w:color w:val="auto"/>
        </w:rPr>
        <w:t xml:space="preserve">(Note Regarding Reliance on Statements in Our Contracts: </w:t>
      </w:r>
      <w:r>
        <w:rPr>
          <w:rFonts w:ascii="Arial" w:cs="Arial" w:eastAsia="Arial" w:hAnsi="Arial"/>
          <w:sz w:val="16"/>
          <w:szCs w:val="16"/>
          <w:i w:val="1"/>
          <w:iCs w:val="1"/>
          <w:color w:val="auto"/>
        </w:rPr>
        <w:t>In reviewing the agreements included as exhibits to this Quarterly Report on Form 10-Q,</w:t>
      </w:r>
      <w:r>
        <w:rPr>
          <w:rFonts w:ascii="Arial" w:cs="Arial" w:eastAsia="Arial" w:hAnsi="Arial"/>
          <w:sz w:val="16"/>
          <w:szCs w:val="16"/>
          <w:b w:val="1"/>
          <w:bCs w:val="1"/>
          <w:i w:val="1"/>
          <w:iCs w:val="1"/>
          <w:color w:val="auto"/>
        </w:rPr>
        <w:t xml:space="preserve"> </w:t>
      </w:r>
      <w:r>
        <w:rPr>
          <w:rFonts w:ascii="Arial" w:cs="Arial" w:eastAsia="Arial" w:hAnsi="Arial"/>
          <w:sz w:val="16"/>
          <w:szCs w:val="16"/>
          <w:i w:val="1"/>
          <w:iCs w:val="1"/>
          <w:color w:val="auto"/>
        </w:rPr>
        <w:t>please remember that they are included to provide you with information regarding their terms and are not intended to provide any other factual or disclosure information about Brighthouse Financial, Inc. and its subsidiaries or affiliates, or the other parties to the agreements. The agreements contain representations and warranties by each of the parties to the applicable agreement. These representations and warranties have been made solely for the benefit of the other parties to the applicable agreement and (i) should not in all instances be treated as categorical statements of fact, but rather as a way of allocating the risk to one of the parties if those statements prove to be inaccurate; (ii) have been qualified by disclosures that were made to the other party in connection with the negotiation of the applicable agreement, which disclosures are not necessarily reflected in the agreement; (iii) may apply standards of materiality in a way that is different from what may be viewed as material to investors; and (iv) were made only at the date of the applicable agreement or such other date or dates as may be specified in the agreement and are subject to more recent developments. Accordingly, these representations and warranties may not describe the actual state of affairs at the date they were made or at any other time. Additional information about Brighthouse Financial, Inc. and its subsidiaries and affiliates may be found elsewhere in this Quarterly Report on Form 10-Q and Brighthouse Financial, Inc.’s other public filings, which are available without charge through the U.S. Securities and Exchange Commission website at www.sec.gov.)</w:t>
      </w:r>
    </w:p>
    <w:p>
      <w:pPr>
        <w:spacing w:after="0" w:line="369"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E-1</w:t>
      </w:r>
    </w:p>
    <w:p>
      <w:pPr>
        <w:sectPr>
          <w:pgSz w:w="11900" w:h="16838" w:orient="portrait"/>
          <w:cols w:equalWidth="0" w:num="1">
            <w:col w:w="11420"/>
          </w:cols>
          <w:pgMar w:left="240" w:top="126" w:right="239" w:bottom="1440" w:gutter="0" w:footer="0" w:header="0"/>
        </w:sectPr>
      </w:pPr>
    </w:p>
    <w:bookmarkStart w:id="176" w:name="page177"/>
    <w:bookmarkEnd w:id="176"/>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6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8"/>
              </w:rPr>
              <w:t>Exhibit</w:t>
            </w:r>
          </w:p>
        </w:tc>
        <w:tc>
          <w:tcPr>
            <w:tcW w:w="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280" w:type="dxa"/>
            <w:vAlign w:val="bottom"/>
            <w:gridSpan w:val="25"/>
            <w:vMerge w:val="restart"/>
          </w:tcPr>
          <w:p>
            <w:pPr>
              <w:ind w:left="2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92"/>
        </w:trPr>
        <w:tc>
          <w:tcPr>
            <w:tcW w:w="16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8"/>
              </w:rPr>
              <w:t>No.</w:t>
            </w:r>
          </w:p>
        </w:tc>
        <w:tc>
          <w:tcPr>
            <w:tcW w:w="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5280" w:type="dxa"/>
            <w:vAlign w:val="bottom"/>
            <w:gridSpan w:val="25"/>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1260" w:type="dxa"/>
            <w:vAlign w:val="bottom"/>
            <w:tcBorders>
              <w:top w:val="single" w:sz="8" w:color="auto"/>
            </w:tcBorders>
          </w:tcPr>
          <w:p>
            <w:pPr>
              <w:jc w:val="center"/>
              <w:spacing w:after="0" w:line="202" w:lineRule="exact"/>
              <w:rPr>
                <w:sz w:val="20"/>
                <w:szCs w:val="20"/>
                <w:color w:val="auto"/>
              </w:rPr>
            </w:pPr>
            <w:r>
              <w:rPr>
                <w:rFonts w:ascii="Arial" w:cs="Arial" w:eastAsia="Arial" w:hAnsi="Arial"/>
                <w:sz w:val="18"/>
                <w:szCs w:val="18"/>
                <w:color w:val="auto"/>
                <w:w w:val="87"/>
              </w:rPr>
              <w:t>2.1</w:t>
            </w:r>
          </w:p>
        </w:tc>
        <w:tc>
          <w:tcPr>
            <w:tcW w:w="360" w:type="dxa"/>
            <w:vAlign w:val="bottom"/>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9740" w:type="dxa"/>
            <w:vAlign w:val="bottom"/>
            <w:tcBorders>
              <w:top w:val="single" w:sz="8" w:color="auto"/>
              <w:bottom w:val="single" w:sz="8" w:color="0000FF"/>
            </w:tcBorders>
            <w:gridSpan w:val="29"/>
          </w:tcPr>
          <w:p>
            <w:pPr>
              <w:spacing w:after="0" w:line="202" w:lineRule="exact"/>
              <w:rPr>
                <w:rFonts w:ascii="Arial" w:cs="Arial" w:eastAsia="Arial" w:hAnsi="Arial"/>
                <w:sz w:val="18"/>
                <w:szCs w:val="18"/>
                <w:color w:val="0000FF"/>
                <w:w w:val="90"/>
              </w:rPr>
            </w:pPr>
            <w:hyperlink r:id="rId107">
              <w:r>
                <w:rPr>
                  <w:rFonts w:ascii="Arial" w:cs="Arial" w:eastAsia="Arial" w:hAnsi="Arial"/>
                  <w:sz w:val="18"/>
                  <w:szCs w:val="18"/>
                  <w:color w:val="0000FF"/>
                  <w:w w:val="90"/>
                </w:rPr>
                <w:t>Master Separation Agreement dated as of August 4, 2017 by and between MetLife, Inc. and Brighthouse Financial, Inc. is incorporated</w:t>
              </w:r>
            </w:hyperlink>
          </w:p>
        </w:tc>
        <w:tc>
          <w:tcPr>
            <w:tcW w:w="4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860" w:type="dxa"/>
            <w:vAlign w:val="bottom"/>
            <w:tcBorders>
              <w:bottom w:val="single" w:sz="8" w:color="0000FF"/>
            </w:tcBorders>
            <w:gridSpan w:val="10"/>
          </w:tcPr>
          <w:p>
            <w:pPr>
              <w:spacing w:after="0" w:line="196" w:lineRule="exact"/>
              <w:rPr>
                <w:rFonts w:ascii="Arial" w:cs="Arial" w:eastAsia="Arial" w:hAnsi="Arial"/>
                <w:sz w:val="18"/>
                <w:szCs w:val="18"/>
                <w:color w:val="0000FF"/>
                <w:w w:val="91"/>
              </w:rPr>
            </w:pPr>
            <w:hyperlink r:id="rId107">
              <w:r>
                <w:rPr>
                  <w:rFonts w:ascii="Arial" w:cs="Arial" w:eastAsia="Arial" w:hAnsi="Arial"/>
                  <w:sz w:val="18"/>
                  <w:szCs w:val="18"/>
                  <w:color w:val="0000FF"/>
                  <w:w w:val="91"/>
                </w:rPr>
                <w:t>by reference to our Current Report on Form 8-K filed on August 9, 2017 (File No. 001-37905).</w:t>
              </w:r>
            </w:hyperlink>
          </w:p>
        </w:tc>
        <w:tc>
          <w:tcPr>
            <w:tcW w:w="2920" w:type="dxa"/>
            <w:vAlign w:val="bottom"/>
            <w:gridSpan w:val="20"/>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1260" w:type="dxa"/>
            <w:vAlign w:val="bottom"/>
          </w:tcPr>
          <w:p>
            <w:pPr>
              <w:jc w:val="center"/>
              <w:spacing w:after="0"/>
              <w:rPr>
                <w:sz w:val="20"/>
                <w:szCs w:val="20"/>
                <w:color w:val="auto"/>
              </w:rPr>
            </w:pPr>
            <w:r>
              <w:rPr>
                <w:rFonts w:ascii="Arial" w:cs="Arial" w:eastAsia="Arial" w:hAnsi="Arial"/>
                <w:sz w:val="18"/>
                <w:szCs w:val="18"/>
                <w:color w:val="auto"/>
                <w:w w:val="87"/>
              </w:rPr>
              <w:t>3.1</w:t>
            </w:r>
          </w:p>
        </w:tc>
        <w:tc>
          <w:tcPr>
            <w:tcW w:w="3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700" w:type="dxa"/>
            <w:vAlign w:val="bottom"/>
            <w:tcBorders>
              <w:bottom w:val="single" w:sz="8" w:color="0000FF"/>
            </w:tcBorders>
            <w:gridSpan w:val="27"/>
          </w:tcPr>
          <w:p>
            <w:pPr>
              <w:spacing w:after="0"/>
              <w:rPr>
                <w:rFonts w:ascii="Arial" w:cs="Arial" w:eastAsia="Arial" w:hAnsi="Arial"/>
                <w:sz w:val="18"/>
                <w:szCs w:val="18"/>
                <w:color w:val="0000FF"/>
                <w:w w:val="91"/>
              </w:rPr>
            </w:pPr>
            <w:hyperlink r:id="rId108">
              <w:r>
                <w:rPr>
                  <w:rFonts w:ascii="Arial" w:cs="Arial" w:eastAsia="Arial" w:hAnsi="Arial"/>
                  <w:sz w:val="18"/>
                  <w:szCs w:val="18"/>
                  <w:color w:val="0000FF"/>
                  <w:w w:val="91"/>
                </w:rPr>
                <w:t>Amended and Restated Certificate of Incorporation of Brighthouse Financial, Inc. is incorporated by reference to our Quarterly Report</w:t>
              </w:r>
            </w:hyperlink>
          </w:p>
        </w:tc>
        <w:tc>
          <w:tcPr>
            <w:tcW w:w="80" w:type="dxa"/>
            <w:vAlign w:val="bottom"/>
            <w:gridSpan w:val="3"/>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12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500" w:type="dxa"/>
            <w:vAlign w:val="bottom"/>
            <w:tcBorders>
              <w:bottom w:val="single" w:sz="8" w:color="0000FF"/>
            </w:tcBorders>
            <w:gridSpan w:val="5"/>
          </w:tcPr>
          <w:p>
            <w:pPr>
              <w:spacing w:after="0" w:line="196" w:lineRule="exact"/>
              <w:rPr>
                <w:rFonts w:ascii="Arial" w:cs="Arial" w:eastAsia="Arial" w:hAnsi="Arial"/>
                <w:sz w:val="18"/>
                <w:szCs w:val="18"/>
                <w:color w:val="0000FF"/>
                <w:w w:val="92"/>
              </w:rPr>
            </w:pPr>
            <w:hyperlink r:id="rId108">
              <w:r>
                <w:rPr>
                  <w:rFonts w:ascii="Arial" w:cs="Arial" w:eastAsia="Arial" w:hAnsi="Arial"/>
                  <w:sz w:val="18"/>
                  <w:szCs w:val="18"/>
                  <w:color w:val="0000FF"/>
                  <w:w w:val="92"/>
                </w:rPr>
                <w:t>on Form 10-Q filed on August 15, 2017 (File No. 001-37905).</w:t>
              </w:r>
            </w:hyperlink>
          </w:p>
        </w:tc>
        <w:tc>
          <w:tcPr>
            <w:tcW w:w="5280" w:type="dxa"/>
            <w:vAlign w:val="bottom"/>
            <w:gridSpan w:val="25"/>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1260" w:type="dxa"/>
            <w:vAlign w:val="bottom"/>
          </w:tcPr>
          <w:p>
            <w:pPr>
              <w:jc w:val="center"/>
              <w:spacing w:after="0"/>
              <w:rPr>
                <w:sz w:val="20"/>
                <w:szCs w:val="20"/>
                <w:color w:val="auto"/>
              </w:rPr>
            </w:pPr>
            <w:r>
              <w:rPr>
                <w:rFonts w:ascii="Arial" w:cs="Arial" w:eastAsia="Arial" w:hAnsi="Arial"/>
                <w:sz w:val="18"/>
                <w:szCs w:val="18"/>
                <w:color w:val="auto"/>
                <w:w w:val="87"/>
              </w:rPr>
              <w:t>3.2</w:t>
            </w:r>
          </w:p>
        </w:tc>
        <w:tc>
          <w:tcPr>
            <w:tcW w:w="3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780" w:type="dxa"/>
            <w:vAlign w:val="bottom"/>
            <w:gridSpan w:val="30"/>
          </w:tcPr>
          <w:p>
            <w:pPr>
              <w:spacing w:after="0"/>
              <w:rPr>
                <w:rFonts w:ascii="Arial" w:cs="Arial" w:eastAsia="Arial" w:hAnsi="Arial"/>
                <w:sz w:val="18"/>
                <w:szCs w:val="18"/>
                <w:color w:val="0000FF"/>
                <w:w w:val="92"/>
              </w:rPr>
            </w:pPr>
            <w:hyperlink r:id="rId109">
              <w:r>
                <w:rPr>
                  <w:rFonts w:ascii="Arial" w:cs="Arial" w:eastAsia="Arial" w:hAnsi="Arial"/>
                  <w:sz w:val="18"/>
                  <w:szCs w:val="18"/>
                  <w:color w:val="0000FF"/>
                  <w:w w:val="92"/>
                </w:rPr>
                <w:t>Amended and Restated Bylaws of Brighthouse Financial, Inc. is incorporated by reference to our Quarterly Report on Form 10-Q filed</w:t>
              </w:r>
            </w:hyperlink>
          </w:p>
        </w:tc>
        <w:tc>
          <w:tcPr>
            <w:tcW w:w="0" w:type="dxa"/>
            <w:vAlign w:val="bottom"/>
          </w:tcPr>
          <w:p>
            <w:pPr>
              <w:spacing w:after="0"/>
              <w:rPr>
                <w:sz w:val="1"/>
                <w:szCs w:val="1"/>
                <w:color w:val="auto"/>
              </w:rPr>
            </w:pPr>
          </w:p>
        </w:tc>
      </w:tr>
      <w:tr>
        <w:trPr>
          <w:trHeight w:val="196"/>
        </w:trPr>
        <w:tc>
          <w:tcPr>
            <w:tcW w:w="12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700" w:type="dxa"/>
            <w:vAlign w:val="bottom"/>
            <w:tcBorders>
              <w:top w:val="single" w:sz="8" w:color="0000FF"/>
            </w:tcBorders>
            <w:gridSpan w:val="27"/>
          </w:tcPr>
          <w:p>
            <w:pPr>
              <w:spacing w:after="0" w:line="196" w:lineRule="exact"/>
              <w:rPr>
                <w:rFonts w:ascii="Arial" w:cs="Arial" w:eastAsia="Arial" w:hAnsi="Arial"/>
                <w:sz w:val="18"/>
                <w:szCs w:val="18"/>
                <w:color w:val="0000FF"/>
              </w:rPr>
            </w:pPr>
            <w:hyperlink r:id="rId109">
              <w:r>
                <w:rPr>
                  <w:rFonts w:ascii="Arial" w:cs="Arial" w:eastAsia="Arial" w:hAnsi="Arial"/>
                  <w:sz w:val="18"/>
                  <w:szCs w:val="18"/>
                  <w:color w:val="0000FF"/>
                </w:rPr>
                <w:t>on August 15, 2017 (File No. 001-37905).</w:t>
              </w:r>
            </w:hyperlink>
          </w:p>
        </w:tc>
        <w:tc>
          <w:tcPr>
            <w:tcW w:w="8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138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26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3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780" w:type="dxa"/>
            <w:vAlign w:val="bottom"/>
            <w:gridSpan w:val="30"/>
          </w:tcPr>
          <w:p>
            <w:pPr>
              <w:spacing w:after="0"/>
              <w:rPr>
                <w:rFonts w:ascii="Arial" w:cs="Arial" w:eastAsia="Arial" w:hAnsi="Arial"/>
                <w:sz w:val="18"/>
                <w:szCs w:val="18"/>
                <w:color w:val="0000FF"/>
                <w:w w:val="91"/>
              </w:rPr>
            </w:pPr>
            <w:hyperlink r:id="rId110">
              <w:r>
                <w:rPr>
                  <w:rFonts w:ascii="Arial" w:cs="Arial" w:eastAsia="Arial" w:hAnsi="Arial"/>
                  <w:sz w:val="18"/>
                  <w:szCs w:val="18"/>
                  <w:color w:val="0000FF"/>
                  <w:w w:val="91"/>
                </w:rPr>
                <w:t>Transition Services Agreement, dated as of January 1, 2017, between MetLife Services and Solutions, LLC and Brighthouse Services,</w:t>
              </w:r>
            </w:hyperlink>
          </w:p>
        </w:tc>
        <w:tc>
          <w:tcPr>
            <w:tcW w:w="0" w:type="dxa"/>
            <w:vAlign w:val="bottom"/>
          </w:tcPr>
          <w:p>
            <w:pPr>
              <w:spacing w:after="0"/>
              <w:rPr>
                <w:sz w:val="1"/>
                <w:szCs w:val="1"/>
                <w:color w:val="auto"/>
              </w:rPr>
            </w:pPr>
          </w:p>
        </w:tc>
      </w:tr>
      <w:tr>
        <w:trPr>
          <w:trHeight w:val="196"/>
        </w:trPr>
        <w:tc>
          <w:tcPr>
            <w:tcW w:w="12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460" w:type="dxa"/>
            <w:vAlign w:val="bottom"/>
            <w:tcBorders>
              <w:top w:val="single" w:sz="8" w:color="0000FF"/>
              <w:bottom w:val="single" w:sz="8" w:color="0000FF"/>
            </w:tcBorders>
            <w:gridSpan w:val="20"/>
          </w:tcPr>
          <w:p>
            <w:pPr>
              <w:spacing w:after="0" w:line="196" w:lineRule="exact"/>
              <w:rPr>
                <w:rFonts w:ascii="Arial" w:cs="Arial" w:eastAsia="Arial" w:hAnsi="Arial"/>
                <w:sz w:val="18"/>
                <w:szCs w:val="18"/>
                <w:color w:val="0000FF"/>
                <w:w w:val="92"/>
              </w:rPr>
            </w:pPr>
            <w:hyperlink r:id="rId110">
              <w:r>
                <w:rPr>
                  <w:rFonts w:ascii="Arial" w:cs="Arial" w:eastAsia="Arial" w:hAnsi="Arial"/>
                  <w:sz w:val="18"/>
                  <w:szCs w:val="18"/>
                  <w:color w:val="0000FF"/>
                  <w:w w:val="92"/>
                </w:rPr>
                <w:t>LLC and for purposes of Article VII only, MetLife, Inc. and Brighthouse Financial, Inc. is incorporated by reference to our Current</w:t>
              </w:r>
            </w:hyperlink>
          </w:p>
        </w:tc>
        <w:tc>
          <w:tcPr>
            <w:tcW w:w="200" w:type="dxa"/>
            <w:vAlign w:val="bottom"/>
            <w:tcBorders>
              <w:top w:val="single" w:sz="8" w:color="0000FF"/>
            </w:tcBorders>
            <w:gridSpan w:val="5"/>
          </w:tcPr>
          <w:p>
            <w:pPr>
              <w:spacing w:after="0"/>
              <w:rPr>
                <w:sz w:val="17"/>
                <w:szCs w:val="17"/>
                <w:color w:val="auto"/>
              </w:rPr>
            </w:pPr>
          </w:p>
        </w:tc>
        <w:tc>
          <w:tcPr>
            <w:tcW w:w="12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60" w:type="dxa"/>
            <w:vAlign w:val="bottom"/>
            <w:tcBorders>
              <w:bottom w:val="single" w:sz="8" w:color="0000FF"/>
            </w:tcBorders>
            <w:gridSpan w:val="6"/>
          </w:tcPr>
          <w:p>
            <w:pPr>
              <w:spacing w:after="0" w:line="196" w:lineRule="exact"/>
              <w:rPr>
                <w:rFonts w:ascii="Arial" w:cs="Arial" w:eastAsia="Arial" w:hAnsi="Arial"/>
                <w:sz w:val="18"/>
                <w:szCs w:val="18"/>
                <w:color w:val="0000FF"/>
                <w:w w:val="92"/>
              </w:rPr>
            </w:pPr>
            <w:hyperlink r:id="rId110">
              <w:r>
                <w:rPr>
                  <w:rFonts w:ascii="Arial" w:cs="Arial" w:eastAsia="Arial" w:hAnsi="Arial"/>
                  <w:sz w:val="18"/>
                  <w:szCs w:val="18"/>
                  <w:color w:val="0000FF"/>
                  <w:w w:val="92"/>
                </w:rPr>
                <w:t>Report on Form 8-K filed on August 9, 2017 (File No. 001-37905).</w:t>
              </w:r>
            </w:hyperlink>
          </w:p>
        </w:tc>
        <w:tc>
          <w:tcPr>
            <w:tcW w:w="4920" w:type="dxa"/>
            <w:vAlign w:val="bottom"/>
            <w:gridSpan w:val="24"/>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1260" w:type="dxa"/>
            <w:vAlign w:val="bottom"/>
          </w:tcPr>
          <w:p>
            <w:pPr>
              <w:jc w:val="center"/>
              <w:spacing w:after="0"/>
              <w:rPr>
                <w:sz w:val="20"/>
                <w:szCs w:val="20"/>
                <w:color w:val="auto"/>
              </w:rPr>
            </w:pPr>
            <w:r>
              <w:rPr>
                <w:rFonts w:ascii="Arial" w:cs="Arial" w:eastAsia="Arial" w:hAnsi="Arial"/>
                <w:sz w:val="18"/>
                <w:szCs w:val="18"/>
                <w:color w:val="auto"/>
                <w:w w:val="91"/>
              </w:rPr>
              <w:t>10.2</w:t>
            </w:r>
          </w:p>
        </w:tc>
        <w:tc>
          <w:tcPr>
            <w:tcW w:w="3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780" w:type="dxa"/>
            <w:vAlign w:val="bottom"/>
            <w:gridSpan w:val="30"/>
          </w:tcPr>
          <w:p>
            <w:pPr>
              <w:spacing w:after="0"/>
              <w:rPr>
                <w:rFonts w:ascii="Arial" w:cs="Arial" w:eastAsia="Arial" w:hAnsi="Arial"/>
                <w:sz w:val="18"/>
                <w:szCs w:val="18"/>
                <w:color w:val="0000FF"/>
                <w:w w:val="92"/>
              </w:rPr>
            </w:pPr>
            <w:hyperlink r:id="rId111">
              <w:r>
                <w:rPr>
                  <w:rFonts w:ascii="Arial" w:cs="Arial" w:eastAsia="Arial" w:hAnsi="Arial"/>
                  <w:sz w:val="18"/>
                  <w:szCs w:val="18"/>
                  <w:color w:val="0000FF"/>
                  <w:w w:val="92"/>
                </w:rPr>
                <w:t>Registration Rights Agreement, dated as of August 4, 2017, between MetLife, Inc. and Brighthouse Financial, Inc. is incorporated by</w:t>
              </w:r>
            </w:hyperlink>
          </w:p>
        </w:tc>
        <w:tc>
          <w:tcPr>
            <w:tcW w:w="0" w:type="dxa"/>
            <w:vAlign w:val="bottom"/>
          </w:tcPr>
          <w:p>
            <w:pPr>
              <w:spacing w:after="0"/>
              <w:rPr>
                <w:sz w:val="1"/>
                <w:szCs w:val="1"/>
                <w:color w:val="auto"/>
              </w:rPr>
            </w:pPr>
          </w:p>
        </w:tc>
      </w:tr>
      <w:tr>
        <w:trPr>
          <w:trHeight w:val="196"/>
        </w:trPr>
        <w:tc>
          <w:tcPr>
            <w:tcW w:w="12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640" w:type="dxa"/>
            <w:vAlign w:val="bottom"/>
            <w:tcBorders>
              <w:top w:val="single" w:sz="8" w:color="0000FF"/>
              <w:bottom w:val="single" w:sz="8" w:color="0000FF"/>
            </w:tcBorders>
            <w:gridSpan w:val="9"/>
          </w:tcPr>
          <w:p>
            <w:pPr>
              <w:spacing w:after="0" w:line="196" w:lineRule="exact"/>
              <w:rPr>
                <w:rFonts w:ascii="Arial" w:cs="Arial" w:eastAsia="Arial" w:hAnsi="Arial"/>
                <w:sz w:val="18"/>
                <w:szCs w:val="18"/>
                <w:color w:val="0000FF"/>
                <w:w w:val="91"/>
              </w:rPr>
            </w:pPr>
            <w:hyperlink r:id="rId111">
              <w:r>
                <w:rPr>
                  <w:rFonts w:ascii="Arial" w:cs="Arial" w:eastAsia="Arial" w:hAnsi="Arial"/>
                  <w:sz w:val="18"/>
                  <w:szCs w:val="18"/>
                  <w:color w:val="0000FF"/>
                  <w:w w:val="91"/>
                </w:rPr>
                <w:t>reference to our Current Report on Form 8-K filed on August 9, 2017 (File No. 001-37905).</w:t>
              </w:r>
            </w:hyperlink>
          </w:p>
        </w:tc>
        <w:tc>
          <w:tcPr>
            <w:tcW w:w="2960" w:type="dxa"/>
            <w:vAlign w:val="bottom"/>
            <w:tcBorders>
              <w:top w:val="single" w:sz="8" w:color="0000FF"/>
            </w:tcBorders>
            <w:gridSpan w:val="14"/>
          </w:tcPr>
          <w:p>
            <w:pPr>
              <w:spacing w:after="0"/>
              <w:rPr>
                <w:sz w:val="17"/>
                <w:szCs w:val="17"/>
                <w:color w:val="auto"/>
              </w:rPr>
            </w:pPr>
          </w:p>
        </w:tc>
        <w:tc>
          <w:tcPr>
            <w:tcW w:w="180" w:type="dxa"/>
            <w:vAlign w:val="bottom"/>
            <w:gridSpan w:val="7"/>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1260" w:type="dxa"/>
            <w:vAlign w:val="bottom"/>
          </w:tcPr>
          <w:p>
            <w:pPr>
              <w:jc w:val="center"/>
              <w:spacing w:after="0"/>
              <w:rPr>
                <w:sz w:val="20"/>
                <w:szCs w:val="20"/>
                <w:color w:val="auto"/>
              </w:rPr>
            </w:pPr>
            <w:r>
              <w:rPr>
                <w:rFonts w:ascii="Arial" w:cs="Arial" w:eastAsia="Arial" w:hAnsi="Arial"/>
                <w:sz w:val="18"/>
                <w:szCs w:val="18"/>
                <w:color w:val="auto"/>
                <w:w w:val="91"/>
              </w:rPr>
              <w:t>10.3</w:t>
            </w:r>
          </w:p>
        </w:tc>
        <w:tc>
          <w:tcPr>
            <w:tcW w:w="3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560" w:type="dxa"/>
            <w:vAlign w:val="bottom"/>
            <w:tcBorders>
              <w:bottom w:val="single" w:sz="8" w:color="0000FF"/>
            </w:tcBorders>
            <w:gridSpan w:val="22"/>
          </w:tcPr>
          <w:p>
            <w:pPr>
              <w:spacing w:after="0"/>
              <w:rPr>
                <w:rFonts w:ascii="Arial" w:cs="Arial" w:eastAsia="Arial" w:hAnsi="Arial"/>
                <w:sz w:val="18"/>
                <w:szCs w:val="18"/>
                <w:color w:val="0000FF"/>
                <w:w w:val="91"/>
              </w:rPr>
            </w:pPr>
            <w:hyperlink r:id="rId112">
              <w:r>
                <w:rPr>
                  <w:rFonts w:ascii="Arial" w:cs="Arial" w:eastAsia="Arial" w:hAnsi="Arial"/>
                  <w:sz w:val="18"/>
                  <w:szCs w:val="18"/>
                  <w:color w:val="0000FF"/>
                  <w:w w:val="91"/>
                </w:rPr>
                <w:t>Investment Management Agreement, dated as of January 1, 2017, between MetLife Investment Advisors, LLC and Brighthouse Life</w:t>
              </w:r>
            </w:hyperlink>
          </w:p>
        </w:tc>
        <w:tc>
          <w:tcPr>
            <w:tcW w:w="220" w:type="dxa"/>
            <w:vAlign w:val="bottom"/>
            <w:gridSpan w:val="8"/>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12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780" w:type="dxa"/>
            <w:vAlign w:val="bottom"/>
            <w:gridSpan w:val="30"/>
          </w:tcPr>
          <w:p>
            <w:pPr>
              <w:spacing w:after="0" w:line="196" w:lineRule="exact"/>
              <w:rPr>
                <w:rFonts w:ascii="Arial" w:cs="Arial" w:eastAsia="Arial" w:hAnsi="Arial"/>
                <w:sz w:val="18"/>
                <w:szCs w:val="18"/>
                <w:color w:val="0000FF"/>
                <w:w w:val="95"/>
              </w:rPr>
            </w:pPr>
            <w:hyperlink r:id="rId112">
              <w:r>
                <w:rPr>
                  <w:rFonts w:ascii="Arial" w:cs="Arial" w:eastAsia="Arial" w:hAnsi="Arial"/>
                  <w:sz w:val="18"/>
                  <w:szCs w:val="18"/>
                  <w:color w:val="0000FF"/>
                  <w:w w:val="95"/>
                </w:rPr>
                <w:t>Insurance Company (formerly known as MetLife Insurance Company USA) is incorporated by reference to our Current Report on</w:t>
              </w:r>
            </w:hyperlink>
          </w:p>
        </w:tc>
        <w:tc>
          <w:tcPr>
            <w:tcW w:w="0" w:type="dxa"/>
            <w:vAlign w:val="bottom"/>
          </w:tcPr>
          <w:p>
            <w:pPr>
              <w:spacing w:after="0"/>
              <w:rPr>
                <w:sz w:val="1"/>
                <w:szCs w:val="1"/>
                <w:color w:val="auto"/>
              </w:rPr>
            </w:pPr>
          </w:p>
        </w:tc>
      </w:tr>
      <w:tr>
        <w:trPr>
          <w:trHeight w:val="196"/>
        </w:trPr>
        <w:tc>
          <w:tcPr>
            <w:tcW w:w="12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100" w:type="dxa"/>
            <w:vAlign w:val="bottom"/>
            <w:tcBorders>
              <w:top w:val="single" w:sz="8" w:color="0000FF"/>
              <w:bottom w:val="single" w:sz="8" w:color="0000FF"/>
            </w:tcBorders>
            <w:gridSpan w:val="4"/>
          </w:tcPr>
          <w:p>
            <w:pPr>
              <w:spacing w:after="0" w:line="196" w:lineRule="exact"/>
              <w:rPr>
                <w:rFonts w:ascii="Arial" w:cs="Arial" w:eastAsia="Arial" w:hAnsi="Arial"/>
                <w:sz w:val="18"/>
                <w:szCs w:val="18"/>
                <w:color w:val="0000FF"/>
                <w:w w:val="92"/>
              </w:rPr>
            </w:pPr>
            <w:hyperlink r:id="rId112">
              <w:r>
                <w:rPr>
                  <w:rFonts w:ascii="Arial" w:cs="Arial" w:eastAsia="Arial" w:hAnsi="Arial"/>
                  <w:sz w:val="18"/>
                  <w:szCs w:val="18"/>
                  <w:color w:val="0000FF"/>
                  <w:w w:val="92"/>
                </w:rPr>
                <w:t>Form 8-K filed on August 9, 2017 (File No. 001-37905).</w:t>
              </w:r>
            </w:hyperlink>
          </w:p>
        </w:tc>
        <w:tc>
          <w:tcPr>
            <w:tcW w:w="5280" w:type="dxa"/>
            <w:vAlign w:val="bottom"/>
            <w:tcBorders>
              <w:top w:val="single" w:sz="8" w:color="0000FF"/>
            </w:tcBorders>
            <w:gridSpan w:val="14"/>
          </w:tcPr>
          <w:p>
            <w:pPr>
              <w:spacing w:after="0"/>
              <w:rPr>
                <w:sz w:val="17"/>
                <w:szCs w:val="17"/>
                <w:color w:val="auto"/>
              </w:rPr>
            </w:pPr>
          </w:p>
        </w:tc>
        <w:tc>
          <w:tcPr>
            <w:tcW w:w="400" w:type="dxa"/>
            <w:vAlign w:val="bottom"/>
            <w:gridSpan w:val="12"/>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1260" w:type="dxa"/>
            <w:vAlign w:val="bottom"/>
          </w:tcPr>
          <w:p>
            <w:pPr>
              <w:jc w:val="center"/>
              <w:spacing w:after="0"/>
              <w:rPr>
                <w:sz w:val="20"/>
                <w:szCs w:val="20"/>
                <w:color w:val="auto"/>
              </w:rPr>
            </w:pPr>
            <w:r>
              <w:rPr>
                <w:rFonts w:ascii="Arial" w:cs="Arial" w:eastAsia="Arial" w:hAnsi="Arial"/>
                <w:sz w:val="18"/>
                <w:szCs w:val="18"/>
                <w:color w:val="auto"/>
                <w:w w:val="91"/>
              </w:rPr>
              <w:t>10.4</w:t>
            </w:r>
          </w:p>
        </w:tc>
        <w:tc>
          <w:tcPr>
            <w:tcW w:w="3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780" w:type="dxa"/>
            <w:vAlign w:val="bottom"/>
            <w:gridSpan w:val="30"/>
          </w:tcPr>
          <w:p>
            <w:pPr>
              <w:spacing w:after="0"/>
              <w:rPr>
                <w:rFonts w:ascii="Arial" w:cs="Arial" w:eastAsia="Arial" w:hAnsi="Arial"/>
                <w:sz w:val="18"/>
                <w:szCs w:val="18"/>
                <w:color w:val="0000FF"/>
                <w:w w:val="92"/>
              </w:rPr>
            </w:pPr>
            <w:hyperlink r:id="rId113">
              <w:r>
                <w:rPr>
                  <w:rFonts w:ascii="Arial" w:cs="Arial" w:eastAsia="Arial" w:hAnsi="Arial"/>
                  <w:sz w:val="18"/>
                  <w:szCs w:val="18"/>
                  <w:color w:val="0000FF"/>
                  <w:w w:val="92"/>
                </w:rPr>
                <w:t>Intellectual Property License Agreement, dated as of August 4, 2017, by and among Metropolitan Life Insurance Company, on behalf</w:t>
              </w:r>
            </w:hyperlink>
          </w:p>
        </w:tc>
        <w:tc>
          <w:tcPr>
            <w:tcW w:w="0" w:type="dxa"/>
            <w:vAlign w:val="bottom"/>
          </w:tcPr>
          <w:p>
            <w:pPr>
              <w:spacing w:after="0"/>
              <w:rPr>
                <w:sz w:val="1"/>
                <w:szCs w:val="1"/>
                <w:color w:val="auto"/>
              </w:rPr>
            </w:pPr>
          </w:p>
        </w:tc>
      </w:tr>
      <w:tr>
        <w:trPr>
          <w:trHeight w:val="196"/>
        </w:trPr>
        <w:tc>
          <w:tcPr>
            <w:tcW w:w="12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620" w:type="dxa"/>
            <w:vAlign w:val="bottom"/>
            <w:tcBorders>
              <w:top w:val="single" w:sz="8" w:color="0000FF"/>
            </w:tcBorders>
            <w:gridSpan w:val="24"/>
          </w:tcPr>
          <w:p>
            <w:pPr>
              <w:spacing w:after="0" w:line="196" w:lineRule="exact"/>
              <w:rPr>
                <w:rFonts w:ascii="Arial" w:cs="Arial" w:eastAsia="Arial" w:hAnsi="Arial"/>
                <w:sz w:val="18"/>
                <w:szCs w:val="18"/>
                <w:color w:val="0000FF"/>
                <w:w w:val="91"/>
              </w:rPr>
            </w:pPr>
            <w:hyperlink r:id="rId113">
              <w:r>
                <w:rPr>
                  <w:rFonts w:ascii="Arial" w:cs="Arial" w:eastAsia="Arial" w:hAnsi="Arial"/>
                  <w:sz w:val="18"/>
                  <w:szCs w:val="18"/>
                  <w:color w:val="0000FF"/>
                  <w:w w:val="91"/>
                </w:rPr>
                <w:t>of itself and its Affiliates other than the Brighthouse Company Group, and Brighthouse Services LLC is incorporated by reference to</w:t>
              </w:r>
            </w:hyperlink>
          </w:p>
        </w:tc>
        <w:tc>
          <w:tcPr>
            <w:tcW w:w="160" w:type="dxa"/>
            <w:vAlign w:val="bottom"/>
            <w:gridSpan w:val="6"/>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740" w:type="dxa"/>
            <w:vAlign w:val="bottom"/>
            <w:tcBorders>
              <w:top w:val="single" w:sz="8" w:color="0000FF"/>
              <w:bottom w:val="single" w:sz="8" w:color="0000FF"/>
            </w:tcBorders>
            <w:gridSpan w:val="8"/>
          </w:tcPr>
          <w:p>
            <w:pPr>
              <w:spacing w:after="0" w:line="196" w:lineRule="exact"/>
              <w:rPr>
                <w:rFonts w:ascii="Arial" w:cs="Arial" w:eastAsia="Arial" w:hAnsi="Arial"/>
                <w:sz w:val="18"/>
                <w:szCs w:val="18"/>
                <w:color w:val="0000FF"/>
                <w:w w:val="92"/>
              </w:rPr>
            </w:pPr>
            <w:hyperlink r:id="rId113">
              <w:r>
                <w:rPr>
                  <w:rFonts w:ascii="Arial" w:cs="Arial" w:eastAsia="Arial" w:hAnsi="Arial"/>
                  <w:sz w:val="18"/>
                  <w:szCs w:val="18"/>
                  <w:color w:val="0000FF"/>
                  <w:w w:val="92"/>
                </w:rPr>
                <w:t>our Current Report on Form 8-K filed on August 9, 2017 (File No. 001-37905).</w:t>
              </w:r>
            </w:hyperlink>
          </w:p>
        </w:tc>
        <w:tc>
          <w:tcPr>
            <w:tcW w:w="3820" w:type="dxa"/>
            <w:vAlign w:val="bottom"/>
            <w:tcBorders>
              <w:top w:val="single" w:sz="8" w:color="0000FF"/>
            </w:tcBorders>
            <w:gridSpan w:val="14"/>
          </w:tcPr>
          <w:p>
            <w:pPr>
              <w:spacing w:after="0"/>
              <w:rPr>
                <w:sz w:val="17"/>
                <w:szCs w:val="17"/>
                <w:color w:val="auto"/>
              </w:rPr>
            </w:pPr>
          </w:p>
        </w:tc>
        <w:tc>
          <w:tcPr>
            <w:tcW w:w="220" w:type="dxa"/>
            <w:vAlign w:val="bottom"/>
            <w:gridSpan w:val="8"/>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1260" w:type="dxa"/>
            <w:vAlign w:val="bottom"/>
          </w:tcPr>
          <w:p>
            <w:pPr>
              <w:jc w:val="center"/>
              <w:spacing w:after="0"/>
              <w:rPr>
                <w:sz w:val="20"/>
                <w:szCs w:val="20"/>
                <w:color w:val="auto"/>
              </w:rPr>
            </w:pPr>
            <w:r>
              <w:rPr>
                <w:rFonts w:ascii="Arial" w:cs="Arial" w:eastAsia="Arial" w:hAnsi="Arial"/>
                <w:sz w:val="18"/>
                <w:szCs w:val="18"/>
                <w:color w:val="auto"/>
                <w:w w:val="91"/>
              </w:rPr>
              <w:t>10.5</w:t>
            </w:r>
          </w:p>
        </w:tc>
        <w:tc>
          <w:tcPr>
            <w:tcW w:w="3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780" w:type="dxa"/>
            <w:vAlign w:val="bottom"/>
            <w:gridSpan w:val="30"/>
          </w:tcPr>
          <w:p>
            <w:pPr>
              <w:spacing w:after="0"/>
              <w:rPr>
                <w:rFonts w:ascii="Arial" w:cs="Arial" w:eastAsia="Arial" w:hAnsi="Arial"/>
                <w:sz w:val="18"/>
                <w:szCs w:val="18"/>
                <w:color w:val="0000FF"/>
                <w:w w:val="95"/>
              </w:rPr>
            </w:pPr>
            <w:hyperlink r:id="rId114">
              <w:r>
                <w:rPr>
                  <w:rFonts w:ascii="Arial" w:cs="Arial" w:eastAsia="Arial" w:hAnsi="Arial"/>
                  <w:sz w:val="18"/>
                  <w:szCs w:val="18"/>
                  <w:color w:val="0000FF"/>
                  <w:w w:val="95"/>
                </w:rPr>
                <w:t>Tax Receivables Agreement, dated as of July 27, 2017, between MetLife, Inc. and Brighthouse Financial, Inc. is incorporated by</w:t>
              </w:r>
            </w:hyperlink>
          </w:p>
        </w:tc>
        <w:tc>
          <w:tcPr>
            <w:tcW w:w="0" w:type="dxa"/>
            <w:vAlign w:val="bottom"/>
          </w:tcPr>
          <w:p>
            <w:pPr>
              <w:spacing w:after="0"/>
              <w:rPr>
                <w:sz w:val="1"/>
                <w:szCs w:val="1"/>
                <w:color w:val="auto"/>
              </w:rPr>
            </w:pPr>
          </w:p>
        </w:tc>
      </w:tr>
      <w:tr>
        <w:trPr>
          <w:trHeight w:val="196"/>
        </w:trPr>
        <w:tc>
          <w:tcPr>
            <w:tcW w:w="12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640" w:type="dxa"/>
            <w:vAlign w:val="bottom"/>
            <w:tcBorders>
              <w:top w:val="single" w:sz="8" w:color="0000FF"/>
              <w:bottom w:val="single" w:sz="8" w:color="0000FF"/>
            </w:tcBorders>
            <w:gridSpan w:val="9"/>
          </w:tcPr>
          <w:p>
            <w:pPr>
              <w:spacing w:after="0" w:line="196" w:lineRule="exact"/>
              <w:rPr>
                <w:rFonts w:ascii="Arial" w:cs="Arial" w:eastAsia="Arial" w:hAnsi="Arial"/>
                <w:sz w:val="18"/>
                <w:szCs w:val="18"/>
                <w:color w:val="0000FF"/>
                <w:w w:val="91"/>
              </w:rPr>
            </w:pPr>
            <w:hyperlink r:id="rId114">
              <w:r>
                <w:rPr>
                  <w:rFonts w:ascii="Arial" w:cs="Arial" w:eastAsia="Arial" w:hAnsi="Arial"/>
                  <w:sz w:val="18"/>
                  <w:szCs w:val="18"/>
                  <w:color w:val="0000FF"/>
                  <w:w w:val="91"/>
                </w:rPr>
                <w:t>reference to our Current Report on Form 8-K filed on August 9, 2017 (File No. 001-37905).</w:t>
              </w:r>
            </w:hyperlink>
          </w:p>
        </w:tc>
        <w:tc>
          <w:tcPr>
            <w:tcW w:w="2620" w:type="dxa"/>
            <w:vAlign w:val="bottom"/>
            <w:tcBorders>
              <w:top w:val="single" w:sz="8" w:color="0000FF"/>
            </w:tcBorders>
            <w:gridSpan w:val="7"/>
          </w:tcPr>
          <w:p>
            <w:pPr>
              <w:spacing w:after="0"/>
              <w:rPr>
                <w:sz w:val="17"/>
                <w:szCs w:val="17"/>
                <w:color w:val="auto"/>
              </w:rPr>
            </w:pPr>
          </w:p>
        </w:tc>
        <w:tc>
          <w:tcPr>
            <w:tcW w:w="520" w:type="dxa"/>
            <w:vAlign w:val="bottom"/>
            <w:gridSpan w:val="14"/>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1260" w:type="dxa"/>
            <w:vAlign w:val="bottom"/>
          </w:tcPr>
          <w:p>
            <w:pPr>
              <w:jc w:val="center"/>
              <w:spacing w:after="0"/>
              <w:rPr>
                <w:sz w:val="20"/>
                <w:szCs w:val="20"/>
                <w:color w:val="auto"/>
              </w:rPr>
            </w:pPr>
            <w:r>
              <w:rPr>
                <w:rFonts w:ascii="Arial" w:cs="Arial" w:eastAsia="Arial" w:hAnsi="Arial"/>
                <w:sz w:val="18"/>
                <w:szCs w:val="18"/>
                <w:color w:val="auto"/>
                <w:w w:val="91"/>
              </w:rPr>
              <w:t>10.6</w:t>
            </w:r>
          </w:p>
        </w:tc>
        <w:tc>
          <w:tcPr>
            <w:tcW w:w="3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480" w:type="dxa"/>
            <w:vAlign w:val="bottom"/>
            <w:tcBorders>
              <w:bottom w:val="single" w:sz="8" w:color="0000FF"/>
            </w:tcBorders>
            <w:gridSpan w:val="21"/>
          </w:tcPr>
          <w:p>
            <w:pPr>
              <w:spacing w:after="0"/>
              <w:rPr>
                <w:rFonts w:ascii="Arial" w:cs="Arial" w:eastAsia="Arial" w:hAnsi="Arial"/>
                <w:sz w:val="18"/>
                <w:szCs w:val="18"/>
                <w:color w:val="0000FF"/>
                <w:w w:val="91"/>
              </w:rPr>
            </w:pPr>
            <w:hyperlink r:id="rId115">
              <w:r>
                <w:rPr>
                  <w:rFonts w:ascii="Arial" w:cs="Arial" w:eastAsia="Arial" w:hAnsi="Arial"/>
                  <w:sz w:val="18"/>
                  <w:szCs w:val="18"/>
                  <w:color w:val="0000FF"/>
                  <w:w w:val="91"/>
                </w:rPr>
                <w:t>Tax Separation Agreement, dated as of July 27, 2017, by and among MetLife, Inc. and its Affiliates and Brighthouse Financial, Inc.</w:t>
              </w:r>
            </w:hyperlink>
          </w:p>
        </w:tc>
        <w:tc>
          <w:tcPr>
            <w:tcW w:w="300" w:type="dxa"/>
            <w:vAlign w:val="bottom"/>
            <w:gridSpan w:val="9"/>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12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220" w:type="dxa"/>
            <w:vAlign w:val="bottom"/>
            <w:tcBorders>
              <w:bottom w:val="single" w:sz="8" w:color="0000FF"/>
            </w:tcBorders>
            <w:gridSpan w:val="14"/>
          </w:tcPr>
          <w:p>
            <w:pPr>
              <w:spacing w:after="0" w:line="196" w:lineRule="exact"/>
              <w:rPr>
                <w:rFonts w:ascii="Arial" w:cs="Arial" w:eastAsia="Arial" w:hAnsi="Arial"/>
                <w:sz w:val="18"/>
                <w:szCs w:val="18"/>
                <w:color w:val="0000FF"/>
                <w:w w:val="92"/>
              </w:rPr>
            </w:pPr>
            <w:hyperlink r:id="rId115">
              <w:r>
                <w:rPr>
                  <w:rFonts w:ascii="Arial" w:cs="Arial" w:eastAsia="Arial" w:hAnsi="Arial"/>
                  <w:sz w:val="18"/>
                  <w:szCs w:val="18"/>
                  <w:color w:val="0000FF"/>
                  <w:w w:val="92"/>
                </w:rPr>
                <w:t>and its Affiliates is incorporated by reference to our Current Report on Form 8-K filed on August 9, 2017 (File No. 001-37905).</w:t>
              </w:r>
            </w:hyperlink>
          </w:p>
        </w:tc>
        <w:tc>
          <w:tcPr>
            <w:tcW w:w="560" w:type="dxa"/>
            <w:vAlign w:val="bottom"/>
            <w:gridSpan w:val="16"/>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1260" w:type="dxa"/>
            <w:vAlign w:val="bottom"/>
          </w:tcPr>
          <w:p>
            <w:pPr>
              <w:jc w:val="center"/>
              <w:spacing w:after="0"/>
              <w:rPr>
                <w:sz w:val="20"/>
                <w:szCs w:val="20"/>
                <w:color w:val="auto"/>
              </w:rPr>
            </w:pPr>
            <w:r>
              <w:rPr>
                <w:rFonts w:ascii="Arial" w:cs="Arial" w:eastAsia="Arial" w:hAnsi="Arial"/>
                <w:sz w:val="18"/>
                <w:szCs w:val="18"/>
                <w:color w:val="auto"/>
                <w:w w:val="91"/>
              </w:rPr>
              <w:t>10.7</w:t>
            </w:r>
          </w:p>
        </w:tc>
        <w:tc>
          <w:tcPr>
            <w:tcW w:w="3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680" w:type="dxa"/>
            <w:vAlign w:val="bottom"/>
            <w:tcBorders>
              <w:bottom w:val="single" w:sz="8" w:color="0000FF"/>
            </w:tcBorders>
            <w:gridSpan w:val="26"/>
          </w:tcPr>
          <w:p>
            <w:pPr>
              <w:spacing w:after="0"/>
              <w:rPr>
                <w:rFonts w:ascii="Arial" w:cs="Arial" w:eastAsia="Arial" w:hAnsi="Arial"/>
                <w:sz w:val="18"/>
                <w:szCs w:val="18"/>
                <w:color w:val="0000FF"/>
                <w:w w:val="91"/>
              </w:rPr>
            </w:pPr>
            <w:hyperlink r:id="rId116">
              <w:r>
                <w:rPr>
                  <w:rFonts w:ascii="Arial" w:cs="Arial" w:eastAsia="Arial" w:hAnsi="Arial"/>
                  <w:sz w:val="18"/>
                  <w:szCs w:val="18"/>
                  <w:color w:val="0000FF"/>
                  <w:w w:val="91"/>
                </w:rPr>
                <w:t>Term Loan Agreement, dated as of July 21, 2017, among Brighthouse Financial, Inc., Bank of America, N.A., as administrative agent,</w:t>
              </w:r>
            </w:hyperlink>
          </w:p>
        </w:tc>
        <w:tc>
          <w:tcPr>
            <w:tcW w:w="100" w:type="dxa"/>
            <w:vAlign w:val="bottom"/>
            <w:gridSpan w:val="4"/>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12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780" w:type="dxa"/>
            <w:vAlign w:val="bottom"/>
            <w:gridSpan w:val="30"/>
          </w:tcPr>
          <w:p>
            <w:pPr>
              <w:spacing w:after="0" w:line="196" w:lineRule="exact"/>
              <w:rPr>
                <w:rFonts w:ascii="Arial" w:cs="Arial" w:eastAsia="Arial" w:hAnsi="Arial"/>
                <w:sz w:val="18"/>
                <w:szCs w:val="18"/>
                <w:color w:val="0000FF"/>
                <w:w w:val="94"/>
              </w:rPr>
            </w:pPr>
            <w:hyperlink r:id="rId116">
              <w:r>
                <w:rPr>
                  <w:rFonts w:ascii="Arial" w:cs="Arial" w:eastAsia="Arial" w:hAnsi="Arial"/>
                  <w:sz w:val="18"/>
                  <w:szCs w:val="18"/>
                  <w:color w:val="0000FF"/>
                  <w:w w:val="94"/>
                </w:rPr>
                <w:t>and the other lenders party thereto is incorporated by reference to our Current Report on Form 8-K filed on July 21, 2017 (File No.</w:t>
              </w:r>
            </w:hyperlink>
          </w:p>
        </w:tc>
        <w:tc>
          <w:tcPr>
            <w:tcW w:w="0" w:type="dxa"/>
            <w:vAlign w:val="bottom"/>
          </w:tcPr>
          <w:p>
            <w:pPr>
              <w:spacing w:after="0"/>
              <w:rPr>
                <w:sz w:val="1"/>
                <w:szCs w:val="1"/>
                <w:color w:val="auto"/>
              </w:rPr>
            </w:pPr>
          </w:p>
        </w:tc>
      </w:tr>
      <w:tr>
        <w:trPr>
          <w:trHeight w:val="196"/>
        </w:trPr>
        <w:tc>
          <w:tcPr>
            <w:tcW w:w="12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60" w:type="dxa"/>
            <w:vAlign w:val="bottom"/>
            <w:tcBorders>
              <w:top w:val="single" w:sz="8" w:color="0000FF"/>
            </w:tcBorders>
            <w:gridSpan w:val="2"/>
          </w:tcPr>
          <w:p>
            <w:pPr>
              <w:spacing w:after="0" w:line="196" w:lineRule="exact"/>
              <w:rPr>
                <w:rFonts w:ascii="Arial" w:cs="Arial" w:eastAsia="Arial" w:hAnsi="Arial"/>
                <w:sz w:val="18"/>
                <w:szCs w:val="18"/>
                <w:color w:val="0000FF"/>
              </w:rPr>
            </w:pPr>
            <w:hyperlink r:id="rId116">
              <w:r>
                <w:rPr>
                  <w:rFonts w:ascii="Arial" w:cs="Arial" w:eastAsia="Arial" w:hAnsi="Arial"/>
                  <w:sz w:val="18"/>
                  <w:szCs w:val="18"/>
                  <w:color w:val="0000FF"/>
                </w:rPr>
                <w:t>001-37905).</w:t>
              </w:r>
            </w:hyperlink>
          </w:p>
        </w:tc>
        <w:tc>
          <w:tcPr>
            <w:tcW w:w="780" w:type="dxa"/>
            <w:vAlign w:val="bottom"/>
            <w:tcBorders>
              <w:top w:val="single" w:sz="8" w:color="0000FF"/>
            </w:tcBorders>
          </w:tcPr>
          <w:p>
            <w:pPr>
              <w:spacing w:after="0"/>
              <w:rPr>
                <w:sz w:val="17"/>
                <w:szCs w:val="17"/>
                <w:color w:val="auto"/>
              </w:rPr>
            </w:pPr>
          </w:p>
        </w:tc>
        <w:tc>
          <w:tcPr>
            <w:tcW w:w="1060" w:type="dxa"/>
            <w:vAlign w:val="bottom"/>
            <w:tcBorders>
              <w:top w:val="single" w:sz="8" w:color="0000FF"/>
            </w:tcBorders>
          </w:tcPr>
          <w:p>
            <w:pPr>
              <w:spacing w:after="0"/>
              <w:rPr>
                <w:sz w:val="17"/>
                <w:szCs w:val="17"/>
                <w:color w:val="auto"/>
              </w:rPr>
            </w:pPr>
          </w:p>
        </w:tc>
        <w:tc>
          <w:tcPr>
            <w:tcW w:w="400" w:type="dxa"/>
            <w:vAlign w:val="bottom"/>
            <w:tcBorders>
              <w:top w:val="single" w:sz="8" w:color="0000FF"/>
            </w:tcBorders>
          </w:tcPr>
          <w:p>
            <w:pPr>
              <w:spacing w:after="0"/>
              <w:rPr>
                <w:sz w:val="17"/>
                <w:szCs w:val="17"/>
                <w:color w:val="auto"/>
              </w:rPr>
            </w:pPr>
          </w:p>
        </w:tc>
        <w:tc>
          <w:tcPr>
            <w:tcW w:w="360" w:type="dxa"/>
            <w:vAlign w:val="bottom"/>
            <w:tcBorders>
              <w:top w:val="single" w:sz="8" w:color="0000FF"/>
            </w:tcBorders>
          </w:tcPr>
          <w:p>
            <w:pPr>
              <w:spacing w:after="0"/>
              <w:rPr>
                <w:sz w:val="17"/>
                <w:szCs w:val="17"/>
                <w:color w:val="auto"/>
              </w:rPr>
            </w:pPr>
          </w:p>
        </w:tc>
        <w:tc>
          <w:tcPr>
            <w:tcW w:w="180" w:type="dxa"/>
            <w:vAlign w:val="bottom"/>
            <w:tcBorders>
              <w:top w:val="single" w:sz="8" w:color="0000FF"/>
            </w:tcBorders>
          </w:tcPr>
          <w:p>
            <w:pPr>
              <w:spacing w:after="0"/>
              <w:rPr>
                <w:sz w:val="17"/>
                <w:szCs w:val="17"/>
                <w:color w:val="auto"/>
              </w:rPr>
            </w:pPr>
          </w:p>
        </w:tc>
        <w:tc>
          <w:tcPr>
            <w:tcW w:w="700" w:type="dxa"/>
            <w:vAlign w:val="bottom"/>
            <w:tcBorders>
              <w:top w:val="single" w:sz="8" w:color="0000FF"/>
            </w:tcBorders>
          </w:tcPr>
          <w:p>
            <w:pPr>
              <w:spacing w:after="0"/>
              <w:rPr>
                <w:sz w:val="17"/>
                <w:szCs w:val="17"/>
                <w:color w:val="auto"/>
              </w:rPr>
            </w:pPr>
          </w:p>
        </w:tc>
        <w:tc>
          <w:tcPr>
            <w:tcW w:w="900" w:type="dxa"/>
            <w:vAlign w:val="bottom"/>
            <w:tcBorders>
              <w:top w:val="single" w:sz="8" w:color="0000FF"/>
            </w:tcBorders>
          </w:tcPr>
          <w:p>
            <w:pPr>
              <w:spacing w:after="0"/>
              <w:rPr>
                <w:sz w:val="17"/>
                <w:szCs w:val="17"/>
                <w:color w:val="auto"/>
              </w:rPr>
            </w:pPr>
          </w:p>
        </w:tc>
        <w:tc>
          <w:tcPr>
            <w:tcW w:w="220" w:type="dxa"/>
            <w:vAlign w:val="bottom"/>
            <w:tcBorders>
              <w:top w:val="single" w:sz="8" w:color="0000FF"/>
            </w:tcBorders>
          </w:tcPr>
          <w:p>
            <w:pPr>
              <w:spacing w:after="0"/>
              <w:rPr>
                <w:sz w:val="17"/>
                <w:szCs w:val="17"/>
                <w:color w:val="auto"/>
              </w:rPr>
            </w:pPr>
          </w:p>
        </w:tc>
        <w:tc>
          <w:tcPr>
            <w:tcW w:w="3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198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780" w:type="dxa"/>
            <w:vAlign w:val="bottom"/>
            <w:gridSpan w:val="5"/>
          </w:tcPr>
          <w:p>
            <w:pPr>
              <w:spacing w:after="0" w:line="20" w:lineRule="exact"/>
              <w:rPr>
                <w:sz w:val="1"/>
                <w:szCs w:val="1"/>
                <w:color w:val="auto"/>
              </w:rPr>
            </w:pPr>
          </w:p>
        </w:tc>
        <w:tc>
          <w:tcPr>
            <w:tcW w:w="21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20" w:type="dxa"/>
            <w:vAlign w:val="bottom"/>
            <w:gridSpan w:val="11"/>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260" w:type="dxa"/>
            <w:vAlign w:val="bottom"/>
          </w:tcPr>
          <w:p>
            <w:pPr>
              <w:jc w:val="center"/>
              <w:spacing w:after="0"/>
              <w:rPr>
                <w:sz w:val="20"/>
                <w:szCs w:val="20"/>
                <w:color w:val="auto"/>
              </w:rPr>
            </w:pPr>
            <w:r>
              <w:rPr>
                <w:rFonts w:ascii="Arial" w:cs="Arial" w:eastAsia="Arial" w:hAnsi="Arial"/>
                <w:sz w:val="18"/>
                <w:szCs w:val="18"/>
                <w:color w:val="auto"/>
                <w:w w:val="91"/>
              </w:rPr>
              <w:t>10.8</w:t>
            </w:r>
          </w:p>
        </w:tc>
        <w:tc>
          <w:tcPr>
            <w:tcW w:w="3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780" w:type="dxa"/>
            <w:vAlign w:val="bottom"/>
            <w:gridSpan w:val="30"/>
          </w:tcPr>
          <w:p>
            <w:pPr>
              <w:spacing w:after="0"/>
              <w:rPr>
                <w:rFonts w:ascii="Arial" w:cs="Arial" w:eastAsia="Arial" w:hAnsi="Arial"/>
                <w:sz w:val="18"/>
                <w:szCs w:val="18"/>
                <w:color w:val="0000FF"/>
                <w:w w:val="92"/>
              </w:rPr>
            </w:pPr>
            <w:hyperlink r:id="rId117">
              <w:r>
                <w:rPr>
                  <w:rFonts w:ascii="Arial" w:cs="Arial" w:eastAsia="Arial" w:hAnsi="Arial"/>
                  <w:sz w:val="18"/>
                  <w:szCs w:val="18"/>
                  <w:color w:val="0000FF"/>
                  <w:w w:val="92"/>
                </w:rPr>
                <w:t>Brighthouse Services, LLC Auxiliary Savings Plan is incorporated by reference to our Quarterly Report on Form 10-Q filed on August</w:t>
              </w:r>
            </w:hyperlink>
          </w:p>
        </w:tc>
        <w:tc>
          <w:tcPr>
            <w:tcW w:w="0" w:type="dxa"/>
            <w:vAlign w:val="bottom"/>
          </w:tcPr>
          <w:p>
            <w:pPr>
              <w:spacing w:after="0"/>
              <w:rPr>
                <w:sz w:val="1"/>
                <w:szCs w:val="1"/>
                <w:color w:val="auto"/>
              </w:rPr>
            </w:pPr>
          </w:p>
        </w:tc>
      </w:tr>
      <w:tr>
        <w:trPr>
          <w:trHeight w:val="196"/>
        </w:trPr>
        <w:tc>
          <w:tcPr>
            <w:tcW w:w="12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60" w:type="dxa"/>
            <w:vAlign w:val="bottom"/>
            <w:tcBorders>
              <w:top w:val="single" w:sz="8" w:color="0000FF"/>
              <w:bottom w:val="single" w:sz="8" w:color="0000FF"/>
            </w:tcBorders>
            <w:gridSpan w:val="2"/>
          </w:tcPr>
          <w:p>
            <w:pPr>
              <w:spacing w:after="0" w:line="196" w:lineRule="exact"/>
              <w:rPr>
                <w:rFonts w:ascii="Arial" w:cs="Arial" w:eastAsia="Arial" w:hAnsi="Arial"/>
                <w:sz w:val="18"/>
                <w:szCs w:val="18"/>
                <w:color w:val="0000FF"/>
                <w:w w:val="91"/>
              </w:rPr>
            </w:pPr>
            <w:hyperlink r:id="rId117">
              <w:r>
                <w:rPr>
                  <w:rFonts w:ascii="Arial" w:cs="Arial" w:eastAsia="Arial" w:hAnsi="Arial"/>
                  <w:sz w:val="18"/>
                  <w:szCs w:val="18"/>
                  <w:color w:val="0000FF"/>
                  <w:w w:val="91"/>
                </w:rPr>
                <w:t>15, 2017 (File No. 001-37905).</w:t>
              </w:r>
            </w:hyperlink>
          </w:p>
        </w:tc>
        <w:tc>
          <w:tcPr>
            <w:tcW w:w="7460" w:type="dxa"/>
            <w:vAlign w:val="bottom"/>
            <w:tcBorders>
              <w:top w:val="single" w:sz="8" w:color="0000FF"/>
            </w:tcBorders>
            <w:gridSpan w:val="26"/>
          </w:tcPr>
          <w:p>
            <w:pPr>
              <w:spacing w:after="0"/>
              <w:rPr>
                <w:sz w:val="17"/>
                <w:szCs w:val="17"/>
                <w:color w:val="auto"/>
              </w:rPr>
            </w:pPr>
          </w:p>
        </w:tc>
        <w:tc>
          <w:tcPr>
            <w:tcW w:w="6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1260" w:type="dxa"/>
            <w:vAlign w:val="bottom"/>
          </w:tcPr>
          <w:p>
            <w:pPr>
              <w:jc w:val="center"/>
              <w:spacing w:after="0"/>
              <w:rPr>
                <w:sz w:val="20"/>
                <w:szCs w:val="20"/>
                <w:color w:val="auto"/>
              </w:rPr>
            </w:pPr>
            <w:r>
              <w:rPr>
                <w:rFonts w:ascii="Arial" w:cs="Arial" w:eastAsia="Arial" w:hAnsi="Arial"/>
                <w:sz w:val="18"/>
                <w:szCs w:val="18"/>
                <w:color w:val="auto"/>
                <w:w w:val="91"/>
              </w:rPr>
              <w:t>10.9</w:t>
            </w:r>
          </w:p>
        </w:tc>
        <w:tc>
          <w:tcPr>
            <w:tcW w:w="3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780" w:type="dxa"/>
            <w:vAlign w:val="bottom"/>
            <w:gridSpan w:val="30"/>
          </w:tcPr>
          <w:p>
            <w:pPr>
              <w:spacing w:after="0"/>
              <w:rPr>
                <w:rFonts w:ascii="Arial" w:cs="Arial" w:eastAsia="Arial" w:hAnsi="Arial"/>
                <w:sz w:val="18"/>
                <w:szCs w:val="18"/>
                <w:color w:val="0000FF"/>
                <w:w w:val="96"/>
              </w:rPr>
            </w:pPr>
            <w:hyperlink r:id="rId118">
              <w:r>
                <w:rPr>
                  <w:rFonts w:ascii="Arial" w:cs="Arial" w:eastAsia="Arial" w:hAnsi="Arial"/>
                  <w:sz w:val="18"/>
                  <w:szCs w:val="18"/>
                  <w:color w:val="0000FF"/>
                  <w:w w:val="96"/>
                </w:rPr>
                <w:t>Amendment Number One to the Brighthouse Services, LLC Auxiliary Savings Plan is incorporated by reference to our Quarterly</w:t>
              </w:r>
            </w:hyperlink>
          </w:p>
        </w:tc>
        <w:tc>
          <w:tcPr>
            <w:tcW w:w="0" w:type="dxa"/>
            <w:vAlign w:val="bottom"/>
          </w:tcPr>
          <w:p>
            <w:pPr>
              <w:spacing w:after="0"/>
              <w:rPr>
                <w:sz w:val="1"/>
                <w:szCs w:val="1"/>
                <w:color w:val="auto"/>
              </w:rPr>
            </w:pPr>
          </w:p>
        </w:tc>
      </w:tr>
      <w:tr>
        <w:trPr>
          <w:trHeight w:val="196"/>
        </w:trPr>
        <w:tc>
          <w:tcPr>
            <w:tcW w:w="12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040" w:type="dxa"/>
            <w:vAlign w:val="bottom"/>
            <w:tcBorders>
              <w:top w:val="single" w:sz="8" w:color="0000FF"/>
              <w:bottom w:val="single" w:sz="8" w:color="0000FF"/>
            </w:tcBorders>
            <w:gridSpan w:val="7"/>
          </w:tcPr>
          <w:p>
            <w:pPr>
              <w:spacing w:after="0" w:line="196" w:lineRule="exact"/>
              <w:rPr>
                <w:rFonts w:ascii="Arial" w:cs="Arial" w:eastAsia="Arial" w:hAnsi="Arial"/>
                <w:sz w:val="18"/>
                <w:szCs w:val="18"/>
                <w:color w:val="0000FF"/>
                <w:w w:val="92"/>
              </w:rPr>
            </w:pPr>
            <w:hyperlink r:id="rId118">
              <w:r>
                <w:rPr>
                  <w:rFonts w:ascii="Arial" w:cs="Arial" w:eastAsia="Arial" w:hAnsi="Arial"/>
                  <w:sz w:val="18"/>
                  <w:szCs w:val="18"/>
                  <w:color w:val="0000FF"/>
                  <w:w w:val="92"/>
                </w:rPr>
                <w:t>Report on Form 10-Q filed on August 15, 2017 (File No. 001-37905).</w:t>
              </w:r>
            </w:hyperlink>
          </w:p>
        </w:tc>
        <w:tc>
          <w:tcPr>
            <w:tcW w:w="4260" w:type="dxa"/>
            <w:vAlign w:val="bottom"/>
            <w:tcBorders>
              <w:top w:val="single" w:sz="8" w:color="0000FF"/>
            </w:tcBorders>
            <w:gridSpan w:val="10"/>
          </w:tcPr>
          <w:p>
            <w:pPr>
              <w:spacing w:after="0"/>
              <w:rPr>
                <w:sz w:val="17"/>
                <w:szCs w:val="17"/>
                <w:color w:val="auto"/>
              </w:rPr>
            </w:pPr>
          </w:p>
        </w:tc>
        <w:tc>
          <w:tcPr>
            <w:tcW w:w="480" w:type="dxa"/>
            <w:vAlign w:val="bottom"/>
            <w:gridSpan w:val="13"/>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1260" w:type="dxa"/>
            <w:vAlign w:val="bottom"/>
          </w:tcPr>
          <w:p>
            <w:pPr>
              <w:jc w:val="center"/>
              <w:spacing w:after="0"/>
              <w:rPr>
                <w:sz w:val="20"/>
                <w:szCs w:val="20"/>
                <w:color w:val="auto"/>
              </w:rPr>
            </w:pPr>
            <w:r>
              <w:rPr>
                <w:rFonts w:ascii="Arial" w:cs="Arial" w:eastAsia="Arial" w:hAnsi="Arial"/>
                <w:sz w:val="18"/>
                <w:szCs w:val="18"/>
                <w:color w:val="auto"/>
                <w:w w:val="88"/>
              </w:rPr>
              <w:t>10.10</w:t>
            </w:r>
          </w:p>
        </w:tc>
        <w:tc>
          <w:tcPr>
            <w:tcW w:w="3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780" w:type="dxa"/>
            <w:vAlign w:val="bottom"/>
            <w:gridSpan w:val="30"/>
          </w:tcPr>
          <w:p>
            <w:pPr>
              <w:spacing w:after="0"/>
              <w:rPr>
                <w:rFonts w:ascii="Arial" w:cs="Arial" w:eastAsia="Arial" w:hAnsi="Arial"/>
                <w:sz w:val="18"/>
                <w:szCs w:val="18"/>
                <w:color w:val="0000FF"/>
                <w:w w:val="96"/>
              </w:rPr>
            </w:pPr>
            <w:hyperlink r:id="rId119">
              <w:r>
                <w:rPr>
                  <w:rFonts w:ascii="Arial" w:cs="Arial" w:eastAsia="Arial" w:hAnsi="Arial"/>
                  <w:sz w:val="18"/>
                  <w:szCs w:val="18"/>
                  <w:color w:val="0000FF"/>
                  <w:w w:val="96"/>
                </w:rPr>
                <w:t>Amended and Restated Brighthouse Services, LLC Annual Variable Incentive Plan is incorporated by reference to our Quarterly</w:t>
              </w:r>
            </w:hyperlink>
          </w:p>
        </w:tc>
        <w:tc>
          <w:tcPr>
            <w:tcW w:w="0" w:type="dxa"/>
            <w:vAlign w:val="bottom"/>
          </w:tcPr>
          <w:p>
            <w:pPr>
              <w:spacing w:after="0"/>
              <w:rPr>
                <w:sz w:val="1"/>
                <w:szCs w:val="1"/>
                <w:color w:val="auto"/>
              </w:rPr>
            </w:pPr>
          </w:p>
        </w:tc>
      </w:tr>
      <w:tr>
        <w:trPr>
          <w:trHeight w:val="196"/>
        </w:trPr>
        <w:tc>
          <w:tcPr>
            <w:tcW w:w="12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040" w:type="dxa"/>
            <w:vAlign w:val="bottom"/>
            <w:tcBorders>
              <w:top w:val="single" w:sz="8" w:color="0000FF"/>
              <w:bottom w:val="single" w:sz="8" w:color="0000FF"/>
            </w:tcBorders>
            <w:gridSpan w:val="7"/>
          </w:tcPr>
          <w:p>
            <w:pPr>
              <w:spacing w:after="0" w:line="196" w:lineRule="exact"/>
              <w:rPr>
                <w:rFonts w:ascii="Arial" w:cs="Arial" w:eastAsia="Arial" w:hAnsi="Arial"/>
                <w:sz w:val="18"/>
                <w:szCs w:val="18"/>
                <w:color w:val="0000FF"/>
                <w:w w:val="92"/>
              </w:rPr>
            </w:pPr>
            <w:hyperlink r:id="rId119">
              <w:r>
                <w:rPr>
                  <w:rFonts w:ascii="Arial" w:cs="Arial" w:eastAsia="Arial" w:hAnsi="Arial"/>
                  <w:sz w:val="18"/>
                  <w:szCs w:val="18"/>
                  <w:color w:val="0000FF"/>
                  <w:w w:val="92"/>
                </w:rPr>
                <w:t>Report on Form 10-Q filed on August 15, 2017 (File No. 001-37905).</w:t>
              </w:r>
            </w:hyperlink>
          </w:p>
        </w:tc>
        <w:tc>
          <w:tcPr>
            <w:tcW w:w="4200" w:type="dxa"/>
            <w:vAlign w:val="bottom"/>
            <w:tcBorders>
              <w:top w:val="single" w:sz="8" w:color="0000FF"/>
            </w:tcBorders>
            <w:gridSpan w:val="8"/>
          </w:tcPr>
          <w:p>
            <w:pPr>
              <w:spacing w:after="0"/>
              <w:rPr>
                <w:sz w:val="17"/>
                <w:szCs w:val="17"/>
                <w:color w:val="auto"/>
              </w:rPr>
            </w:pPr>
          </w:p>
        </w:tc>
        <w:tc>
          <w:tcPr>
            <w:tcW w:w="540" w:type="dxa"/>
            <w:vAlign w:val="bottom"/>
            <w:gridSpan w:val="15"/>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1260" w:type="dxa"/>
            <w:vAlign w:val="bottom"/>
          </w:tcPr>
          <w:p>
            <w:pPr>
              <w:jc w:val="center"/>
              <w:spacing w:after="0"/>
              <w:rPr>
                <w:sz w:val="20"/>
                <w:szCs w:val="20"/>
                <w:color w:val="auto"/>
              </w:rPr>
            </w:pPr>
            <w:r>
              <w:rPr>
                <w:rFonts w:ascii="Arial" w:cs="Arial" w:eastAsia="Arial" w:hAnsi="Arial"/>
                <w:sz w:val="18"/>
                <w:szCs w:val="18"/>
                <w:color w:val="auto"/>
                <w:w w:val="95"/>
              </w:rPr>
              <w:t>31.1*</w:t>
            </w:r>
          </w:p>
        </w:tc>
        <w:tc>
          <w:tcPr>
            <w:tcW w:w="3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240" w:type="dxa"/>
            <w:vAlign w:val="bottom"/>
            <w:tcBorders>
              <w:bottom w:val="single" w:sz="8" w:color="0000FF"/>
            </w:tcBorders>
            <w:gridSpan w:val="13"/>
          </w:tcPr>
          <w:p>
            <w:pPr>
              <w:spacing w:after="0"/>
              <w:rPr>
                <w:rFonts w:ascii="Arial" w:cs="Arial" w:eastAsia="Arial" w:hAnsi="Arial"/>
                <w:sz w:val="18"/>
                <w:szCs w:val="18"/>
                <w:color w:val="0000FF"/>
                <w:w w:val="92"/>
              </w:rPr>
            </w:pPr>
            <w:hyperlink w:anchor="page178">
              <w:r>
                <w:rPr>
                  <w:rFonts w:ascii="Arial" w:cs="Arial" w:eastAsia="Arial" w:hAnsi="Arial"/>
                  <w:sz w:val="18"/>
                  <w:szCs w:val="18"/>
                  <w:color w:val="0000FF"/>
                  <w:w w:val="92"/>
                </w:rPr>
                <w:t>Certification of Chief Executive Officer pursuant to Section 302 of the Sarbanes-Oxley Act of 2002.</w:t>
              </w:r>
            </w:hyperlink>
          </w:p>
        </w:tc>
        <w:tc>
          <w:tcPr>
            <w:tcW w:w="2540" w:type="dxa"/>
            <w:vAlign w:val="bottom"/>
            <w:gridSpan w:val="17"/>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1260" w:type="dxa"/>
            <w:vAlign w:val="bottom"/>
          </w:tcPr>
          <w:p>
            <w:pPr>
              <w:jc w:val="center"/>
              <w:spacing w:after="0"/>
              <w:rPr>
                <w:sz w:val="20"/>
                <w:szCs w:val="20"/>
                <w:color w:val="auto"/>
              </w:rPr>
            </w:pPr>
            <w:r>
              <w:rPr>
                <w:rFonts w:ascii="Arial" w:cs="Arial" w:eastAsia="Arial" w:hAnsi="Arial"/>
                <w:sz w:val="18"/>
                <w:szCs w:val="18"/>
                <w:color w:val="auto"/>
                <w:w w:val="95"/>
              </w:rPr>
              <w:t>31.2*</w:t>
            </w:r>
          </w:p>
        </w:tc>
        <w:tc>
          <w:tcPr>
            <w:tcW w:w="3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200" w:type="dxa"/>
            <w:vAlign w:val="bottom"/>
            <w:tcBorders>
              <w:bottom w:val="single" w:sz="8" w:color="0000FF"/>
            </w:tcBorders>
            <w:gridSpan w:val="12"/>
          </w:tcPr>
          <w:p>
            <w:pPr>
              <w:spacing w:after="0"/>
              <w:rPr>
                <w:rFonts w:ascii="Arial" w:cs="Arial" w:eastAsia="Arial" w:hAnsi="Arial"/>
                <w:sz w:val="18"/>
                <w:szCs w:val="18"/>
                <w:color w:val="0000FF"/>
                <w:w w:val="92"/>
              </w:rPr>
            </w:pPr>
            <w:hyperlink w:anchor="page179">
              <w:r>
                <w:rPr>
                  <w:rFonts w:ascii="Arial" w:cs="Arial" w:eastAsia="Arial" w:hAnsi="Arial"/>
                  <w:sz w:val="18"/>
                  <w:szCs w:val="18"/>
                  <w:color w:val="0000FF"/>
                  <w:w w:val="92"/>
                </w:rPr>
                <w:t>Certification of Chief Financial Officer pursuant to Section 302 of the Sarbanes-Oxley Act of 2002.</w:t>
              </w:r>
            </w:hyperlink>
          </w:p>
        </w:tc>
        <w:tc>
          <w:tcPr>
            <w:tcW w:w="2580" w:type="dxa"/>
            <w:vAlign w:val="bottom"/>
            <w:gridSpan w:val="18"/>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1260" w:type="dxa"/>
            <w:vAlign w:val="bottom"/>
          </w:tcPr>
          <w:p>
            <w:pPr>
              <w:jc w:val="center"/>
              <w:spacing w:after="0"/>
              <w:rPr>
                <w:sz w:val="20"/>
                <w:szCs w:val="20"/>
                <w:color w:val="auto"/>
              </w:rPr>
            </w:pPr>
            <w:r>
              <w:rPr>
                <w:rFonts w:ascii="Arial" w:cs="Arial" w:eastAsia="Arial" w:hAnsi="Arial"/>
                <w:sz w:val="18"/>
                <w:szCs w:val="18"/>
                <w:color w:val="auto"/>
                <w:w w:val="95"/>
              </w:rPr>
              <w:t>32.1*</w:t>
            </w:r>
          </w:p>
        </w:tc>
        <w:tc>
          <w:tcPr>
            <w:tcW w:w="3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240" w:type="dxa"/>
            <w:vAlign w:val="bottom"/>
            <w:tcBorders>
              <w:bottom w:val="single" w:sz="8" w:color="0000FF"/>
            </w:tcBorders>
            <w:gridSpan w:val="13"/>
          </w:tcPr>
          <w:p>
            <w:pPr>
              <w:spacing w:after="0"/>
              <w:rPr>
                <w:rFonts w:ascii="Arial" w:cs="Arial" w:eastAsia="Arial" w:hAnsi="Arial"/>
                <w:sz w:val="18"/>
                <w:szCs w:val="18"/>
                <w:color w:val="0000FF"/>
                <w:w w:val="92"/>
              </w:rPr>
            </w:pPr>
            <w:hyperlink w:anchor="page180">
              <w:r>
                <w:rPr>
                  <w:rFonts w:ascii="Arial" w:cs="Arial" w:eastAsia="Arial" w:hAnsi="Arial"/>
                  <w:sz w:val="18"/>
                  <w:szCs w:val="18"/>
                  <w:color w:val="0000FF"/>
                  <w:w w:val="92"/>
                </w:rPr>
                <w:t>Certification of Chief Executive Officer pursuant to Section 906 of the Sarbanes-Oxley Act of 2002.</w:t>
              </w:r>
            </w:hyperlink>
          </w:p>
        </w:tc>
        <w:tc>
          <w:tcPr>
            <w:tcW w:w="2540" w:type="dxa"/>
            <w:vAlign w:val="bottom"/>
            <w:gridSpan w:val="17"/>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1260" w:type="dxa"/>
            <w:vAlign w:val="bottom"/>
          </w:tcPr>
          <w:p>
            <w:pPr>
              <w:jc w:val="center"/>
              <w:spacing w:after="0"/>
              <w:rPr>
                <w:sz w:val="20"/>
                <w:szCs w:val="20"/>
                <w:color w:val="auto"/>
              </w:rPr>
            </w:pPr>
            <w:r>
              <w:rPr>
                <w:rFonts w:ascii="Arial" w:cs="Arial" w:eastAsia="Arial" w:hAnsi="Arial"/>
                <w:sz w:val="18"/>
                <w:szCs w:val="18"/>
                <w:color w:val="auto"/>
                <w:w w:val="95"/>
              </w:rPr>
              <w:t>32.2*</w:t>
            </w:r>
          </w:p>
        </w:tc>
        <w:tc>
          <w:tcPr>
            <w:tcW w:w="3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780" w:type="dxa"/>
            <w:vAlign w:val="bottom"/>
            <w:gridSpan w:val="30"/>
          </w:tcPr>
          <w:p>
            <w:pPr>
              <w:spacing w:after="0"/>
              <w:rPr>
                <w:rFonts w:ascii="Arial" w:cs="Arial" w:eastAsia="Arial" w:hAnsi="Arial"/>
                <w:sz w:val="18"/>
                <w:szCs w:val="18"/>
                <w:color w:val="0000FF"/>
              </w:rPr>
            </w:pPr>
            <w:hyperlink w:anchor="page181">
              <w:r>
                <w:rPr>
                  <w:rFonts w:ascii="Arial" w:cs="Arial" w:eastAsia="Arial" w:hAnsi="Arial"/>
                  <w:sz w:val="18"/>
                  <w:szCs w:val="18"/>
                  <w:color w:val="0000FF"/>
                </w:rPr>
                <w:t>Certification of Chief Financial Officer pursuant to Section 906 of the Sarbanes-Oxley Act of 2002.</w:t>
              </w:r>
            </w:hyperlink>
          </w:p>
        </w:tc>
        <w:tc>
          <w:tcPr>
            <w:tcW w:w="0" w:type="dxa"/>
            <w:vAlign w:val="bottom"/>
          </w:tcPr>
          <w:p>
            <w:pPr>
              <w:spacing w:after="0"/>
              <w:rPr>
                <w:sz w:val="1"/>
                <w:szCs w:val="1"/>
                <w:color w:val="auto"/>
              </w:rPr>
            </w:pPr>
          </w:p>
        </w:tc>
      </w:tr>
      <w:tr>
        <w:trPr>
          <w:trHeight w:val="291"/>
        </w:trPr>
        <w:tc>
          <w:tcPr>
            <w:tcW w:w="1620" w:type="dxa"/>
            <w:vAlign w:val="bottom"/>
            <w:gridSpan w:val="2"/>
          </w:tcPr>
          <w:p>
            <w:pPr>
              <w:jc w:val="center"/>
              <w:ind w:right="360"/>
              <w:spacing w:after="0"/>
              <w:rPr>
                <w:sz w:val="20"/>
                <w:szCs w:val="20"/>
                <w:color w:val="auto"/>
              </w:rPr>
            </w:pPr>
            <w:r>
              <w:rPr>
                <w:rFonts w:ascii="Arial" w:cs="Arial" w:eastAsia="Arial" w:hAnsi="Arial"/>
                <w:sz w:val="18"/>
                <w:szCs w:val="18"/>
                <w:color w:val="auto"/>
                <w:w w:val="97"/>
              </w:rPr>
              <w:t>101.INS*</w:t>
            </w:r>
          </w:p>
        </w:tc>
        <w:tc>
          <w:tcPr>
            <w:tcW w:w="20" w:type="dxa"/>
            <w:vAlign w:val="bottom"/>
          </w:tcPr>
          <w:p>
            <w:pPr>
              <w:spacing w:after="0"/>
              <w:rPr>
                <w:sz w:val="24"/>
                <w:szCs w:val="24"/>
                <w:color w:val="auto"/>
              </w:rPr>
            </w:pPr>
          </w:p>
        </w:tc>
        <w:tc>
          <w:tcPr>
            <w:tcW w:w="7180" w:type="dxa"/>
            <w:vAlign w:val="bottom"/>
            <w:tcBorders>
              <w:top w:val="single" w:sz="8" w:color="0000FF"/>
            </w:tcBorders>
            <w:gridSpan w:val="11"/>
          </w:tcPr>
          <w:p>
            <w:pPr>
              <w:spacing w:after="0"/>
              <w:rPr>
                <w:sz w:val="20"/>
                <w:szCs w:val="20"/>
                <w:color w:val="auto"/>
              </w:rPr>
            </w:pPr>
            <w:r>
              <w:rPr>
                <w:rFonts w:ascii="Arial" w:cs="Arial" w:eastAsia="Arial" w:hAnsi="Arial"/>
                <w:sz w:val="18"/>
                <w:szCs w:val="18"/>
                <w:color w:val="auto"/>
              </w:rPr>
              <w:t>XBRL Instance Document.</w:t>
            </w:r>
          </w:p>
        </w:tc>
        <w:tc>
          <w:tcPr>
            <w:tcW w:w="2600" w:type="dxa"/>
            <w:vAlign w:val="bottom"/>
            <w:gridSpan w:val="19"/>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620" w:type="dxa"/>
            <w:vAlign w:val="bottom"/>
            <w:gridSpan w:val="2"/>
          </w:tcPr>
          <w:p>
            <w:pPr>
              <w:jc w:val="center"/>
              <w:ind w:right="340"/>
              <w:spacing w:after="0"/>
              <w:rPr>
                <w:sz w:val="20"/>
                <w:szCs w:val="20"/>
                <w:color w:val="auto"/>
              </w:rPr>
            </w:pPr>
            <w:r>
              <w:rPr>
                <w:rFonts w:ascii="Arial" w:cs="Arial" w:eastAsia="Arial" w:hAnsi="Arial"/>
                <w:sz w:val="18"/>
                <w:szCs w:val="18"/>
                <w:color w:val="auto"/>
                <w:w w:val="94"/>
              </w:rPr>
              <w:t>101.SCH*</w:t>
            </w:r>
          </w:p>
        </w:tc>
        <w:tc>
          <w:tcPr>
            <w:tcW w:w="20" w:type="dxa"/>
            <w:vAlign w:val="bottom"/>
          </w:tcPr>
          <w:p>
            <w:pPr>
              <w:spacing w:after="0"/>
              <w:rPr>
                <w:sz w:val="23"/>
                <w:szCs w:val="23"/>
                <w:color w:val="auto"/>
              </w:rPr>
            </w:pPr>
          </w:p>
        </w:tc>
        <w:tc>
          <w:tcPr>
            <w:tcW w:w="9780" w:type="dxa"/>
            <w:vAlign w:val="bottom"/>
            <w:gridSpan w:val="30"/>
          </w:tcPr>
          <w:p>
            <w:pPr>
              <w:spacing w:after="0"/>
              <w:rPr>
                <w:sz w:val="20"/>
                <w:szCs w:val="20"/>
                <w:color w:val="auto"/>
              </w:rPr>
            </w:pPr>
            <w:r>
              <w:rPr>
                <w:rFonts w:ascii="Arial" w:cs="Arial" w:eastAsia="Arial" w:hAnsi="Arial"/>
                <w:sz w:val="18"/>
                <w:szCs w:val="18"/>
                <w:color w:val="auto"/>
              </w:rPr>
              <w:t>XBRL Taxonomy Extension Schema Document.</w:t>
            </w:r>
          </w:p>
        </w:tc>
        <w:tc>
          <w:tcPr>
            <w:tcW w:w="0" w:type="dxa"/>
            <w:vAlign w:val="bottom"/>
          </w:tcPr>
          <w:p>
            <w:pPr>
              <w:spacing w:after="0"/>
              <w:rPr>
                <w:sz w:val="1"/>
                <w:szCs w:val="1"/>
                <w:color w:val="auto"/>
              </w:rPr>
            </w:pPr>
          </w:p>
        </w:tc>
      </w:tr>
      <w:tr>
        <w:trPr>
          <w:trHeight w:val="270"/>
        </w:trPr>
        <w:tc>
          <w:tcPr>
            <w:tcW w:w="1620" w:type="dxa"/>
            <w:vAlign w:val="bottom"/>
            <w:gridSpan w:val="2"/>
          </w:tcPr>
          <w:p>
            <w:pPr>
              <w:jc w:val="center"/>
              <w:ind w:right="340"/>
              <w:spacing w:after="0"/>
              <w:rPr>
                <w:sz w:val="20"/>
                <w:szCs w:val="20"/>
                <w:color w:val="auto"/>
              </w:rPr>
            </w:pPr>
            <w:r>
              <w:rPr>
                <w:rFonts w:ascii="Arial" w:cs="Arial" w:eastAsia="Arial" w:hAnsi="Arial"/>
                <w:sz w:val="18"/>
                <w:szCs w:val="18"/>
                <w:color w:val="auto"/>
                <w:w w:val="98"/>
              </w:rPr>
              <w:t>101.CAL*</w:t>
            </w:r>
          </w:p>
        </w:tc>
        <w:tc>
          <w:tcPr>
            <w:tcW w:w="20" w:type="dxa"/>
            <w:vAlign w:val="bottom"/>
          </w:tcPr>
          <w:p>
            <w:pPr>
              <w:spacing w:after="0"/>
              <w:rPr>
                <w:sz w:val="23"/>
                <w:szCs w:val="23"/>
                <w:color w:val="auto"/>
              </w:rPr>
            </w:pPr>
          </w:p>
        </w:tc>
        <w:tc>
          <w:tcPr>
            <w:tcW w:w="9780" w:type="dxa"/>
            <w:vAlign w:val="bottom"/>
            <w:gridSpan w:val="30"/>
          </w:tcPr>
          <w:p>
            <w:pPr>
              <w:spacing w:after="0"/>
              <w:rPr>
                <w:sz w:val="20"/>
                <w:szCs w:val="20"/>
                <w:color w:val="auto"/>
              </w:rPr>
            </w:pPr>
            <w:r>
              <w:rPr>
                <w:rFonts w:ascii="Arial" w:cs="Arial" w:eastAsia="Arial" w:hAnsi="Arial"/>
                <w:sz w:val="18"/>
                <w:szCs w:val="18"/>
                <w:color w:val="auto"/>
              </w:rPr>
              <w:t>XBRL Taxonomy Extension Calculation Linkbase Document.</w:t>
            </w:r>
          </w:p>
        </w:tc>
        <w:tc>
          <w:tcPr>
            <w:tcW w:w="0" w:type="dxa"/>
            <w:vAlign w:val="bottom"/>
          </w:tcPr>
          <w:p>
            <w:pPr>
              <w:spacing w:after="0"/>
              <w:rPr>
                <w:sz w:val="1"/>
                <w:szCs w:val="1"/>
                <w:color w:val="auto"/>
              </w:rPr>
            </w:pPr>
          </w:p>
        </w:tc>
      </w:tr>
      <w:tr>
        <w:trPr>
          <w:trHeight w:val="270"/>
        </w:trPr>
        <w:tc>
          <w:tcPr>
            <w:tcW w:w="1620" w:type="dxa"/>
            <w:vAlign w:val="bottom"/>
            <w:gridSpan w:val="2"/>
          </w:tcPr>
          <w:p>
            <w:pPr>
              <w:jc w:val="center"/>
              <w:ind w:right="340"/>
              <w:spacing w:after="0"/>
              <w:rPr>
                <w:sz w:val="20"/>
                <w:szCs w:val="20"/>
                <w:color w:val="auto"/>
              </w:rPr>
            </w:pPr>
            <w:r>
              <w:rPr>
                <w:rFonts w:ascii="Arial" w:cs="Arial" w:eastAsia="Arial" w:hAnsi="Arial"/>
                <w:sz w:val="18"/>
                <w:szCs w:val="18"/>
                <w:color w:val="auto"/>
                <w:w w:val="99"/>
              </w:rPr>
              <w:t>101.LAB*</w:t>
            </w:r>
          </w:p>
        </w:tc>
        <w:tc>
          <w:tcPr>
            <w:tcW w:w="20" w:type="dxa"/>
            <w:vAlign w:val="bottom"/>
          </w:tcPr>
          <w:p>
            <w:pPr>
              <w:spacing w:after="0"/>
              <w:rPr>
                <w:sz w:val="23"/>
                <w:szCs w:val="23"/>
                <w:color w:val="auto"/>
              </w:rPr>
            </w:pPr>
          </w:p>
        </w:tc>
        <w:tc>
          <w:tcPr>
            <w:tcW w:w="9780" w:type="dxa"/>
            <w:vAlign w:val="bottom"/>
            <w:gridSpan w:val="30"/>
          </w:tcPr>
          <w:p>
            <w:pPr>
              <w:spacing w:after="0"/>
              <w:rPr>
                <w:sz w:val="20"/>
                <w:szCs w:val="20"/>
                <w:color w:val="auto"/>
              </w:rPr>
            </w:pPr>
            <w:r>
              <w:rPr>
                <w:rFonts w:ascii="Arial" w:cs="Arial" w:eastAsia="Arial" w:hAnsi="Arial"/>
                <w:sz w:val="18"/>
                <w:szCs w:val="18"/>
                <w:color w:val="auto"/>
              </w:rPr>
              <w:t>XBRL Taxonomy Extension Label Linkbase Document.</w:t>
            </w:r>
          </w:p>
        </w:tc>
        <w:tc>
          <w:tcPr>
            <w:tcW w:w="0" w:type="dxa"/>
            <w:vAlign w:val="bottom"/>
          </w:tcPr>
          <w:p>
            <w:pPr>
              <w:spacing w:after="0"/>
              <w:rPr>
                <w:sz w:val="1"/>
                <w:szCs w:val="1"/>
                <w:color w:val="auto"/>
              </w:rPr>
            </w:pPr>
          </w:p>
        </w:tc>
      </w:tr>
      <w:tr>
        <w:trPr>
          <w:trHeight w:val="270"/>
        </w:trPr>
        <w:tc>
          <w:tcPr>
            <w:tcW w:w="1620" w:type="dxa"/>
            <w:vAlign w:val="bottom"/>
            <w:gridSpan w:val="2"/>
          </w:tcPr>
          <w:p>
            <w:pPr>
              <w:jc w:val="center"/>
              <w:ind w:right="360"/>
              <w:spacing w:after="0"/>
              <w:rPr>
                <w:sz w:val="20"/>
                <w:szCs w:val="20"/>
                <w:color w:val="auto"/>
              </w:rPr>
            </w:pPr>
            <w:r>
              <w:rPr>
                <w:rFonts w:ascii="Arial" w:cs="Arial" w:eastAsia="Arial" w:hAnsi="Arial"/>
                <w:sz w:val="18"/>
                <w:szCs w:val="18"/>
                <w:color w:val="auto"/>
                <w:w w:val="93"/>
              </w:rPr>
              <w:t>101.PRE*</w:t>
            </w:r>
          </w:p>
        </w:tc>
        <w:tc>
          <w:tcPr>
            <w:tcW w:w="20" w:type="dxa"/>
            <w:vAlign w:val="bottom"/>
          </w:tcPr>
          <w:p>
            <w:pPr>
              <w:spacing w:after="0"/>
              <w:rPr>
                <w:sz w:val="23"/>
                <w:szCs w:val="23"/>
                <w:color w:val="auto"/>
              </w:rPr>
            </w:pPr>
          </w:p>
        </w:tc>
        <w:tc>
          <w:tcPr>
            <w:tcW w:w="9780" w:type="dxa"/>
            <w:vAlign w:val="bottom"/>
            <w:gridSpan w:val="30"/>
          </w:tcPr>
          <w:p>
            <w:pPr>
              <w:spacing w:after="0"/>
              <w:rPr>
                <w:sz w:val="20"/>
                <w:szCs w:val="20"/>
                <w:color w:val="auto"/>
              </w:rPr>
            </w:pPr>
            <w:r>
              <w:rPr>
                <w:rFonts w:ascii="Arial" w:cs="Arial" w:eastAsia="Arial" w:hAnsi="Arial"/>
                <w:sz w:val="18"/>
                <w:szCs w:val="18"/>
                <w:color w:val="auto"/>
              </w:rPr>
              <w:t>XBRL Taxonomy Extension Presentation Linkbase Document.</w:t>
            </w:r>
          </w:p>
        </w:tc>
        <w:tc>
          <w:tcPr>
            <w:tcW w:w="0" w:type="dxa"/>
            <w:vAlign w:val="bottom"/>
          </w:tcPr>
          <w:p>
            <w:pPr>
              <w:spacing w:after="0"/>
              <w:rPr>
                <w:sz w:val="1"/>
                <w:szCs w:val="1"/>
                <w:color w:val="auto"/>
              </w:rPr>
            </w:pPr>
          </w:p>
        </w:tc>
      </w:tr>
      <w:tr>
        <w:trPr>
          <w:trHeight w:val="270"/>
        </w:trPr>
        <w:tc>
          <w:tcPr>
            <w:tcW w:w="1620" w:type="dxa"/>
            <w:vAlign w:val="bottom"/>
            <w:gridSpan w:val="2"/>
          </w:tcPr>
          <w:p>
            <w:pPr>
              <w:jc w:val="center"/>
              <w:ind w:right="360"/>
              <w:spacing w:after="0"/>
              <w:rPr>
                <w:sz w:val="20"/>
                <w:szCs w:val="20"/>
                <w:color w:val="auto"/>
              </w:rPr>
            </w:pPr>
            <w:r>
              <w:rPr>
                <w:rFonts w:ascii="Arial" w:cs="Arial" w:eastAsia="Arial" w:hAnsi="Arial"/>
                <w:sz w:val="18"/>
                <w:szCs w:val="18"/>
                <w:color w:val="auto"/>
                <w:w w:val="94"/>
              </w:rPr>
              <w:t>101.DEF*</w:t>
            </w:r>
          </w:p>
        </w:tc>
        <w:tc>
          <w:tcPr>
            <w:tcW w:w="20" w:type="dxa"/>
            <w:vAlign w:val="bottom"/>
          </w:tcPr>
          <w:p>
            <w:pPr>
              <w:spacing w:after="0"/>
              <w:rPr>
                <w:sz w:val="23"/>
                <w:szCs w:val="23"/>
                <w:color w:val="auto"/>
              </w:rPr>
            </w:pPr>
          </w:p>
        </w:tc>
        <w:tc>
          <w:tcPr>
            <w:tcW w:w="9780" w:type="dxa"/>
            <w:vAlign w:val="bottom"/>
            <w:gridSpan w:val="30"/>
          </w:tcPr>
          <w:p>
            <w:pPr>
              <w:spacing w:after="0"/>
              <w:rPr>
                <w:sz w:val="20"/>
                <w:szCs w:val="20"/>
                <w:color w:val="auto"/>
              </w:rPr>
            </w:pPr>
            <w:r>
              <w:rPr>
                <w:rFonts w:ascii="Arial" w:cs="Arial" w:eastAsia="Arial" w:hAnsi="Arial"/>
                <w:sz w:val="18"/>
                <w:szCs w:val="18"/>
                <w:color w:val="auto"/>
              </w:rPr>
              <w:t>XBRL Taxonomy Extension Definition Linkbase Document.</w:t>
            </w:r>
          </w:p>
        </w:tc>
        <w:tc>
          <w:tcPr>
            <w:tcW w:w="0" w:type="dxa"/>
            <w:vAlign w:val="bottom"/>
          </w:tcPr>
          <w:p>
            <w:pPr>
              <w:spacing w:after="0"/>
              <w:rPr>
                <w:sz w:val="1"/>
                <w:szCs w:val="1"/>
                <w:color w:val="auto"/>
              </w:rPr>
            </w:pPr>
          </w:p>
        </w:tc>
      </w:tr>
      <w:tr>
        <w:trPr>
          <w:trHeight w:val="351"/>
        </w:trPr>
        <w:tc>
          <w:tcPr>
            <w:tcW w:w="1620" w:type="dxa"/>
            <w:vAlign w:val="bottom"/>
            <w:gridSpan w:val="2"/>
          </w:tcPr>
          <w:p>
            <w:pPr>
              <w:ind w:left="340"/>
              <w:spacing w:after="0"/>
              <w:rPr>
                <w:sz w:val="20"/>
                <w:szCs w:val="20"/>
                <w:color w:val="auto"/>
              </w:rPr>
            </w:pPr>
            <w:r>
              <w:rPr>
                <w:rFonts w:ascii="Arial" w:cs="Arial" w:eastAsia="Arial" w:hAnsi="Arial"/>
                <w:sz w:val="18"/>
                <w:szCs w:val="18"/>
                <w:color w:val="auto"/>
              </w:rPr>
              <w:t>* Filed herewith</w:t>
            </w:r>
          </w:p>
        </w:tc>
        <w:tc>
          <w:tcPr>
            <w:tcW w:w="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740" w:type="dxa"/>
            <w:vAlign w:val="bottom"/>
            <w:gridSpan w:val="27"/>
          </w:tcPr>
          <w:p>
            <w:pPr>
              <w:ind w:left="900"/>
              <w:spacing w:after="0"/>
              <w:rPr>
                <w:sz w:val="20"/>
                <w:szCs w:val="20"/>
                <w:color w:val="auto"/>
              </w:rPr>
            </w:pPr>
            <w:r>
              <w:rPr>
                <w:rFonts w:ascii="Arial" w:cs="Arial" w:eastAsia="Arial" w:hAnsi="Arial"/>
                <w:sz w:val="18"/>
                <w:szCs w:val="18"/>
                <w:color w:val="auto"/>
              </w:rPr>
              <w:t>E-2</w:t>
            </w:r>
          </w:p>
        </w:tc>
        <w:tc>
          <w:tcPr>
            <w:tcW w:w="0" w:type="dxa"/>
            <w:vAlign w:val="bottom"/>
          </w:tcPr>
          <w:p>
            <w:pPr>
              <w:spacing w:after="0"/>
              <w:rPr>
                <w:sz w:val="1"/>
                <w:szCs w:val="1"/>
                <w:color w:val="auto"/>
              </w:rPr>
            </w:pPr>
          </w:p>
        </w:tc>
      </w:tr>
    </w:tbl>
    <w:p>
      <w:pPr>
        <w:sectPr>
          <w:pgSz w:w="11900" w:h="16838" w:orient="portrait"/>
          <w:cols w:equalWidth="0" w:num="1">
            <w:col w:w="11420"/>
          </w:cols>
          <w:pgMar w:left="240" w:top="126" w:right="239" w:bottom="1440" w:gutter="0" w:footer="0" w:header="0"/>
        </w:sectPr>
      </w:pPr>
    </w:p>
    <w:bookmarkStart w:id="177" w:name="page178"/>
    <w:bookmarkEnd w:id="177"/>
    <w:p>
      <w:pPr>
        <w:jc w:val="right"/>
        <w:spacing w:after="0"/>
        <w:rPr>
          <w:sz w:val="20"/>
          <w:szCs w:val="20"/>
          <w:color w:val="auto"/>
        </w:rPr>
      </w:pPr>
      <w:r>
        <w:rPr>
          <w:rFonts w:ascii="Arial" w:cs="Arial" w:eastAsia="Arial" w:hAnsi="Arial"/>
          <w:sz w:val="16"/>
          <w:szCs w:val="16"/>
          <w:b w:val="1"/>
          <w:bCs w:val="1"/>
          <w:color w:val="auto"/>
        </w:rPr>
        <w:t>Exhibit 31.1</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u w:val="single" w:color="auto"/>
          <w:color w:val="auto"/>
        </w:rPr>
        <w:t>CERTIFICATIONS</w:t>
      </w:r>
    </w:p>
    <w:p>
      <w:pPr>
        <w:spacing w:after="0" w:line="126" w:lineRule="exact"/>
        <w:rPr>
          <w:sz w:val="20"/>
          <w:szCs w:val="20"/>
          <w:color w:val="auto"/>
        </w:rPr>
      </w:pPr>
    </w:p>
    <w:p>
      <w:pPr>
        <w:ind w:left="500"/>
        <w:spacing w:after="0"/>
        <w:rPr>
          <w:sz w:val="20"/>
          <w:szCs w:val="20"/>
          <w:color w:val="auto"/>
        </w:rPr>
      </w:pPr>
      <w:r>
        <w:rPr>
          <w:rFonts w:ascii="Arial" w:cs="Arial" w:eastAsia="Arial" w:hAnsi="Arial"/>
          <w:sz w:val="16"/>
          <w:szCs w:val="16"/>
          <w:color w:val="auto"/>
        </w:rPr>
        <w:t>I, Eric T. Steigerwalt, certify that:</w:t>
      </w:r>
    </w:p>
    <w:p>
      <w:pPr>
        <w:spacing w:after="0" w:line="140" w:lineRule="exact"/>
        <w:rPr>
          <w:sz w:val="20"/>
          <w:szCs w:val="20"/>
          <w:color w:val="auto"/>
        </w:rPr>
      </w:pPr>
    </w:p>
    <w:p>
      <w:pPr>
        <w:ind w:left="660" w:hanging="166"/>
        <w:spacing w:after="0"/>
        <w:tabs>
          <w:tab w:leader="none" w:pos="660" w:val="left"/>
        </w:tabs>
        <w:numPr>
          <w:ilvl w:val="0"/>
          <w:numId w:val="97"/>
        </w:numPr>
        <w:rPr>
          <w:rFonts w:ascii="Arial" w:cs="Arial" w:eastAsia="Arial" w:hAnsi="Arial"/>
          <w:sz w:val="16"/>
          <w:szCs w:val="16"/>
          <w:color w:val="auto"/>
        </w:rPr>
      </w:pPr>
      <w:r>
        <w:rPr>
          <w:rFonts w:ascii="Arial" w:cs="Arial" w:eastAsia="Arial" w:hAnsi="Arial"/>
          <w:sz w:val="16"/>
          <w:szCs w:val="16"/>
          <w:color w:val="auto"/>
        </w:rPr>
        <w:t>I have reviewed this quarterly report on Form 10-Q of Brighthouse Financial, Inc.;</w:t>
      </w:r>
    </w:p>
    <w:p>
      <w:pPr>
        <w:spacing w:after="0" w:line="140" w:lineRule="exact"/>
        <w:rPr>
          <w:rFonts w:ascii="Arial" w:cs="Arial" w:eastAsia="Arial" w:hAnsi="Arial"/>
          <w:sz w:val="16"/>
          <w:szCs w:val="16"/>
          <w:color w:val="auto"/>
        </w:rPr>
      </w:pPr>
    </w:p>
    <w:p>
      <w:pPr>
        <w:ind w:right="20" w:firstLine="494"/>
        <w:spacing w:after="0" w:line="275" w:lineRule="auto"/>
        <w:tabs>
          <w:tab w:leader="none" w:pos="648" w:val="left"/>
        </w:tabs>
        <w:numPr>
          <w:ilvl w:val="0"/>
          <w:numId w:val="97"/>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91" w:lineRule="exact"/>
        <w:rPr>
          <w:rFonts w:ascii="Arial" w:cs="Arial" w:eastAsia="Arial" w:hAnsi="Arial"/>
          <w:sz w:val="16"/>
          <w:szCs w:val="16"/>
          <w:color w:val="auto"/>
        </w:rPr>
      </w:pPr>
    </w:p>
    <w:p>
      <w:pPr>
        <w:ind w:firstLine="494"/>
        <w:spacing w:after="0" w:line="275" w:lineRule="auto"/>
        <w:tabs>
          <w:tab w:leader="none" w:pos="648" w:val="left"/>
        </w:tabs>
        <w:numPr>
          <w:ilvl w:val="0"/>
          <w:numId w:val="97"/>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1" w:lineRule="exact"/>
        <w:rPr>
          <w:rFonts w:ascii="Arial" w:cs="Arial" w:eastAsia="Arial" w:hAnsi="Arial"/>
          <w:sz w:val="16"/>
          <w:szCs w:val="16"/>
          <w:color w:val="auto"/>
        </w:rPr>
      </w:pPr>
    </w:p>
    <w:p>
      <w:pPr>
        <w:ind w:right="380" w:firstLine="494"/>
        <w:spacing w:after="0" w:line="275" w:lineRule="auto"/>
        <w:tabs>
          <w:tab w:leader="none" w:pos="648" w:val="left"/>
        </w:tabs>
        <w:numPr>
          <w:ilvl w:val="0"/>
          <w:numId w:val="97"/>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for the registrant and have:</w:t>
      </w:r>
    </w:p>
    <w:p>
      <w:pPr>
        <w:spacing w:after="0" w:line="92" w:lineRule="exact"/>
        <w:rPr>
          <w:sz w:val="20"/>
          <w:szCs w:val="20"/>
          <w:color w:val="auto"/>
        </w:rPr>
      </w:pPr>
    </w:p>
    <w:p>
      <w:pPr>
        <w:ind w:left="980" w:right="20" w:hanging="486"/>
        <w:spacing w:after="0" w:line="261" w:lineRule="auto"/>
        <w:tabs>
          <w:tab w:leader="none" w:pos="980" w:val="left"/>
        </w:tabs>
        <w:numPr>
          <w:ilvl w:val="0"/>
          <w:numId w:val="98"/>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02" w:lineRule="exact"/>
        <w:rPr>
          <w:rFonts w:ascii="Arial" w:cs="Arial" w:eastAsia="Arial" w:hAnsi="Arial"/>
          <w:sz w:val="16"/>
          <w:szCs w:val="16"/>
          <w:color w:val="auto"/>
        </w:rPr>
      </w:pPr>
    </w:p>
    <w:p>
      <w:pPr>
        <w:ind w:left="980" w:right="400" w:hanging="486"/>
        <w:spacing w:after="0" w:line="275" w:lineRule="auto"/>
        <w:tabs>
          <w:tab w:leader="none" w:pos="980" w:val="left"/>
        </w:tabs>
        <w:numPr>
          <w:ilvl w:val="0"/>
          <w:numId w:val="9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1" w:lineRule="exact"/>
        <w:rPr>
          <w:rFonts w:ascii="Arial" w:cs="Arial" w:eastAsia="Arial" w:hAnsi="Arial"/>
          <w:sz w:val="16"/>
          <w:szCs w:val="16"/>
          <w:color w:val="auto"/>
        </w:rPr>
      </w:pPr>
    </w:p>
    <w:p>
      <w:pPr>
        <w:ind w:left="980" w:right="60" w:hanging="486"/>
        <w:spacing w:after="0" w:line="261" w:lineRule="auto"/>
        <w:tabs>
          <w:tab w:leader="none" w:pos="980" w:val="left"/>
        </w:tabs>
        <w:numPr>
          <w:ilvl w:val="0"/>
          <w:numId w:val="98"/>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8" w:lineRule="exact"/>
        <w:rPr>
          <w:sz w:val="20"/>
          <w:szCs w:val="20"/>
          <w:color w:val="auto"/>
        </w:rPr>
      </w:pPr>
    </w:p>
    <w:p>
      <w:pPr>
        <w:ind w:right="300" w:firstLine="494"/>
        <w:spacing w:after="0" w:line="275" w:lineRule="auto"/>
        <w:tabs>
          <w:tab w:leader="none" w:pos="648" w:val="left"/>
        </w:tabs>
        <w:numPr>
          <w:ilvl w:val="0"/>
          <w:numId w:val="99"/>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sz w:val="20"/>
          <w:szCs w:val="20"/>
          <w:color w:val="auto"/>
        </w:rPr>
      </w:pPr>
    </w:p>
    <w:p>
      <w:pPr>
        <w:ind w:left="980" w:right="580" w:hanging="486"/>
        <w:spacing w:after="0" w:line="275" w:lineRule="auto"/>
        <w:tabs>
          <w:tab w:leader="none" w:pos="980" w:val="left"/>
        </w:tabs>
        <w:numPr>
          <w:ilvl w:val="0"/>
          <w:numId w:val="100"/>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1" w:lineRule="exact"/>
        <w:rPr>
          <w:rFonts w:ascii="Arial" w:cs="Arial" w:eastAsia="Arial" w:hAnsi="Arial"/>
          <w:sz w:val="16"/>
          <w:szCs w:val="16"/>
          <w:color w:val="auto"/>
        </w:rPr>
      </w:pPr>
    </w:p>
    <w:p>
      <w:pPr>
        <w:ind w:left="980" w:right="180" w:hanging="486"/>
        <w:spacing w:after="0" w:line="275" w:lineRule="auto"/>
        <w:tabs>
          <w:tab w:leader="none" w:pos="980" w:val="left"/>
        </w:tabs>
        <w:numPr>
          <w:ilvl w:val="0"/>
          <w:numId w:val="100"/>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92" w:lineRule="exact"/>
        <w:rPr>
          <w:sz w:val="20"/>
          <w:szCs w:val="20"/>
          <w:color w:val="auto"/>
        </w:rPr>
      </w:pPr>
    </w:p>
    <w:p>
      <w:pPr>
        <w:spacing w:after="0"/>
        <w:rPr>
          <w:sz w:val="20"/>
          <w:szCs w:val="20"/>
          <w:color w:val="auto"/>
        </w:rPr>
      </w:pPr>
      <w:r>
        <w:rPr>
          <w:rFonts w:ascii="Arial" w:cs="Arial" w:eastAsia="Arial" w:hAnsi="Arial"/>
          <w:sz w:val="16"/>
          <w:szCs w:val="16"/>
          <w:color w:val="auto"/>
        </w:rPr>
        <w:t>Date: November 9, 2017</w:t>
      </w:r>
    </w:p>
    <w:p>
      <w:pPr>
        <w:spacing w:after="0" w:line="302" w:lineRule="exact"/>
        <w:rPr>
          <w:sz w:val="20"/>
          <w:szCs w:val="20"/>
          <w:color w:val="auto"/>
        </w:rPr>
      </w:pPr>
    </w:p>
    <w:p>
      <w:pPr>
        <w:ind w:left="8420"/>
        <w:spacing w:after="0"/>
        <w:rPr>
          <w:sz w:val="20"/>
          <w:szCs w:val="20"/>
          <w:color w:val="auto"/>
        </w:rPr>
      </w:pPr>
      <w:r>
        <w:rPr>
          <w:rFonts w:ascii="Arial" w:cs="Arial" w:eastAsia="Arial" w:hAnsi="Arial"/>
          <w:sz w:val="16"/>
          <w:szCs w:val="16"/>
          <w:color w:val="auto"/>
        </w:rPr>
        <w:t>/s/ Eric T. Steigerwalt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4344670</wp:posOffset>
            </wp:positionH>
            <wp:positionV relativeFrom="paragraph">
              <wp:posOffset>34925</wp:posOffset>
            </wp:positionV>
            <wp:extent cx="290703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20">
                      <a:extLst>
                        <a:ext uri="{28A0092B-C50C-407E-A947-70E740481C1C}"/>
                      </a:extLst>
                    </a:blip>
                    <a:srcRect/>
                    <a:stretch>
                      <a:fillRect/>
                    </a:stretch>
                  </pic:blipFill>
                  <pic:spPr bwMode="auto">
                    <a:xfrm>
                      <a:off x="0" y="0"/>
                      <a:ext cx="2907030" cy="8890"/>
                    </a:xfrm>
                    <a:prstGeom prst="rect">
                      <a:avLst/>
                    </a:prstGeom>
                    <a:noFill/>
                  </pic:spPr>
                </pic:pic>
              </a:graphicData>
            </a:graphic>
          </wp:anchor>
        </w:drawing>
      </w:r>
    </w:p>
    <w:p>
      <w:pPr>
        <w:spacing w:after="0" w:line="66" w:lineRule="exact"/>
        <w:rPr>
          <w:sz w:val="20"/>
          <w:szCs w:val="20"/>
          <w:color w:val="auto"/>
        </w:rPr>
      </w:pPr>
    </w:p>
    <w:p>
      <w:pPr>
        <w:ind w:left="8520"/>
        <w:spacing w:after="0"/>
        <w:rPr>
          <w:sz w:val="20"/>
          <w:szCs w:val="20"/>
          <w:color w:val="auto"/>
        </w:rPr>
      </w:pPr>
      <w:r>
        <w:rPr>
          <w:rFonts w:ascii="Arial" w:cs="Arial" w:eastAsia="Arial" w:hAnsi="Arial"/>
          <w:sz w:val="16"/>
          <w:szCs w:val="16"/>
          <w:color w:val="auto"/>
        </w:rPr>
        <w:t>Eric T. Steigerwalt</w:t>
      </w:r>
    </w:p>
    <w:p>
      <w:pPr>
        <w:spacing w:after="0" w:line="73" w:lineRule="exact"/>
        <w:rPr>
          <w:sz w:val="20"/>
          <w:szCs w:val="20"/>
          <w:color w:val="auto"/>
        </w:rPr>
      </w:pPr>
    </w:p>
    <w:p>
      <w:pPr>
        <w:jc w:val="center"/>
        <w:ind w:left="6840"/>
        <w:spacing w:after="0"/>
        <w:rPr>
          <w:sz w:val="20"/>
          <w:szCs w:val="20"/>
          <w:color w:val="auto"/>
        </w:rPr>
      </w:pPr>
      <w:r>
        <w:rPr>
          <w:rFonts w:ascii="Arial" w:cs="Arial" w:eastAsia="Arial" w:hAnsi="Arial"/>
          <w:sz w:val="16"/>
          <w:szCs w:val="16"/>
          <w:color w:val="auto"/>
        </w:rPr>
        <w:t>President and</w:t>
      </w:r>
    </w:p>
    <w:p>
      <w:pPr>
        <w:spacing w:after="0" w:line="73" w:lineRule="exact"/>
        <w:rPr>
          <w:sz w:val="20"/>
          <w:szCs w:val="20"/>
          <w:color w:val="auto"/>
        </w:rPr>
      </w:pPr>
    </w:p>
    <w:p>
      <w:pPr>
        <w:jc w:val="center"/>
        <w:ind w:left="6840"/>
        <w:spacing w:after="0"/>
        <w:rPr>
          <w:sz w:val="20"/>
          <w:szCs w:val="20"/>
          <w:color w:val="auto"/>
        </w:rPr>
      </w:pPr>
      <w:r>
        <w:rPr>
          <w:rFonts w:ascii="Arial" w:cs="Arial" w:eastAsia="Arial" w:hAnsi="Arial"/>
          <w:sz w:val="16"/>
          <w:szCs w:val="16"/>
          <w:color w:val="auto"/>
        </w:rPr>
        <w:t>Chief Executive Officer</w:t>
      </w:r>
    </w:p>
    <w:p>
      <w:pPr>
        <w:sectPr>
          <w:pgSz w:w="11900" w:h="16838" w:orient="portrait"/>
          <w:cols w:equalWidth="0" w:num="1">
            <w:col w:w="11420"/>
          </w:cols>
          <w:pgMar w:left="240" w:top="585" w:right="239" w:bottom="1440" w:gutter="0" w:footer="0" w:header="0"/>
        </w:sectPr>
      </w:pPr>
    </w:p>
    <w:bookmarkStart w:id="178" w:name="page179"/>
    <w:bookmarkEnd w:id="178"/>
    <w:p>
      <w:pPr>
        <w:jc w:val="right"/>
        <w:spacing w:after="0"/>
        <w:rPr>
          <w:sz w:val="20"/>
          <w:szCs w:val="20"/>
          <w:color w:val="auto"/>
        </w:rPr>
      </w:pPr>
      <w:r>
        <w:rPr>
          <w:rFonts w:ascii="Arial" w:cs="Arial" w:eastAsia="Arial" w:hAnsi="Arial"/>
          <w:sz w:val="16"/>
          <w:szCs w:val="16"/>
          <w:b w:val="1"/>
          <w:bCs w:val="1"/>
          <w:color w:val="auto"/>
        </w:rPr>
        <w:t>Exhibit 31.2</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u w:val="single" w:color="auto"/>
          <w:color w:val="auto"/>
        </w:rPr>
        <w:t>CERTIFICATIONS</w:t>
      </w:r>
    </w:p>
    <w:p>
      <w:pPr>
        <w:spacing w:after="0" w:line="126" w:lineRule="exact"/>
        <w:rPr>
          <w:sz w:val="20"/>
          <w:szCs w:val="20"/>
          <w:color w:val="auto"/>
        </w:rPr>
      </w:pPr>
    </w:p>
    <w:p>
      <w:pPr>
        <w:ind w:left="500"/>
        <w:spacing w:after="0"/>
        <w:rPr>
          <w:sz w:val="20"/>
          <w:szCs w:val="20"/>
          <w:color w:val="auto"/>
        </w:rPr>
      </w:pPr>
      <w:r>
        <w:rPr>
          <w:rFonts w:ascii="Arial" w:cs="Arial" w:eastAsia="Arial" w:hAnsi="Arial"/>
          <w:sz w:val="16"/>
          <w:szCs w:val="16"/>
          <w:color w:val="auto"/>
        </w:rPr>
        <w:t>I, Anant Bhalla, certify that:</w:t>
      </w:r>
    </w:p>
    <w:p>
      <w:pPr>
        <w:spacing w:after="0" w:line="140" w:lineRule="exact"/>
        <w:rPr>
          <w:sz w:val="20"/>
          <w:szCs w:val="20"/>
          <w:color w:val="auto"/>
        </w:rPr>
      </w:pPr>
    </w:p>
    <w:p>
      <w:pPr>
        <w:ind w:left="660" w:hanging="166"/>
        <w:spacing w:after="0"/>
        <w:tabs>
          <w:tab w:leader="none" w:pos="660" w:val="left"/>
        </w:tabs>
        <w:numPr>
          <w:ilvl w:val="0"/>
          <w:numId w:val="101"/>
        </w:numPr>
        <w:rPr>
          <w:rFonts w:ascii="Arial" w:cs="Arial" w:eastAsia="Arial" w:hAnsi="Arial"/>
          <w:sz w:val="16"/>
          <w:szCs w:val="16"/>
          <w:color w:val="auto"/>
        </w:rPr>
      </w:pPr>
      <w:r>
        <w:rPr>
          <w:rFonts w:ascii="Arial" w:cs="Arial" w:eastAsia="Arial" w:hAnsi="Arial"/>
          <w:sz w:val="16"/>
          <w:szCs w:val="16"/>
          <w:color w:val="auto"/>
        </w:rPr>
        <w:t>I have reviewed this quarterly report on Form 10-Q of Brighthouse Financial, Inc.;</w:t>
      </w:r>
    </w:p>
    <w:p>
      <w:pPr>
        <w:spacing w:after="0" w:line="140" w:lineRule="exact"/>
        <w:rPr>
          <w:rFonts w:ascii="Arial" w:cs="Arial" w:eastAsia="Arial" w:hAnsi="Arial"/>
          <w:sz w:val="16"/>
          <w:szCs w:val="16"/>
          <w:color w:val="auto"/>
        </w:rPr>
      </w:pPr>
    </w:p>
    <w:p>
      <w:pPr>
        <w:ind w:right="20" w:firstLine="494"/>
        <w:spacing w:after="0" w:line="275" w:lineRule="auto"/>
        <w:tabs>
          <w:tab w:leader="none" w:pos="648" w:val="left"/>
        </w:tabs>
        <w:numPr>
          <w:ilvl w:val="0"/>
          <w:numId w:val="101"/>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91" w:lineRule="exact"/>
        <w:rPr>
          <w:rFonts w:ascii="Arial" w:cs="Arial" w:eastAsia="Arial" w:hAnsi="Arial"/>
          <w:sz w:val="16"/>
          <w:szCs w:val="16"/>
          <w:color w:val="auto"/>
        </w:rPr>
      </w:pPr>
    </w:p>
    <w:p>
      <w:pPr>
        <w:ind w:firstLine="494"/>
        <w:spacing w:after="0" w:line="275" w:lineRule="auto"/>
        <w:tabs>
          <w:tab w:leader="none" w:pos="648" w:val="left"/>
        </w:tabs>
        <w:numPr>
          <w:ilvl w:val="0"/>
          <w:numId w:val="101"/>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1" w:lineRule="exact"/>
        <w:rPr>
          <w:rFonts w:ascii="Arial" w:cs="Arial" w:eastAsia="Arial" w:hAnsi="Arial"/>
          <w:sz w:val="16"/>
          <w:szCs w:val="16"/>
          <w:color w:val="auto"/>
        </w:rPr>
      </w:pPr>
    </w:p>
    <w:p>
      <w:pPr>
        <w:ind w:right="380" w:firstLine="494"/>
        <w:spacing w:after="0" w:line="275" w:lineRule="auto"/>
        <w:tabs>
          <w:tab w:leader="none" w:pos="648" w:val="left"/>
        </w:tabs>
        <w:numPr>
          <w:ilvl w:val="0"/>
          <w:numId w:val="101"/>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for the registrant and have:</w:t>
      </w:r>
    </w:p>
    <w:p>
      <w:pPr>
        <w:spacing w:after="0" w:line="105" w:lineRule="exact"/>
        <w:rPr>
          <w:sz w:val="20"/>
          <w:szCs w:val="20"/>
          <w:color w:val="auto"/>
        </w:rPr>
      </w:pPr>
    </w:p>
    <w:p>
      <w:pPr>
        <w:ind w:left="980" w:right="20" w:hanging="486"/>
        <w:spacing w:after="0" w:line="279" w:lineRule="auto"/>
        <w:tabs>
          <w:tab w:leader="none" w:pos="980" w:val="left"/>
        </w:tabs>
        <w:numPr>
          <w:ilvl w:val="0"/>
          <w:numId w:val="102"/>
        </w:numPr>
        <w:rPr>
          <w:rFonts w:ascii="Arial" w:cs="Arial" w:eastAsia="Arial" w:hAnsi="Arial"/>
          <w:sz w:val="18"/>
          <w:szCs w:val="18"/>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01" w:lineRule="exact"/>
        <w:rPr>
          <w:rFonts w:ascii="Arial" w:cs="Arial" w:eastAsia="Arial" w:hAnsi="Arial"/>
          <w:sz w:val="18"/>
          <w:szCs w:val="18"/>
          <w:color w:val="auto"/>
        </w:rPr>
      </w:pPr>
    </w:p>
    <w:p>
      <w:pPr>
        <w:ind w:left="980" w:right="400" w:hanging="486"/>
        <w:spacing w:after="0" w:line="275" w:lineRule="auto"/>
        <w:tabs>
          <w:tab w:leader="none" w:pos="980" w:val="left"/>
        </w:tabs>
        <w:numPr>
          <w:ilvl w:val="0"/>
          <w:numId w:val="10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1" w:lineRule="exact"/>
        <w:rPr>
          <w:rFonts w:ascii="Arial" w:cs="Arial" w:eastAsia="Arial" w:hAnsi="Arial"/>
          <w:sz w:val="16"/>
          <w:szCs w:val="16"/>
          <w:color w:val="auto"/>
        </w:rPr>
      </w:pPr>
    </w:p>
    <w:p>
      <w:pPr>
        <w:ind w:left="980" w:right="60" w:hanging="486"/>
        <w:spacing w:after="0" w:line="261" w:lineRule="auto"/>
        <w:tabs>
          <w:tab w:leader="none" w:pos="980" w:val="left"/>
        </w:tabs>
        <w:numPr>
          <w:ilvl w:val="0"/>
          <w:numId w:val="102"/>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8" w:lineRule="exact"/>
        <w:rPr>
          <w:sz w:val="20"/>
          <w:szCs w:val="20"/>
          <w:color w:val="auto"/>
        </w:rPr>
      </w:pPr>
    </w:p>
    <w:p>
      <w:pPr>
        <w:ind w:right="300" w:firstLine="494"/>
        <w:spacing w:after="0" w:line="275" w:lineRule="auto"/>
        <w:tabs>
          <w:tab w:leader="none" w:pos="648" w:val="left"/>
        </w:tabs>
        <w:numPr>
          <w:ilvl w:val="0"/>
          <w:numId w:val="103"/>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5" w:lineRule="exact"/>
        <w:rPr>
          <w:sz w:val="20"/>
          <w:szCs w:val="20"/>
          <w:color w:val="auto"/>
        </w:rPr>
      </w:pPr>
    </w:p>
    <w:p>
      <w:pPr>
        <w:ind w:left="980" w:right="580" w:hanging="486"/>
        <w:spacing w:after="0" w:line="281" w:lineRule="auto"/>
        <w:tabs>
          <w:tab w:leader="none" w:pos="980" w:val="left"/>
        </w:tabs>
        <w:numPr>
          <w:ilvl w:val="0"/>
          <w:numId w:val="104"/>
        </w:numPr>
        <w:rPr>
          <w:rFonts w:ascii="Arial" w:cs="Arial" w:eastAsia="Arial" w:hAnsi="Arial"/>
          <w:sz w:val="18"/>
          <w:szCs w:val="18"/>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9" w:lineRule="exact"/>
        <w:rPr>
          <w:rFonts w:ascii="Arial" w:cs="Arial" w:eastAsia="Arial" w:hAnsi="Arial"/>
          <w:sz w:val="18"/>
          <w:szCs w:val="18"/>
          <w:color w:val="auto"/>
        </w:rPr>
      </w:pPr>
    </w:p>
    <w:p>
      <w:pPr>
        <w:ind w:left="980" w:right="180" w:hanging="486"/>
        <w:spacing w:after="0" w:line="281" w:lineRule="auto"/>
        <w:tabs>
          <w:tab w:leader="none" w:pos="980" w:val="left"/>
        </w:tabs>
        <w:numPr>
          <w:ilvl w:val="0"/>
          <w:numId w:val="104"/>
        </w:numPr>
        <w:rPr>
          <w:rFonts w:ascii="Arial" w:cs="Arial" w:eastAsia="Arial" w:hAnsi="Arial"/>
          <w:sz w:val="18"/>
          <w:szCs w:val="18"/>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96" w:lineRule="exact"/>
        <w:rPr>
          <w:sz w:val="20"/>
          <w:szCs w:val="20"/>
          <w:color w:val="auto"/>
        </w:rPr>
      </w:pPr>
    </w:p>
    <w:p>
      <w:pPr>
        <w:spacing w:after="0"/>
        <w:rPr>
          <w:sz w:val="20"/>
          <w:szCs w:val="20"/>
          <w:color w:val="auto"/>
        </w:rPr>
      </w:pPr>
      <w:r>
        <w:rPr>
          <w:rFonts w:ascii="Arial" w:cs="Arial" w:eastAsia="Arial" w:hAnsi="Arial"/>
          <w:sz w:val="16"/>
          <w:szCs w:val="16"/>
          <w:color w:val="auto"/>
        </w:rPr>
        <w:t>Date: November 9, 2017</w:t>
      </w:r>
    </w:p>
    <w:p>
      <w:pPr>
        <w:spacing w:after="0" w:line="302" w:lineRule="exact"/>
        <w:rPr>
          <w:sz w:val="20"/>
          <w:szCs w:val="20"/>
          <w:color w:val="auto"/>
        </w:rPr>
      </w:pPr>
    </w:p>
    <w:p>
      <w:pPr>
        <w:ind w:left="8480"/>
        <w:spacing w:after="0"/>
        <w:rPr>
          <w:sz w:val="20"/>
          <w:szCs w:val="20"/>
          <w:color w:val="auto"/>
        </w:rPr>
      </w:pPr>
      <w:r>
        <w:rPr>
          <w:rFonts w:ascii="Arial" w:cs="Arial" w:eastAsia="Arial" w:hAnsi="Arial"/>
          <w:sz w:val="16"/>
          <w:szCs w:val="16"/>
          <w:color w:val="auto"/>
        </w:rPr>
        <w:t>/s/ Anant Bhalla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4181475</wp:posOffset>
            </wp:positionH>
            <wp:positionV relativeFrom="paragraph">
              <wp:posOffset>34925</wp:posOffset>
            </wp:positionV>
            <wp:extent cx="3070225"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21">
                      <a:extLst>
                        <a:ext uri="{28A0092B-C50C-407E-A947-70E740481C1C}"/>
                      </a:extLst>
                    </a:blip>
                    <a:srcRect/>
                    <a:stretch>
                      <a:fillRect/>
                    </a:stretch>
                  </pic:blipFill>
                  <pic:spPr bwMode="auto">
                    <a:xfrm>
                      <a:off x="0" y="0"/>
                      <a:ext cx="3070225" cy="8890"/>
                    </a:xfrm>
                    <a:prstGeom prst="rect">
                      <a:avLst/>
                    </a:prstGeom>
                    <a:noFill/>
                  </pic:spPr>
                </pic:pic>
              </a:graphicData>
            </a:graphic>
          </wp:anchor>
        </w:drawing>
      </w:r>
    </w:p>
    <w:p>
      <w:pPr>
        <w:spacing w:after="0" w:line="66" w:lineRule="exact"/>
        <w:rPr>
          <w:sz w:val="20"/>
          <w:szCs w:val="20"/>
          <w:color w:val="auto"/>
        </w:rPr>
      </w:pPr>
    </w:p>
    <w:p>
      <w:pPr>
        <w:ind w:left="8580"/>
        <w:spacing w:after="0"/>
        <w:rPr>
          <w:sz w:val="20"/>
          <w:szCs w:val="20"/>
          <w:color w:val="auto"/>
        </w:rPr>
      </w:pPr>
      <w:r>
        <w:rPr>
          <w:rFonts w:ascii="Arial" w:cs="Arial" w:eastAsia="Arial" w:hAnsi="Arial"/>
          <w:sz w:val="16"/>
          <w:szCs w:val="16"/>
          <w:color w:val="auto"/>
        </w:rPr>
        <w:t>Anant Bhalla</w:t>
      </w:r>
    </w:p>
    <w:p>
      <w:pPr>
        <w:spacing w:after="0" w:line="73" w:lineRule="exact"/>
        <w:rPr>
          <w:sz w:val="20"/>
          <w:szCs w:val="20"/>
          <w:color w:val="auto"/>
        </w:rPr>
      </w:pPr>
    </w:p>
    <w:p>
      <w:pPr>
        <w:jc w:val="center"/>
        <w:ind w:left="6580"/>
        <w:spacing w:after="0"/>
        <w:rPr>
          <w:sz w:val="20"/>
          <w:szCs w:val="20"/>
          <w:color w:val="auto"/>
        </w:rPr>
      </w:pPr>
      <w:r>
        <w:rPr>
          <w:rFonts w:ascii="Arial" w:cs="Arial" w:eastAsia="Arial" w:hAnsi="Arial"/>
          <w:sz w:val="16"/>
          <w:szCs w:val="16"/>
          <w:color w:val="auto"/>
        </w:rPr>
        <w:t>Executive Vice President and</w:t>
      </w:r>
    </w:p>
    <w:p>
      <w:pPr>
        <w:spacing w:after="0" w:line="73" w:lineRule="exact"/>
        <w:rPr>
          <w:sz w:val="20"/>
          <w:szCs w:val="20"/>
          <w:color w:val="auto"/>
        </w:rPr>
      </w:pPr>
    </w:p>
    <w:p>
      <w:pPr>
        <w:jc w:val="center"/>
        <w:ind w:left="6580"/>
        <w:spacing w:after="0"/>
        <w:rPr>
          <w:sz w:val="20"/>
          <w:szCs w:val="20"/>
          <w:color w:val="auto"/>
        </w:rPr>
      </w:pPr>
      <w:r>
        <w:rPr>
          <w:rFonts w:ascii="Arial" w:cs="Arial" w:eastAsia="Arial" w:hAnsi="Arial"/>
          <w:sz w:val="16"/>
          <w:szCs w:val="16"/>
          <w:color w:val="auto"/>
        </w:rPr>
        <w:t>Chief Financial Officer</w:t>
      </w:r>
    </w:p>
    <w:p>
      <w:pPr>
        <w:sectPr>
          <w:pgSz w:w="11900" w:h="16838" w:orient="portrait"/>
          <w:cols w:equalWidth="0" w:num="1">
            <w:col w:w="11420"/>
          </w:cols>
          <w:pgMar w:left="240" w:top="585" w:right="239" w:bottom="1440" w:gutter="0" w:footer="0" w:header="0"/>
        </w:sectPr>
      </w:pPr>
    </w:p>
    <w:bookmarkStart w:id="179" w:name="page180"/>
    <w:bookmarkEnd w:id="179"/>
    <w:p>
      <w:pPr>
        <w:jc w:val="right"/>
        <w:spacing w:after="0"/>
        <w:rPr>
          <w:sz w:val="20"/>
          <w:szCs w:val="20"/>
          <w:color w:val="auto"/>
        </w:rPr>
      </w:pPr>
      <w:r>
        <w:rPr>
          <w:rFonts w:ascii="Arial" w:cs="Arial" w:eastAsia="Arial" w:hAnsi="Arial"/>
          <w:sz w:val="18"/>
          <w:szCs w:val="18"/>
          <w:b w:val="1"/>
          <w:bCs w:val="1"/>
          <w:color w:val="auto"/>
        </w:rPr>
        <w:t>Exhibit 32.1</w:t>
      </w:r>
    </w:p>
    <w:p>
      <w:pPr>
        <w:spacing w:after="0" w:line="148"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SECTION 906 CERTIFICATION</w:t>
      </w:r>
    </w:p>
    <w:p>
      <w:pPr>
        <w:spacing w:after="0" w:line="144" w:lineRule="exact"/>
        <w:rPr>
          <w:sz w:val="20"/>
          <w:szCs w:val="20"/>
          <w:color w:val="auto"/>
        </w:rPr>
      </w:pPr>
    </w:p>
    <w:p>
      <w:pPr>
        <w:ind w:left="1900"/>
        <w:spacing w:after="0"/>
        <w:rPr>
          <w:sz w:val="20"/>
          <w:szCs w:val="20"/>
          <w:color w:val="auto"/>
        </w:rPr>
      </w:pPr>
      <w:r>
        <w:rPr>
          <w:rFonts w:ascii="Arial" w:cs="Arial" w:eastAsia="Arial" w:hAnsi="Arial"/>
          <w:sz w:val="18"/>
          <w:szCs w:val="18"/>
          <w:color w:val="auto"/>
        </w:rPr>
        <w:t>CERTIFICATION PURSUANT TO SECTION 1350 OF CHAPTER 63 OF TITLE 18 OF THE UNITED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STATES CODE</w:t>
      </w:r>
    </w:p>
    <w:p>
      <w:pPr>
        <w:spacing w:after="0" w:line="130" w:lineRule="exact"/>
        <w:rPr>
          <w:sz w:val="20"/>
          <w:szCs w:val="20"/>
          <w:color w:val="auto"/>
        </w:rPr>
      </w:pPr>
    </w:p>
    <w:p>
      <w:pPr>
        <w:jc w:val="both"/>
        <w:ind w:firstLine="486"/>
        <w:spacing w:after="0" w:line="286" w:lineRule="auto"/>
        <w:rPr>
          <w:sz w:val="20"/>
          <w:szCs w:val="20"/>
          <w:color w:val="auto"/>
        </w:rPr>
      </w:pPr>
      <w:r>
        <w:rPr>
          <w:rFonts w:ascii="Arial" w:cs="Arial" w:eastAsia="Arial" w:hAnsi="Arial"/>
          <w:sz w:val="17"/>
          <w:szCs w:val="17"/>
          <w:color w:val="auto"/>
        </w:rPr>
        <w:t>I, Eric T. Steigerwalt, certify that (i) Brighthouse Financial, Inc.'s Quarterly Report on Form 10-Q for the quarter ended September 30, 2017 (the “Form 10-Q”) fully complies with the requirements of Section 13(a) or 15(d) of the Securities Exchange Act of 1934, and (ii) the information contained in the Form 10-Q fairly presents, in all material respects, the financial condition and results of operations of Brighthouse Financial, Inc.</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color w:val="auto"/>
        </w:rPr>
        <w:t>Date: November 9, 2017</w:t>
      </w:r>
    </w:p>
    <w:p>
      <w:pPr>
        <w:spacing w:after="0" w:line="200" w:lineRule="exact"/>
        <w:rPr>
          <w:sz w:val="20"/>
          <w:szCs w:val="20"/>
          <w:color w:val="auto"/>
        </w:rPr>
      </w:pPr>
    </w:p>
    <w:p>
      <w:pPr>
        <w:spacing w:after="0" w:line="322" w:lineRule="exact"/>
        <w:rPr>
          <w:sz w:val="20"/>
          <w:szCs w:val="20"/>
          <w:color w:val="auto"/>
        </w:rPr>
      </w:pPr>
    </w:p>
    <w:p>
      <w:pPr>
        <w:jc w:val="center"/>
        <w:ind w:left="6700"/>
        <w:spacing w:after="0"/>
        <w:rPr>
          <w:sz w:val="20"/>
          <w:szCs w:val="20"/>
          <w:color w:val="auto"/>
        </w:rPr>
      </w:pPr>
      <w:r>
        <w:rPr>
          <w:rFonts w:ascii="Arial" w:cs="Arial" w:eastAsia="Arial" w:hAnsi="Arial"/>
          <w:sz w:val="18"/>
          <w:szCs w:val="18"/>
          <w:color w:val="auto"/>
        </w:rPr>
        <w:t>/s/ Eric T. Steigerwalt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4258945</wp:posOffset>
            </wp:positionH>
            <wp:positionV relativeFrom="paragraph">
              <wp:posOffset>31750</wp:posOffset>
            </wp:positionV>
            <wp:extent cx="2992755"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22">
                      <a:extLst>
                        <a:ext uri="{28A0092B-C50C-407E-A947-70E740481C1C}"/>
                      </a:extLst>
                    </a:blip>
                    <a:srcRect/>
                    <a:stretch>
                      <a:fillRect/>
                    </a:stretch>
                  </pic:blipFill>
                  <pic:spPr bwMode="auto">
                    <a:xfrm>
                      <a:off x="0" y="0"/>
                      <a:ext cx="2992755" cy="8890"/>
                    </a:xfrm>
                    <a:prstGeom prst="rect">
                      <a:avLst/>
                    </a:prstGeom>
                    <a:noFill/>
                  </pic:spPr>
                </pic:pic>
              </a:graphicData>
            </a:graphic>
          </wp:anchor>
        </w:drawing>
      </w:r>
    </w:p>
    <w:p>
      <w:pPr>
        <w:spacing w:after="0" w:line="57" w:lineRule="exact"/>
        <w:rPr>
          <w:sz w:val="20"/>
          <w:szCs w:val="20"/>
          <w:color w:val="auto"/>
        </w:rPr>
      </w:pPr>
    </w:p>
    <w:p>
      <w:pPr>
        <w:jc w:val="center"/>
        <w:ind w:left="6700"/>
        <w:spacing w:after="0"/>
        <w:rPr>
          <w:sz w:val="20"/>
          <w:szCs w:val="20"/>
          <w:color w:val="auto"/>
        </w:rPr>
      </w:pPr>
      <w:r>
        <w:rPr>
          <w:rFonts w:ascii="Arial" w:cs="Arial" w:eastAsia="Arial" w:hAnsi="Arial"/>
          <w:sz w:val="18"/>
          <w:szCs w:val="18"/>
          <w:color w:val="auto"/>
        </w:rPr>
        <w:t>Eric T. Steigerwalt</w:t>
      </w:r>
    </w:p>
    <w:p>
      <w:pPr>
        <w:spacing w:after="0" w:line="63" w:lineRule="exact"/>
        <w:rPr>
          <w:sz w:val="20"/>
          <w:szCs w:val="20"/>
          <w:color w:val="auto"/>
        </w:rPr>
      </w:pPr>
    </w:p>
    <w:p>
      <w:pPr>
        <w:jc w:val="center"/>
        <w:ind w:left="6700"/>
        <w:spacing w:after="0"/>
        <w:rPr>
          <w:sz w:val="20"/>
          <w:szCs w:val="20"/>
          <w:color w:val="auto"/>
        </w:rPr>
      </w:pPr>
      <w:r>
        <w:rPr>
          <w:rFonts w:ascii="Arial" w:cs="Arial" w:eastAsia="Arial" w:hAnsi="Arial"/>
          <w:sz w:val="18"/>
          <w:szCs w:val="18"/>
          <w:color w:val="auto"/>
        </w:rPr>
        <w:t>President and</w:t>
      </w:r>
    </w:p>
    <w:p>
      <w:pPr>
        <w:spacing w:after="0" w:line="63" w:lineRule="exact"/>
        <w:rPr>
          <w:sz w:val="20"/>
          <w:szCs w:val="20"/>
          <w:color w:val="auto"/>
        </w:rPr>
      </w:pPr>
    </w:p>
    <w:p>
      <w:pPr>
        <w:jc w:val="center"/>
        <w:ind w:left="6700"/>
        <w:spacing w:after="0"/>
        <w:rPr>
          <w:sz w:val="20"/>
          <w:szCs w:val="20"/>
          <w:color w:val="auto"/>
        </w:rPr>
      </w:pPr>
      <w:r>
        <w:rPr>
          <w:rFonts w:ascii="Arial" w:cs="Arial" w:eastAsia="Arial" w:hAnsi="Arial"/>
          <w:sz w:val="18"/>
          <w:szCs w:val="18"/>
          <w:color w:val="auto"/>
        </w:rPr>
        <w:t>Chief Executive Officer</w:t>
      </w:r>
    </w:p>
    <w:p>
      <w:pPr>
        <w:spacing w:after="0" w:line="171" w:lineRule="exact"/>
        <w:rPr>
          <w:sz w:val="20"/>
          <w:szCs w:val="20"/>
          <w:color w:val="auto"/>
        </w:rPr>
      </w:pPr>
    </w:p>
    <w:p>
      <w:pPr>
        <w:ind w:right="880" w:firstLine="486"/>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Brighthouse Financial, Inc. and will be retained by Brighthouse Financial, Inc. and furnished to the Securities and Exchange Commission or its staff upon request.</w:t>
      </w:r>
    </w:p>
    <w:p>
      <w:pPr>
        <w:sectPr>
          <w:pgSz w:w="11900" w:h="16838" w:orient="portrait"/>
          <w:cols w:equalWidth="0" w:num="1">
            <w:col w:w="11420"/>
          </w:cols>
          <w:pgMar w:left="240" w:top="581" w:right="239" w:bottom="1440" w:gutter="0" w:footer="0" w:header="0"/>
        </w:sectPr>
      </w:pPr>
    </w:p>
    <w:bookmarkStart w:id="180" w:name="page181"/>
    <w:bookmarkEnd w:id="180"/>
    <w:p>
      <w:pPr>
        <w:jc w:val="right"/>
        <w:spacing w:after="0"/>
        <w:rPr>
          <w:sz w:val="20"/>
          <w:szCs w:val="20"/>
          <w:color w:val="auto"/>
        </w:rPr>
      </w:pPr>
      <w:r>
        <w:rPr>
          <w:rFonts w:ascii="Arial" w:cs="Arial" w:eastAsia="Arial" w:hAnsi="Arial"/>
          <w:sz w:val="18"/>
          <w:szCs w:val="18"/>
          <w:b w:val="1"/>
          <w:bCs w:val="1"/>
          <w:color w:val="auto"/>
        </w:rPr>
        <w:t>Exhibit 32.2</w:t>
      </w:r>
    </w:p>
    <w:p>
      <w:pPr>
        <w:spacing w:after="0" w:line="148"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SECTION 906 CERTIFICATION</w:t>
      </w:r>
    </w:p>
    <w:p>
      <w:pPr>
        <w:spacing w:after="0" w:line="144" w:lineRule="exact"/>
        <w:rPr>
          <w:sz w:val="20"/>
          <w:szCs w:val="20"/>
          <w:color w:val="auto"/>
        </w:rPr>
      </w:pPr>
    </w:p>
    <w:p>
      <w:pPr>
        <w:ind w:left="1900"/>
        <w:spacing w:after="0"/>
        <w:rPr>
          <w:sz w:val="20"/>
          <w:szCs w:val="20"/>
          <w:color w:val="auto"/>
        </w:rPr>
      </w:pPr>
      <w:r>
        <w:rPr>
          <w:rFonts w:ascii="Arial" w:cs="Arial" w:eastAsia="Arial" w:hAnsi="Arial"/>
          <w:sz w:val="18"/>
          <w:szCs w:val="18"/>
          <w:color w:val="auto"/>
        </w:rPr>
        <w:t>CERTIFICATION PURSUANT TO SECTION 1350 OF CHAPTER 63 OF TITLE 18 OF THE UNITED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STATES CODE</w:t>
      </w:r>
    </w:p>
    <w:p>
      <w:pPr>
        <w:spacing w:after="0" w:line="130" w:lineRule="exact"/>
        <w:rPr>
          <w:sz w:val="20"/>
          <w:szCs w:val="20"/>
          <w:color w:val="auto"/>
        </w:rPr>
      </w:pPr>
    </w:p>
    <w:p>
      <w:pPr>
        <w:jc w:val="both"/>
        <w:ind w:right="60" w:firstLine="486"/>
        <w:spacing w:after="0" w:line="286" w:lineRule="auto"/>
        <w:rPr>
          <w:sz w:val="20"/>
          <w:szCs w:val="20"/>
          <w:color w:val="auto"/>
        </w:rPr>
      </w:pPr>
      <w:r>
        <w:rPr>
          <w:rFonts w:ascii="Arial" w:cs="Arial" w:eastAsia="Arial" w:hAnsi="Arial"/>
          <w:sz w:val="17"/>
          <w:szCs w:val="17"/>
          <w:color w:val="auto"/>
        </w:rPr>
        <w:t>I, Anant Bhalla, certify that (i) Brighthouse Financial, Inc.’s Quarterly Report on Form 10-Q for the quarter ended September 30, 2017 (the “Form 10-Q”) fully complies with the requirements of Section 13(a) or 15(d) of the Securities Exchange Act of 1934, and (ii) the information contained in the Form 10-Q fairly presents, in all material respects, the financial condition and results of operations of Brighthouse Financial, Inc.</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color w:val="auto"/>
        </w:rPr>
        <w:t>Date: November 9, 2017</w:t>
      </w:r>
    </w:p>
    <w:p>
      <w:pPr>
        <w:spacing w:after="0" w:line="200" w:lineRule="exact"/>
        <w:rPr>
          <w:sz w:val="20"/>
          <w:szCs w:val="20"/>
          <w:color w:val="auto"/>
        </w:rPr>
      </w:pPr>
    </w:p>
    <w:p>
      <w:pPr>
        <w:spacing w:after="0" w:line="322" w:lineRule="exact"/>
        <w:rPr>
          <w:sz w:val="20"/>
          <w:szCs w:val="20"/>
          <w:color w:val="auto"/>
        </w:rPr>
      </w:pPr>
    </w:p>
    <w:p>
      <w:pPr>
        <w:jc w:val="center"/>
        <w:ind w:left="6840"/>
        <w:spacing w:after="0"/>
        <w:rPr>
          <w:sz w:val="20"/>
          <w:szCs w:val="20"/>
          <w:color w:val="auto"/>
        </w:rPr>
      </w:pPr>
      <w:r>
        <w:rPr>
          <w:rFonts w:ascii="Arial" w:cs="Arial" w:eastAsia="Arial" w:hAnsi="Arial"/>
          <w:sz w:val="18"/>
          <w:szCs w:val="18"/>
          <w:color w:val="auto"/>
        </w:rPr>
        <w:t>/s/ Anant Bhalla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4344670</wp:posOffset>
            </wp:positionH>
            <wp:positionV relativeFrom="paragraph">
              <wp:posOffset>31750</wp:posOffset>
            </wp:positionV>
            <wp:extent cx="290703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23">
                      <a:extLst>
                        <a:ext uri="{28A0092B-C50C-407E-A947-70E740481C1C}"/>
                      </a:extLst>
                    </a:blip>
                    <a:srcRect/>
                    <a:stretch>
                      <a:fillRect/>
                    </a:stretch>
                  </pic:blipFill>
                  <pic:spPr bwMode="auto">
                    <a:xfrm>
                      <a:off x="0" y="0"/>
                      <a:ext cx="2907030" cy="8890"/>
                    </a:xfrm>
                    <a:prstGeom prst="rect">
                      <a:avLst/>
                    </a:prstGeom>
                    <a:noFill/>
                  </pic:spPr>
                </pic:pic>
              </a:graphicData>
            </a:graphic>
          </wp:anchor>
        </w:drawing>
      </w:r>
    </w:p>
    <w:p>
      <w:pPr>
        <w:spacing w:after="0" w:line="57" w:lineRule="exact"/>
        <w:rPr>
          <w:sz w:val="20"/>
          <w:szCs w:val="20"/>
          <w:color w:val="auto"/>
        </w:rPr>
      </w:pPr>
    </w:p>
    <w:p>
      <w:pPr>
        <w:jc w:val="center"/>
        <w:ind w:left="6840"/>
        <w:spacing w:after="0"/>
        <w:rPr>
          <w:sz w:val="20"/>
          <w:szCs w:val="20"/>
          <w:color w:val="auto"/>
        </w:rPr>
      </w:pPr>
      <w:r>
        <w:rPr>
          <w:rFonts w:ascii="Arial" w:cs="Arial" w:eastAsia="Arial" w:hAnsi="Arial"/>
          <w:sz w:val="18"/>
          <w:szCs w:val="18"/>
          <w:color w:val="auto"/>
        </w:rPr>
        <w:t>Anant Bhalla</w:t>
      </w:r>
    </w:p>
    <w:p>
      <w:pPr>
        <w:spacing w:after="0" w:line="63" w:lineRule="exact"/>
        <w:rPr>
          <w:sz w:val="20"/>
          <w:szCs w:val="20"/>
          <w:color w:val="auto"/>
        </w:rPr>
      </w:pPr>
    </w:p>
    <w:p>
      <w:pPr>
        <w:jc w:val="center"/>
        <w:ind w:left="6840"/>
        <w:spacing w:after="0"/>
        <w:rPr>
          <w:sz w:val="20"/>
          <w:szCs w:val="20"/>
          <w:color w:val="auto"/>
        </w:rPr>
      </w:pPr>
      <w:r>
        <w:rPr>
          <w:rFonts w:ascii="Arial" w:cs="Arial" w:eastAsia="Arial" w:hAnsi="Arial"/>
          <w:sz w:val="18"/>
          <w:szCs w:val="18"/>
          <w:color w:val="auto"/>
        </w:rPr>
        <w:t>Executive Vice President and</w:t>
      </w:r>
    </w:p>
    <w:p>
      <w:pPr>
        <w:spacing w:after="0" w:line="63" w:lineRule="exact"/>
        <w:rPr>
          <w:sz w:val="20"/>
          <w:szCs w:val="20"/>
          <w:color w:val="auto"/>
        </w:rPr>
      </w:pPr>
    </w:p>
    <w:p>
      <w:pPr>
        <w:jc w:val="center"/>
        <w:ind w:left="6840"/>
        <w:spacing w:after="0"/>
        <w:rPr>
          <w:sz w:val="20"/>
          <w:szCs w:val="20"/>
          <w:color w:val="auto"/>
        </w:rPr>
      </w:pPr>
      <w:r>
        <w:rPr>
          <w:rFonts w:ascii="Arial" w:cs="Arial" w:eastAsia="Arial" w:hAnsi="Arial"/>
          <w:sz w:val="18"/>
          <w:szCs w:val="18"/>
          <w:color w:val="auto"/>
        </w:rPr>
        <w:t>Chief Financial Officer</w:t>
      </w:r>
    </w:p>
    <w:p>
      <w:pPr>
        <w:spacing w:after="0" w:line="171" w:lineRule="exact"/>
        <w:rPr>
          <w:sz w:val="20"/>
          <w:szCs w:val="20"/>
          <w:color w:val="auto"/>
        </w:rPr>
      </w:pPr>
    </w:p>
    <w:p>
      <w:pPr>
        <w:ind w:right="880" w:firstLine="486"/>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Brighthouse Financial, Inc. and will be retained by Brighthouse Financial, Inc. and furnished to the Securities and Exchange Commission or its staff upon request.</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2E685FB"/>
    <w:multiLevelType w:val="hybridMultilevel"/>
    <w:lvl w:ilvl="0">
      <w:lvlJc w:val="left"/>
      <w:lvlText w:val="☑"/>
      <w:numFmt w:val="bullet"/>
      <w:start w:val="1"/>
    </w:lvl>
  </w:abstractNum>
  <w:abstractNum w:abstractNumId="1">
    <w:nsid w:val="70C6A529"/>
    <w:multiLevelType w:val="hybridMultilevel"/>
    <w:lvl w:ilvl="0">
      <w:lvlJc w:val="left"/>
      <w:lvlText w:val="☐"/>
      <w:numFmt w:val="bullet"/>
      <w:start w:val="1"/>
    </w:lvl>
  </w:abstractNum>
  <w:abstractNum w:abstractNumId="2">
    <w:nsid w:val="520EEDD1"/>
    <w:multiLevelType w:val="hybridMultilevel"/>
    <w:lvl w:ilvl="0">
      <w:lvlJc w:val="left"/>
      <w:lvlText w:val="•"/>
      <w:numFmt w:val="bullet"/>
      <w:start w:val="1"/>
    </w:lvl>
  </w:abstractNum>
  <w:abstractNum w:abstractNumId="3">
    <w:nsid w:val="374A3FE6"/>
    <w:multiLevelType w:val="hybridMultilevel"/>
    <w:lvl w:ilvl="0">
      <w:lvlJc w:val="left"/>
      <w:lvlText w:val="•"/>
      <w:numFmt w:val="bullet"/>
      <w:start w:val="1"/>
    </w:lvl>
    <w:lvl w:ilvl="1">
      <w:lvlJc w:val="left"/>
      <w:lvlText w:val="•"/>
      <w:numFmt w:val="bullet"/>
      <w:start w:val="1"/>
    </w:lvl>
  </w:abstractNum>
  <w:abstractNum w:abstractNumId="4">
    <w:nsid w:val="4F4EF005"/>
    <w:multiLevelType w:val="hybridMultilevel"/>
    <w:lvl w:ilvl="0">
      <w:lvlJc w:val="left"/>
      <w:lvlText w:val="(%1)"/>
      <w:numFmt w:val="decimal"/>
      <w:start w:val="1"/>
    </w:lvl>
  </w:abstractNum>
  <w:abstractNum w:abstractNumId="5">
    <w:nsid w:val="23F9C13C"/>
    <w:multiLevelType w:val="hybridMultilevel"/>
    <w:lvl w:ilvl="0">
      <w:lvlJc w:val="left"/>
      <w:lvlText w:val="(%1)"/>
      <w:numFmt w:val="decimal"/>
      <w:start w:val="2"/>
    </w:lvl>
  </w:abstractNum>
  <w:abstractNum w:abstractNumId="6">
    <w:nsid w:val="649BB77C"/>
    <w:multiLevelType w:val="hybridMultilevel"/>
    <w:lvl w:ilvl="0">
      <w:lvlJc w:val="left"/>
      <w:lvlText w:val="(%1)"/>
      <w:numFmt w:val="decimal"/>
      <w:start w:val="1"/>
    </w:lvl>
  </w:abstractNum>
  <w:abstractNum w:abstractNumId="7">
    <w:nsid w:val="275AC794"/>
    <w:multiLevelType w:val="hybridMultilevel"/>
    <w:lvl w:ilvl="0">
      <w:lvlJc w:val="left"/>
      <w:lvlText w:val="(%1)"/>
      <w:numFmt w:val="decimal"/>
      <w:start w:val="2"/>
    </w:lvl>
  </w:abstractNum>
  <w:abstractNum w:abstractNumId="8">
    <w:nsid w:val="39386575"/>
    <w:multiLevelType w:val="hybridMultilevel"/>
    <w:lvl w:ilvl="0">
      <w:lvlJc w:val="left"/>
      <w:lvlText w:val="(%1)"/>
      <w:numFmt w:val="decimal"/>
      <w:start w:val="1"/>
    </w:lvl>
  </w:abstractNum>
  <w:abstractNum w:abstractNumId="9">
    <w:nsid w:val="1CF10FD8"/>
    <w:multiLevelType w:val="hybridMultilevel"/>
    <w:lvl w:ilvl="0">
      <w:lvlJc w:val="left"/>
      <w:lvlText w:val="(%1)"/>
      <w:numFmt w:val="decimal"/>
      <w:start w:val="1"/>
    </w:lvl>
  </w:abstractNum>
  <w:abstractNum w:abstractNumId="10">
    <w:nsid w:val="180115BE"/>
    <w:multiLevelType w:val="hybridMultilevel"/>
    <w:lvl w:ilvl="0">
      <w:lvlJc w:val="left"/>
      <w:lvlText w:val="%1."/>
      <w:numFmt w:val="decimal"/>
      <w:start w:val="4"/>
    </w:lvl>
  </w:abstractNum>
  <w:abstractNum w:abstractNumId="11">
    <w:nsid w:val="235BA861"/>
    <w:multiLevelType w:val="hybridMultilevel"/>
    <w:lvl w:ilvl="0">
      <w:lvlJc w:val="left"/>
      <w:lvlText w:val="%1."/>
      <w:numFmt w:val="decimal"/>
      <w:start w:val="4"/>
    </w:lvl>
  </w:abstractNum>
  <w:abstractNum w:abstractNumId="12">
    <w:nsid w:val="47398C89"/>
    <w:multiLevelType w:val="hybridMultilevel"/>
    <w:lvl w:ilvl="0">
      <w:lvlJc w:val="left"/>
      <w:lvlText w:val="(%1)"/>
      <w:numFmt w:val="decimal"/>
      <w:start w:val="1"/>
    </w:lvl>
  </w:abstractNum>
  <w:abstractNum w:abstractNumId="13">
    <w:nsid w:val="354FE9F9"/>
    <w:multiLevelType w:val="hybridMultilevel"/>
    <w:lvl w:ilvl="0">
      <w:lvlJc w:val="left"/>
      <w:lvlText w:val="(%1)"/>
      <w:numFmt w:val="decimal"/>
      <w:start w:val="1"/>
    </w:lvl>
  </w:abstractNum>
  <w:abstractNum w:abstractNumId="14">
    <w:nsid w:val="15B5AF5C"/>
    <w:multiLevelType w:val="hybridMultilevel"/>
    <w:lvl w:ilvl="0">
      <w:lvlJc w:val="left"/>
      <w:lvlText w:val="(%1)"/>
      <w:numFmt w:val="decimal"/>
      <w:start w:val="1"/>
    </w:lvl>
  </w:abstractNum>
  <w:abstractNum w:abstractNumId="15">
    <w:nsid w:val="741226BB"/>
    <w:multiLevelType w:val="hybridMultilevel"/>
    <w:lvl w:ilvl="0">
      <w:lvlJc w:val="left"/>
      <w:lvlText w:val="(%1)"/>
      <w:numFmt w:val="decimal"/>
      <w:start w:val="1"/>
    </w:lvl>
  </w:abstractNum>
  <w:abstractNum w:abstractNumId="16">
    <w:nsid w:val="D34B6A8"/>
    <w:multiLevelType w:val="hybridMultilevel"/>
    <w:lvl w:ilvl="0">
      <w:lvlJc w:val="left"/>
      <w:lvlText w:val="•"/>
      <w:numFmt w:val="bullet"/>
      <w:start w:val="1"/>
    </w:lvl>
  </w:abstractNum>
  <w:abstractNum w:abstractNumId="17">
    <w:nsid w:val="10233C99"/>
    <w:multiLevelType w:val="hybridMultilevel"/>
    <w:lvl w:ilvl="0">
      <w:lvlJc w:val="left"/>
      <w:lvlText w:val="•"/>
      <w:numFmt w:val="bullet"/>
      <w:start w:val="1"/>
    </w:lvl>
  </w:abstractNum>
  <w:abstractNum w:abstractNumId="18">
    <w:nsid w:val="3F6AB60F"/>
    <w:multiLevelType w:val="hybridMultilevel"/>
    <w:lvl w:ilvl="0">
      <w:lvlJc w:val="left"/>
      <w:lvlText w:val="(%1)"/>
      <w:numFmt w:val="lowerRoman"/>
      <w:start w:val="2"/>
    </w:lvl>
  </w:abstractNum>
  <w:abstractNum w:abstractNumId="19">
    <w:nsid w:val="61574095"/>
    <w:multiLevelType w:val="hybridMultilevel"/>
    <w:lvl w:ilvl="0">
      <w:lvlJc w:val="left"/>
      <w:lvlText w:val="(%1)"/>
      <w:numFmt w:val="decimal"/>
      <w:start w:val="1"/>
    </w:lvl>
  </w:abstractNum>
  <w:abstractNum w:abstractNumId="20">
    <w:nsid w:val="7E0C57B1"/>
    <w:multiLevelType w:val="hybridMultilevel"/>
    <w:lvl w:ilvl="0">
      <w:lvlJc w:val="left"/>
      <w:lvlText w:val="(%1)"/>
      <w:numFmt w:val="decimal"/>
      <w:start w:val="1"/>
    </w:lvl>
  </w:abstractNum>
  <w:abstractNum w:abstractNumId="21">
    <w:nsid w:val="77AE35EB"/>
    <w:multiLevelType w:val="hybridMultilevel"/>
    <w:lvl w:ilvl="0">
      <w:lvlJc w:val="left"/>
      <w:lvlText w:val="(%1)"/>
      <w:numFmt w:val="decimal"/>
      <w:start w:val="1"/>
    </w:lvl>
  </w:abstractNum>
  <w:abstractNum w:abstractNumId="22">
    <w:nsid w:val="579BE4F1"/>
    <w:multiLevelType w:val="hybridMultilevel"/>
    <w:lvl w:ilvl="0">
      <w:lvlJc w:val="left"/>
      <w:lvlText w:val="(%1)"/>
      <w:numFmt w:val="decimal"/>
      <w:start w:val="1"/>
    </w:lvl>
  </w:abstractNum>
  <w:abstractNum w:abstractNumId="23">
    <w:nsid w:val="310C50B3"/>
    <w:multiLevelType w:val="hybridMultilevel"/>
    <w:lvl w:ilvl="0">
      <w:lvlJc w:val="left"/>
      <w:lvlText w:val="(%1)"/>
      <w:numFmt w:val="decimal"/>
      <w:start w:val="1"/>
    </w:lvl>
  </w:abstractNum>
  <w:abstractNum w:abstractNumId="24">
    <w:nsid w:val="5FF87E05"/>
    <w:multiLevelType w:val="hybridMultilevel"/>
    <w:lvl w:ilvl="0">
      <w:lvlJc w:val="left"/>
      <w:lvlText w:val="(%1)"/>
      <w:numFmt w:val="decimal"/>
      <w:start w:val="5"/>
    </w:lvl>
  </w:abstractNum>
  <w:abstractNum w:abstractNumId="25">
    <w:nsid w:val="2F305DEF"/>
    <w:multiLevelType w:val="hybridMultilevel"/>
    <w:lvl w:ilvl="0">
      <w:lvlJc w:val="left"/>
      <w:lvlText w:val="(%1)"/>
      <w:numFmt w:val="decimal"/>
      <w:start w:val="1"/>
    </w:lvl>
  </w:abstractNum>
  <w:abstractNum w:abstractNumId="26">
    <w:nsid w:val="25A70BF7"/>
    <w:multiLevelType w:val="hybridMultilevel"/>
    <w:lvl w:ilvl="0">
      <w:lvlJc w:val="left"/>
      <w:lvlText w:val="(%1)"/>
      <w:numFmt w:val="decimal"/>
      <w:start w:val="1"/>
    </w:lvl>
  </w:abstractNum>
  <w:abstractNum w:abstractNumId="27">
    <w:nsid w:val="1DBABF00"/>
    <w:multiLevelType w:val="hybridMultilevel"/>
    <w:lvl w:ilvl="0">
      <w:lvlJc w:val="left"/>
      <w:lvlText w:val="(%1)"/>
      <w:numFmt w:val="decimal"/>
      <w:start w:val="1"/>
    </w:lvl>
  </w:abstractNum>
  <w:abstractNum w:abstractNumId="28">
    <w:nsid w:val="4AD084E9"/>
    <w:multiLevelType w:val="hybridMultilevel"/>
    <w:lvl w:ilvl="0">
      <w:lvlJc w:val="left"/>
      <w:lvlText w:val="(%1)"/>
      <w:numFmt w:val="decimal"/>
      <w:start w:val="2"/>
    </w:lvl>
  </w:abstractNum>
  <w:abstractNum w:abstractNumId="29">
    <w:nsid w:val="1F48EAA1"/>
    <w:multiLevelType w:val="hybridMultilevel"/>
    <w:lvl w:ilvl="0">
      <w:lvlJc w:val="left"/>
      <w:lvlText w:val="•"/>
      <w:numFmt w:val="bullet"/>
      <w:start w:val="1"/>
    </w:lvl>
  </w:abstractNum>
  <w:abstractNum w:abstractNumId="30">
    <w:nsid w:val="1381823A"/>
    <w:multiLevelType w:val="hybridMultilevel"/>
    <w:lvl w:ilvl="0">
      <w:lvlJc w:val="left"/>
      <w:lvlText w:val="(%1)"/>
      <w:numFmt w:val="decimal"/>
      <w:start w:val="1"/>
    </w:lvl>
  </w:abstractNum>
  <w:abstractNum w:abstractNumId="31">
    <w:nsid w:val="5DB70AE5"/>
    <w:multiLevelType w:val="hybridMultilevel"/>
    <w:lvl w:ilvl="0">
      <w:lvlJc w:val="left"/>
      <w:lvlText w:val="(%1)"/>
      <w:numFmt w:val="decimal"/>
      <w:start w:val="1"/>
    </w:lvl>
  </w:abstractNum>
  <w:abstractNum w:abstractNumId="32">
    <w:nsid w:val="100F8FCA"/>
    <w:multiLevelType w:val="hybridMultilevel"/>
    <w:lvl w:ilvl="0">
      <w:lvlJc w:val="left"/>
      <w:lvlText w:val="\emdash "/>
      <w:numFmt w:val="bullet"/>
      <w:start w:val="1"/>
    </w:lvl>
  </w:abstractNum>
  <w:abstractNum w:abstractNumId="33">
    <w:nsid w:val="6590700B"/>
    <w:multiLevelType w:val="hybridMultilevel"/>
    <w:lvl w:ilvl="0">
      <w:lvlJc w:val="left"/>
      <w:lvlText w:val="•"/>
      <w:numFmt w:val="bullet"/>
      <w:start w:val="1"/>
    </w:lvl>
  </w:abstractNum>
  <w:abstractNum w:abstractNumId="34">
    <w:nsid w:val="15014ACB"/>
    <w:multiLevelType w:val="hybridMultilevel"/>
    <w:lvl w:ilvl="0">
      <w:lvlJc w:val="left"/>
      <w:lvlText w:val="(%1)"/>
      <w:numFmt w:val="decimal"/>
      <w:start w:val="1"/>
    </w:lvl>
  </w:abstractNum>
  <w:abstractNum w:abstractNumId="35">
    <w:nsid w:val="5F5E7FD0"/>
    <w:multiLevelType w:val="hybridMultilevel"/>
    <w:lvl w:ilvl="0">
      <w:lvlJc w:val="left"/>
      <w:lvlText w:val="(%1)"/>
      <w:numFmt w:val="decimal"/>
      <w:start w:val="7"/>
    </w:lvl>
  </w:abstractNum>
  <w:abstractNum w:abstractNumId="36">
    <w:nsid w:val="98A3148"/>
    <w:multiLevelType w:val="hybridMultilevel"/>
    <w:lvl w:ilvl="0">
      <w:lvlJc w:val="left"/>
      <w:lvlText w:val="(%1)"/>
      <w:numFmt w:val="decimal"/>
      <w:start w:val="1"/>
    </w:lvl>
  </w:abstractNum>
  <w:abstractNum w:abstractNumId="37">
    <w:nsid w:val="799D0247"/>
    <w:multiLevelType w:val="hybridMultilevel"/>
    <w:lvl w:ilvl="0">
      <w:lvlJc w:val="left"/>
      <w:lvlText w:val="(%1)"/>
      <w:numFmt w:val="decimal"/>
      <w:start w:val="8"/>
    </w:lvl>
  </w:abstractNum>
  <w:abstractNum w:abstractNumId="38">
    <w:nsid w:val="6B94764"/>
    <w:multiLevelType w:val="hybridMultilevel"/>
    <w:lvl w:ilvl="0">
      <w:lvlJc w:val="left"/>
      <w:lvlText w:val="(%1)"/>
      <w:numFmt w:val="decimal"/>
      <w:start w:val="1"/>
    </w:lvl>
  </w:abstractNum>
  <w:abstractNum w:abstractNumId="39">
    <w:nsid w:val="42C296BD"/>
    <w:multiLevelType w:val="hybridMultilevel"/>
    <w:lvl w:ilvl="0">
      <w:lvlJc w:val="left"/>
      <w:lvlText w:val="%1."/>
      <w:numFmt w:val="decimal"/>
      <w:start w:val="6"/>
    </w:lvl>
  </w:abstractNum>
  <w:abstractNum w:abstractNumId="40">
    <w:nsid w:val="168E121F"/>
    <w:multiLevelType w:val="hybridMultilevel"/>
    <w:lvl w:ilvl="0">
      <w:lvlJc w:val="left"/>
      <w:lvlText w:val="%1."/>
      <w:numFmt w:val="decimal"/>
      <w:start w:val="7"/>
    </w:lvl>
  </w:abstractNum>
  <w:abstractNum w:abstractNumId="41">
    <w:nsid w:val="1EBA5D23"/>
    <w:multiLevelType w:val="hybridMultilevel"/>
    <w:lvl w:ilvl="0">
      <w:lvlJc w:val="left"/>
      <w:lvlText w:val="(%1)"/>
      <w:numFmt w:val="decimal"/>
      <w:start w:val="1"/>
    </w:lvl>
  </w:abstractNum>
  <w:abstractNum w:abstractNumId="42">
    <w:nsid w:val="661E3F1E"/>
    <w:multiLevelType w:val="hybridMultilevel"/>
    <w:lvl w:ilvl="0">
      <w:lvlJc w:val="left"/>
      <w:lvlText w:val="(%1)"/>
      <w:numFmt w:val="decimal"/>
      <w:start w:val="1"/>
    </w:lvl>
  </w:abstractNum>
  <w:abstractNum w:abstractNumId="43">
    <w:nsid w:val="5DC79EA8"/>
    <w:multiLevelType w:val="hybridMultilevel"/>
    <w:lvl w:ilvl="0">
      <w:lvlJc w:val="left"/>
      <w:lvlText w:val="(%1)"/>
      <w:numFmt w:val="decimal"/>
      <w:start w:val="1"/>
    </w:lvl>
  </w:abstractNum>
  <w:abstractNum w:abstractNumId="44">
    <w:nsid w:val="540A471C"/>
    <w:multiLevelType w:val="hybridMultilevel"/>
    <w:lvl w:ilvl="0">
      <w:lvlJc w:val="left"/>
      <w:lvlText w:val="•"/>
      <w:numFmt w:val="bullet"/>
      <w:start w:val="1"/>
    </w:lvl>
    <w:lvl w:ilvl="1">
      <w:lvlJc w:val="left"/>
      <w:lvlText w:val="◦"/>
      <w:numFmt w:val="bullet"/>
      <w:start w:val="1"/>
    </w:lvl>
  </w:abstractNum>
  <w:abstractNum w:abstractNumId="45">
    <w:nsid w:val="7BD3EE7B"/>
    <w:multiLevelType w:val="hybridMultilevel"/>
    <w:lvl w:ilvl="0">
      <w:lvlJc w:val="left"/>
      <w:lvlText w:val="•"/>
      <w:numFmt w:val="bullet"/>
      <w:start w:val="1"/>
    </w:lvl>
  </w:abstractNum>
  <w:abstractNum w:abstractNumId="46">
    <w:nsid w:val="51D9C564"/>
    <w:multiLevelType w:val="hybridMultilevel"/>
    <w:lvl w:ilvl="0">
      <w:lvlJc w:val="left"/>
      <w:lvlText w:val="•"/>
      <w:numFmt w:val="bullet"/>
      <w:start w:val="1"/>
    </w:lvl>
  </w:abstractNum>
  <w:abstractNum w:abstractNumId="47">
    <w:nsid w:val="613EFDC5"/>
    <w:multiLevelType w:val="hybridMultilevel"/>
    <w:lvl w:ilvl="0">
      <w:lvlJc w:val="left"/>
      <w:lvlText w:val="(%1)"/>
      <w:numFmt w:val="lowerRoman"/>
      <w:start w:val="2"/>
    </w:lvl>
  </w:abstractNum>
  <w:abstractNum w:abstractNumId="48">
    <w:nsid w:val="BF72B14"/>
    <w:multiLevelType w:val="hybridMultilevel"/>
    <w:lvl w:ilvl="0">
      <w:lvlJc w:val="left"/>
      <w:lvlText w:val="(%1)"/>
      <w:numFmt w:val="lowerRoman"/>
      <w:start w:val="1"/>
    </w:lvl>
  </w:abstractNum>
  <w:abstractNum w:abstractNumId="49">
    <w:nsid w:val="11447B73"/>
    <w:multiLevelType w:val="hybridMultilevel"/>
    <w:lvl w:ilvl="0">
      <w:lvlJc w:val="left"/>
      <w:lvlText w:val="•"/>
      <w:numFmt w:val="bullet"/>
      <w:start w:val="1"/>
    </w:lvl>
  </w:abstractNum>
  <w:abstractNum w:abstractNumId="50">
    <w:nsid w:val="42963E5A"/>
    <w:multiLevelType w:val="hybridMultilevel"/>
    <w:lvl w:ilvl="0">
      <w:lvlJc w:val="left"/>
      <w:lvlText w:val="•"/>
      <w:numFmt w:val="bullet"/>
      <w:start w:val="1"/>
    </w:lvl>
  </w:abstractNum>
  <w:abstractNum w:abstractNumId="51">
    <w:nsid w:val="A0382C5"/>
    <w:multiLevelType w:val="hybridMultilevel"/>
    <w:lvl w:ilvl="0">
      <w:lvlJc w:val="left"/>
      <w:lvlText w:val="•"/>
      <w:numFmt w:val="bullet"/>
      <w:start w:val="1"/>
    </w:lvl>
  </w:abstractNum>
  <w:abstractNum w:abstractNumId="52">
    <w:nsid w:val="8F2B15E"/>
    <w:multiLevelType w:val="hybridMultilevel"/>
    <w:lvl w:ilvl="0">
      <w:lvlJc w:val="left"/>
      <w:lvlText w:val="(%1)"/>
      <w:numFmt w:val="decimal"/>
      <w:start w:val="1"/>
    </w:lvl>
  </w:abstractNum>
  <w:abstractNum w:abstractNumId="53">
    <w:nsid w:val="1A32234B"/>
    <w:multiLevelType w:val="hybridMultilevel"/>
    <w:lvl w:ilvl="0">
      <w:lvlJc w:val="left"/>
      <w:lvlText w:val="•"/>
      <w:numFmt w:val="bullet"/>
      <w:start w:val="1"/>
    </w:lvl>
  </w:abstractNum>
  <w:abstractNum w:abstractNumId="54">
    <w:nsid w:val="3B0FD379"/>
    <w:multiLevelType w:val="hybridMultilevel"/>
    <w:lvl w:ilvl="0">
      <w:lvlJc w:val="left"/>
      <w:lvlText w:val="•"/>
      <w:numFmt w:val="bullet"/>
      <w:start w:val="1"/>
    </w:lvl>
  </w:abstractNum>
  <w:abstractNum w:abstractNumId="55">
    <w:nsid w:val="68EB2F63"/>
    <w:multiLevelType w:val="hybridMultilevel"/>
    <w:lvl w:ilvl="0">
      <w:lvlJc w:val="left"/>
      <w:lvlText w:val="(%1)"/>
      <w:numFmt w:val="decimal"/>
      <w:start w:val="1"/>
    </w:lvl>
  </w:abstractNum>
  <w:abstractNum w:abstractNumId="56">
    <w:nsid w:val="4962813B"/>
    <w:multiLevelType w:val="hybridMultilevel"/>
    <w:lvl w:ilvl="0">
      <w:lvlJc w:val="left"/>
      <w:lvlText w:val="(%1)"/>
      <w:numFmt w:val="decimal"/>
      <w:start w:val="1"/>
    </w:lvl>
  </w:abstractNum>
  <w:abstractNum w:abstractNumId="57">
    <w:nsid w:val="60B6DF70"/>
    <w:multiLevelType w:val="hybridMultilevel"/>
    <w:lvl w:ilvl="0">
      <w:lvlJc w:val="left"/>
      <w:lvlText w:val="•"/>
      <w:numFmt w:val="bullet"/>
      <w:start w:val="1"/>
    </w:lvl>
  </w:abstractNum>
  <w:abstractNum w:abstractNumId="58">
    <w:nsid w:val="6A5EE64"/>
    <w:multiLevelType w:val="hybridMultilevel"/>
    <w:lvl w:ilvl="0">
      <w:lvlJc w:val="left"/>
      <w:lvlText w:val="•"/>
      <w:numFmt w:val="bullet"/>
      <w:start w:val="1"/>
    </w:lvl>
  </w:abstractNum>
  <w:abstractNum w:abstractNumId="59">
    <w:nsid w:val="14330624"/>
    <w:multiLevelType w:val="hybridMultilevel"/>
    <w:lvl w:ilvl="0">
      <w:lvlJc w:val="left"/>
      <w:lvlText w:val="•"/>
      <w:numFmt w:val="bullet"/>
      <w:start w:val="1"/>
    </w:lvl>
  </w:abstractNum>
  <w:abstractNum w:abstractNumId="60">
    <w:nsid w:val="7FFFCA11"/>
    <w:multiLevelType w:val="hybridMultilevel"/>
    <w:lvl w:ilvl="0">
      <w:lvlJc w:val="left"/>
      <w:lvlText w:val="•"/>
      <w:numFmt w:val="bullet"/>
      <w:start w:val="1"/>
    </w:lvl>
  </w:abstractNum>
  <w:abstractNum w:abstractNumId="61">
    <w:nsid w:val="1A27709E"/>
    <w:multiLevelType w:val="hybridMultilevel"/>
    <w:lvl w:ilvl="0">
      <w:lvlJc w:val="left"/>
      <w:lvlText w:val="•"/>
      <w:numFmt w:val="bullet"/>
      <w:start w:val="1"/>
    </w:lvl>
  </w:abstractNum>
  <w:abstractNum w:abstractNumId="62">
    <w:nsid w:val="71EA1109"/>
    <w:multiLevelType w:val="hybridMultilevel"/>
    <w:lvl w:ilvl="0">
      <w:lvlJc w:val="left"/>
      <w:lvlText w:val="•"/>
      <w:numFmt w:val="bullet"/>
      <w:start w:val="1"/>
    </w:lvl>
  </w:abstractNum>
  <w:abstractNum w:abstractNumId="63">
    <w:nsid w:val="100F59DC"/>
    <w:multiLevelType w:val="hybridMultilevel"/>
    <w:lvl w:ilvl="0">
      <w:lvlJc w:val="left"/>
      <w:lvlText w:val="•"/>
      <w:numFmt w:val="bullet"/>
      <w:start w:val="1"/>
    </w:lvl>
  </w:abstractNum>
  <w:abstractNum w:abstractNumId="64">
    <w:nsid w:val="7FB7E0AA"/>
    <w:multiLevelType w:val="hybridMultilevel"/>
    <w:lvl w:ilvl="0">
      <w:lvlJc w:val="left"/>
      <w:lvlText w:val="•"/>
      <w:numFmt w:val="bullet"/>
      <w:start w:val="1"/>
    </w:lvl>
  </w:abstractNum>
  <w:abstractNum w:abstractNumId="65">
    <w:nsid w:val="6EB5BD4"/>
    <w:multiLevelType w:val="hybridMultilevel"/>
    <w:lvl w:ilvl="0">
      <w:lvlJc w:val="left"/>
      <w:lvlText w:val="•"/>
      <w:numFmt w:val="bullet"/>
      <w:start w:val="1"/>
    </w:lvl>
  </w:abstractNum>
  <w:abstractNum w:abstractNumId="66">
    <w:nsid w:val="6F6DD9AC"/>
    <w:multiLevelType w:val="hybridMultilevel"/>
    <w:lvl w:ilvl="0">
      <w:lvlJc w:val="left"/>
      <w:lvlText w:val="•"/>
      <w:numFmt w:val="bullet"/>
      <w:start w:val="1"/>
    </w:lvl>
  </w:abstractNum>
  <w:abstractNum w:abstractNumId="67">
    <w:nsid w:val="94211F2"/>
    <w:multiLevelType w:val="hybridMultilevel"/>
    <w:lvl w:ilvl="0">
      <w:lvlJc w:val="left"/>
      <w:lvlText w:val="•"/>
      <w:numFmt w:val="bullet"/>
      <w:start w:val="1"/>
    </w:lvl>
  </w:abstractNum>
  <w:abstractNum w:abstractNumId="68">
    <w:nsid w:val="885E1B"/>
    <w:multiLevelType w:val="hybridMultilevel"/>
    <w:lvl w:ilvl="0">
      <w:lvlJc w:val="left"/>
      <w:lvlText w:val="•"/>
      <w:numFmt w:val="bullet"/>
      <w:start w:val="1"/>
    </w:lvl>
  </w:abstractNum>
  <w:abstractNum w:abstractNumId="69">
    <w:nsid w:val="76272110"/>
    <w:multiLevelType w:val="hybridMultilevel"/>
    <w:lvl w:ilvl="0">
      <w:lvlJc w:val="left"/>
      <w:lvlText w:val="•"/>
      <w:numFmt w:val="bullet"/>
      <w:start w:val="1"/>
    </w:lvl>
  </w:abstractNum>
  <w:abstractNum w:abstractNumId="70">
    <w:nsid w:val="4C04A8AF"/>
    <w:multiLevelType w:val="hybridMultilevel"/>
    <w:lvl w:ilvl="0">
      <w:lvlJc w:val="left"/>
      <w:lvlText w:val="•"/>
      <w:numFmt w:val="bullet"/>
      <w:start w:val="1"/>
    </w:lvl>
  </w:abstractNum>
  <w:abstractNum w:abstractNumId="71">
    <w:nsid w:val="1716703B"/>
    <w:multiLevelType w:val="hybridMultilevel"/>
    <w:lvl w:ilvl="0">
      <w:lvlJc w:val="left"/>
      <w:lvlText w:val="•"/>
      <w:numFmt w:val="bullet"/>
      <w:start w:val="1"/>
    </w:lvl>
  </w:abstractNum>
  <w:abstractNum w:abstractNumId="72">
    <w:nsid w:val="14E17E33"/>
    <w:multiLevelType w:val="hybridMultilevel"/>
    <w:lvl w:ilvl="0">
      <w:lvlJc w:val="left"/>
      <w:lvlText w:val="•"/>
      <w:numFmt w:val="bullet"/>
      <w:start w:val="1"/>
    </w:lvl>
  </w:abstractNum>
  <w:abstractNum w:abstractNumId="73">
    <w:nsid w:val="3222E7CD"/>
    <w:multiLevelType w:val="hybridMultilevel"/>
    <w:lvl w:ilvl="0">
      <w:lvlJc w:val="left"/>
      <w:lvlText w:val="(%1)"/>
      <w:numFmt w:val="decimal"/>
      <w:start w:val="1"/>
    </w:lvl>
  </w:abstractNum>
  <w:abstractNum w:abstractNumId="74">
    <w:nsid w:val="74DE0EE3"/>
    <w:multiLevelType w:val="hybridMultilevel"/>
    <w:lvl w:ilvl="0">
      <w:lvlJc w:val="left"/>
      <w:lvlText w:val="•"/>
      <w:numFmt w:val="bullet"/>
      <w:start w:val="1"/>
    </w:lvl>
  </w:abstractNum>
  <w:abstractNum w:abstractNumId="75">
    <w:nsid w:val="68EBC550"/>
    <w:multiLevelType w:val="hybridMultilevel"/>
    <w:lvl w:ilvl="0">
      <w:lvlJc w:val="left"/>
      <w:lvlText w:val="•"/>
      <w:numFmt w:val="bullet"/>
      <w:start w:val="1"/>
    </w:lvl>
  </w:abstractNum>
  <w:abstractNum w:abstractNumId="76">
    <w:nsid w:val="2DF6D648"/>
    <w:multiLevelType w:val="hybridMultilevel"/>
    <w:lvl w:ilvl="0">
      <w:lvlJc w:val="left"/>
      <w:lvlText w:val="(%1)"/>
      <w:numFmt w:val="decimal"/>
      <w:start w:val="1"/>
    </w:lvl>
  </w:abstractNum>
  <w:abstractNum w:abstractNumId="77">
    <w:nsid w:val="46B7D447"/>
    <w:multiLevelType w:val="hybridMultilevel"/>
    <w:lvl w:ilvl="0">
      <w:lvlJc w:val="left"/>
      <w:lvlText w:val="•"/>
      <w:numFmt w:val="bullet"/>
      <w:start w:val="1"/>
    </w:lvl>
  </w:abstractNum>
  <w:abstractNum w:abstractNumId="78">
    <w:nsid w:val="4A2AC315"/>
    <w:multiLevelType w:val="hybridMultilevel"/>
    <w:lvl w:ilvl="0">
      <w:lvlJc w:val="left"/>
      <w:lvlText w:val="(%1)"/>
      <w:numFmt w:val="decimal"/>
      <w:start w:val="1"/>
    </w:lvl>
  </w:abstractNum>
  <w:abstractNum w:abstractNumId="79">
    <w:nsid w:val="39EE015C"/>
    <w:multiLevelType w:val="hybridMultilevel"/>
    <w:lvl w:ilvl="0">
      <w:lvlJc w:val="left"/>
      <w:lvlText w:val="•"/>
      <w:numFmt w:val="bullet"/>
      <w:start w:val="1"/>
    </w:lvl>
  </w:abstractNum>
  <w:abstractNum w:abstractNumId="80">
    <w:nsid w:val="57FC4FBB"/>
    <w:multiLevelType w:val="hybridMultilevel"/>
    <w:lvl w:ilvl="0">
      <w:lvlJc w:val="left"/>
      <w:lvlText w:val="\emdash "/>
      <w:numFmt w:val="bullet"/>
      <w:start w:val="1"/>
    </w:lvl>
  </w:abstractNum>
  <w:abstractNum w:abstractNumId="81">
    <w:nsid w:val="CC1016F"/>
    <w:multiLevelType w:val="hybridMultilevel"/>
    <w:lvl w:ilvl="0">
      <w:lvlJc w:val="left"/>
      <w:lvlText w:val="(%1)"/>
      <w:numFmt w:val="decimal"/>
      <w:start w:val="1"/>
    </w:lvl>
  </w:abstractNum>
  <w:abstractNum w:abstractNumId="82">
    <w:nsid w:val="43F18422"/>
    <w:multiLevelType w:val="hybridMultilevel"/>
    <w:lvl w:ilvl="0">
      <w:lvlJc w:val="left"/>
      <w:lvlText w:val="(%1)"/>
      <w:numFmt w:val="decimal"/>
      <w:start w:val="1"/>
    </w:lvl>
  </w:abstractNum>
  <w:abstractNum w:abstractNumId="83">
    <w:nsid w:val="60EF0119"/>
    <w:multiLevelType w:val="hybridMultilevel"/>
    <w:lvl w:ilvl="0">
      <w:lvlJc w:val="left"/>
      <w:lvlText w:val="(%1)"/>
      <w:numFmt w:val="decimal"/>
      <w:start w:val="1"/>
    </w:lvl>
  </w:abstractNum>
  <w:abstractNum w:abstractNumId="84">
    <w:nsid w:val="26F324BA"/>
    <w:multiLevelType w:val="hybridMultilevel"/>
    <w:lvl w:ilvl="0">
      <w:lvlJc w:val="left"/>
      <w:lvlText w:val="(%1)"/>
      <w:numFmt w:val="decimal"/>
      <w:start w:val="1"/>
    </w:lvl>
  </w:abstractNum>
  <w:abstractNum w:abstractNumId="85">
    <w:nsid w:val="7F01579B"/>
    <w:multiLevelType w:val="hybridMultilevel"/>
    <w:lvl w:ilvl="0">
      <w:lvlJc w:val="left"/>
      <w:lvlText w:val="(%1)"/>
      <w:numFmt w:val="decimal"/>
      <w:start w:val="1"/>
    </w:lvl>
  </w:abstractNum>
  <w:abstractNum w:abstractNumId="86">
    <w:nsid w:val="49DA307D"/>
    <w:multiLevelType w:val="hybridMultilevel"/>
    <w:lvl w:ilvl="0">
      <w:lvlJc w:val="left"/>
      <w:lvlText w:val="•"/>
      <w:numFmt w:val="bullet"/>
      <w:start w:val="1"/>
    </w:lvl>
  </w:abstractNum>
  <w:abstractNum w:abstractNumId="87">
    <w:nsid w:val="7055A5F5"/>
    <w:multiLevelType w:val="hybridMultilevel"/>
    <w:lvl w:ilvl="0">
      <w:lvlJc w:val="left"/>
      <w:lvlText w:val="•"/>
      <w:numFmt w:val="bullet"/>
      <w:start w:val="1"/>
    </w:lvl>
  </w:abstractNum>
  <w:abstractNum w:abstractNumId="88">
    <w:nsid w:val="5FB8370B"/>
    <w:multiLevelType w:val="hybridMultilevel"/>
    <w:lvl w:ilvl="0">
      <w:lvlJc w:val="left"/>
      <w:lvlText w:val="•"/>
      <w:numFmt w:val="bullet"/>
      <w:start w:val="1"/>
    </w:lvl>
  </w:abstractNum>
  <w:abstractNum w:abstractNumId="89">
    <w:nsid w:val="50801EE1"/>
    <w:multiLevelType w:val="hybridMultilevel"/>
    <w:lvl w:ilvl="0">
      <w:lvlJc w:val="left"/>
      <w:lvlText w:val="·"/>
      <w:numFmt w:val="bullet"/>
      <w:start w:val="1"/>
    </w:lvl>
  </w:abstractNum>
  <w:abstractNum w:abstractNumId="90">
    <w:nsid w:val="488AC1A"/>
    <w:multiLevelType w:val="hybridMultilevel"/>
    <w:lvl w:ilvl="0">
      <w:lvlJc w:val="left"/>
      <w:lvlText w:val="(%1)"/>
      <w:numFmt w:val="lowerRoman"/>
      <w:start w:val="6"/>
    </w:lvl>
  </w:abstractNum>
  <w:abstractNum w:abstractNumId="91">
    <w:nsid w:val="5FB8011C"/>
    <w:multiLevelType w:val="hybridMultilevel"/>
    <w:lvl w:ilvl="0">
      <w:lvlJc w:val="left"/>
      <w:lvlText w:val="\emdash "/>
      <w:numFmt w:val="bullet"/>
      <w:start w:val="1"/>
    </w:lvl>
  </w:abstractNum>
  <w:abstractNum w:abstractNumId="92">
    <w:nsid w:val="6AA78F7F"/>
    <w:multiLevelType w:val="hybridMultilevel"/>
    <w:lvl w:ilvl="0">
      <w:lvlJc w:val="left"/>
      <w:lvlText w:val="•"/>
      <w:numFmt w:val="bullet"/>
      <w:start w:val="1"/>
    </w:lvl>
  </w:abstractNum>
  <w:abstractNum w:abstractNumId="93">
    <w:nsid w:val="7672BD23"/>
    <w:multiLevelType w:val="hybridMultilevel"/>
    <w:lvl w:ilvl="0">
      <w:lvlJc w:val="left"/>
      <w:lvlText w:val="•"/>
      <w:numFmt w:val="bullet"/>
      <w:start w:val="1"/>
    </w:lvl>
  </w:abstractNum>
  <w:abstractNum w:abstractNumId="94">
    <w:nsid w:val="6FC75AF8"/>
    <w:multiLevelType w:val="hybridMultilevel"/>
    <w:lvl w:ilvl="0">
      <w:lvlJc w:val="left"/>
      <w:lvlText w:val="•"/>
      <w:numFmt w:val="bullet"/>
      <w:start w:val="1"/>
    </w:lvl>
  </w:abstractNum>
  <w:abstractNum w:abstractNumId="95">
    <w:nsid w:val="6A5F7029"/>
    <w:multiLevelType w:val="hybridMultilevel"/>
    <w:lvl w:ilvl="0">
      <w:lvlJc w:val="left"/>
      <w:lvlText w:val="•"/>
      <w:numFmt w:val="bullet"/>
      <w:start w:val="1"/>
    </w:lvl>
  </w:abstractNum>
  <w:abstractNum w:abstractNumId="96">
    <w:nsid w:val="7D5E18F8"/>
    <w:multiLevelType w:val="hybridMultilevel"/>
    <w:lvl w:ilvl="0">
      <w:lvlJc w:val="left"/>
      <w:lvlText w:val="%1."/>
      <w:numFmt w:val="decimal"/>
      <w:start w:val="1"/>
    </w:lvl>
  </w:abstractNum>
  <w:abstractNum w:abstractNumId="97">
    <w:nsid w:val="5F3534A4"/>
    <w:multiLevelType w:val="hybridMultilevel"/>
    <w:lvl w:ilvl="0">
      <w:lvlJc w:val="left"/>
      <w:lvlText w:val="%1)"/>
      <w:numFmt w:val="lowerLetter"/>
      <w:start w:val="1"/>
    </w:lvl>
  </w:abstractNum>
  <w:abstractNum w:abstractNumId="98">
    <w:nsid w:val="73A1821B"/>
    <w:multiLevelType w:val="hybridMultilevel"/>
    <w:lvl w:ilvl="0">
      <w:lvlJc w:val="left"/>
      <w:lvlText w:val="%1."/>
      <w:numFmt w:val="decimal"/>
      <w:start w:val="5"/>
    </w:lvl>
  </w:abstractNum>
  <w:abstractNum w:abstractNumId="99">
    <w:nsid w:val="7DE67713"/>
    <w:multiLevelType w:val="hybridMultilevel"/>
    <w:lvl w:ilvl="0">
      <w:lvlJc w:val="left"/>
      <w:lvlText w:val="%1)"/>
      <w:numFmt w:val="lowerLetter"/>
      <w:start w:val="1"/>
    </w:lvl>
  </w:abstractNum>
  <w:abstractNum w:abstractNumId="100">
    <w:nsid w:val="555C55B5"/>
    <w:multiLevelType w:val="hybridMultilevel"/>
    <w:lvl w:ilvl="0">
      <w:lvlJc w:val="left"/>
      <w:lvlText w:val="%1."/>
      <w:numFmt w:val="decimal"/>
      <w:start w:val="1"/>
    </w:lvl>
  </w:abstractNum>
  <w:abstractNum w:abstractNumId="101">
    <w:nsid w:val="3FA62ACA"/>
    <w:multiLevelType w:val="hybridMultilevel"/>
    <w:lvl w:ilvl="0">
      <w:lvlJc w:val="left"/>
      <w:lvlText w:val="%1)"/>
      <w:numFmt w:val="lowerLetter"/>
      <w:start w:val="1"/>
    </w:lvl>
  </w:abstractNum>
  <w:abstractNum w:abstractNumId="102">
    <w:nsid w:val="14FCE74E"/>
    <w:multiLevelType w:val="hybridMultilevel"/>
    <w:lvl w:ilvl="0">
      <w:lvlJc w:val="left"/>
      <w:lvlText w:val="%1."/>
      <w:numFmt w:val="decimal"/>
      <w:start w:val="5"/>
    </w:lvl>
  </w:abstractNum>
  <w:abstractNum w:abstractNumId="103">
    <w:nsid w:val="6A3DD3E8"/>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20" Type="http://schemas.openxmlformats.org/officeDocument/2006/relationships/image" Target="media/image100.png"/><Relationship Id="rId121" Type="http://schemas.openxmlformats.org/officeDocument/2006/relationships/image" Target="media/image101.png"/><Relationship Id="rId122" Type="http://schemas.openxmlformats.org/officeDocument/2006/relationships/image" Target="media/image102.png"/><Relationship Id="rId123" Type="http://schemas.openxmlformats.org/officeDocument/2006/relationships/image" Target="media/image103.png"/><Relationship Id="rId107" Type="http://schemas.openxmlformats.org/officeDocument/2006/relationships/hyperlink" Target="http://www.sec.gov/Archives/edgar/data/1685040/000119312517252871/d428466dex21.htm" TargetMode="External"/><Relationship Id="rId108" Type="http://schemas.openxmlformats.org/officeDocument/2006/relationships/hyperlink" Target="http://www.sec.gov/Archives/edgar/data/1685040/000116760917000067/bhfexhibit31.htm" TargetMode="External"/><Relationship Id="rId109" Type="http://schemas.openxmlformats.org/officeDocument/2006/relationships/hyperlink" Target="http://www.sec.gov/Archives/edgar/data/1685040/000116760917000067/bhfexhibit32.htm" TargetMode="External"/><Relationship Id="rId110" Type="http://schemas.openxmlformats.org/officeDocument/2006/relationships/hyperlink" Target="http://www.sec.gov/Archives/edgar/data/1685040/000119312517252871/d428466dex101.htm" TargetMode="External"/><Relationship Id="rId111" Type="http://schemas.openxmlformats.org/officeDocument/2006/relationships/hyperlink" Target="http://www.sec.gov/Archives/edgar/data/1685040/000119312517252871/d428466dex102.htm" TargetMode="External"/><Relationship Id="rId112" Type="http://schemas.openxmlformats.org/officeDocument/2006/relationships/hyperlink" Target="http://www.sec.gov/Archives/edgar/data/1685040/000119312517252871/d428466dex103.htm" TargetMode="External"/><Relationship Id="rId113" Type="http://schemas.openxmlformats.org/officeDocument/2006/relationships/hyperlink" Target="http://www.sec.gov/Archives/edgar/data/1685040/000119312517252871/d428466dex104.htm" TargetMode="External"/><Relationship Id="rId114" Type="http://schemas.openxmlformats.org/officeDocument/2006/relationships/hyperlink" Target="http://www.sec.gov/Archives/edgar/data/1685040/000119312517252871/d428466dex105.htm" TargetMode="External"/><Relationship Id="rId115" Type="http://schemas.openxmlformats.org/officeDocument/2006/relationships/hyperlink" Target="http://www.sec.gov/Archives/edgar/data/1685040/000119312517252871/d428466dex106.htm" TargetMode="External"/><Relationship Id="rId116" Type="http://schemas.openxmlformats.org/officeDocument/2006/relationships/hyperlink" Target="http://www.sec.gov/Archives/edgar/data/1685040/000116760917000039/exhibit101.htm" TargetMode="External"/><Relationship Id="rId117" Type="http://schemas.openxmlformats.org/officeDocument/2006/relationships/hyperlink" Target="http://www.sec.gov/Archives/edgar/data/1685040/000116760917000067/bhfexhibit108.htm" TargetMode="External"/><Relationship Id="rId118" Type="http://schemas.openxmlformats.org/officeDocument/2006/relationships/hyperlink" Target="http://www.sec.gov/Archives/edgar/data/1685040/000116760917000067/bhfexhibit109.htm" TargetMode="External"/><Relationship Id="rId119" Type="http://schemas.openxmlformats.org/officeDocument/2006/relationships/hyperlink" Target="http://www.sec.gov/Archives/edgar/data/1685040/000116760917000067/bhfexhibit1010.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2019-12-29T03:32:41Z</dcterms:created>
  <dcterms:modified xsi:type="dcterms:W3CDTF">2019-12-29T03:32:41Z</dcterms:modified>
</cp:coreProperties>
</file>