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156210</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74" w:lineRule="exact"/>
        <w:rPr>
          <w:sz w:val="24"/>
          <w:szCs w:val="24"/>
          <w:color w:val="auto"/>
        </w:rPr>
      </w:pPr>
    </w:p>
    <w:p>
      <w:pPr>
        <w:ind w:left="2120" w:hanging="531"/>
        <w:spacing w:after="0"/>
        <w:tabs>
          <w:tab w:leader="none" w:pos="212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0"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189865</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332740</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ectPr>
          <w:pgSz w:w="11900" w:h="16838" w:orient="portrait"/>
          <w:cols w:equalWidth="0" w:num="1">
            <w:col w:w="11240"/>
          </w:cols>
          <w:pgMar w:left="320" w:top="1393" w:right="339" w:bottom="1440" w:gutter="0" w:footer="0" w:header="0"/>
        </w:sectPr>
      </w:pPr>
    </w:p>
    <w:p>
      <w:pPr>
        <w:spacing w:after="0" w:line="38" w:lineRule="exact"/>
        <w:rPr>
          <w:sz w:val="24"/>
          <w:szCs w:val="24"/>
          <w:color w:val="auto"/>
        </w:rPr>
      </w:pPr>
    </w:p>
    <w:p>
      <w:pPr>
        <w:jc w:val="right"/>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8"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Delaware</w:t>
      </w:r>
    </w:p>
    <w:p>
      <w:pPr>
        <w:spacing w:after="0" w:line="42" w:lineRule="exact"/>
        <w:rPr>
          <w:sz w:val="24"/>
          <w:szCs w:val="24"/>
          <w:color w:val="auto"/>
        </w:rPr>
      </w:pPr>
    </w:p>
    <w:p>
      <w:pPr>
        <w:jc w:val="center"/>
        <w:ind w:right="22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167"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11225 North Community House Road, Charlotte, North</w:t>
      </w:r>
    </w:p>
    <w:p>
      <w:pPr>
        <w:ind w:left="3100"/>
        <w:spacing w:after="0"/>
        <w:rPr>
          <w:sz w:val="20"/>
          <w:szCs w:val="20"/>
          <w:color w:val="auto"/>
        </w:rPr>
      </w:pPr>
      <w:r>
        <w:rPr>
          <w:rFonts w:ascii="Arial" w:cs="Arial" w:eastAsia="Arial" w:hAnsi="Arial"/>
          <w:sz w:val="14"/>
          <w:szCs w:val="14"/>
          <w:b w:val="1"/>
          <w:bCs w:val="1"/>
          <w:color w:val="auto"/>
        </w:rPr>
        <w:t>Carolina</w:t>
      </w:r>
    </w:p>
    <w:p>
      <w:pPr>
        <w:spacing w:after="0" w:line="92" w:lineRule="exact"/>
        <w:rPr>
          <w:sz w:val="24"/>
          <w:szCs w:val="24"/>
          <w:color w:val="auto"/>
        </w:rPr>
      </w:pPr>
    </w:p>
    <w:p>
      <w:pPr>
        <w:ind w:left="24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33" w:lineRule="exact"/>
        <w:rPr>
          <w:sz w:val="24"/>
          <w:szCs w:val="24"/>
          <w:color w:val="auto"/>
        </w:rPr>
      </w:pPr>
    </w:p>
    <w:tbl>
      <w:tblPr>
        <w:tblLayout w:type="fixed"/>
        <w:tblInd w:w="112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1"/>
              </w:rPr>
              <w:t>(980) 365-7100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40" w:type="dxa"/>
            <w:vAlign w:val="bottom"/>
            <w:gridSpan w:val="4"/>
          </w:tcPr>
          <w:p>
            <w:pPr>
              <w:jc w:val="center"/>
              <w:ind w:left="758"/>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0" w:type="dxa"/>
            <w:vAlign w:val="bottom"/>
          </w:tcPr>
          <w:p>
            <w:pPr>
              <w:spacing w:after="0"/>
              <w:rPr>
                <w:sz w:val="1"/>
                <w:szCs w:val="1"/>
                <w:color w:val="auto"/>
              </w:rPr>
            </w:pPr>
          </w:p>
        </w:tc>
      </w:tr>
      <w:tr>
        <w:trPr>
          <w:trHeight w:val="335"/>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Arial" w:cs="Arial" w:eastAsia="Arial" w:hAnsi="Arial"/>
                <w:sz w:val="12"/>
                <w:szCs w:val="12"/>
                <w:color w:val="auto"/>
                <w:w w:val="91"/>
              </w:rPr>
              <w:t>Title of each class</w:t>
            </w:r>
          </w:p>
        </w:tc>
        <w:tc>
          <w:tcPr>
            <w:tcW w:w="2060" w:type="dxa"/>
            <w:vAlign w:val="bottom"/>
            <w:gridSpan w:val="3"/>
          </w:tcPr>
          <w:p>
            <w:pPr>
              <w:jc w:val="center"/>
              <w:ind w:right="60"/>
              <w:spacing w:after="0"/>
              <w:rPr>
                <w:sz w:val="20"/>
                <w:szCs w:val="20"/>
                <w:color w:val="auto"/>
              </w:rPr>
            </w:pPr>
            <w:r>
              <w:rPr>
                <w:rFonts w:ascii="Arial" w:cs="Arial" w:eastAsia="Arial" w:hAnsi="Arial"/>
                <w:sz w:val="12"/>
                <w:szCs w:val="12"/>
                <w:color w:val="auto"/>
                <w:w w:val="95"/>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w:t>
            </w:r>
          </w:p>
        </w:tc>
        <w:tc>
          <w:tcPr>
            <w:tcW w:w="0" w:type="dxa"/>
            <w:vAlign w:val="bottom"/>
          </w:tcPr>
          <w:p>
            <w:pPr>
              <w:spacing w:after="0"/>
              <w:rPr>
                <w:sz w:val="1"/>
                <w:szCs w:val="1"/>
                <w:color w:val="auto"/>
              </w:rPr>
            </w:pPr>
          </w:p>
        </w:tc>
      </w:tr>
      <w:tr>
        <w:trPr>
          <w:trHeight w:val="150"/>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w w:val="96"/>
              </w:rPr>
              <w:t>BHFAP</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6.600% Non-Cumulative Preferred Stock, Series A</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rPr>
              <w:t>BHFAO</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6.750% Non-Cumulative Preferred Stock, Series B</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w w:val="99"/>
              </w:rPr>
              <w:t>BHFAN</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5.375% Non-Cumulative Preferred Stock, Series C</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540" w:type="dxa"/>
            <w:vAlign w:val="bottom"/>
          </w:tcPr>
          <w:p>
            <w:pPr>
              <w:spacing w:after="0"/>
              <w:rPr>
                <w:sz w:val="15"/>
                <w:szCs w:val="15"/>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81-3846992</w:t>
      </w:r>
    </w:p>
    <w:p>
      <w:pPr>
        <w:spacing w:after="0" w:line="42" w:lineRule="exact"/>
        <w:rPr>
          <w:sz w:val="24"/>
          <w:szCs w:val="24"/>
          <w:color w:val="auto"/>
        </w:rPr>
      </w:pPr>
    </w:p>
    <w:p>
      <w:pPr>
        <w:jc w:val="center"/>
        <w:ind w:right="1900"/>
        <w:spacing w:after="0"/>
        <w:rPr>
          <w:sz w:val="20"/>
          <w:szCs w:val="20"/>
          <w:color w:val="auto"/>
        </w:rPr>
      </w:pPr>
      <w:r>
        <w:rPr>
          <w:rFonts w:ascii="Arial" w:cs="Arial" w:eastAsia="Arial" w:hAnsi="Arial"/>
          <w:sz w:val="13"/>
          <w:szCs w:val="13"/>
          <w:i w:val="1"/>
          <w:iCs w:val="1"/>
          <w:color w:val="auto"/>
        </w:rPr>
        <w:t>(I.R.S. Employer Identification No.)</w:t>
      </w:r>
    </w:p>
    <w:p>
      <w:pPr>
        <w:spacing w:after="0" w:line="257"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28277</w:t>
      </w:r>
    </w:p>
    <w:p>
      <w:pPr>
        <w:spacing w:after="0" w:line="174" w:lineRule="exact"/>
        <w:rPr>
          <w:sz w:val="24"/>
          <w:szCs w:val="24"/>
          <w:color w:val="auto"/>
        </w:rPr>
      </w:pPr>
    </w:p>
    <w:p>
      <w:pPr>
        <w:ind w:left="70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280"/>
        <w:spacing w:after="0"/>
        <w:rPr>
          <w:sz w:val="20"/>
          <w:szCs w:val="20"/>
          <w:color w:val="auto"/>
        </w:rPr>
      </w:pPr>
      <w:r>
        <w:rPr>
          <w:rFonts w:ascii="Arial" w:cs="Arial" w:eastAsia="Arial" w:hAnsi="Arial"/>
          <w:sz w:val="11"/>
          <w:szCs w:val="11"/>
          <w:u w:val="single" w:color="auto"/>
          <w:color w:val="auto"/>
        </w:rPr>
        <w:t>Name of each exchange on which registered</w:t>
      </w:r>
    </w:p>
    <w:p>
      <w:pPr>
        <w:spacing w:after="0" w:line="82" w:lineRule="exact"/>
        <w:rPr>
          <w:sz w:val="24"/>
          <w:szCs w:val="24"/>
          <w:color w:val="auto"/>
        </w:rPr>
      </w:pPr>
    </w:p>
    <w:p>
      <w:pPr>
        <w:jc w:val="center"/>
        <w:ind w:right="1280"/>
        <w:spacing w:after="0"/>
        <w:rPr>
          <w:sz w:val="20"/>
          <w:szCs w:val="20"/>
          <w:color w:val="auto"/>
        </w:rPr>
      </w:pPr>
      <w:r>
        <w:rPr>
          <w:rFonts w:ascii="Arial" w:cs="Arial" w:eastAsia="Arial" w:hAnsi="Arial"/>
          <w:sz w:val="12"/>
          <w:szCs w:val="12"/>
          <w:b w:val="1"/>
          <w:bCs w:val="1"/>
          <w:color w:val="auto"/>
        </w:rPr>
        <w:t>The Nasdaq Stock Market LLC</w:t>
      </w:r>
    </w:p>
    <w:p>
      <w:pPr>
        <w:spacing w:after="0" w:line="101"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14"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210" w:lineRule="exact"/>
        <w:rPr>
          <w:sz w:val="24"/>
          <w:szCs w:val="24"/>
          <w:color w:val="auto"/>
        </w:rPr>
      </w:pPr>
    </w:p>
    <w:p>
      <w:pPr>
        <w:sectPr>
          <w:pgSz w:w="11900" w:h="16838" w:orient="portrait"/>
          <w:cols w:equalWidth="0" w:num="2">
            <w:col w:w="7260" w:space="60"/>
            <w:col w:w="3920"/>
          </w:cols>
          <w:pgMar w:left="320" w:top="1393" w:right="339" w:bottom="1440" w:gutter="0" w:footer="0" w:header="0"/>
          <w:type w:val="continuous"/>
        </w:sect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100" w:type="dxa"/>
        <w:tblCellMar>
          <w:top w:w="0" w:type="dxa"/>
          <w:left w:w="0" w:type="dxa"/>
          <w:bottom w:w="0" w:type="dxa"/>
          <w:right w:w="0" w:type="dxa"/>
        </w:tblCellMar>
      </w:tblPr>
      <w:tr>
        <w:trPr>
          <w:trHeight w:val="365"/>
        </w:trPr>
        <w:tc>
          <w:tcPr>
            <w:tcW w:w="1180" w:type="dxa"/>
            <w:vAlign w:val="bottom"/>
          </w:tcPr>
          <w:p>
            <w:pPr>
              <w:spacing w:after="0"/>
              <w:rPr>
                <w:sz w:val="20"/>
                <w:szCs w:val="20"/>
                <w:color w:val="auto"/>
              </w:rPr>
            </w:pPr>
            <w:r>
              <w:rPr>
                <w:rFonts w:ascii="Arial" w:cs="Arial" w:eastAsia="Arial" w:hAnsi="Arial"/>
                <w:sz w:val="12"/>
                <w:szCs w:val="12"/>
                <w:color w:val="auto"/>
                <w:w w:val="97"/>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line="276"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24"/>
                <w:szCs w:val="24"/>
                <w:color w:val="auto"/>
                <w:vertAlign w:val="subscript"/>
              </w:rPr>
              <w:t>☐</w:t>
            </w:r>
          </w:p>
        </w:tc>
        <w:tc>
          <w:tcPr>
            <w:tcW w:w="240" w:type="dxa"/>
            <w:vAlign w:val="bottom"/>
          </w:tcPr>
          <w:p>
            <w:pPr>
              <w:spacing w:after="0"/>
              <w:rPr>
                <w:sz w:val="24"/>
                <w:szCs w:val="24"/>
                <w:color w:val="auto"/>
              </w:rPr>
            </w:pPr>
          </w:p>
        </w:tc>
      </w:tr>
      <w:tr>
        <w:trPr>
          <w:trHeight w:val="251"/>
        </w:trPr>
        <w:tc>
          <w:tcPr>
            <w:tcW w:w="11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40" w:type="dxa"/>
            <w:vAlign w:val="bottom"/>
          </w:tcPr>
          <w:p>
            <w:pPr>
              <w:ind w:left="278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6"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0" w:lineRule="exact"/>
        <w:rPr>
          <w:sz w:val="24"/>
          <w:szCs w:val="24"/>
          <w:color w:val="auto"/>
        </w:rPr>
      </w:pPr>
    </w:p>
    <w:p>
      <w:pPr>
        <w:ind w:right="4860"/>
        <w:spacing w:after="0" w:line="21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As of August 4, 2021, 83,110,216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747395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Arial" w:cs="Arial" w:eastAsia="Arial" w:hAnsi="Arial"/>
          <w:sz w:val="18"/>
          <w:szCs w:val="18"/>
          <w:b w:val="1"/>
          <w:bCs w:val="1"/>
          <w:u w:val="single" w:color="auto"/>
          <w:color w:val="auto"/>
        </w:rPr>
        <w:t>Page</w:t>
      </w:r>
    </w:p>
    <w:p>
      <w:pPr>
        <w:spacing w:after="0" w:line="2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gridSpan w:val="2"/>
          </w:tcPr>
          <w:p>
            <w:pPr>
              <w:ind w:left="100"/>
              <w:spacing w:after="0" w:line="193" w:lineRule="exact"/>
              <w:rPr>
                <w:sz w:val="20"/>
                <w:szCs w:val="20"/>
                <w:color w:val="auto"/>
              </w:rPr>
            </w:pPr>
            <w:r>
              <w:rPr>
                <w:rFonts w:ascii="Arial" w:cs="Arial" w:eastAsia="Arial" w:hAnsi="Arial"/>
                <w:sz w:val="18"/>
                <w:szCs w:val="18"/>
                <w:b w:val="1"/>
                <w:bCs w:val="1"/>
                <w:color w:val="auto"/>
              </w:rPr>
              <w:t>Item 1.</w:t>
            </w:r>
          </w:p>
        </w:tc>
        <w:tc>
          <w:tcPr>
            <w:tcW w:w="9540" w:type="dxa"/>
            <w:vAlign w:val="bottom"/>
            <w:gridSpan w:val="26"/>
          </w:tcPr>
          <w:p>
            <w:pPr>
              <w:spacing w:after="0" w:line="193" w:lineRule="exact"/>
              <w:rPr>
                <w:sz w:val="20"/>
                <w:szCs w:val="20"/>
                <w:color w:val="auto"/>
              </w:rPr>
            </w:pPr>
            <w:r>
              <w:rPr>
                <w:rFonts w:ascii="Arial" w:cs="Arial" w:eastAsia="Arial" w:hAnsi="Arial"/>
                <w:sz w:val="18"/>
                <w:szCs w:val="18"/>
                <w:color w:val="auto"/>
                <w:w w:val="90"/>
              </w:rPr>
              <w:t>Consolidated Financial Statements (at June 30, 2021 (Unaudited) and December 31, 2020 and for the Three Months and Six Months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0" w:type="dxa"/>
            <w:vAlign w:val="bottom"/>
            <w:gridSpan w:val="25"/>
          </w:tcPr>
          <w:p>
            <w:pPr>
              <w:spacing w:after="0"/>
              <w:rPr>
                <w:sz w:val="20"/>
                <w:szCs w:val="20"/>
                <w:color w:val="auto"/>
              </w:rPr>
            </w:pPr>
            <w:r>
              <w:rPr>
                <w:rFonts w:ascii="Arial" w:cs="Arial" w:eastAsia="Arial" w:hAnsi="Arial"/>
                <w:sz w:val="18"/>
                <w:szCs w:val="18"/>
                <w:color w:val="auto"/>
              </w:rPr>
              <w:t>Ended June 30, 2021 and 2020 (Unaudited)):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FF"/>
            </w:tcBorders>
            <w:gridSpan w:val="14"/>
          </w:tcPr>
          <w:p>
            <w:pPr>
              <w:spacing w:after="0" w:line="187"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Interim Condensed Consolidated Balance Sheets</w:t>
              </w:r>
            </w:hyperlink>
          </w:p>
        </w:tc>
        <w:tc>
          <w:tcPr>
            <w:tcW w:w="5940" w:type="dxa"/>
            <w:vAlign w:val="bottom"/>
            <w:gridSpan w:val="11"/>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25"/>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Statements of Operations and Comprehensive Income (Loss)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6"/>
          </w:tcPr>
          <w:p>
            <w:pPr>
              <w:spacing w:after="0" w:line="205"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Interim Condensed Consolidated Statements of Equity</w:t>
              </w:r>
            </w:hyperlink>
          </w:p>
        </w:tc>
        <w:tc>
          <w:tcPr>
            <w:tcW w:w="2820" w:type="dxa"/>
            <w:vAlign w:val="bottom"/>
            <w:tcBorders>
              <w:top w:val="single" w:sz="8" w:color="0000FF"/>
            </w:tcBorders>
            <w:gridSpan w:val="8"/>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7"/>
          </w:tcPr>
          <w:p>
            <w:pPr>
              <w:spacing w:after="0" w:line="205"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Interim Condensed Consolidated Statements of Cash Flows</w:t>
              </w:r>
            </w:hyperlink>
          </w:p>
        </w:tc>
        <w:tc>
          <w:tcPr>
            <w:tcW w:w="51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FF"/>
            </w:tcBorders>
            <w:gridSpan w:val="21"/>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the Interim Condensed Consolidated Financial Statements (Unaudited):</w:t>
              </w:r>
            </w:hyperlink>
          </w:p>
        </w:tc>
        <w:tc>
          <w:tcPr>
            <w:tcW w:w="37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4"/>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Note 1 — Business, Basis of Presentation and Summary of Significant Accounting Policies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11"/>
          </w:tcPr>
          <w:p>
            <w:pPr>
              <w:spacing w:after="0" w:line="205"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Note 2 — Segment Information</w:t>
              </w:r>
            </w:hyperlink>
          </w:p>
        </w:tc>
        <w:tc>
          <w:tcPr>
            <w:tcW w:w="4200" w:type="dxa"/>
            <w:vAlign w:val="bottom"/>
            <w:tcBorders>
              <w:top w:val="single" w:sz="8" w:color="0000FF"/>
            </w:tcBorders>
            <w:gridSpan w:val="11"/>
          </w:tcPr>
          <w:p>
            <w:pPr>
              <w:spacing w:after="0"/>
              <w:rPr>
                <w:sz w:val="17"/>
                <w:szCs w:val="17"/>
                <w:color w:val="auto"/>
              </w:rPr>
            </w:pPr>
          </w:p>
        </w:tc>
        <w:tc>
          <w:tcPr>
            <w:tcW w:w="2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bottom w:val="single" w:sz="8" w:color="0000FF"/>
            </w:tcBorders>
            <w:gridSpan w:val="6"/>
          </w:tcPr>
          <w:p>
            <w:pPr>
              <w:spacing w:after="0" w:line="205" w:lineRule="exact"/>
              <w:rPr>
                <w:rFonts w:ascii="Arial" w:cs="Arial" w:eastAsia="Arial" w:hAnsi="Arial"/>
                <w:sz w:val="18"/>
                <w:szCs w:val="18"/>
                <w:color w:val="0000FF"/>
                <w:w w:val="88"/>
              </w:rPr>
            </w:pPr>
            <w:hyperlink w:anchor="page11">
              <w:r>
                <w:rPr>
                  <w:rFonts w:ascii="Arial" w:cs="Arial" w:eastAsia="Arial" w:hAnsi="Arial"/>
                  <w:sz w:val="18"/>
                  <w:szCs w:val="18"/>
                  <w:color w:val="0000FF"/>
                  <w:w w:val="88"/>
                </w:rPr>
                <w:t>Note 3 — Insurance</w:t>
              </w:r>
            </w:hyperlink>
          </w:p>
        </w:tc>
        <w:tc>
          <w:tcPr>
            <w:tcW w:w="780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1">
              <w:r>
                <w:rPr>
                  <w:rFonts w:ascii="Arial" w:cs="Arial" w:eastAsia="Arial" w:hAnsi="Arial"/>
                  <w:sz w:val="17"/>
                  <w:szCs w:val="17"/>
                  <w:color w:val="0000FF"/>
                  <w:w w:val="73"/>
                </w:rPr>
                <w:t>11</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4"/>
          </w:tcPr>
          <w:p>
            <w:pPr>
              <w:spacing w:after="0" w:line="205" w:lineRule="exact"/>
              <w:rPr>
                <w:rFonts w:ascii="Arial" w:cs="Arial" w:eastAsia="Arial" w:hAnsi="Arial"/>
                <w:sz w:val="18"/>
                <w:szCs w:val="18"/>
                <w:color w:val="0000FF"/>
              </w:rPr>
            </w:pPr>
            <w:hyperlink w:anchor="page13">
              <w:r>
                <w:rPr>
                  <w:rFonts w:ascii="Arial" w:cs="Arial" w:eastAsia="Arial" w:hAnsi="Arial"/>
                  <w:sz w:val="18"/>
                  <w:szCs w:val="18"/>
                  <w:color w:val="0000FF"/>
                </w:rPr>
                <w:t>Note 4 — Investments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rFonts w:ascii="Arial" w:cs="Arial" w:eastAsia="Arial" w:hAnsi="Arial"/>
                <w:sz w:val="18"/>
                <w:szCs w:val="18"/>
                <w:color w:val="0000FF"/>
                <w:w w:val="92"/>
              </w:rPr>
            </w:pPr>
            <w:hyperlink w:anchor="page25">
              <w:r>
                <w:rPr>
                  <w:rFonts w:ascii="Arial" w:cs="Arial" w:eastAsia="Arial" w:hAnsi="Arial"/>
                  <w:sz w:val="18"/>
                  <w:szCs w:val="18"/>
                  <w:color w:val="0000FF"/>
                  <w:w w:val="92"/>
                </w:rPr>
                <w:t>Note 5 — Derivatives</w:t>
              </w:r>
            </w:hyperlink>
          </w:p>
        </w:tc>
        <w:tc>
          <w:tcPr>
            <w:tcW w:w="764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tcBorders>
          </w:tcPr>
          <w:p>
            <w:pPr>
              <w:jc w:val="cente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24</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Note 6 — Fair Value</w:t>
              </w:r>
            </w:hyperlink>
          </w:p>
        </w:tc>
        <w:tc>
          <w:tcPr>
            <w:tcW w:w="80" w:type="dxa"/>
            <w:vAlign w:val="bottom"/>
            <w:tcBorders>
              <w:top w:val="single" w:sz="8" w:color="0000FF"/>
            </w:tcBorders>
          </w:tcPr>
          <w:p>
            <w:pPr>
              <w:spacing w:after="0"/>
              <w:rPr>
                <w:sz w:val="17"/>
                <w:szCs w:val="17"/>
                <w:color w:val="auto"/>
              </w:rPr>
            </w:pPr>
          </w:p>
        </w:tc>
        <w:tc>
          <w:tcPr>
            <w:tcW w:w="768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30</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205"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Note 7 — Equity</w:t>
              </w:r>
            </w:hyperlink>
          </w:p>
        </w:tc>
        <w:tc>
          <w:tcPr>
            <w:tcW w:w="802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FF"/>
            </w:tcBorders>
            <w:gridSpan w:val="14"/>
          </w:tcPr>
          <w:p>
            <w:pPr>
              <w:spacing w:after="0" w:line="205"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Note 8 — Other Revenues and Other Expenses</w:t>
              </w:r>
            </w:hyperlink>
          </w:p>
        </w:tc>
        <w:tc>
          <w:tcPr>
            <w:tcW w:w="59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42</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4"/>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Note 9 — Earnings Per Common Share</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205"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Note 10 — Contingencies, Commitments and Guarantees</w:t>
              </w:r>
            </w:hyperlink>
          </w:p>
        </w:tc>
        <w:tc>
          <w:tcPr>
            <w:tcW w:w="51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4">
              <w:r>
                <w:rPr>
                  <w:rFonts w:ascii="Arial" w:cs="Arial" w:eastAsia="Arial" w:hAnsi="Arial"/>
                  <w:sz w:val="17"/>
                  <w:szCs w:val="17"/>
                  <w:color w:val="0000FF"/>
                  <w:w w:val="73"/>
                </w:rPr>
                <w:t>44</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4"/>
          </w:tcPr>
          <w:p>
            <w:pPr>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Note 11 — Subsequent Events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6700" w:type="dxa"/>
            <w:vAlign w:val="bottom"/>
            <w:tcBorders>
              <w:bottom w:val="single" w:sz="8" w:color="0000FF"/>
            </w:tcBorders>
            <w:gridSpan w:val="23"/>
          </w:tcPr>
          <w:p>
            <w:pPr>
              <w:spacing w:after="0" w:line="205" w:lineRule="exact"/>
              <w:rPr>
                <w:rFonts w:ascii="Arial" w:cs="Arial" w:eastAsia="Arial" w:hAnsi="Arial"/>
                <w:sz w:val="18"/>
                <w:szCs w:val="18"/>
                <w:b w:val="1"/>
                <w:bCs w:val="1"/>
                <w:color w:val="0000FF"/>
                <w:w w:val="87"/>
              </w:rPr>
            </w:pPr>
            <w:hyperlink w:anchor="page48">
              <w:r>
                <w:rPr>
                  <w:rFonts w:ascii="Arial" w:cs="Arial" w:eastAsia="Arial" w:hAnsi="Arial"/>
                  <w:sz w:val="18"/>
                  <w:szCs w:val="18"/>
                  <w:b w:val="1"/>
                  <w:bCs w:val="1"/>
                  <w:color w:val="0000FF"/>
                  <w:w w:val="87"/>
                </w:rPr>
                <w:t>Management’s Discussion and Analysis of Financial Condition and Results of Operations</w:t>
              </w:r>
            </w:hyperlink>
          </w:p>
        </w:tc>
        <w:tc>
          <w:tcPr>
            <w:tcW w:w="28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48</w:t>
              </w:r>
            </w:hyperlink>
          </w:p>
        </w:tc>
        <w:tc>
          <w:tcPr>
            <w:tcW w:w="2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3.</w:t>
            </w:r>
          </w:p>
        </w:tc>
        <w:tc>
          <w:tcPr>
            <w:tcW w:w="9540" w:type="dxa"/>
            <w:vAlign w:val="bottom"/>
            <w:gridSpan w:val="26"/>
          </w:tcPr>
          <w:p>
            <w:pPr>
              <w:spacing w:after="0" w:line="205"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Quantitative and Qualitative Disclosures About Market Risk</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4.</w:t>
            </w:r>
          </w:p>
        </w:tc>
        <w:tc>
          <w:tcPr>
            <w:tcW w:w="4560" w:type="dxa"/>
            <w:vAlign w:val="bottom"/>
            <w:tcBorders>
              <w:top w:val="single" w:sz="8" w:color="0000FF"/>
            </w:tcBorders>
            <w:gridSpan w:val="21"/>
          </w:tcPr>
          <w:p>
            <w:pPr>
              <w:spacing w:after="0" w:line="185"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Controls and Procedures</w:t>
              </w:r>
            </w:hyperlink>
          </w:p>
        </w:tc>
        <w:tc>
          <w:tcPr>
            <w:tcW w:w="4980" w:type="dxa"/>
            <w:vAlign w:val="bottom"/>
            <w:gridSpan w:val="5"/>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92">
              <w:r>
                <w:rPr>
                  <w:rFonts w:ascii="Arial" w:cs="Arial" w:eastAsia="Arial" w:hAnsi="Arial"/>
                  <w:sz w:val="17"/>
                  <w:szCs w:val="17"/>
                  <w:color w:val="0000FF"/>
                  <w:w w:val="73"/>
                </w:rPr>
                <w:t>91</w:t>
              </w:r>
            </w:hyperlink>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640" w:type="dxa"/>
            <w:vAlign w:val="bottom"/>
            <w:gridSpan w:val="28"/>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Part II — Other Information</w:t>
              </w:r>
            </w:hyperlink>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14"/>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1.</w:t>
            </w:r>
          </w:p>
        </w:tc>
        <w:tc>
          <w:tcPr>
            <w:tcW w:w="9540" w:type="dxa"/>
            <w:vAlign w:val="bottom"/>
            <w:gridSpan w:val="26"/>
          </w:tcPr>
          <w:p>
            <w:pPr>
              <w:spacing w:after="0" w:line="205" w:lineRule="exact"/>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Legal Proceedings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93</w:t>
              </w:r>
            </w:hyperlink>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FF"/>
            </w:tcBorders>
            <w:gridSpan w:val="6"/>
          </w:tcPr>
          <w:p>
            <w:pPr>
              <w:spacing w:after="0" w:line="185" w:lineRule="exact"/>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Risk Factors</w:t>
              </w:r>
            </w:hyperlink>
          </w:p>
        </w:tc>
        <w:tc>
          <w:tcPr>
            <w:tcW w:w="8180" w:type="dxa"/>
            <w:vAlign w:val="bottom"/>
            <w:gridSpan w:val="20"/>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94">
              <w:r>
                <w:rPr>
                  <w:rFonts w:ascii="Arial" w:cs="Arial" w:eastAsia="Arial" w:hAnsi="Arial"/>
                  <w:sz w:val="17"/>
                  <w:szCs w:val="17"/>
                  <w:color w:val="0000FF"/>
                  <w:w w:val="73"/>
                </w:rPr>
                <w:t>93</w:t>
              </w:r>
            </w:hyperlink>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540" w:type="dxa"/>
            <w:vAlign w:val="bottom"/>
            <w:gridSpan w:val="16"/>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4480" w:type="dxa"/>
            <w:vAlign w:val="bottom"/>
            <w:tcBorders>
              <w:bottom w:val="single" w:sz="8" w:color="0000FF"/>
            </w:tcBorders>
            <w:gridSpan w:val="20"/>
          </w:tcPr>
          <w:p>
            <w:pPr>
              <w:spacing w:after="0" w:line="205" w:lineRule="exact"/>
              <w:rPr>
                <w:rFonts w:ascii="Arial" w:cs="Arial" w:eastAsia="Arial" w:hAnsi="Arial"/>
                <w:sz w:val="18"/>
                <w:szCs w:val="18"/>
                <w:b w:val="1"/>
                <w:bCs w:val="1"/>
                <w:color w:val="0000FF"/>
                <w:w w:val="85"/>
              </w:rPr>
            </w:pPr>
            <w:hyperlink w:anchor="page94">
              <w:r>
                <w:rPr>
                  <w:rFonts w:ascii="Arial" w:cs="Arial" w:eastAsia="Arial" w:hAnsi="Arial"/>
                  <w:sz w:val="18"/>
                  <w:szCs w:val="18"/>
                  <w:b w:val="1"/>
                  <w:bCs w:val="1"/>
                  <w:color w:val="0000FF"/>
                  <w:w w:val="85"/>
                </w:rPr>
                <w:t>Unregistered Sales of Equity Securities and Use of Proceeds</w:t>
              </w:r>
            </w:hyperlink>
          </w:p>
        </w:tc>
        <w:tc>
          <w:tcPr>
            <w:tcW w:w="50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94">
              <w:r>
                <w:rPr>
                  <w:rFonts w:ascii="Arial" w:cs="Arial" w:eastAsia="Arial" w:hAnsi="Arial"/>
                  <w:sz w:val="17"/>
                  <w:szCs w:val="17"/>
                  <w:color w:val="0000FF"/>
                  <w:w w:val="73"/>
                </w:rPr>
                <w:t>93</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FF"/>
            </w:tcBorders>
            <w:gridSpan w:val="3"/>
          </w:tcPr>
          <w:p>
            <w:pPr>
              <w:spacing w:after="0" w:line="205" w:lineRule="exact"/>
              <w:rPr>
                <w:rFonts w:ascii="Arial" w:cs="Arial" w:eastAsia="Arial" w:hAnsi="Arial"/>
                <w:sz w:val="18"/>
                <w:szCs w:val="18"/>
                <w:b w:val="1"/>
                <w:bCs w:val="1"/>
                <w:color w:val="0000FF"/>
                <w:w w:val="85"/>
              </w:rPr>
            </w:pPr>
            <w:hyperlink w:anchor="page94">
              <w:r>
                <w:rPr>
                  <w:rFonts w:ascii="Arial" w:cs="Arial" w:eastAsia="Arial" w:hAnsi="Arial"/>
                  <w:sz w:val="18"/>
                  <w:szCs w:val="18"/>
                  <w:b w:val="1"/>
                  <w:bCs w:val="1"/>
                  <w:color w:val="0000FF"/>
                  <w:w w:val="85"/>
                </w:rPr>
                <w:t>Exhibits</w:t>
              </w:r>
            </w:hyperlink>
          </w:p>
        </w:tc>
        <w:tc>
          <w:tcPr>
            <w:tcW w:w="892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94">
              <w:r>
                <w:rPr>
                  <w:rFonts w:ascii="Arial" w:cs="Arial" w:eastAsia="Arial" w:hAnsi="Arial"/>
                  <w:sz w:val="17"/>
                  <w:szCs w:val="17"/>
                  <w:color w:val="0000FF"/>
                  <w:w w:val="73"/>
                </w:rPr>
                <w:t>94</w:t>
              </w:r>
            </w:hyperlink>
          </w:p>
        </w:tc>
        <w:tc>
          <w:tcPr>
            <w:tcW w:w="22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Signature</w:t>
              </w:r>
            </w:hyperlink>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60" w:type="dxa"/>
            <w:vAlign w:val="bottom"/>
            <w:gridSpan w:val="2"/>
          </w:tcPr>
          <w:p>
            <w:pPr>
              <w:jc w:val="center"/>
              <w:ind w:left="92"/>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95</w:t>
              </w:r>
            </w:hyperlink>
          </w:p>
        </w:tc>
        <w:tc>
          <w:tcPr>
            <w:tcW w:w="220" w:type="dxa"/>
            <w:vAlign w:val="bottom"/>
          </w:tcPr>
          <w:p>
            <w:pPr>
              <w:spacing w:after="0"/>
              <w:rPr>
                <w:sz w:val="22"/>
                <w:szCs w:val="22"/>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 (Unaudited) and December 31, 2020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420" w:type="dxa"/>
            <w:vAlign w:val="bottom"/>
          </w:tcPr>
          <w:p>
            <w:pPr>
              <w:jc w:val="right"/>
              <w:ind w:right="12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Fixed maturity securities available-for-sale, at estimated fair value (amortized cost: $75,454 and $70,529, respectively; allowance for</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84,785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185"/>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losses of $9 and $2, respectively)</w:t>
            </w:r>
          </w:p>
        </w:tc>
        <w:tc>
          <w:tcPr>
            <w:tcW w:w="24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$97 and $94, respectively)</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76"/>
        </w:trPr>
        <w:tc>
          <w:tcPr>
            <w:tcW w:w="800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110,565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109,531</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assets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253,856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43,427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44,448</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54,508</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3,411</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liabilities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18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237,676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229,781</w:t>
            </w:r>
          </w:p>
        </w:tc>
        <w:tc>
          <w:tcPr>
            <w:tcW w:w="0" w:type="dxa"/>
            <w:vAlign w:val="bottom"/>
          </w:tcPr>
          <w:p>
            <w:pPr>
              <w:spacing w:after="0"/>
              <w:rPr>
                <w:sz w:val="1"/>
                <w:szCs w:val="1"/>
                <w:color w:val="auto"/>
              </w:rPr>
            </w:pPr>
          </w:p>
        </w:tc>
      </w:tr>
      <w:tr>
        <w:trPr>
          <w:trHeight w:val="165"/>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10)</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$1,403 aggregate liquidation preference</w:t>
            </w: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8000" w:type="dxa"/>
            <w:vAlign w:val="bottom"/>
          </w:tcPr>
          <w:p>
            <w:pPr>
              <w:ind w:left="20"/>
              <w:spacing w:after="0" w:line="133" w:lineRule="exact"/>
              <w:rPr>
                <w:sz w:val="20"/>
                <w:szCs w:val="20"/>
                <w:color w:val="auto"/>
              </w:rPr>
            </w:pPr>
            <w:r>
              <w:rPr>
                <w:rFonts w:ascii="Arial" w:cs="Arial" w:eastAsia="Arial" w:hAnsi="Arial"/>
                <w:sz w:val="14"/>
                <w:szCs w:val="14"/>
                <w:color w:val="auto"/>
                <w:w w:val="94"/>
              </w:rPr>
              <w:t>Common stock, par value $0.01 per share; 1,000,000,000 shares authorized; 121,475,669 and 121,002,523 shares issued, respectively;</w:t>
            </w:r>
          </w:p>
        </w:tc>
        <w:tc>
          <w:tcPr>
            <w:tcW w:w="2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00" w:type="dxa"/>
            <w:vAlign w:val="bottom"/>
          </w:tcPr>
          <w:p>
            <w:pPr>
              <w:ind w:left="180"/>
              <w:spacing w:after="0"/>
              <w:rPr>
                <w:sz w:val="20"/>
                <w:szCs w:val="20"/>
                <w:color w:val="auto"/>
              </w:rPr>
            </w:pPr>
            <w:r>
              <w:rPr>
                <w:rFonts w:ascii="Arial" w:cs="Arial" w:eastAsia="Arial" w:hAnsi="Arial"/>
                <w:sz w:val="14"/>
                <w:szCs w:val="14"/>
                <w:color w:val="auto"/>
              </w:rPr>
              <w:t>84,223,669 and 88,211,618 shares outstanding, respectively</w:t>
            </w:r>
          </w:p>
        </w:tc>
        <w:tc>
          <w:tcPr>
            <w:tcW w:w="2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37,252,000 and 32,790,905 shares, respectively</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253,856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2021 and 2020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Premiums</w:t>
            </w:r>
          </w:p>
        </w:tc>
        <w:tc>
          <w:tcPr>
            <w:tcW w:w="2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40" w:type="dxa"/>
            <w:vAlign w:val="bottom"/>
          </w:tcPr>
          <w:p>
            <w:pPr>
              <w:spacing w:after="0"/>
              <w:rPr>
                <w:sz w:val="18"/>
                <w:szCs w:val="18"/>
                <w:color w:val="auto"/>
              </w:rPr>
            </w:pPr>
          </w:p>
        </w:tc>
        <w:tc>
          <w:tcPr>
            <w:tcW w:w="340" w:type="dxa"/>
            <w:vAlign w:val="bottom"/>
            <w:gridSpan w:val="3"/>
          </w:tcPr>
          <w:p>
            <w:pPr>
              <w:jc w:val="right"/>
              <w:ind w:right="86"/>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(531)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0"/>
              <w:spacing w:after="0"/>
              <w:rPr>
                <w:sz w:val="20"/>
                <w:szCs w:val="20"/>
                <w:color w:val="auto"/>
              </w:rPr>
            </w:pPr>
            <w:r>
              <w:rPr>
                <w:rFonts w:ascii="Arial" w:cs="Arial" w:eastAsia="Arial" w:hAnsi="Arial"/>
                <w:sz w:val="16"/>
                <w:szCs w:val="16"/>
                <w:color w:val="auto"/>
              </w:rPr>
              <w:t>Comprehensive income (loss)</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vMerge w:val="continue"/>
          </w:tcPr>
          <w:p>
            <w:pPr>
              <w:spacing w:after="0"/>
              <w:rPr>
                <w:sz w:val="15"/>
                <w:szCs w:val="15"/>
                <w:color w:val="auto"/>
              </w:rPr>
            </w:pPr>
          </w:p>
        </w:tc>
        <w:tc>
          <w:tcPr>
            <w:tcW w:w="220" w:type="dxa"/>
            <w:vAlign w:val="bottom"/>
            <w:gridSpan w:val="2"/>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1,238</w:t>
            </w:r>
          </w:p>
        </w:tc>
        <w:tc>
          <w:tcPr>
            <w:tcW w:w="40" w:type="dxa"/>
            <w:vAlign w:val="bottom"/>
          </w:tcPr>
          <w:p>
            <w:pPr>
              <w:spacing w:after="0"/>
              <w:rPr>
                <w:sz w:val="15"/>
                <w:szCs w:val="15"/>
                <w:color w:val="auto"/>
              </w:rPr>
            </w:pPr>
          </w:p>
        </w:tc>
        <w:tc>
          <w:tcPr>
            <w:tcW w:w="340" w:type="dxa"/>
            <w:vAlign w:val="bottom"/>
            <w:gridSpan w:val="3"/>
          </w:tcPr>
          <w:p>
            <w:pPr>
              <w:jc w:val="right"/>
              <w:ind w:right="86"/>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327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(1,672)</w:t>
            </w:r>
          </w:p>
        </w:tc>
        <w:tc>
          <w:tcPr>
            <w:tcW w:w="100" w:type="dxa"/>
            <w:vAlign w:val="bottom"/>
          </w:tcPr>
          <w:p>
            <w:pPr>
              <w:spacing w:after="0"/>
              <w:rPr>
                <w:sz w:val="15"/>
                <w:szCs w:val="15"/>
                <w:color w:val="auto"/>
              </w:rPr>
            </w:pPr>
          </w:p>
        </w:tc>
        <w:tc>
          <w:tcPr>
            <w:tcW w:w="240" w:type="dxa"/>
            <w:vAlign w:val="bottom"/>
          </w:tcPr>
          <w:p>
            <w:pPr>
              <w:jc w:val="right"/>
              <w:ind w:right="6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4,693</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48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2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1,238</w:t>
            </w:r>
          </w:p>
        </w:tc>
        <w:tc>
          <w:tcPr>
            <w:tcW w:w="40" w:type="dxa"/>
            <w:vAlign w:val="bottom"/>
          </w:tcPr>
          <w:p>
            <w:pPr>
              <w:spacing w:after="0"/>
              <w:rPr>
                <w:sz w:val="18"/>
                <w:szCs w:val="18"/>
                <w:color w:val="auto"/>
              </w:rPr>
            </w:pPr>
          </w:p>
        </w:tc>
        <w:tc>
          <w:tcPr>
            <w:tcW w:w="340" w:type="dxa"/>
            <w:vAlign w:val="bottom"/>
            <w:gridSpan w:val="3"/>
          </w:tcPr>
          <w:p>
            <w:pPr>
              <w:jc w:val="right"/>
              <w:ind w:right="86"/>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Basic</w:t>
            </w:r>
          </w:p>
        </w:tc>
        <w:tc>
          <w:tcPr>
            <w:tcW w:w="220" w:type="dxa"/>
            <w:vAlign w:val="bottom"/>
            <w:gridSpan w:val="2"/>
          </w:tcPr>
          <w:p>
            <w:pPr>
              <w:jc w:val="right"/>
              <w:ind w:right="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0.12</w:t>
            </w:r>
          </w:p>
        </w:tc>
        <w:tc>
          <w:tcPr>
            <w:tcW w:w="40" w:type="dxa"/>
            <w:vAlign w:val="bottom"/>
          </w:tcPr>
          <w:p>
            <w:pPr>
              <w:spacing w:after="0"/>
              <w:rPr>
                <w:sz w:val="18"/>
                <w:szCs w:val="18"/>
                <w:color w:val="auto"/>
              </w:rPr>
            </w:pPr>
          </w:p>
        </w:tc>
        <w:tc>
          <w:tcPr>
            <w:tcW w:w="340" w:type="dxa"/>
            <w:vAlign w:val="bottom"/>
            <w:gridSpan w:val="3"/>
          </w:tcPr>
          <w:p>
            <w:pPr>
              <w:jc w:val="right"/>
              <w:ind w:right="106"/>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2021 and 2020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7"/>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Paid-in 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5,716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18,023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Balance at March 31,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13,858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16,115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16,180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3"/>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2019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12,908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ind w:left="20"/>
              <w:spacing w:after="0" w:line="120" w:lineRule="exact"/>
              <w:rPr>
                <w:sz w:val="20"/>
                <w:szCs w:val="20"/>
                <w:color w:val="auto"/>
              </w:rPr>
            </w:pPr>
            <w:r>
              <w:rPr>
                <w:rFonts w:ascii="Arial" w:cs="Arial" w:eastAsia="Arial" w:hAnsi="Arial"/>
                <w:sz w:val="12"/>
                <w:szCs w:val="12"/>
                <w:color w:val="auto"/>
              </w:rPr>
              <w:t>Cumulative effect of change in accounting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principle, net of income tax</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January 1, 2020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ind w:left="20"/>
              <w:spacing w:after="0" w:line="120"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4,957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Balance at March 31, 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20,374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 issuance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ind w:left="20"/>
              <w:spacing w:after="0" w:line="120"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(180)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(1,991)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Balance at June 30, 2020</w:t>
            </w: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4,965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2021 and 2020 (Unaudited)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2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24"/>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r>
      <w:tr>
        <w:trPr>
          <w:trHeight w:val="16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repayments of:</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8260" w:type="dxa"/>
            <w:vAlign w:val="bottom"/>
          </w:tcPr>
          <w:p>
            <w:pPr>
              <w:ind w:left="140"/>
              <w:spacing w:after="0"/>
              <w:rPr>
                <w:sz w:val="20"/>
                <w:szCs w:val="20"/>
                <w:color w:val="auto"/>
              </w:rPr>
            </w:pPr>
            <w:r>
              <w:rPr>
                <w:rFonts w:ascii="Arial" w:cs="Arial" w:eastAsia="Arial" w:hAnsi="Arial"/>
                <w:sz w:val="14"/>
                <w:szCs w:val="14"/>
                <w:color w:val="auto"/>
              </w:rPr>
              <w:t>Fixed maturity securities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3,729</w:t>
            </w:r>
          </w:p>
        </w:tc>
      </w:tr>
      <w:tr>
        <w:trPr>
          <w:trHeight w:val="188"/>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3"/>
        </w:trPr>
        <w:tc>
          <w:tcPr>
            <w:tcW w:w="8260" w:type="dxa"/>
            <w:vAlign w:val="bottom"/>
          </w:tcPr>
          <w:p>
            <w:pPr>
              <w:ind w:left="140"/>
              <w:spacing w:after="0"/>
              <w:rPr>
                <w:sz w:val="20"/>
                <w:szCs w:val="20"/>
                <w:color w:val="auto"/>
              </w:rPr>
            </w:pPr>
            <w:r>
              <w:rPr>
                <w:rFonts w:ascii="Arial" w:cs="Arial" w:eastAsia="Arial" w:hAnsi="Arial"/>
                <w:sz w:val="14"/>
                <w:szCs w:val="14"/>
                <w:color w:val="auto"/>
              </w:rPr>
              <w:t>Mortgage loans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188"/>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Purchases of:</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maturity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w:t>
            </w:r>
          </w:p>
        </w:tc>
      </w:tr>
      <w:tr>
        <w:trPr>
          <w:trHeight w:val="183"/>
        </w:trPr>
        <w:tc>
          <w:tcPr>
            <w:tcW w:w="8260" w:type="dxa"/>
            <w:vAlign w:val="bottom"/>
          </w:tcPr>
          <w:p>
            <w:pPr>
              <w:ind w:left="140"/>
              <w:spacing w:after="0"/>
              <w:rPr>
                <w:sz w:val="20"/>
                <w:szCs w:val="20"/>
                <w:color w:val="auto"/>
              </w:rPr>
            </w:pPr>
            <w:r>
              <w:rPr>
                <w:rFonts w:ascii="Arial" w:cs="Arial" w:eastAsia="Arial" w:hAnsi="Arial"/>
                <w:sz w:val="14"/>
                <w:szCs w:val="14"/>
                <w:color w:val="auto"/>
              </w:rPr>
              <w:t>Equity securities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183"/>
        </w:trPr>
        <w:tc>
          <w:tcPr>
            <w:tcW w:w="8260" w:type="dxa"/>
            <w:vAlign w:val="bottom"/>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in connection with freestanding derivatives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Cash paid in connection with freestanding derivatives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(2,138)</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policy loans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Net change in short-term investments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(2,565)</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other invested assets</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w:t>
            </w:r>
          </w:p>
        </w:tc>
      </w:tr>
      <w:tr>
        <w:trPr>
          <w:trHeight w:val="16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w:t>
            </w:r>
          </w:p>
        </w:tc>
      </w:tr>
      <w:tr>
        <w:trPr>
          <w:trHeight w:val="183"/>
        </w:trPr>
        <w:tc>
          <w:tcPr>
            <w:tcW w:w="8260" w:type="dxa"/>
            <w:vAlign w:val="bottom"/>
          </w:tcPr>
          <w:p>
            <w:pPr>
              <w:ind w:left="140"/>
              <w:spacing w:after="0"/>
              <w:rPr>
                <w:sz w:val="20"/>
                <w:szCs w:val="20"/>
                <w:color w:val="auto"/>
              </w:rPr>
            </w:pPr>
            <w:r>
              <w:rPr>
                <w:rFonts w:ascii="Arial" w:cs="Arial" w:eastAsia="Arial" w:hAnsi="Arial"/>
                <w:sz w:val="14"/>
                <w:szCs w:val="14"/>
                <w:color w:val="auto"/>
              </w:rPr>
              <w:t>Withdrawals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(1,153)</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3,485</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Long-term debt issued</w:t>
            </w:r>
          </w:p>
        </w:tc>
        <w:tc>
          <w:tcPr>
            <w:tcW w:w="9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repaid</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Preferred stock issued, net of issuance costs</w:t>
            </w:r>
          </w:p>
        </w:tc>
        <w:tc>
          <w:tcPr>
            <w:tcW w:w="9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Treasury stock acquired in connection with share repurchases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(322)</w:t>
            </w: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8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5,117</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6,106</w:t>
            </w:r>
          </w:p>
        </w:tc>
      </w:tr>
      <w:tr>
        <w:trPr>
          <w:trHeight w:val="176"/>
        </w:trPr>
        <w:tc>
          <w:tcPr>
            <w:tcW w:w="826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4,448</w:t>
            </w:r>
          </w:p>
        </w:tc>
      </w:tr>
      <w:tr>
        <w:trPr>
          <w:trHeight w:val="18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w:t>
            </w: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2"/>
        </w:trPr>
        <w:tc>
          <w:tcPr>
            <w:tcW w:w="82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Net cash paid (received) for:</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3"/>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60" w:type="dxa"/>
            <w:vAlign w:val="bottom"/>
          </w:tcPr>
          <w:p>
            <w:pPr>
              <w:ind w:left="140"/>
              <w:spacing w:after="0" w:line="159" w:lineRule="exact"/>
              <w:rPr>
                <w:sz w:val="20"/>
                <w:szCs w:val="20"/>
                <w:color w:val="auto"/>
              </w:rPr>
            </w:pPr>
            <w:r>
              <w:rPr>
                <w:rFonts w:ascii="Arial" w:cs="Arial" w:eastAsia="Arial" w:hAnsi="Arial"/>
                <w:sz w:val="14"/>
                <w:szCs w:val="14"/>
                <w:color w:val="auto"/>
              </w:rPr>
              <w:t>Income tax</w:t>
            </w:r>
          </w:p>
        </w:tc>
        <w:tc>
          <w:tcPr>
            <w:tcW w:w="920" w:type="dxa"/>
            <w:vAlign w:val="bottom"/>
            <w:tcBorders>
              <w:bottom w:val="single" w:sz="8" w:color="auto"/>
            </w:tcBorders>
          </w:tcPr>
          <w:p>
            <w:pPr>
              <w:jc w:val="right"/>
              <w:ind w:right="749"/>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312" w:lineRule="auto"/>
        <w:rPr>
          <w:sz w:val="20"/>
          <w:szCs w:val="20"/>
          <w:color w:val="auto"/>
        </w:rPr>
      </w:pPr>
      <w:r>
        <w:rPr>
          <w:rFonts w:ascii="Arial" w:cs="Arial" w:eastAsia="Arial" w:hAnsi="Arial"/>
          <w:sz w:val="15"/>
          <w:szCs w:val="15"/>
          <w:color w:val="auto"/>
        </w:rPr>
        <w:t>“Brighthouse Financial” and the “Company” refer to Brighthouse Financial, Inc. and its subsidiaries. Brighthouse Financial, Inc. (“BHF”)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(“LLCs”) that the Company controls. Intercompany accounts and transactions have been eliminated.</w:t>
      </w:r>
    </w:p>
    <w:p>
      <w:pPr>
        <w:spacing w:after="0" w:line="5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amounts in the prior year periods’ interim condensed consolidated financial statements and related footnotes thereto have been reclassified to conform with the current period presentation as may be discussed when applicable in the Notes to the Interim Condensed Consolidated Financial Statements.</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2020 consolidated balance sheet data was derived from audited consolidated financial statements included in Brighthouse Financial, Inc.’s Annual Report on Form 10-K for the year ended December 31, 2020 (the “2020 Annual Report”), which include all disclosures required by GAAP. Therefore, these interim condensed consolidated financial statements should be read in conjunction with the consolidated financial statements of the Company included in the 2020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ASUs adopted as of June 30,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August 2018, the FASB issued new guidance on long-duration contracts (ASU 2018-12, </w:t>
      </w:r>
      <w:r>
        <w:rPr>
          <w:rFonts w:ascii="Arial" w:cs="Arial" w:eastAsia="Arial" w:hAnsi="Arial"/>
          <w:sz w:val="17"/>
          <w:szCs w:val="17"/>
          <w:i w:val="1"/>
          <w:iCs w:val="1"/>
          <w:color w:val="auto"/>
        </w:rPr>
        <w:t>Financial Services-Insurance (Topic 944):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the Accounting for Long-Duration Contracts)</w:t>
      </w:r>
      <w:r>
        <w:rPr>
          <w:rFonts w:ascii="Arial" w:cs="Arial" w:eastAsia="Arial" w:hAnsi="Arial"/>
          <w:sz w:val="17"/>
          <w:szCs w:val="17"/>
          <w:color w:val="auto"/>
        </w:rPr>
        <w:t>. This new guidance is effective for fiscal years beginning after January 1, 2023.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to Topic 944 will result in significant changes to the accounting for long-duration insurance contracts. These changes (i) require all guarantees that qualify as market risk benefits to be measured at fair value, (ii) require more frequent updating of assumptions and modify existing discount rate requirements for certain insurance liabilities, (iii) modify the methods of amortization for deferred policy acquisition costs (“DAC”), and (iv) require new qualitative and quantitative disclosures around insurance contract asset and liability balances and the judgments, assumptions and methods used to measure those balances. The market risk benefit guidance is required to be applied on a retrospective basis, while the changes to guidance for insurance liabilities and DAC may be applied to existing carrying amounts on the effective date or on a retrospective basis.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continues to evaluate the new guidance and therefore is unable to estimate the impact on its financial statements. The most significant impact from the ASU is the requirement that all variable annuity guarantees will be considered market risk benefits and measured at fair value, whereas currently a significant amount of variable annuity guarantees are classified as insurance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Run-off segment consists of products that are no longer actively sold and are separately managed, including structured settlements, pension risk transfer contracts, certain company-owned life insurance policies, certain funding agreements and universal life with secondary guarantees.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the Company’s institutional spread margin business, as well as direct-to-consumer life insurance that is no longer actively sold.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 Adjusted earnings should not be viewed as a substitute for net income (loss) available to BHF’s common shareholders and excludes net income (loss) attributable to noncontrolling interests and preferred stock dividends.</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tax impact of the adjustments mentioned above is calculated net of the statutory tax rate, which could differ from the Company’s effective tax rate.</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382"/>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502"/>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5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0"/>
              </w:rPr>
              <w:t>Six Months Ended June 30, 2021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0"/>
              </w:rPr>
              <w:t>Six Months Ended June 30, 2020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2020</w:t>
            </w: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Life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8"/>
              </w:rPr>
              <w:t>December 31, 2020</w:t>
            </w:r>
          </w:p>
        </w:tc>
      </w:tr>
      <w:tr>
        <w:trPr>
          <w:trHeight w:val="183"/>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172,233</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Life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23,809</w:t>
            </w:r>
          </w:p>
        </w:tc>
      </w:tr>
      <w:tr>
        <w:trPr>
          <w:trHeight w:val="21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38,366</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13,461</w:t>
            </w:r>
          </w:p>
        </w:tc>
      </w:tr>
      <w:tr>
        <w:trPr>
          <w:trHeight w:val="23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253,856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247,869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discussed in Notes 1 and 3 of the Notes to the Consolidated Financial Statements included in the 2020 Annual Report, the Company issues variable annuity contracts with guaranteed minimum benefits. Guaranteed minimum death benefits, the life contingent portion of guaranteed minimum withdrawal benefits (“GMWB”) and certain portions of GMIBs are accounted for as insurance liabilities in future policyholder benefits, while other guarantees are accounted for in whole or in part as embedded derivatives in policyholder account balances and are further discussed in Note 5.</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also has secondary guarantees on universal and variable life insurance contracts accounted for as insurance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8"/>
              </w:rPr>
              <w:t>December 31, 2020</w:t>
            </w: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31"/>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484"/>
              <w:spacing w:after="0" w:line="131" w:lineRule="exact"/>
              <w:rPr>
                <w:sz w:val="20"/>
                <w:szCs w:val="20"/>
                <w:color w:val="auto"/>
              </w:rPr>
            </w:pPr>
            <w:r>
              <w:rPr>
                <w:rFonts w:ascii="Arial" w:cs="Arial" w:eastAsia="Arial" w:hAnsi="Arial"/>
                <w:sz w:val="14"/>
                <w:szCs w:val="14"/>
                <w:b w:val="1"/>
                <w:bCs w:val="1"/>
                <w:color w:val="auto"/>
              </w:rPr>
              <w:t>In the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560"/>
              <w:spacing w:after="0" w:line="131"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43"/>
              <w:spacing w:after="0" w:line="131" w:lineRule="exact"/>
              <w:rPr>
                <w:sz w:val="20"/>
                <w:szCs w:val="20"/>
                <w:color w:val="auto"/>
              </w:rPr>
            </w:pPr>
            <w:r>
              <w:rPr>
                <w:rFonts w:ascii="Arial" w:cs="Arial" w:eastAsia="Arial" w:hAnsi="Arial"/>
                <w:sz w:val="14"/>
                <w:szCs w:val="14"/>
                <w:b w:val="1"/>
                <w:bCs w:val="1"/>
                <w:color w:val="auto"/>
              </w:rPr>
              <w:t>In the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jc w:val="center"/>
              <w:ind w:right="321"/>
              <w:spacing w:after="0" w:line="131" w:lineRule="exact"/>
              <w:rPr>
                <w:sz w:val="20"/>
                <w:szCs w:val="20"/>
                <w:color w:val="auto"/>
              </w:rPr>
            </w:pPr>
            <w:r>
              <w:rPr>
                <w:rFonts w:ascii="Arial" w:cs="Arial" w:eastAsia="Arial" w:hAnsi="Arial"/>
                <w:sz w:val="14"/>
                <w:szCs w:val="14"/>
                <w:b w:val="1"/>
                <w:bCs w:val="1"/>
                <w:color w:val="auto"/>
              </w:rPr>
              <w:t>At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5"/>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5"/>
              </w:rPr>
              <w:t>Event of Death</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2"/>
              </w:rPr>
              <w:t>Annuitization</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5"/>
              </w:rPr>
              <w:t>Event of Death</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244"/>
              <w:spacing w:after="0"/>
              <w:rPr>
                <w:sz w:val="20"/>
                <w:szCs w:val="20"/>
                <w:color w:val="auto"/>
              </w:rPr>
            </w:pPr>
            <w:r>
              <w:rPr>
                <w:rFonts w:ascii="Arial" w:cs="Arial" w:eastAsia="Arial" w:hAnsi="Arial"/>
                <w:sz w:val="14"/>
                <w:szCs w:val="14"/>
                <w:b w:val="1"/>
                <w:bCs w:val="1"/>
                <w:color w:val="auto"/>
                <w:w w:val="94"/>
              </w:rPr>
              <w:t>Annuitization</w:t>
            </w:r>
          </w:p>
        </w:tc>
        <w:tc>
          <w:tcPr>
            <w:tcW w:w="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79"/>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5"/>
          </w:tcPr>
          <w:p>
            <w:pPr>
              <w:jc w:val="right"/>
              <w:ind w:right="863"/>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111,655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61,567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106,608</w:t>
            </w:r>
          </w:p>
        </w:tc>
        <w:tc>
          <w:tcPr>
            <w:tcW w:w="3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60,358</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103,315</w:t>
            </w:r>
          </w:p>
        </w:tc>
        <w:tc>
          <w:tcPr>
            <w:tcW w:w="120" w:type="dxa"/>
            <w:vAlign w:val="bottom"/>
          </w:tcPr>
          <w:p>
            <w:pPr>
              <w:spacing w:after="0"/>
              <w:rPr>
                <w:sz w:val="18"/>
                <w:szCs w:val="18"/>
                <w:color w:val="auto"/>
              </w:rPr>
            </w:pPr>
          </w:p>
        </w:tc>
        <w:tc>
          <w:tcPr>
            <w:tcW w:w="72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59,419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6,031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(4)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71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70 years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 years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6"/>
                <w:szCs w:val="16"/>
                <w:color w:val="auto"/>
              </w:rPr>
              <w:t>70 years</w:t>
            </w:r>
          </w:p>
        </w:tc>
      </w:tr>
      <w:tr>
        <w:trPr>
          <w:trHeight w:val="516"/>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left="224"/>
              <w:spacing w:after="0"/>
              <w:rPr>
                <w:sz w:val="20"/>
                <w:szCs w:val="20"/>
                <w:color w:val="auto"/>
              </w:rPr>
            </w:pPr>
            <w:r>
              <w:rPr>
                <w:rFonts w:ascii="Arial" w:cs="Arial" w:eastAsia="Arial" w:hAnsi="Arial"/>
                <w:sz w:val="14"/>
                <w:szCs w:val="14"/>
                <w:b w:val="1"/>
                <w:bCs w:val="1"/>
                <w:color w:val="auto"/>
                <w:w w:val="90"/>
              </w:rPr>
              <w:t>December 31, 2020</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83"/>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7"/>
              </w:rPr>
              <w:t>Secondary Guarantees</w:t>
            </w: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5,634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5,772</w:t>
            </w: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68,043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69,083</w:t>
            </w: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520"/>
              <w:spacing w:after="0"/>
              <w:rPr>
                <w:sz w:val="20"/>
                <w:szCs w:val="20"/>
                <w:color w:val="auto"/>
              </w:rPr>
            </w:pPr>
            <w:r>
              <w:rPr>
                <w:rFonts w:ascii="Arial" w:cs="Arial" w:eastAsia="Arial" w:hAnsi="Arial"/>
                <w:sz w:val="16"/>
                <w:szCs w:val="16"/>
                <w:color w:val="auto"/>
              </w:rPr>
              <w:t>67 years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67 years</w:t>
            </w:r>
          </w:p>
        </w:tc>
      </w:tr>
      <w:tr>
        <w:trPr>
          <w:trHeight w:val="254"/>
        </w:trPr>
        <w:tc>
          <w:tcPr>
            <w:tcW w:w="4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4,708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3,926</w:t>
            </w: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19,440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19,909</w:t>
            </w: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51 years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51 years</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74"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Financial Statements included in the 2020 Annual Report for a discussion of guaranteed minimum benefits which have been reinsured.</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68" w:lineRule="exact"/>
        <w:rPr>
          <w:sz w:val="20"/>
          <w:szCs w:val="20"/>
          <w:color w:val="auto"/>
        </w:rPr>
      </w:pPr>
    </w:p>
    <w:p>
      <w:pPr>
        <w:jc w:val="both"/>
        <w:ind w:left="320" w:hanging="314"/>
        <w:spacing w:after="0" w:line="318" w:lineRule="auto"/>
        <w:tabs>
          <w:tab w:leader="none" w:pos="314" w:val="left"/>
        </w:tabs>
        <w:numPr>
          <w:ilvl w:val="0"/>
          <w:numId w:val="6"/>
        </w:numPr>
        <w:rPr>
          <w:rFonts w:ascii="Arial" w:cs="Arial" w:eastAsia="Arial" w:hAnsi="Arial"/>
          <w:sz w:val="15"/>
          <w:szCs w:val="15"/>
          <w:color w:val="auto"/>
        </w:rPr>
      </w:pPr>
      <w:r>
        <w:rPr>
          <w:rFonts w:ascii="Arial" w:cs="Arial" w:eastAsia="Arial" w:hAnsi="Arial"/>
          <w:sz w:val="15"/>
          <w:szCs w:val="15"/>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39"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2020 Annual Report for a description of the Company’s accounting policies for investments and the fair value hierarchy for investments and the related valuation methodologies.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June 30, 2021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6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86"/>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5"/>
          </w:tcPr>
          <w:p>
            <w:pPr>
              <w:ind w:left="100"/>
              <w:spacing w:after="0"/>
              <w:rPr>
                <w:sz w:val="20"/>
                <w:szCs w:val="20"/>
                <w:color w:val="auto"/>
              </w:rPr>
            </w:pPr>
            <w:r>
              <w:rPr>
                <w:rFonts w:ascii="Arial" w:cs="Arial" w:eastAsia="Arial" w:hAnsi="Arial"/>
                <w:sz w:val="12"/>
                <w:szCs w:val="12"/>
                <w:b w:val="1"/>
                <w:bCs w:val="1"/>
                <w:color w:val="auto"/>
              </w:rPr>
              <w:t>Gross Unrealized</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Estimated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5"/>
          </w:tcPr>
          <w:p>
            <w:pPr>
              <w:ind w:left="10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6"/>
                <w:szCs w:val="16"/>
                <w:color w:val="auto"/>
              </w:rPr>
            </w:pPr>
          </w:p>
        </w:tc>
        <w:tc>
          <w:tcPr>
            <w:tcW w:w="70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Estimated</w:t>
            </w:r>
          </w:p>
        </w:tc>
      </w:tr>
      <w:tr>
        <w:trPr>
          <w:trHeight w:val="53"/>
        </w:trPr>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Amortized</w:t>
            </w:r>
          </w:p>
        </w:tc>
        <w:tc>
          <w:tcPr>
            <w:tcW w:w="80" w:type="dxa"/>
            <w:vAlign w:val="bottom"/>
          </w:tcPr>
          <w:p>
            <w:pPr>
              <w:spacing w:after="0"/>
              <w:rPr>
                <w:sz w:val="4"/>
                <w:szCs w:val="4"/>
                <w:color w:val="auto"/>
              </w:rPr>
            </w:pPr>
          </w:p>
        </w:tc>
        <w:tc>
          <w:tcPr>
            <w:tcW w:w="780" w:type="dxa"/>
            <w:vAlign w:val="bottom"/>
          </w:tcPr>
          <w:p>
            <w:pPr>
              <w:jc w:val="right"/>
              <w:spacing w:after="0" w:line="53" w:lineRule="exact"/>
              <w:rPr>
                <w:sz w:val="20"/>
                <w:szCs w:val="20"/>
                <w:color w:val="auto"/>
              </w:rPr>
            </w:pPr>
            <w:r>
              <w:rPr>
                <w:rFonts w:ascii="Arial" w:cs="Arial" w:eastAsia="Arial" w:hAnsi="Arial"/>
                <w:sz w:val="6"/>
                <w:szCs w:val="6"/>
                <w:b w:val="1"/>
                <w:bCs w:val="1"/>
                <w:color w:val="auto"/>
              </w:rPr>
              <w:t>Allowance for</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Fair</w:t>
            </w:r>
          </w:p>
        </w:tc>
        <w:tc>
          <w:tcPr>
            <w:tcW w:w="140" w:type="dxa"/>
            <w:vAlign w:val="bottom"/>
          </w:tcPr>
          <w:p>
            <w:pPr>
              <w:spacing w:after="0"/>
              <w:rPr>
                <w:sz w:val="4"/>
                <w:szCs w:val="4"/>
                <w:color w:val="auto"/>
              </w:rPr>
            </w:pPr>
          </w:p>
        </w:tc>
        <w:tc>
          <w:tcPr>
            <w:tcW w:w="88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Amortized</w:t>
            </w:r>
          </w:p>
        </w:tc>
        <w:tc>
          <w:tcPr>
            <w:tcW w:w="100" w:type="dxa"/>
            <w:vAlign w:val="bottom"/>
          </w:tcPr>
          <w:p>
            <w:pPr>
              <w:spacing w:after="0"/>
              <w:rPr>
                <w:sz w:val="4"/>
                <w:szCs w:val="4"/>
                <w:color w:val="auto"/>
              </w:rPr>
            </w:pPr>
          </w:p>
        </w:tc>
        <w:tc>
          <w:tcPr>
            <w:tcW w:w="90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Allowance for</w:t>
            </w: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Fair</w:t>
            </w:r>
          </w:p>
        </w:tc>
      </w:tr>
      <w:tr>
        <w:trPr>
          <w:trHeight w:val="186"/>
        </w:trPr>
        <w:tc>
          <w:tcPr>
            <w:tcW w:w="2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Credit 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Credit Losses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3"/>
              </w:rPr>
              <w:t>Value</w:t>
            </w:r>
          </w:p>
        </w:tc>
      </w:tr>
      <w:tr>
        <w:trPr>
          <w:trHeight w:val="165"/>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4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32,608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37,906</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10,060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11,511</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6,007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7,653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8,294</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6,207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6,790</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3,673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4,640</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2,834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1,487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07"/>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70,529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82,495</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right="20" w:firstLine="318"/>
        <w:spacing w:after="0" w:line="264" w:lineRule="auto"/>
        <w:rPr>
          <w:sz w:val="20"/>
          <w:szCs w:val="20"/>
          <w:color w:val="auto"/>
        </w:rPr>
      </w:pPr>
      <w:r>
        <w:rPr>
          <w:rFonts w:ascii="Arial" w:cs="Arial" w:eastAsia="Arial" w:hAnsi="Arial"/>
          <w:sz w:val="18"/>
          <w:szCs w:val="18"/>
          <w:color w:val="auto"/>
        </w:rPr>
        <w:t>The Company held non-income producing fixed maturity securities with an estimated fair value of $5 million at both June 30, 2021 and December 31, 2020.</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and estimated fair value of fixed maturity securities, by contractual maturity date, were as follows at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Due in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3"/>
              </w:rPr>
              <w:t>Due After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Due After Five</w:t>
            </w:r>
          </w:p>
        </w:tc>
        <w:tc>
          <w:tcPr>
            <w:tcW w:w="240" w:type="dxa"/>
            <w:vAlign w:val="bottom"/>
          </w:tcPr>
          <w:p>
            <w:pPr>
              <w:spacing w:after="0"/>
              <w:rPr>
                <w:sz w:val="14"/>
                <w:szCs w:val="14"/>
                <w:color w:val="auto"/>
              </w:rPr>
            </w:pPr>
          </w:p>
        </w:tc>
        <w:tc>
          <w:tcPr>
            <w:tcW w:w="11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w w:val="98"/>
              </w:rPr>
              <w:t>Due After Ten</w:t>
            </w:r>
          </w:p>
        </w:tc>
        <w:tc>
          <w:tcPr>
            <w:tcW w:w="260" w:type="dxa"/>
            <w:vAlign w:val="bottom"/>
          </w:tcPr>
          <w:p>
            <w:pPr>
              <w:spacing w:after="0"/>
              <w:rPr>
                <w:sz w:val="14"/>
                <w:szCs w:val="14"/>
                <w:color w:val="auto"/>
              </w:rPr>
            </w:pPr>
          </w:p>
        </w:tc>
        <w:tc>
          <w:tcPr>
            <w:tcW w:w="118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20" w:type="dxa"/>
            <w:vAlign w:val="bottom"/>
          </w:tcPr>
          <w:p>
            <w:pPr>
              <w:jc w:val="center"/>
              <w:ind w:right="126"/>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2"/>
              </w:rPr>
              <w:t>Year Through</w:t>
            </w:r>
          </w:p>
        </w:tc>
        <w:tc>
          <w:tcPr>
            <w:tcW w:w="240" w:type="dxa"/>
            <w:vAlign w:val="bottom"/>
          </w:tcPr>
          <w:p>
            <w:pPr>
              <w:spacing w:after="0"/>
              <w:rPr>
                <w:sz w:val="11"/>
                <w:szCs w:val="11"/>
                <w:color w:val="auto"/>
              </w:rPr>
            </w:pPr>
          </w:p>
        </w:tc>
        <w:tc>
          <w:tcPr>
            <w:tcW w:w="11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3"/>
              </w:rPr>
              <w:t>Years Through</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146"/>
              <w:spacing w:after="0" w:line="133"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Year or Less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Ten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79"/>
        </w:trPr>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1,203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9,016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16,101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31,090</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18,044</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75,454</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1,222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9,531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17,440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37,515</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19,077</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84,785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5"/>
                <w:szCs w:val="15"/>
                <w:color w:val="auto"/>
              </w:rPr>
            </w:pPr>
          </w:p>
        </w:tc>
        <w:tc>
          <w:tcPr>
            <w:tcW w:w="190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5"/>
                <w:szCs w:val="15"/>
                <w:color w:val="auto"/>
              </w:rPr>
            </w:pPr>
          </w:p>
        </w:tc>
        <w:tc>
          <w:tcPr>
            <w:tcW w:w="192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9"/>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
              <w:spacing w:after="0" w:line="127"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00" w:type="dxa"/>
            <w:vAlign w:val="bottom"/>
          </w:tcPr>
          <w:p>
            <w:pPr>
              <w:jc w:val="center"/>
              <w:ind w:right="69"/>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2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80"/>
              <w:spacing w:after="0" w:line="119" w:lineRule="exact"/>
              <w:rPr>
                <w:sz w:val="20"/>
                <w:szCs w:val="20"/>
                <w:color w:val="auto"/>
              </w:rPr>
            </w:pPr>
            <w:r>
              <w:rPr>
                <w:rFonts w:ascii="Arial" w:cs="Arial" w:eastAsia="Arial" w:hAnsi="Arial"/>
                <w:sz w:val="13"/>
                <w:szCs w:val="13"/>
                <w:color w:val="auto"/>
              </w:rPr>
              <w:t>Total number of securities in an unrealized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840" w:type="dxa"/>
            <w:vAlign w:val="bottom"/>
          </w:tcPr>
          <w:p>
            <w:pPr>
              <w:ind w:left="340"/>
              <w:spacing w:after="0" w:line="159" w:lineRule="exact"/>
              <w:rPr>
                <w:sz w:val="20"/>
                <w:szCs w:val="20"/>
                <w:color w:val="auto"/>
              </w:rPr>
            </w:pPr>
            <w:r>
              <w:rPr>
                <w:rFonts w:ascii="Arial" w:cs="Arial" w:eastAsia="Arial" w:hAnsi="Arial"/>
                <w:sz w:val="14"/>
                <w:szCs w:val="14"/>
                <w:color w:val="auto"/>
              </w:rPr>
              <w:t>loss position</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0"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(loss) (“OCI”).</w:t>
      </w:r>
    </w:p>
    <w:p>
      <w:pPr>
        <w:spacing w:after="0" w:line="59"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$527 million and $514 million at June 30, 2021 and December 31, 2020, respectively, and is included in accrued investment income.</w:t>
      </w:r>
    </w:p>
    <w:p>
      <w:pPr>
        <w:spacing w:after="0" w:line="7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$9 million, relating to five securities at June 30, 2021.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Rollforward of the Allowance for Credit Losses for Fixed Maturity Securities by Sector</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changes in the allowance for credit losses by sector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Corporate</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7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90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Government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 (1)</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9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Six Months Ended June 30, 2020</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 (1)</w:t>
            </w: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69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record any write-offs during the six months ended June 30, 2021. The Company recorded total write-offs of $13 million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4"/>
              </w:rPr>
              <w:t>June 30, 2021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rPr>
              <w:t>December 31, 2020</w:t>
            </w:r>
          </w:p>
        </w:tc>
      </w:tr>
      <w:tr>
        <w:trPr>
          <w:trHeight w:val="131"/>
        </w:trPr>
        <w:tc>
          <w:tcPr>
            <w:tcW w:w="5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jc w:val="center"/>
              <w:ind w:right="740"/>
              <w:spacing w:after="0" w:line="131" w:lineRule="exact"/>
              <w:rPr>
                <w:sz w:val="20"/>
                <w:szCs w:val="20"/>
                <w:color w:val="auto"/>
              </w:rPr>
            </w:pPr>
            <w:r>
              <w:rPr>
                <w:rFonts w:ascii="Arial" w:cs="Arial" w:eastAsia="Arial" w:hAnsi="Arial"/>
                <w:sz w:val="14"/>
                <w:szCs w:val="14"/>
                <w:b w:val="1"/>
                <w:bCs w:val="1"/>
                <w:color w:val="auto"/>
                <w:w w:val="97"/>
              </w:rPr>
              <w:t>Carrying</w:t>
            </w:r>
          </w:p>
        </w:tc>
        <w:tc>
          <w:tcPr>
            <w:tcW w:w="86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Pr>
          <w:p>
            <w:pPr>
              <w:jc w:val="right"/>
              <w:ind w:right="42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179"/>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5"/>
                <w:szCs w:val="15"/>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61.4 %</w:t>
            </w: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22.4</w:t>
            </w: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16.8</w:t>
            </w: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15,902</w:t>
            </w:r>
          </w:p>
        </w:tc>
        <w:tc>
          <w:tcPr>
            <w:tcW w:w="10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100.6</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15,808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$621 million and $799 million for the three months and six months ended June 30, 2021, respectively, and $331 million and $488 million for the three months and six months ended June 30, 2020, respectively, and were primarily comprised of residential mortgage loans.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82"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impact of the ongoing worldwide pandemic sparked by the novel coronavirus (“COVID-19 pandemic”), interest continues to be accrued during the deferral period if the loan was less than 30 days past due at December 31, 2019 and performing at the onset of the pandemic. Accrued interest on COVID-19 pandemic impacted loans was not significant at both June 30, 2021 and December 31, 2020. The accrued interest receivable on mortgage loans is included in accrued investment income and totaled $88 million and $89 million at June 30, 2021 and December 31, 2020, respectively.</w:t>
      </w:r>
    </w:p>
    <w:p>
      <w:pPr>
        <w:spacing w:after="0" w:line="5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76"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183"/>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91"/>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91"/>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6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Six Months Ended June 30, 2020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6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PCD Mortgage Loans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Purchases of PCD mortgage loans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3"/>
        </w:trPr>
        <w:tc>
          <w:tcPr>
            <w:tcW w:w="9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r>
      <w:tr>
        <w:trPr>
          <w:trHeight w:val="179"/>
        </w:trPr>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(In millions)</w:t>
            </w:r>
          </w:p>
        </w:tc>
      </w:tr>
      <w:tr>
        <w:trPr>
          <w:trHeight w:val="213"/>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9"/>
        </w:trPr>
        <w:tc>
          <w:tcPr>
            <w:tcW w:w="9360" w:type="dxa"/>
            <w:vAlign w:val="bottom"/>
          </w:tcPr>
          <w:p>
            <w:pPr>
              <w:ind w:left="20"/>
              <w:spacing w:after="0"/>
              <w:rPr>
                <w:sz w:val="20"/>
                <w:szCs w:val="20"/>
                <w:color w:val="auto"/>
              </w:rPr>
            </w:pPr>
            <w:r>
              <w:rPr>
                <w:rFonts w:ascii="Arial" w:cs="Arial" w:eastAsia="Arial" w:hAnsi="Arial"/>
                <w:sz w:val="16"/>
                <w:szCs w:val="16"/>
                <w:color w:val="auto"/>
              </w:rPr>
              <w:t>Allowance at acquisition date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or premium attributable to other factors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9360" w:type="dxa"/>
            <w:vAlign w:val="bottom"/>
          </w:tcPr>
          <w:p>
            <w:pPr>
              <w:ind w:left="20"/>
              <w:spacing w:after="0"/>
              <w:rPr>
                <w:sz w:val="20"/>
                <w:szCs w:val="20"/>
                <w:color w:val="auto"/>
              </w:rPr>
            </w:pPr>
            <w:r>
              <w:rPr>
                <w:rFonts w:ascii="Arial" w:cs="Arial" w:eastAsia="Arial" w:hAnsi="Arial"/>
                <w:sz w:val="16"/>
                <w:szCs w:val="16"/>
                <w:color w:val="auto"/>
              </w:rPr>
              <w:t>Par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514</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3,565</w:t>
            </w:r>
          </w:p>
        </w:tc>
        <w:tc>
          <w:tcPr>
            <w:tcW w:w="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7,499</w:t>
            </w:r>
          </w:p>
        </w:tc>
        <w:tc>
          <w:tcPr>
            <w:tcW w:w="2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20" w:type="dxa"/>
            <w:vAlign w:val="bottom"/>
            <w:shd w:val="clear" w:color="auto" w:fill="CCEEFF"/>
          </w:tcPr>
          <w:p>
            <w:pPr>
              <w:spacing w:after="0"/>
              <w:rPr>
                <w:sz w:val="18"/>
                <w:szCs w:val="18"/>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shd w:val="clear" w:color="auto" w:fill="CCEEFF"/>
          </w:tcPr>
          <w:p>
            <w:pPr>
              <w:spacing w:after="0"/>
              <w:rPr>
                <w:sz w:val="18"/>
                <w:szCs w:val="18"/>
                <w:color w:val="auto"/>
              </w:rPr>
            </w:pP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10,252</w:t>
            </w:r>
          </w:p>
        </w:tc>
        <w:tc>
          <w:tcPr>
            <w:tcW w:w="20" w:type="dxa"/>
            <w:vAlign w:val="bottom"/>
            <w:tcBorders>
              <w:top w:val="single" w:sz="8" w:color="auto"/>
              <w:bottom w:val="single" w:sz="8" w:color="auto"/>
            </w:tcBorders>
          </w:tcPr>
          <w:p>
            <w:pPr>
              <w:spacing w:after="0"/>
              <w:rPr>
                <w:sz w:val="17"/>
                <w:szCs w:val="17"/>
                <w:color w:val="auto"/>
              </w:rPr>
            </w:pPr>
          </w:p>
        </w:tc>
      </w:tr>
      <w:tr>
        <w:trPr>
          <w:trHeight w:val="19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20" w:type="dxa"/>
            <w:vAlign w:val="bottom"/>
            <w:shd w:val="clear" w:color="auto" w:fill="CCEEFF"/>
          </w:tcPr>
          <w:p>
            <w:pPr>
              <w:spacing w:after="0"/>
              <w:rPr>
                <w:sz w:val="18"/>
                <w:szCs w:val="18"/>
                <w:color w:val="auto"/>
              </w:rPr>
            </w:pPr>
          </w:p>
        </w:tc>
      </w:tr>
      <w:tr>
        <w:trPr>
          <w:trHeight w:val="20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0" w:type="dxa"/>
            <w:vAlign w:val="bottom"/>
            <w:tcBorders>
              <w:bottom w:val="single" w:sz="8" w:color="auto"/>
            </w:tcBorders>
          </w:tcPr>
          <w:p>
            <w:pPr>
              <w:spacing w:after="0"/>
              <w:rPr>
                <w:sz w:val="18"/>
                <w:szCs w:val="18"/>
                <w:color w:val="auto"/>
              </w:rPr>
            </w:pPr>
          </w:p>
        </w:tc>
      </w:tr>
      <w:tr>
        <w:trPr>
          <w:trHeight w:val="208"/>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20" w:type="dxa"/>
            <w:vAlign w:val="bottom"/>
            <w:tcBorders>
              <w:bottom w:val="single" w:sz="8" w:color="auto"/>
            </w:tcBorders>
            <w:shd w:val="clear" w:color="auto" w:fill="CCEEFF"/>
          </w:tcPr>
          <w:p>
            <w:pPr>
              <w:spacing w:after="0"/>
              <w:rPr>
                <w:sz w:val="18"/>
                <w:szCs w:val="18"/>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20" w:type="dxa"/>
            <w:vAlign w:val="bottom"/>
            <w:shd w:val="clear" w:color="auto" w:fill="CCEEFF"/>
          </w:tcPr>
          <w:p>
            <w:pPr>
              <w:spacing w:after="0"/>
              <w:rPr>
                <w:sz w:val="18"/>
                <w:szCs w:val="18"/>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1,409</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7,065</w:t>
            </w:r>
          </w:p>
        </w:tc>
        <w:tc>
          <w:tcPr>
            <w:tcW w:w="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16,829</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3"/>
        </w:trPr>
        <w:tc>
          <w:tcPr>
            <w:tcW w:w="36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1,109</w:t>
            </w: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2,808</w:t>
            </w:r>
          </w:p>
        </w:tc>
        <w:tc>
          <w:tcPr>
            <w:tcW w:w="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7,280</w:t>
            </w: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2,034</w:t>
            </w:r>
          </w:p>
        </w:tc>
        <w:tc>
          <w:tcPr>
            <w:tcW w:w="20" w:type="dxa"/>
            <w:vAlign w:val="bottom"/>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8"/>
                <w:szCs w:val="18"/>
                <w:color w:val="auto"/>
              </w:rPr>
            </w:pP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1,253</w:t>
            </w: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9,714</w:t>
            </w:r>
          </w:p>
        </w:tc>
        <w:tc>
          <w:tcPr>
            <w:tcW w:w="20" w:type="dxa"/>
            <w:vAlign w:val="bottom"/>
          </w:tcPr>
          <w:p>
            <w:pPr>
              <w:spacing w:after="0"/>
              <w:rPr>
                <w:sz w:val="17"/>
                <w:szCs w:val="17"/>
                <w:color w:val="auto"/>
              </w:rPr>
            </w:pPr>
          </w:p>
        </w:tc>
      </w:tr>
      <w:tr>
        <w:trPr>
          <w:trHeight w:val="19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3,315</w:t>
            </w:r>
          </w:p>
        </w:tc>
        <w:tc>
          <w:tcPr>
            <w:tcW w:w="20" w:type="dxa"/>
            <w:vAlign w:val="bottom"/>
          </w:tcPr>
          <w:p>
            <w:pPr>
              <w:spacing w:after="0"/>
              <w:rPr>
                <w:sz w:val="18"/>
                <w:szCs w:val="18"/>
                <w:color w:val="auto"/>
              </w:rPr>
            </w:pPr>
          </w:p>
        </w:tc>
      </w:tr>
      <w:tr>
        <w:trPr>
          <w:trHeight w:val="21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18"/>
                <w:szCs w:val="18"/>
                <w:color w:val="auto"/>
              </w:rPr>
            </w:pPr>
          </w:p>
        </w:tc>
      </w:tr>
      <w:tr>
        <w:trPr>
          <w:trHeight w:val="208"/>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3,538</w:t>
            </w:r>
          </w:p>
        </w:tc>
        <w:tc>
          <w:tcPr>
            <w:tcW w:w="20" w:type="dxa"/>
            <w:vAlign w:val="bottom"/>
          </w:tcPr>
          <w:p>
            <w:pPr>
              <w:spacing w:after="0"/>
              <w:rPr>
                <w:sz w:val="18"/>
                <w:szCs w:val="18"/>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2,584</w:t>
            </w:r>
          </w:p>
        </w:tc>
        <w:tc>
          <w:tcPr>
            <w:tcW w:w="20" w:type="dxa"/>
            <w:vAlign w:val="bottom"/>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2,650</w:t>
            </w:r>
          </w:p>
        </w:tc>
        <w:tc>
          <w:tcPr>
            <w:tcW w:w="20" w:type="dxa"/>
            <w:vAlign w:val="bottom"/>
          </w:tcPr>
          <w:p>
            <w:pPr>
              <w:spacing w:after="0"/>
              <w:rPr>
                <w:sz w:val="17"/>
                <w:szCs w:val="17"/>
                <w:color w:val="auto"/>
              </w:rPr>
            </w:pPr>
          </w:p>
        </w:tc>
      </w:tr>
      <w:tr>
        <w:trPr>
          <w:trHeight w:val="20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2,971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1,741</w:t>
            </w: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5,680</w:t>
            </w:r>
          </w:p>
        </w:tc>
        <w:tc>
          <w:tcPr>
            <w:tcW w:w="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15,902</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4"/>
              </w:rPr>
              <w:t>June 30, 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0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tcPr>
          <w:p>
            <w:pPr>
              <w:jc w:val="right"/>
              <w:ind w:right="463"/>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9,545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97.3 %</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Company has a high-quality, well-performing mortgage loan portfolio, with over 99% of all mortgage loans classified as performing at both June 30, 2021 and December 31, 2020.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June 30, 2021 and December 31, 2020, $33 million and $38 million, respectively, of the COVID-19 pandemic modified loans were classified as delinquent.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179"/>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15,827</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80"/>
        </w:trPr>
        <w:tc>
          <w:tcPr>
            <w:tcW w:w="22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3,791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16,829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15,902</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Mortgage loans are placed in a nonaccrual status if there are concerns regarding collectability of future payments or the loan is past due, unless the past due loan is well collateralized.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June 30, 2021 and December 31, 2020, $33 million and $38 million, respectively, of the COVID-19 pandemic modified loans were in nonaccrual status.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Agricultural</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8"/>
              </w:rPr>
              <w:t>Residential (1)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183"/>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3"/>
          </w:tcPr>
          <w:p>
            <w:pPr>
              <w:jc w:val="right"/>
              <w:ind w:right="108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66</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had $9 million and $7 million of residential mortgage loans in nonaccrual status for which there was no related allowance for credit losses at June 30, 2021 and December 31, 2020, respectively.</w:t>
      </w:r>
    </w:p>
    <w:p>
      <w:pPr>
        <w:spacing w:after="0" w:line="75"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Current period investment income on mortgage loans in nonaccrual status was less than $1 million for both the six months ended June 30, 2021 and 2020.</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troubled debt restructuring during both the six months ended June 30, 2021 and 2020.</w:t>
      </w:r>
    </w:p>
    <w:p>
      <w:pPr>
        <w:spacing w:after="0" w:line="8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5 for information about freestanding derivatives with positive estimated fair values. Other invested assets also includes tax credit and renewable energy partnerships, leveraged leases and Federal Home Loan Bank (“FHLB”) stock.</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Leveraged Leases</w:t>
      </w:r>
    </w:p>
    <w:p>
      <w:pPr>
        <w:spacing w:after="0" w:line="11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carrying value of leveraged leases was $49 million and $50 million at June 30, 2021 and December 31, 2020, respectively. The allowance for credit losses was $13 million at both June 30, 2021 and December 31, 2020. Rental receivables are generally due in periodic installments. The payment periods for leveraged leases generally range from one to 12 years. For rental receivables, the primary credit quality indicator is whether the rental receivable is performing or nonperforming, which is assessed monthly. Nonperforming rental receivables are generally defined as those that are 90 days or more past due. At both June 30, 2021 and December 31, 2020, all leveraged leases were performing.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accumulated other comprehensive income (loss) (“AOCI”).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4"/>
          </w:tcPr>
          <w:p>
            <w:pPr>
              <w:jc w:val="right"/>
              <w:ind w:right="1221"/>
              <w:spacing w:after="0"/>
              <w:rPr>
                <w:sz w:val="20"/>
                <w:szCs w:val="20"/>
                <w:color w:val="auto"/>
              </w:rPr>
            </w:pPr>
            <w:r>
              <w:rPr>
                <w:rFonts w:ascii="Arial" w:cs="Arial" w:eastAsia="Arial" w:hAnsi="Arial"/>
                <w:sz w:val="14"/>
                <w:szCs w:val="14"/>
                <w:b w:val="1"/>
                <w:bCs w:val="1"/>
                <w:color w:val="auto"/>
              </w:rPr>
              <w:t>(In millions)</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3"/>
        </w:trPr>
        <w:tc>
          <w:tcPr>
            <w:tcW w:w="7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12,125</w:t>
            </w:r>
          </w:p>
        </w:tc>
      </w:tr>
      <w:tr>
        <w:trPr>
          <w:trHeight w:val="19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(4,313)</w:t>
            </w:r>
          </w:p>
        </w:tc>
      </w:tr>
      <w:tr>
        <w:trPr>
          <w:trHeight w:val="21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03"/>
        </w:trPr>
        <w:tc>
          <w:tcPr>
            <w:tcW w:w="792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(4,833)</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r>
      <w:tr>
        <w:trPr>
          <w:trHeight w:val="208"/>
        </w:trPr>
        <w:tc>
          <w:tcPr>
            <w:tcW w:w="792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5"/>
        </w:trPr>
        <w:tc>
          <w:tcPr>
            <w:tcW w:w="9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(In millions)</w:t>
            </w:r>
          </w:p>
        </w:tc>
      </w:tr>
      <w:tr>
        <w:trPr>
          <w:trHeight w:val="213"/>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r>
      <w:tr>
        <w:trPr>
          <w:trHeight w:val="209"/>
        </w:trPr>
        <w:tc>
          <w:tcPr>
            <w:tcW w:w="932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period</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(2,594)</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0"/>
        </w:trPr>
        <w:tc>
          <w:tcPr>
            <w:tcW w:w="93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3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932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r>
      <w:tr>
        <w:trPr>
          <w:trHeight w:val="20"/>
        </w:trPr>
        <w:tc>
          <w:tcPr>
            <w:tcW w:w="9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June 30, 2021 and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730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3,071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15"/>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3,969</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4,025</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3,674</w:t>
            </w: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collateral received from counterparties (3)</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4,193</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3,830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line="264"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may not be sold or re-pledged, unless the counterparty is in default, and is not reported on the consolidated financial statements.</w:t>
      </w:r>
    </w:p>
    <w:p>
      <w:pPr>
        <w:spacing w:after="0" w:line="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1 Month or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1"/>
              </w:rPr>
              <w:t>Less</w:t>
            </w:r>
          </w:p>
        </w:tc>
        <w:tc>
          <w:tcPr>
            <w:tcW w:w="10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2021 was $1.2 billion, primarily comprised of U.S. government and agency securities which, if put back to the Company, could be immediately sold to satisfy the cash requirement.</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ABS, U.S. government and agency securities, non-agency RMBS and U.S. and foreign corporate securities) with 61% invested in agency RMBS, cash and cash equivalents and U.S. government and agency securities at June 30, 2021.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1380" w:type="dxa"/>
            <w:vAlign w:val="bottom"/>
            <w:shd w:val="clear" w:color="auto" w:fill="CCEEFF"/>
          </w:tcPr>
          <w:p>
            <w:pPr>
              <w:jc w:val="right"/>
              <w:ind w:right="120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10,135</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13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5,717</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1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r>
      <w:tr>
        <w:trPr>
          <w:trHeight w:val="208"/>
        </w:trPr>
        <w:tc>
          <w:tcPr>
            <w:tcW w:w="730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1380" w:type="dxa"/>
            <w:vAlign w:val="bottom"/>
            <w:tcBorders>
              <w:bottom w:val="single" w:sz="8" w:color="auto"/>
            </w:tcBorders>
          </w:tcPr>
          <w:p>
            <w:pPr>
              <w:jc w:val="right"/>
              <w:ind w:right="12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21,072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21,447</w:t>
            </w:r>
          </w:p>
        </w:tc>
      </w:tr>
      <w:tr>
        <w:trPr>
          <w:trHeight w:val="20"/>
        </w:trPr>
        <w:tc>
          <w:tcPr>
            <w:tcW w:w="7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$112 million and $60 million of the assets on deposit represents restricted cash and cash equivalents at June 30, 2021 and December 31, 2020, respectively.</w:t>
      </w:r>
    </w:p>
    <w:p>
      <w:pPr>
        <w:spacing w:after="0" w:line="82" w:lineRule="exact"/>
        <w:rPr>
          <w:rFonts w:ascii="Arial" w:cs="Arial" w:eastAsia="Arial" w:hAnsi="Arial"/>
          <w:sz w:val="18"/>
          <w:szCs w:val="18"/>
          <w:color w:val="auto"/>
        </w:rPr>
      </w:pPr>
    </w:p>
    <w:p>
      <w:pPr>
        <w:ind w:left="320" w:hanging="314"/>
        <w:spacing w:after="0" w:line="365" w:lineRule="auto"/>
        <w:tabs>
          <w:tab w:leader="none" w:pos="314"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held in trust relating to certain reinsurance transactions, of which $120 million and $101 million of the assets held in trust balance represents restricted cash and cash equivalents at June 30, 2021 and December 31, 2020, respectively.</w:t>
      </w:r>
    </w:p>
    <w:p>
      <w:pPr>
        <w:spacing w:after="0" w:line="5" w:lineRule="exact"/>
        <w:rPr>
          <w:rFonts w:ascii="Arial" w:cs="Arial" w:eastAsia="Arial" w:hAnsi="Arial"/>
          <w:sz w:val="15"/>
          <w:szCs w:val="15"/>
          <w:color w:val="auto"/>
        </w:rPr>
      </w:pPr>
    </w:p>
    <w:p>
      <w:pPr>
        <w:ind w:left="320" w:hanging="314"/>
        <w:spacing w:after="0" w:line="294" w:lineRule="auto"/>
        <w:tabs>
          <w:tab w:leader="none" w:pos="3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2020 Annual Report) and derivative transactions (see Note 5).</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Securities Lending” for information regarding securities on loan. In addition, the Company’s investment in FHLB common stock, which is considered restricted until redeemed by the issuer, was $63 million and $39 million at redemption value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material VIEs for which the Company has concluded that it is the primary beneficiary at either June 30, 2021 or December 31, 2020.</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1040" w:type="dxa"/>
            <w:vAlign w:val="bottom"/>
          </w:tcPr>
          <w:p>
            <w:pPr>
              <w:jc w:val="center"/>
              <w:ind w:right="306"/>
              <w:spacing w:after="0" w:line="131"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180" w:type="dxa"/>
            <w:vAlign w:val="bottom"/>
          </w:tcPr>
          <w:p>
            <w:pPr>
              <w:jc w:val="center"/>
              <w:ind w:right="205"/>
              <w:spacing w:after="0" w:line="131"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5"/>
              <w:spacing w:after="0" w:line="133"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4"/>
              </w:rPr>
              <w:t>to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79"/>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3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2020</w:t>
            </w: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8"/>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33"/>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net investment income pertaining to other limited partnership interests of $339 million and $670 million for the three months and six months ended June 30, 2021, respectively, and ($192) million and ($119) million for the three months and six months ended June 30, 2020,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9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79"/>
        </w:trPr>
        <w:tc>
          <w:tcPr>
            <w:tcW w:w="74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2020</w:t>
            </w:r>
          </w:p>
        </w:tc>
      </w:tr>
      <w:tr>
        <w:trPr>
          <w:trHeight w:val="179"/>
        </w:trPr>
        <w:tc>
          <w:tcPr>
            <w:tcW w:w="7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5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1"/>
              </w:rPr>
              <w:t>(34)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7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investment gains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100" w:type="dxa"/>
            <w:vAlign w:val="bottom"/>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2020 Annual Report for a description of the Company’s accounting policies for derivatives and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Types of Derivative Instruments and Derivative Strategies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75" w:lineRule="exact"/>
        <w:rPr>
          <w:sz w:val="20"/>
          <w:szCs w:val="20"/>
          <w:color w:val="auto"/>
        </w:rPr>
      </w:pPr>
    </w:p>
    <w:p>
      <w:pPr>
        <w:ind w:left="800" w:hanging="317"/>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derivatives: swaps, caps, swaptions and forwards;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derivatives: options, total return swaps and variance swaps;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 and swaptions.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2020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9"/>
              </w:rPr>
              <w:t>June 30, 2021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December 31, 2020</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6"/>
                <w:szCs w:val="16"/>
                <w:color w:val="auto"/>
              </w:rPr>
            </w:pPr>
          </w:p>
        </w:tc>
        <w:tc>
          <w:tcPr>
            <w:tcW w:w="1760" w:type="dxa"/>
            <w:vAlign w:val="bottom"/>
            <w:gridSpan w:val="5"/>
          </w:tcPr>
          <w:p>
            <w:pPr>
              <w:ind w:left="180"/>
              <w:spacing w:after="0"/>
              <w:rPr>
                <w:sz w:val="20"/>
                <w:szCs w:val="20"/>
                <w:color w:val="auto"/>
              </w:rPr>
            </w:pPr>
            <w:r>
              <w:rPr>
                <w:rFonts w:ascii="Arial" w:cs="Arial" w:eastAsia="Arial" w:hAnsi="Arial"/>
                <w:sz w:val="12"/>
                <w:szCs w:val="12"/>
                <w:b w:val="1"/>
                <w:bCs w:val="1"/>
                <w:color w:val="auto"/>
              </w:rPr>
              <w:t>Estimated Fair Value</w:t>
            </w:r>
          </w:p>
        </w:tc>
        <w:tc>
          <w:tcPr>
            <w:tcW w:w="160" w:type="dxa"/>
            <w:vAlign w:val="bottom"/>
          </w:tcPr>
          <w:p>
            <w:pPr>
              <w:spacing w:after="0"/>
              <w:rPr>
                <w:sz w:val="16"/>
                <w:szCs w:val="16"/>
                <w:color w:val="auto"/>
              </w:rPr>
            </w:pPr>
          </w:p>
        </w:tc>
        <w:tc>
          <w:tcPr>
            <w:tcW w:w="720" w:type="dxa"/>
            <w:vAlign w:val="bottom"/>
          </w:tcPr>
          <w:p>
            <w:pPr>
              <w:jc w:val="center"/>
              <w:ind w:right="72"/>
              <w:spacing w:after="0"/>
              <w:rPr>
                <w:sz w:val="20"/>
                <w:szCs w:val="20"/>
                <w:color w:val="auto"/>
              </w:rPr>
            </w:pPr>
            <w:r>
              <w:rPr>
                <w:rFonts w:ascii="Arial" w:cs="Arial" w:eastAsia="Arial" w:hAnsi="Arial"/>
                <w:sz w:val="12"/>
                <w:szCs w:val="12"/>
                <w:b w:val="1"/>
                <w:bCs w:val="1"/>
                <w:color w:val="auto"/>
                <w:w w:val="86"/>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29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53"/>
        </w:trPr>
        <w:tc>
          <w:tcPr>
            <w:tcW w:w="28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tcPr>
          <w:p>
            <w:pPr>
              <w:jc w:val="center"/>
              <w:ind w:right="260"/>
              <w:spacing w:after="0" w:line="53" w:lineRule="exact"/>
              <w:rPr>
                <w:sz w:val="20"/>
                <w:szCs w:val="20"/>
                <w:color w:val="auto"/>
              </w:rPr>
            </w:pPr>
            <w:r>
              <w:rPr>
                <w:rFonts w:ascii="Arial" w:cs="Arial" w:eastAsia="Arial" w:hAnsi="Arial"/>
                <w:sz w:val="6"/>
                <w:szCs w:val="6"/>
                <w:b w:val="1"/>
                <w:bCs w:val="1"/>
                <w:color w:val="auto"/>
              </w:rPr>
              <w:t>Notional</w:t>
            </w: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jc w:val="center"/>
              <w:ind w:right="72"/>
              <w:spacing w:after="0" w:line="53" w:lineRule="exact"/>
              <w:rPr>
                <w:sz w:val="20"/>
                <w:szCs w:val="20"/>
                <w:color w:val="auto"/>
              </w:rPr>
            </w:pPr>
            <w:r>
              <w:rPr>
                <w:rFonts w:ascii="Arial" w:cs="Arial" w:eastAsia="Arial" w:hAnsi="Arial"/>
                <w:sz w:val="6"/>
                <w:szCs w:val="6"/>
                <w:b w:val="1"/>
                <w:bCs w:val="1"/>
                <w:color w:val="auto"/>
              </w:rPr>
              <w:t>Notional</w:t>
            </w: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62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Assets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2"/>
                <w:szCs w:val="12"/>
                <w:b w:val="1"/>
                <w:bCs w:val="1"/>
                <w:color w:val="auto"/>
              </w:rPr>
              <w:t>Liabilities</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4"/>
          </w:tcPr>
          <w:p>
            <w:pPr>
              <w:jc w:val="right"/>
              <w:ind w:right="532"/>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72"/>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Interest rate caps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options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Foreign currency forwards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swaps — purchased</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options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variance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total return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15"/>
        </w:trPr>
        <w:tc>
          <w:tcPr>
            <w:tcW w:w="286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Total non-designated or non-qualifying</w:t>
            </w: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103,853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89,515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85"/>
        </w:trPr>
        <w:tc>
          <w:tcPr>
            <w:tcW w:w="2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derivatives</w:t>
            </w:r>
          </w:p>
        </w:tc>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Ceded guaranteed minimum income benefits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Direct index-linked annuities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guaranteed minimum benefits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Assumed index-linked annuities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2"/>
        </w:trPr>
        <w:tc>
          <w:tcPr>
            <w:tcW w:w="2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embedded derivatives</w:t>
            </w:r>
          </w:p>
        </w:tc>
        <w:tc>
          <w:tcPr>
            <w:tcW w:w="2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w:t>
            </w:r>
          </w:p>
        </w:tc>
        <w:tc>
          <w:tcPr>
            <w:tcW w:w="0" w:type="dxa"/>
            <w:vAlign w:val="bottom"/>
          </w:tcPr>
          <w:p>
            <w:pPr>
              <w:spacing w:after="0"/>
              <w:rPr>
                <w:sz w:val="1"/>
                <w:szCs w:val="1"/>
                <w:color w:val="auto"/>
              </w:rPr>
            </w:pPr>
          </w:p>
        </w:tc>
      </w:tr>
      <w:tr>
        <w:trPr>
          <w:trHeight w:val="179"/>
        </w:trPr>
        <w:tc>
          <w:tcPr>
            <w:tcW w:w="2860" w:type="dxa"/>
            <w:vAlign w:val="bottom"/>
          </w:tcPr>
          <w:p>
            <w:pPr>
              <w:ind w:left="180"/>
              <w:spacing w:after="0"/>
              <w:rPr>
                <w:sz w:val="20"/>
                <w:szCs w:val="20"/>
                <w:color w:val="auto"/>
              </w:rPr>
            </w:pPr>
            <w:r>
              <w:rPr>
                <w:rFonts w:ascii="Arial" w:cs="Arial" w:eastAsia="Arial" w:hAnsi="Arial"/>
                <w:sz w:val="14"/>
                <w:szCs w:val="14"/>
                <w:color w:val="auto"/>
              </w:rPr>
              <w:t>Total</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Based on gross notional amounts, a substantial portion of the Company’s derivatives was not designated or did not qualify as part of a hedging relationship at both June 30, 2021 and December 31, 2020.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6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June 30, 2020</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6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Six Months Ended June 30, 2020</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4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4,261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June 30, 2021 and December 31, 2020, the maximum length of time over which the Company was hedging its exposure to variability in future cash flows for forecasted transactions was two years and three years, respectively.</w:t>
      </w:r>
    </w:p>
    <w:p>
      <w:pPr>
        <w:spacing w:after="0" w:line="128" w:lineRule="exact"/>
        <w:rPr>
          <w:sz w:val="20"/>
          <w:szCs w:val="20"/>
          <w:color w:val="auto"/>
        </w:rPr>
      </w:pPr>
    </w:p>
    <w:p>
      <w:pPr>
        <w:ind w:right="540" w:firstLine="318"/>
        <w:spacing w:after="0" w:line="368" w:lineRule="auto"/>
        <w:rPr>
          <w:sz w:val="20"/>
          <w:szCs w:val="20"/>
          <w:color w:val="auto"/>
        </w:rPr>
      </w:pPr>
      <w:r>
        <w:rPr>
          <w:rFonts w:ascii="Arial" w:cs="Arial" w:eastAsia="Arial" w:hAnsi="Arial"/>
          <w:sz w:val="18"/>
          <w:szCs w:val="18"/>
          <w:color w:val="auto"/>
        </w:rPr>
        <w:t xml:space="preserve">At June 30, 2021 and December 31, 2020, the balance in AOCI associated with cash flow hedges was $208 million and $173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5"/>
              </w:rPr>
              <w:t>December 31, 2020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1"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1"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1"/>
              </w:rPr>
              <w:t>Amount of</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4"/>
              </w:rPr>
              <w:t>Amount of</w:t>
            </w:r>
          </w:p>
        </w:tc>
        <w:tc>
          <w:tcPr>
            <w:tcW w:w="120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6"/>
              </w:rPr>
              <w:t>Future</w:t>
            </w: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6"/>
              </w:rPr>
              <w:t>Future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3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1"/>
                <w:szCs w:val="11"/>
                <w:color w:val="auto"/>
              </w:rPr>
            </w:pPr>
          </w:p>
        </w:tc>
        <w:tc>
          <w:tcPr>
            <w:tcW w:w="130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Credit Default</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Years to</w:t>
            </w:r>
          </w:p>
        </w:tc>
        <w:tc>
          <w:tcPr>
            <w:tcW w:w="0" w:type="dxa"/>
            <w:vAlign w:val="bottom"/>
          </w:tcPr>
          <w:p>
            <w:pPr>
              <w:spacing w:after="0"/>
              <w:rPr>
                <w:sz w:val="1"/>
                <w:szCs w:val="1"/>
                <w:color w:val="auto"/>
              </w:rPr>
            </w:pPr>
          </w:p>
        </w:tc>
      </w:tr>
      <w:tr>
        <w:trPr>
          <w:trHeight w:val="185"/>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79"/>
        </w:trPr>
        <w:tc>
          <w:tcPr>
            <w:tcW w:w="3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1,081</w:t>
            </w: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1,072</w:t>
            </w:r>
          </w:p>
        </w:tc>
        <w:tc>
          <w:tcPr>
            <w:tcW w:w="1200" w:type="dxa"/>
            <w:vAlign w:val="bottom"/>
          </w:tcPr>
          <w:p>
            <w:pPr>
              <w:ind w:left="980"/>
              <w:spacing w:after="0"/>
              <w:rPr>
                <w:sz w:val="20"/>
                <w:szCs w:val="20"/>
                <w:color w:val="auto"/>
              </w:rPr>
            </w:pPr>
            <w:r>
              <w:rPr>
                <w:rFonts w:ascii="Arial" w:cs="Arial" w:eastAsia="Arial" w:hAnsi="Arial"/>
                <w:sz w:val="16"/>
                <w:szCs w:val="16"/>
                <w:color w:val="auto"/>
                <w:w w:val="89"/>
              </w:rPr>
              <w:t>5.2</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2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198"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Gross Amounts Not Offset on the Consolidated</w:t>
      </w:r>
    </w:p>
    <w:p>
      <w:pPr>
        <w:jc w:val="center"/>
        <w:ind w:right="940"/>
        <w:spacing w:after="0"/>
        <w:rPr>
          <w:sz w:val="20"/>
          <w:szCs w:val="20"/>
          <w:color w:val="auto"/>
        </w:rPr>
      </w:pPr>
      <w:r>
        <w:rPr>
          <w:rFonts w:ascii="Arial" w:cs="Arial" w:eastAsia="Arial" w:hAnsi="Arial"/>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303"/>
              <w:spacing w:after="0" w:line="137" w:lineRule="exact"/>
              <w:rPr>
                <w:sz w:val="20"/>
                <w:szCs w:val="20"/>
                <w:color w:val="auto"/>
              </w:rPr>
            </w:pPr>
            <w:r>
              <w:rPr>
                <w:rFonts w:ascii="Arial" w:cs="Arial" w:eastAsia="Arial" w:hAnsi="Arial"/>
                <w:sz w:val="14"/>
                <w:szCs w:val="14"/>
                <w:b w:val="1"/>
                <w:bCs w:val="1"/>
                <w:color w:val="auto"/>
                <w:w w:val="96"/>
              </w:rPr>
              <w:t>Gross Amount</w:t>
            </w:r>
          </w:p>
        </w:tc>
        <w:tc>
          <w:tcPr>
            <w:tcW w:w="1500" w:type="dxa"/>
            <w:vAlign w:val="bottom"/>
            <w:tcBorders>
              <w:top w:val="single" w:sz="8" w:color="auto"/>
            </w:tcBorders>
            <w:gridSpan w:val="2"/>
          </w:tcPr>
          <w:p>
            <w:pPr>
              <w:jc w:val="right"/>
              <w:ind w:right="22"/>
              <w:spacing w:after="0" w:line="137" w:lineRule="exact"/>
              <w:rPr>
                <w:sz w:val="20"/>
                <w:szCs w:val="20"/>
                <w:color w:val="auto"/>
              </w:rPr>
            </w:pPr>
            <w:r>
              <w:rPr>
                <w:rFonts w:ascii="Arial" w:cs="Arial" w:eastAsia="Arial" w:hAnsi="Arial"/>
                <w:sz w:val="14"/>
                <w:szCs w:val="14"/>
                <w:b w:val="1"/>
                <w:bCs w:val="1"/>
                <w:color w:val="auto"/>
                <w:w w:val="95"/>
              </w:rPr>
              <w:t>Financial Instruments</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83"/>
              <w:spacing w:after="0" w:line="137" w:lineRule="exact"/>
              <w:rPr>
                <w:sz w:val="20"/>
                <w:szCs w:val="20"/>
                <w:color w:val="auto"/>
              </w:rPr>
            </w:pPr>
            <w:r>
              <w:rPr>
                <w:rFonts w:ascii="Arial" w:cs="Arial" w:eastAsia="Arial" w:hAnsi="Arial"/>
                <w:sz w:val="14"/>
                <w:szCs w:val="14"/>
                <w:b w:val="1"/>
                <w:bCs w:val="1"/>
                <w:color w:val="auto"/>
                <w:w w:val="93"/>
              </w:rPr>
              <w:t>Collateral</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right"/>
              <w:ind w:right="62"/>
              <w:spacing w:after="0" w:line="137" w:lineRule="exact"/>
              <w:rPr>
                <w:sz w:val="20"/>
                <w:szCs w:val="20"/>
                <w:color w:val="auto"/>
              </w:rPr>
            </w:pPr>
            <w:r>
              <w:rPr>
                <w:rFonts w:ascii="Arial" w:cs="Arial" w:eastAsia="Arial" w:hAnsi="Arial"/>
                <w:sz w:val="14"/>
                <w:szCs w:val="14"/>
                <w:b w:val="1"/>
                <w:bCs w:val="1"/>
                <w:color w:val="auto"/>
                <w:w w:val="89"/>
              </w:rPr>
              <w:t>Securities Collateral</w:t>
            </w:r>
          </w:p>
        </w:tc>
        <w:tc>
          <w:tcPr>
            <w:tcW w:w="160" w:type="dxa"/>
            <w:vAlign w:val="bottom"/>
          </w:tcPr>
          <w:p>
            <w:pPr>
              <w:spacing w:after="0"/>
              <w:rPr>
                <w:sz w:val="11"/>
                <w:szCs w:val="11"/>
                <w:color w:val="auto"/>
              </w:rPr>
            </w:pPr>
          </w:p>
        </w:tc>
        <w:tc>
          <w:tcPr>
            <w:tcW w:w="1340" w:type="dxa"/>
            <w:vAlign w:val="bottom"/>
          </w:tcPr>
          <w:p>
            <w:pPr>
              <w:jc w:val="right"/>
              <w:ind w:right="103"/>
              <w:spacing w:after="0" w:line="137" w:lineRule="exact"/>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(1)</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Received/Pledged (2)</w:t>
            </w:r>
          </w:p>
        </w:tc>
        <w:tc>
          <w:tcPr>
            <w:tcW w:w="1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9"/>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0"/>
              </w:rPr>
              <w:t>Securities Collateral</w:t>
            </w: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2,685</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(1,326)</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(1,004)</w:t>
            </w:r>
          </w:p>
        </w:tc>
        <w:tc>
          <w:tcPr>
            <w:tcW w:w="120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355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1,872</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(1,326)</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546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3,588</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906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2,010</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(1,342)</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668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300" w:type="dxa"/>
            <w:vAlign w:val="bottom"/>
            <w:shd w:val="clear" w:color="auto" w:fill="CCEEFF"/>
          </w:tcPr>
          <w:p>
            <w:pPr>
              <w:jc w:val="right"/>
              <w:ind w:right="1123"/>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546</w:t>
            </w:r>
          </w:p>
        </w:tc>
        <w:tc>
          <w:tcPr>
            <w:tcW w:w="86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1300" w:type="dxa"/>
            <w:vAlign w:val="bottom"/>
            <w:shd w:val="clear" w:color="auto" w:fill="CCEEFF"/>
          </w:tcPr>
          <w:p>
            <w:pPr>
              <w:jc w:val="right"/>
              <w:ind w:right="1123"/>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887</w:t>
            </w:r>
          </w:p>
        </w:tc>
        <w:tc>
          <w:tcPr>
            <w:tcW w:w="86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2"/>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7"/>
        </w:trPr>
        <w:tc>
          <w:tcPr>
            <w:tcW w:w="55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37,917</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11,468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11,829</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3,360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9,258</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8,689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8,723</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6,996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4,835</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1,869</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3,360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80,307</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84,785</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115,797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115,839</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4,351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199,188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204,908</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7,934</w:t>
            </w:r>
          </w:p>
        </w:tc>
      </w:tr>
      <w:tr>
        <w:trPr>
          <w:trHeight w:val="22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2"/>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7"/>
        </w:trPr>
        <w:tc>
          <w:tcPr>
            <w:tcW w:w="55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11,314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11,511</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2,217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8,272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8,294</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6,785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4,640</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1,832</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2,217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79,523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2,782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111,880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111,969</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5,121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195,515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201,709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03"/>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7,157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7,184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9,181</w:t>
            </w: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82"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2021.</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Company issues certain variable annuity products with guaranteed minimum benefits. Guaranteed minimum accumulation benefits (“GMAB”),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consolidated balance sheets, with changes in estimated fair value reported in net derivative gains (losses).</w:t>
      </w:r>
    </w:p>
    <w:p>
      <w:pPr>
        <w:spacing w:after="0" w:line="7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June 30, 2021</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Impact of</w:t>
            </w: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Increase in Input</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4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Techniques</w:t>
            </w: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on Estimated</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Unobservable Inputs</w:t>
            </w:r>
          </w:p>
        </w:tc>
        <w:tc>
          <w:tcPr>
            <w:tcW w:w="6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Pr>
          <w:p>
            <w:pPr>
              <w:ind w:left="20"/>
              <w:spacing w:after="0" w:line="133" w:lineRule="exact"/>
              <w:rPr>
                <w:sz w:val="20"/>
                <w:szCs w:val="20"/>
                <w:color w:val="auto"/>
              </w:rPr>
            </w:pPr>
            <w:r>
              <w:rPr>
                <w:rFonts w:ascii="Arial" w:cs="Arial" w:eastAsia="Arial" w:hAnsi="Arial"/>
                <w:sz w:val="14"/>
                <w:szCs w:val="14"/>
                <w:color w:val="auto"/>
              </w:rPr>
              <w:t>Direct, assumed and ceded guaranteed</w:t>
            </w:r>
          </w:p>
        </w:tc>
        <w:tc>
          <w:tcPr>
            <w:tcW w:w="158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Option pricing</w:t>
            </w: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180"/>
              <w:spacing w:after="0"/>
              <w:rPr>
                <w:sz w:val="20"/>
                <w:szCs w:val="20"/>
                <w:color w:val="auto"/>
              </w:rPr>
            </w:pPr>
            <w:r>
              <w:rPr>
                <w:rFonts w:ascii="Arial" w:cs="Arial" w:eastAsia="Arial" w:hAnsi="Arial"/>
                <w:sz w:val="14"/>
                <w:szCs w:val="14"/>
                <w:color w:val="auto"/>
              </w:rPr>
              <w:t>minimum benefits</w:t>
            </w: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techniques</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Mortality rates</w:t>
            </w: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0"/>
              </w:rPr>
              <w:t>0.03%</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9"/>
              <w:spacing w:after="0"/>
              <w:rPr>
                <w:sz w:val="20"/>
                <w:szCs w:val="20"/>
                <w:color w:val="auto"/>
              </w:rPr>
            </w:pPr>
            <w:r>
              <w:rPr>
                <w:rFonts w:ascii="Arial" w:cs="Arial" w:eastAsia="Arial" w:hAnsi="Arial"/>
                <w:sz w:val="14"/>
                <w:szCs w:val="14"/>
                <w:color w:val="auto"/>
                <w:w w:val="92"/>
              </w:rPr>
              <w:t>12.13%</w:t>
            </w:r>
          </w:p>
        </w:tc>
        <w:tc>
          <w:tcPr>
            <w:tcW w:w="100" w:type="dxa"/>
            <w:vAlign w:val="bottom"/>
          </w:tcPr>
          <w:p>
            <w:pPr>
              <w:spacing w:after="0"/>
              <w:rPr>
                <w:sz w:val="15"/>
                <w:szCs w:val="15"/>
                <w:color w:val="auto"/>
              </w:rPr>
            </w:pP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0"/>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12.13%</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Decrease (1)</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Lapse rates</w:t>
            </w:r>
          </w:p>
        </w:tc>
        <w:tc>
          <w:tcPr>
            <w:tcW w:w="6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(2)</w:t>
            </w: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Utilization rates</w:t>
            </w: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5"/>
                <w:szCs w:val="15"/>
                <w:color w:val="auto"/>
              </w:rPr>
            </w:pP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(3)</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Withdrawal rates</w:t>
            </w:r>
          </w:p>
        </w:tc>
        <w:tc>
          <w:tcPr>
            <w:tcW w:w="6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2"/>
              </w:rPr>
              <w:t>10.00%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10.00%</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tcPr>
          <w:p>
            <w:pPr>
              <w:ind w:left="20"/>
              <w:spacing w:after="0" w:line="13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Long-term equity</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color w:val="auto"/>
              </w:rPr>
              <w:t>volatilities</w:t>
            </w: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2"/>
              </w:rPr>
              <w:t>16.66%</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9"/>
              <w:spacing w:after="0"/>
              <w:rPr>
                <w:sz w:val="20"/>
                <w:szCs w:val="20"/>
                <w:color w:val="auto"/>
              </w:rPr>
            </w:pPr>
            <w:r>
              <w:rPr>
                <w:rFonts w:ascii="Arial" w:cs="Arial" w:eastAsia="Arial" w:hAnsi="Arial"/>
                <w:sz w:val="14"/>
                <w:szCs w:val="14"/>
                <w:color w:val="auto"/>
                <w:w w:val="92"/>
              </w:rPr>
              <w:t>22.21%</w:t>
            </w:r>
          </w:p>
        </w:tc>
        <w:tc>
          <w:tcPr>
            <w:tcW w:w="100" w:type="dxa"/>
            <w:vAlign w:val="bottom"/>
          </w:tcPr>
          <w:p>
            <w:pPr>
              <w:spacing w:after="0"/>
              <w:rPr>
                <w:sz w:val="15"/>
                <w:szCs w:val="15"/>
                <w:color w:val="auto"/>
              </w:rPr>
            </w:pPr>
          </w:p>
        </w:tc>
        <w:tc>
          <w:tcPr>
            <w:tcW w:w="680" w:type="dxa"/>
            <w:vAlign w:val="bottom"/>
          </w:tcPr>
          <w:p>
            <w:pPr>
              <w:jc w:val="center"/>
              <w:ind w:left="89"/>
              <w:spacing w:after="0"/>
              <w:rPr>
                <w:sz w:val="20"/>
                <w:szCs w:val="20"/>
                <w:color w:val="auto"/>
              </w:rPr>
            </w:pPr>
            <w:r>
              <w:rPr>
                <w:rFonts w:ascii="Arial" w:cs="Arial" w:eastAsia="Arial" w:hAnsi="Arial"/>
                <w:sz w:val="14"/>
                <w:szCs w:val="14"/>
                <w:color w:val="auto"/>
                <w:w w:val="92"/>
              </w:rPr>
              <w:t>16.66%</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22.21%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(5)</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4"/>
                <w:szCs w:val="14"/>
                <w:color w:val="auto"/>
              </w:rPr>
              <w:t>Nonperformance risk</w:t>
            </w: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spread</w:t>
            </w:r>
          </w:p>
        </w:tc>
        <w:tc>
          <w:tcPr>
            <w:tcW w:w="68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3"/>
              </w:rPr>
              <w:t>(0.26)%</w:t>
            </w:r>
          </w:p>
        </w:tc>
        <w:tc>
          <w:tcPr>
            <w:tcW w:w="460" w:type="dxa"/>
            <w:vAlign w:val="bottom"/>
            <w:shd w:val="clear" w:color="auto" w:fill="CCEEFF"/>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0"/>
              </w:rPr>
              <w:t>1.37%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0"/>
              </w:rPr>
              <w:t>0.47%</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0"/>
              </w:rPr>
              <w:t>1.97%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82" w:lineRule="exact"/>
        <w:rPr>
          <w:rFonts w:ascii="Arial" w:cs="Arial" w:eastAsia="Arial" w:hAnsi="Arial"/>
          <w:sz w:val="18"/>
          <w:szCs w:val="18"/>
          <w:color w:val="auto"/>
        </w:rPr>
      </w:pPr>
    </w:p>
    <w:p>
      <w:pPr>
        <w:jc w:val="both"/>
        <w:ind w:left="320" w:hanging="314"/>
        <w:spacing w:after="0" w:line="250"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7" w:lineRule="exact"/>
        <w:rPr>
          <w:rFonts w:ascii="Arial" w:cs="Arial" w:eastAsia="Arial" w:hAnsi="Arial"/>
          <w:sz w:val="18"/>
          <w:szCs w:val="18"/>
          <w:color w:val="auto"/>
        </w:rPr>
      </w:pPr>
    </w:p>
    <w:p>
      <w:pPr>
        <w:jc w:val="both"/>
        <w:ind w:left="320" w:hanging="314"/>
        <w:spacing w:after="0" w:line="268" w:lineRule="auto"/>
        <w:tabs>
          <w:tab w:leader="none" w:pos="3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4" w:lineRule="exact"/>
        <w:rPr>
          <w:rFonts w:ascii="Arial" w:cs="Arial" w:eastAsia="Arial" w:hAnsi="Arial"/>
          <w:sz w:val="17"/>
          <w:szCs w:val="17"/>
          <w:color w:val="auto"/>
        </w:rPr>
      </w:pPr>
    </w:p>
    <w:p>
      <w:pPr>
        <w:jc w:val="both"/>
        <w:ind w:left="320" w:hanging="314"/>
        <w:spacing w:after="0" w:line="298" w:lineRule="auto"/>
        <w:tabs>
          <w:tab w:leader="none" w:pos="314"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(decrease) in withdrawal rates results in a decrease (increase) in the estimated fair value.</w:t>
      </w:r>
    </w:p>
    <w:p>
      <w:pPr>
        <w:spacing w:after="0" w:line="99" w:lineRule="exact"/>
        <w:rPr>
          <w:rFonts w:ascii="Arial" w:cs="Arial" w:eastAsia="Arial" w:hAnsi="Arial"/>
          <w:sz w:val="15"/>
          <w:szCs w:val="15"/>
          <w:color w:val="auto"/>
        </w:rPr>
      </w:pPr>
    </w:p>
    <w:p>
      <w:pPr>
        <w:ind w:left="320" w:hanging="314"/>
        <w:spacing w:after="0" w:line="365" w:lineRule="auto"/>
        <w:tabs>
          <w:tab w:leader="none" w:pos="314" w:val="left"/>
        </w:tabs>
        <w:numPr>
          <w:ilvl w:val="0"/>
          <w:numId w:val="24"/>
        </w:numPr>
        <w:rPr>
          <w:rFonts w:ascii="Arial" w:cs="Arial" w:eastAsia="Arial" w:hAnsi="Arial"/>
          <w:sz w:val="15"/>
          <w:szCs w:val="15"/>
          <w:color w:val="auto"/>
        </w:rPr>
      </w:pPr>
      <w:r>
        <w:rPr>
          <w:rFonts w:ascii="Arial" w:cs="Arial" w:eastAsia="Arial" w:hAnsi="Arial"/>
          <w:sz w:val="15"/>
          <w:szCs w:val="15"/>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third-party pricing models, an increase (decrease) in credit spreads would generally result in a higher (lower) fair value.</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12"/>
          </w:tcPr>
          <w:p>
            <w:pPr>
              <w:jc w:val="center"/>
              <w:ind w:left="330"/>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60"/>
              <w:spacing w:after="0"/>
              <w:rPr>
                <w:sz w:val="20"/>
                <w:szCs w:val="20"/>
                <w:color w:val="auto"/>
              </w:rPr>
            </w:pPr>
            <w:r>
              <w:rPr>
                <w:rFonts w:ascii="Arial" w:cs="Arial" w:eastAsia="Arial" w:hAnsi="Arial"/>
                <w:sz w:val="12"/>
                <w:szCs w:val="12"/>
                <w:b w:val="1"/>
                <w:bCs w:val="1"/>
                <w:color w:val="auto"/>
              </w:rPr>
              <w:t>Fixed Maturity Securities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Structured</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2"/>
              </w:rPr>
              <w:t>State and</w:t>
            </w: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Foreign</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Short-term</w:t>
            </w:r>
          </w:p>
        </w:tc>
        <w:tc>
          <w:tcPr>
            <w:tcW w:w="380" w:type="dxa"/>
            <w:vAlign w:val="bottom"/>
          </w:tcPr>
          <w:p>
            <w:pPr>
              <w:spacing w:after="0"/>
              <w:rPr>
                <w:sz w:val="10"/>
                <w:szCs w:val="10"/>
                <w:color w:val="auto"/>
              </w:rPr>
            </w:pPr>
          </w:p>
        </w:tc>
        <w:tc>
          <w:tcPr>
            <w:tcW w:w="640" w:type="dxa"/>
            <w:vAlign w:val="bottom"/>
            <w:gridSpan w:val="2"/>
            <w:vMerge w:val="restart"/>
          </w:tcPr>
          <w:p>
            <w:pPr>
              <w:jc w:val="center"/>
              <w:ind w:right="460"/>
              <w:spacing w:after="0"/>
              <w:rPr>
                <w:sz w:val="20"/>
                <w:szCs w:val="20"/>
                <w:color w:val="auto"/>
              </w:rPr>
            </w:pPr>
            <w:r>
              <w:rPr>
                <w:rFonts w:ascii="Arial" w:cs="Arial" w:eastAsia="Arial" w:hAnsi="Arial"/>
                <w:sz w:val="12"/>
                <w:szCs w:val="12"/>
                <w:b w:val="1"/>
                <w:bCs w:val="1"/>
                <w:color w:val="auto"/>
                <w:w w:val="92"/>
              </w:rPr>
              <w:t>Net</w:t>
            </w: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w w:val="99"/>
              </w:rPr>
              <w:t>Net Embedded</w:t>
            </w:r>
          </w:p>
        </w:tc>
        <w:tc>
          <w:tcPr>
            <w:tcW w:w="140" w:type="dxa"/>
            <w:vAlign w:val="bottom"/>
          </w:tcPr>
          <w:p>
            <w:pPr>
              <w:spacing w:after="0"/>
              <w:rPr>
                <w:sz w:val="10"/>
                <w:szCs w:val="10"/>
                <w:color w:val="auto"/>
              </w:rPr>
            </w:pPr>
          </w:p>
        </w:tc>
        <w:tc>
          <w:tcPr>
            <w:tcW w:w="78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90"/>
              </w:rPr>
              <w:t>Separate</w:t>
            </w: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Corporate (1)</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5"/>
              </w:rPr>
              <w:t>Political</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8"/>
              <w:spacing w:after="0" w:line="120" w:lineRule="exact"/>
              <w:rPr>
                <w:sz w:val="20"/>
                <w:szCs w:val="20"/>
                <w:color w:val="auto"/>
              </w:rPr>
            </w:pPr>
            <w:r>
              <w:rPr>
                <w:rFonts w:ascii="Arial" w:cs="Arial" w:eastAsia="Arial" w:hAnsi="Arial"/>
                <w:sz w:val="12"/>
                <w:szCs w:val="12"/>
                <w:b w:val="1"/>
                <w:bCs w:val="1"/>
                <w:color w:val="auto"/>
                <w:w w:val="91"/>
              </w:rPr>
              <w:t>Account</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Subdivision</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Government</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Investments</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5"/>
              </w:rPr>
              <w:t>Derivatives (2)</w:t>
            </w: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Derivatives (3)</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87"/>
              </w:rPr>
              <w:t>Assets (4)</w:t>
            </w:r>
          </w:p>
        </w:tc>
        <w:tc>
          <w:tcPr>
            <w:tcW w:w="0" w:type="dxa"/>
            <w:vAlign w:val="bottom"/>
          </w:tcPr>
          <w:p>
            <w:pPr>
              <w:spacing w:after="0"/>
              <w:rPr>
                <w:sz w:val="1"/>
                <w:szCs w:val="1"/>
                <w:color w:val="auto"/>
              </w:rPr>
            </w:pPr>
          </w:p>
        </w:tc>
      </w:tr>
      <w:tr>
        <w:trPr>
          <w:trHeight w:val="165"/>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7"/>
              </w:rPr>
              <w:t>(In millions)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Three Months Ended June 30, 2021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9"/>
                <w:szCs w:val="19"/>
                <w:color w:val="auto"/>
              </w:rPr>
            </w:pP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(6,468)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0"/>
        </w:trPr>
        <w:tc>
          <w:tcPr>
            <w:tcW w:w="21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(1,127)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net income (loss) (5) (6)</w:t>
            </w: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Arial" w:cs="Arial" w:eastAsia="Arial" w:hAnsi="Arial"/>
                <w:sz w:val="12"/>
                <w:szCs w:val="12"/>
                <w:color w:val="auto"/>
              </w:rPr>
              <w:t>Sales (7)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6"/>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6"/>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1"/>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Three Months Ended June 30, 2020</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19"/>
        </w:trPr>
        <w:tc>
          <w:tcPr>
            <w:tcW w:w="214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(883)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180"/>
              <w:spacing w:after="0"/>
              <w:rPr>
                <w:sz w:val="20"/>
                <w:szCs w:val="20"/>
                <w:color w:val="auto"/>
              </w:rPr>
            </w:pPr>
            <w:r>
              <w:rPr>
                <w:rFonts w:ascii="Arial" w:cs="Arial" w:eastAsia="Arial" w:hAnsi="Arial"/>
                <w:sz w:val="12"/>
                <w:szCs w:val="12"/>
                <w:color w:val="auto"/>
              </w:rPr>
              <w:t>included in net income (loss) (5) (6)</w:t>
            </w: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1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5"/>
        </w:trPr>
        <w:tc>
          <w:tcPr>
            <w:tcW w:w="214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(5,326)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4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4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included in net income (loss) for the</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4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 June 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(1,104)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2021 (9)</w:t>
            </w: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140" w:type="dxa"/>
            <w:vAlign w:val="bottom"/>
          </w:tcPr>
          <w:p>
            <w:pPr>
              <w:ind w:left="180"/>
              <w:spacing w:after="0" w:line="120" w:lineRule="exact"/>
              <w:rPr>
                <w:sz w:val="20"/>
                <w:szCs w:val="20"/>
                <w:color w:val="auto"/>
              </w:rPr>
            </w:pPr>
            <w:r>
              <w:rPr>
                <w:rFonts w:ascii="Arial" w:cs="Arial" w:eastAsia="Arial" w:hAnsi="Arial"/>
                <w:sz w:val="12"/>
                <w:szCs w:val="12"/>
                <w:color w:val="auto"/>
              </w:rPr>
              <w:t>included in other comprehensive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40" w:type="dxa"/>
            <w:vAlign w:val="bottom"/>
          </w:tcPr>
          <w:p>
            <w:pPr>
              <w:ind w:left="180"/>
              <w:spacing w:after="0" w:line="120" w:lineRule="exact"/>
              <w:rPr>
                <w:sz w:val="20"/>
                <w:szCs w:val="20"/>
                <w:color w:val="auto"/>
              </w:rPr>
            </w:pPr>
            <w:r>
              <w:rPr>
                <w:rFonts w:ascii="Arial" w:cs="Arial" w:eastAsia="Arial" w:hAnsi="Arial"/>
                <w:sz w:val="12"/>
                <w:szCs w:val="12"/>
                <w:color w:val="auto"/>
              </w:rPr>
              <w:t>income for the instruments still held</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c>
          <w:tcPr>
            <w:tcW w:w="320" w:type="dxa"/>
            <w:vAlign w:val="bottom"/>
            <w:vMerge w:val="restart"/>
          </w:tcPr>
          <w:p>
            <w:pPr>
              <w:jc w:val="right"/>
              <w:ind w:right="178"/>
              <w:spacing w:after="0"/>
              <w:rPr>
                <w:sz w:val="20"/>
                <w:szCs w:val="20"/>
                <w:color w:val="auto"/>
              </w:rPr>
            </w:pPr>
            <w:r>
              <w:rPr>
                <w:rFonts w:ascii="Arial" w:cs="Arial" w:eastAsia="Arial" w:hAnsi="Arial"/>
                <w:sz w:val="12"/>
                <w:szCs w:val="12"/>
                <w:color w:val="auto"/>
                <w:w w:val="89"/>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140" w:type="dxa"/>
            <w:vAlign w:val="bottom"/>
          </w:tcPr>
          <w:p>
            <w:pPr>
              <w:ind w:left="180"/>
              <w:spacing w:after="0"/>
              <w:rPr>
                <w:sz w:val="20"/>
                <w:szCs w:val="20"/>
                <w:color w:val="auto"/>
              </w:rPr>
            </w:pPr>
            <w:r>
              <w:rPr>
                <w:rFonts w:ascii="Arial" w:cs="Arial" w:eastAsia="Arial" w:hAnsi="Arial"/>
                <w:sz w:val="12"/>
                <w:szCs w:val="12"/>
                <w:color w:val="auto"/>
              </w:rPr>
              <w:t>at June 30, 2021 (9)</w:t>
            </w:r>
          </w:p>
        </w:tc>
        <w:tc>
          <w:tcPr>
            <w:tcW w:w="1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4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4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included in net income (loss) for the</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4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 June 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(928)</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2020 (9)</w:t>
            </w: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140" w:type="dxa"/>
            <w:vAlign w:val="bottom"/>
          </w:tcPr>
          <w:p>
            <w:pPr>
              <w:ind w:left="180"/>
              <w:spacing w:after="0" w:line="120" w:lineRule="exact"/>
              <w:rPr>
                <w:sz w:val="20"/>
                <w:szCs w:val="20"/>
                <w:color w:val="auto"/>
              </w:rPr>
            </w:pPr>
            <w:r>
              <w:rPr>
                <w:rFonts w:ascii="Arial" w:cs="Arial" w:eastAsia="Arial" w:hAnsi="Arial"/>
                <w:sz w:val="12"/>
                <w:szCs w:val="12"/>
                <w:color w:val="auto"/>
              </w:rPr>
              <w:t>included in other comprehensive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40" w:type="dxa"/>
            <w:vAlign w:val="bottom"/>
          </w:tcPr>
          <w:p>
            <w:pPr>
              <w:ind w:left="180"/>
              <w:spacing w:after="0" w:line="120" w:lineRule="exact"/>
              <w:rPr>
                <w:sz w:val="20"/>
                <w:szCs w:val="20"/>
                <w:color w:val="auto"/>
              </w:rPr>
            </w:pPr>
            <w:r>
              <w:rPr>
                <w:rFonts w:ascii="Arial" w:cs="Arial" w:eastAsia="Arial" w:hAnsi="Arial"/>
                <w:sz w:val="12"/>
                <w:szCs w:val="12"/>
                <w:color w:val="auto"/>
              </w:rPr>
              <w:t>income for the instruments still held</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ind w:right="238"/>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c>
          <w:tcPr>
            <w:tcW w:w="320" w:type="dxa"/>
            <w:vAlign w:val="bottom"/>
            <w:vMerge w:val="restart"/>
          </w:tcPr>
          <w:p>
            <w:pPr>
              <w:jc w:val="right"/>
              <w:ind w:right="178"/>
              <w:spacing w:after="0"/>
              <w:rPr>
                <w:sz w:val="20"/>
                <w:szCs w:val="20"/>
                <w:color w:val="auto"/>
              </w:rPr>
            </w:pPr>
            <w:r>
              <w:rPr>
                <w:rFonts w:ascii="Arial" w:cs="Arial" w:eastAsia="Arial" w:hAnsi="Arial"/>
                <w:sz w:val="12"/>
                <w:szCs w:val="12"/>
                <w:color w:val="auto"/>
                <w:w w:val="89"/>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140" w:type="dxa"/>
            <w:vAlign w:val="bottom"/>
          </w:tcPr>
          <w:p>
            <w:pPr>
              <w:ind w:left="180"/>
              <w:spacing w:after="0"/>
              <w:rPr>
                <w:sz w:val="20"/>
                <w:szCs w:val="20"/>
                <w:color w:val="auto"/>
              </w:rPr>
            </w:pPr>
            <w:r>
              <w:rPr>
                <w:rFonts w:ascii="Arial" w:cs="Arial" w:eastAsia="Arial" w:hAnsi="Arial"/>
                <w:sz w:val="12"/>
                <w:szCs w:val="12"/>
                <w:color w:val="auto"/>
              </w:rPr>
              <w:t>at June 30, 2020 (9)</w:t>
            </w:r>
          </w:p>
        </w:tc>
        <w:tc>
          <w:tcPr>
            <w:tcW w:w="1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2"/>
          </w:tcPr>
          <w:p>
            <w:pPr>
              <w:jc w:val="center"/>
              <w:ind w:left="358"/>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60"/>
              <w:spacing w:after="0"/>
              <w:rPr>
                <w:sz w:val="20"/>
                <w:szCs w:val="20"/>
                <w:color w:val="auto"/>
              </w:rPr>
            </w:pPr>
            <w:r>
              <w:rPr>
                <w:rFonts w:ascii="Arial" w:cs="Arial" w:eastAsia="Arial" w:hAnsi="Arial"/>
                <w:sz w:val="12"/>
                <w:szCs w:val="12"/>
                <w:b w:val="1"/>
                <w:bCs w:val="1"/>
                <w:color w:val="auto"/>
              </w:rPr>
              <w:t>Fixed Maturity Securities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Structured</w:t>
            </w: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2"/>
              </w:rPr>
              <w:t>State and</w:t>
            </w:r>
          </w:p>
        </w:tc>
        <w:tc>
          <w:tcPr>
            <w:tcW w:w="12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Foreign</w:t>
            </w: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Short-term</w:t>
            </w:r>
          </w:p>
        </w:tc>
        <w:tc>
          <w:tcPr>
            <w:tcW w:w="340" w:type="dxa"/>
            <w:vAlign w:val="bottom"/>
          </w:tcPr>
          <w:p>
            <w:pPr>
              <w:spacing w:after="0"/>
              <w:rPr>
                <w:sz w:val="10"/>
                <w:szCs w:val="10"/>
                <w:color w:val="auto"/>
              </w:rPr>
            </w:pPr>
          </w:p>
        </w:tc>
        <w:tc>
          <w:tcPr>
            <w:tcW w:w="680" w:type="dxa"/>
            <w:vAlign w:val="bottom"/>
            <w:gridSpan w:val="2"/>
            <w:vMerge w:val="restart"/>
          </w:tcPr>
          <w:p>
            <w:pPr>
              <w:jc w:val="center"/>
              <w:ind w:right="440"/>
              <w:spacing w:after="0"/>
              <w:rPr>
                <w:sz w:val="20"/>
                <w:szCs w:val="20"/>
                <w:color w:val="auto"/>
              </w:rPr>
            </w:pPr>
            <w:r>
              <w:rPr>
                <w:rFonts w:ascii="Arial" w:cs="Arial" w:eastAsia="Arial" w:hAnsi="Arial"/>
                <w:sz w:val="12"/>
                <w:szCs w:val="12"/>
                <w:b w:val="1"/>
                <w:bCs w:val="1"/>
                <w:color w:val="auto"/>
              </w:rPr>
              <w:t>Net</w:t>
            </w: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Net Embedded</w:t>
            </w:r>
          </w:p>
        </w:tc>
        <w:tc>
          <w:tcPr>
            <w:tcW w:w="140" w:type="dxa"/>
            <w:vAlign w:val="bottom"/>
          </w:tcPr>
          <w:p>
            <w:pPr>
              <w:spacing w:after="0"/>
              <w:rPr>
                <w:sz w:val="10"/>
                <w:szCs w:val="10"/>
                <w:color w:val="auto"/>
              </w:rPr>
            </w:pPr>
          </w:p>
        </w:tc>
        <w:tc>
          <w:tcPr>
            <w:tcW w:w="74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90"/>
              </w:rPr>
              <w:t>Separate</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Corporate (1)</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5"/>
              </w:rPr>
              <w:t>Political</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8"/>
              <w:spacing w:after="0" w:line="120" w:lineRule="exact"/>
              <w:rPr>
                <w:sz w:val="20"/>
                <w:szCs w:val="20"/>
                <w:color w:val="auto"/>
              </w:rPr>
            </w:pPr>
            <w:r>
              <w:rPr>
                <w:rFonts w:ascii="Arial" w:cs="Arial" w:eastAsia="Arial" w:hAnsi="Arial"/>
                <w:sz w:val="12"/>
                <w:szCs w:val="12"/>
                <w:b w:val="1"/>
                <w:bCs w:val="1"/>
                <w:color w:val="auto"/>
                <w:w w:val="91"/>
              </w:rPr>
              <w:t>Account</w:t>
            </w: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7"/>
              </w:rPr>
              <w:t>Securities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1"/>
              </w:rPr>
              <w:t>Subdivision</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Government</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Securities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Investments</w:t>
            </w: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92"/>
              </w:rPr>
              <w:t>Derivatives (2)</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Derivatives (3)</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87"/>
              </w:rPr>
              <w:t>Assets (4)</w:t>
            </w: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4"/>
              </w:rPr>
              <w:t>(In millions)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Six Months Ended June 30, 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(6,874)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7"/>
        </w:trPr>
        <w:tc>
          <w:tcPr>
            <w:tcW w:w="20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(5) (6)</w:t>
            </w: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180"/>
              <w:spacing w:after="0"/>
              <w:rPr>
                <w:sz w:val="20"/>
                <w:szCs w:val="20"/>
                <w:color w:val="auto"/>
              </w:rPr>
            </w:pPr>
            <w:r>
              <w:rPr>
                <w:rFonts w:ascii="Arial" w:cs="Arial" w:eastAsia="Arial" w:hAnsi="Arial"/>
                <w:sz w:val="12"/>
                <w:szCs w:val="12"/>
                <w:color w:val="auto"/>
              </w:rPr>
              <w:t>(losses) included in AOCI</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center"/>
              <w:ind w:left="558"/>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Six Months Ended June 30, 2020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center"/>
              <w:ind w:left="558"/>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9"/>
        </w:trPr>
        <w:tc>
          <w:tcPr>
            <w:tcW w:w="200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(962)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180"/>
              <w:spacing w:after="0"/>
              <w:rPr>
                <w:sz w:val="20"/>
                <w:szCs w:val="20"/>
                <w:color w:val="auto"/>
              </w:rPr>
            </w:pPr>
            <w:r>
              <w:rPr>
                <w:rFonts w:ascii="Arial" w:cs="Arial" w:eastAsia="Arial" w:hAnsi="Arial"/>
                <w:sz w:val="12"/>
                <w:szCs w:val="12"/>
                <w:color w:val="auto"/>
              </w:rPr>
              <w:t>(loss) (5) (6)</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(losses) included in AOCI</w:t>
            </w: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538"/>
              <w:spacing w:after="0"/>
              <w:rPr>
                <w:sz w:val="20"/>
                <w:szCs w:val="20"/>
                <w:color w:val="auto"/>
              </w:rPr>
            </w:pPr>
            <w:r>
              <w:rPr>
                <w:rFonts w:ascii="Arial" w:cs="Arial" w:eastAsia="Arial" w:hAnsi="Arial"/>
                <w:sz w:val="12"/>
                <w:szCs w:val="12"/>
                <w:color w:val="auto"/>
                <w:w w:val="93"/>
              </w:rPr>
              <w:t>(73)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0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center"/>
              <w:ind w:left="5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(5,326)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0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included in net income (loss) for</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the 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June 30, 2021 (9)</w:t>
            </w: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9"/>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180"/>
              <w:spacing w:after="0" w:line="120" w:lineRule="exact"/>
              <w:rPr>
                <w:sz w:val="20"/>
                <w:szCs w:val="20"/>
                <w:color w:val="auto"/>
              </w:rPr>
            </w:pPr>
            <w:r>
              <w:rPr>
                <w:rFonts w:ascii="Arial" w:cs="Arial" w:eastAsia="Arial" w:hAnsi="Arial"/>
                <w:sz w:val="12"/>
                <w:szCs w:val="12"/>
                <w:color w:val="auto"/>
              </w:rPr>
              <w:t>included in other comprehensive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180"/>
              <w:spacing w:after="0" w:line="120" w:lineRule="exact"/>
              <w:rPr>
                <w:sz w:val="20"/>
                <w:szCs w:val="20"/>
                <w:color w:val="auto"/>
              </w:rPr>
            </w:pPr>
            <w:r>
              <w:rPr>
                <w:rFonts w:ascii="Arial" w:cs="Arial" w:eastAsia="Arial" w:hAnsi="Arial"/>
                <w:sz w:val="12"/>
                <w:szCs w:val="12"/>
                <w:color w:val="auto"/>
              </w:rPr>
              <w:t>income for the instruments still</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color w:val="auto"/>
              </w:rPr>
              <w:t>held at June 30, 2021 (9)</w:t>
            </w:r>
          </w:p>
        </w:tc>
        <w:tc>
          <w:tcPr>
            <w:tcW w:w="1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0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included in net income (loss) for</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the 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(1,019)</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June 30, 2020 (9)</w:t>
            </w: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9"/>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180"/>
              <w:spacing w:after="0" w:line="120" w:lineRule="exact"/>
              <w:rPr>
                <w:sz w:val="20"/>
                <w:szCs w:val="20"/>
                <w:color w:val="auto"/>
              </w:rPr>
            </w:pPr>
            <w:r>
              <w:rPr>
                <w:rFonts w:ascii="Arial" w:cs="Arial" w:eastAsia="Arial" w:hAnsi="Arial"/>
                <w:sz w:val="12"/>
                <w:szCs w:val="12"/>
                <w:color w:val="auto"/>
              </w:rPr>
              <w:t>included in other comprehensive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tcPr>
          <w:p>
            <w:pPr>
              <w:ind w:left="180"/>
              <w:spacing w:after="0" w:line="120" w:lineRule="exact"/>
              <w:rPr>
                <w:sz w:val="20"/>
                <w:szCs w:val="20"/>
                <w:color w:val="auto"/>
              </w:rPr>
            </w:pPr>
            <w:r>
              <w:rPr>
                <w:rFonts w:ascii="Arial" w:cs="Arial" w:eastAsia="Arial" w:hAnsi="Arial"/>
                <w:sz w:val="12"/>
                <w:szCs w:val="12"/>
                <w:color w:val="auto"/>
              </w:rPr>
              <w:t>income for the instruments still</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center"/>
              <w:ind w:left="438"/>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198"/>
              <w:spacing w:after="0"/>
              <w:rPr>
                <w:sz w:val="20"/>
                <w:szCs w:val="20"/>
                <w:color w:val="auto"/>
              </w:rPr>
            </w:pPr>
            <w:r>
              <w:rPr>
                <w:rFonts w:ascii="Arial" w:cs="Arial" w:eastAsia="Arial" w:hAnsi="Arial"/>
                <w:sz w:val="12"/>
                <w:szCs w:val="12"/>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color w:val="auto"/>
              </w:rPr>
              <w:t>held at June 30, 2020 (9)</w:t>
            </w:r>
          </w:p>
        </w:tc>
        <w:tc>
          <w:tcPr>
            <w:tcW w:w="1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hanging="314"/>
        <w:spacing w:after="0" w:line="255"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82"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June 30, 2021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116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16,732</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17,690</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17,690</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1,255</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498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75</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63</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3,351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20,491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22,197</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22,197</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3,436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3,903</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1,212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498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1,416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1,416</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15,808</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16,926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1,291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512</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51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39</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3,277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17,497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3,436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3,858</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163</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1,334</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1,334</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 both June 30,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Outstanding</w:t>
            </w:r>
          </w:p>
        </w:tc>
      </w:tr>
      <w:tr>
        <w:trPr>
          <w:trHeight w:val="211"/>
        </w:trPr>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6.600%</w:t>
            </w:r>
          </w:p>
        </w:tc>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A</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17,000</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210"/>
        </w:trPr>
        <w:tc>
          <w:tcPr>
            <w:tcW w:w="540" w:type="dxa"/>
            <w:vAlign w:val="bottom"/>
          </w:tcPr>
          <w:p>
            <w:pPr>
              <w:jc w:val="right"/>
              <w:spacing w:after="0"/>
              <w:rPr>
                <w:sz w:val="20"/>
                <w:szCs w:val="20"/>
                <w:color w:val="auto"/>
              </w:rPr>
            </w:pPr>
            <w:r>
              <w:rPr>
                <w:rFonts w:ascii="Arial" w:cs="Arial" w:eastAsia="Arial" w:hAnsi="Arial"/>
                <w:sz w:val="16"/>
                <w:szCs w:val="16"/>
                <w:color w:val="auto"/>
                <w:w w:val="92"/>
              </w:rPr>
              <w:t>6.750%</w:t>
            </w:r>
          </w:p>
        </w:tc>
        <w:tc>
          <w:tcPr>
            <w:tcW w:w="5300" w:type="dxa"/>
            <w:vAlign w:val="bottom"/>
          </w:tcPr>
          <w:p>
            <w:pPr>
              <w:ind w:left="20"/>
              <w:spacing w:after="0"/>
              <w:rPr>
                <w:sz w:val="20"/>
                <w:szCs w:val="20"/>
                <w:color w:val="auto"/>
              </w:rPr>
            </w:pPr>
            <w:r>
              <w:rPr>
                <w:rFonts w:ascii="Arial" w:cs="Arial" w:eastAsia="Arial" w:hAnsi="Arial"/>
                <w:sz w:val="16"/>
                <w:szCs w:val="16"/>
                <w:color w:val="auto"/>
              </w:rPr>
              <w:t>Non-Cumulative Preferred Stock, Series B</w:t>
            </w: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215"/>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5.375%</w:t>
            </w: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C</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09"/>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Not designated</w:t>
            </w:r>
          </w:p>
        </w:tc>
        <w:tc>
          <w:tcPr>
            <w:tcW w:w="1740" w:type="dxa"/>
            <w:vAlign w:val="bottom"/>
          </w:tcPr>
          <w:p>
            <w:pPr>
              <w:jc w:val="right"/>
              <w:spacing w:after="0"/>
              <w:rPr>
                <w:sz w:val="20"/>
                <w:szCs w:val="20"/>
                <w:color w:val="auto"/>
              </w:rPr>
            </w:pPr>
            <w:r>
              <w:rPr>
                <w:rFonts w:ascii="Arial" w:cs="Arial" w:eastAsia="Arial" w:hAnsi="Arial"/>
                <w:sz w:val="16"/>
                <w:szCs w:val="16"/>
                <w:color w:val="auto"/>
              </w:rPr>
              <w:t>99,943,900</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Total</w:t>
            </w:r>
          </w:p>
        </w:tc>
        <w:tc>
          <w:tcPr>
            <w:tcW w:w="530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56,100</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declaration, record and payment dates, as well as per share and aggregate dividend amounts for BHF’s preferred stock by series for the six months ended June 30, 2021 and 2020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jc w:val="right"/>
              <w:ind w:right="661"/>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6"/>
                <w:szCs w:val="16"/>
                <w:color w:val="auto"/>
              </w:rPr>
            </w:pPr>
          </w:p>
        </w:tc>
        <w:tc>
          <w:tcPr>
            <w:tcW w:w="184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Series C</w:t>
            </w:r>
          </w:p>
        </w:tc>
      </w:tr>
      <w:tr>
        <w:trPr>
          <w:trHeight w:val="185"/>
        </w:trPr>
        <w:tc>
          <w:tcPr>
            <w:tcW w:w="172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Declaration Date</w:t>
            </w: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Record Date</w:t>
            </w: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Aggregate</w:t>
            </w:r>
          </w:p>
        </w:tc>
      </w:tr>
      <w:tr>
        <w:trPr>
          <w:trHeight w:val="179"/>
        </w:trPr>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(In millions, except per share data)</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13"/>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17,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10,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25, 2021</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February 16, 2021</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10, 2021</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25, 2021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466.58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5"/>
        </w:trPr>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15, 2020</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10, 2020</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25, 2020</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February 14, 2020</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10, 2020</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25, 2020</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February 10, 2021, BHF authorized the repurchase of up to $200 million of its common stock, which is in addition to the $1.1 billion aggregate stock repurchase authorizations announced in February 2020, May 2019 and August 2018. Repurchases under this authorization may be made through open market purchases, including pursuant to 10b5-1 plans or pursuant to accelerated stock repurchase plans, or through privately negotiated transactions, from time to time at management’s discretion in accordance with applicable legal requirements. See Note 11 for information relating to the authorization of share repurchases subsequent to June 30, 2021.</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six months ended June 30, 2021 and 2020, BHF repurchased 4,312,267 and 13,250,927 shares, respectively, of its common stock through open market purchases pursuant to 10b5-1 plans for $192 million and $322 million, respectively. At June 30, 2021, BHF had $87 million remaining under its common stock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3"/>
              </w:rPr>
              <w:t>Three Months Ended June 30, 2021</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3"/>
              </w:rPr>
              <w:t>Three Months Ended June 30, 2020</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4,949</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2"/>
              </w:rPr>
              <w:t>Six Months Ended June 30, 2021</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2"/>
              </w:rPr>
              <w:t>Six Months Ended June 30, 2020</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 (2)</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 million related to the adoption of the allowance for credit losses guidance.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91"/>
              </w:rPr>
              <w:t>Consolidated Statements of</w:t>
            </w:r>
          </w:p>
        </w:tc>
        <w:tc>
          <w:tcPr>
            <w:tcW w:w="0" w:type="dxa"/>
            <w:vAlign w:val="bottom"/>
          </w:tcPr>
          <w:p>
            <w:pPr>
              <w:spacing w:after="0"/>
              <w:rPr>
                <w:sz w:val="1"/>
                <w:szCs w:val="1"/>
                <w:color w:val="auto"/>
              </w:rPr>
            </w:pPr>
          </w:p>
        </w:tc>
      </w:tr>
      <w:tr>
        <w:trPr>
          <w:trHeight w:val="119"/>
        </w:trPr>
        <w:tc>
          <w:tcPr>
            <w:tcW w:w="4660" w:type="dxa"/>
            <w:vAlign w:val="bottom"/>
            <w:gridSpan w:val="2"/>
            <w:vMerge w:val="restart"/>
          </w:tcPr>
          <w:p>
            <w:pPr>
              <w:ind w:left="1780"/>
              <w:spacing w:after="0"/>
              <w:rPr>
                <w:sz w:val="20"/>
                <w:szCs w:val="20"/>
                <w:color w:val="auto"/>
              </w:rPr>
            </w:pPr>
            <w:r>
              <w:rPr>
                <w:rFonts w:ascii="Arial" w:cs="Arial" w:eastAsia="Arial" w:hAnsi="Arial"/>
                <w:sz w:val="12"/>
                <w:szCs w:val="12"/>
                <w:b w:val="1"/>
                <w:bCs w:val="1"/>
                <w:color w:val="auto"/>
              </w:rPr>
              <w:t>AOCI Components</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2"/>
                <w:szCs w:val="12"/>
                <w:b w:val="1"/>
                <w:bCs w:val="1"/>
                <w:color w:val="auto"/>
              </w:rPr>
              <w:t>Amounts Reclassified from AOCI</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Operations and Comprehensive Income</w:t>
            </w:r>
          </w:p>
        </w:tc>
        <w:tc>
          <w:tcPr>
            <w:tcW w:w="0" w:type="dxa"/>
            <w:vAlign w:val="bottom"/>
          </w:tcPr>
          <w:p>
            <w:pPr>
              <w:spacing w:after="0"/>
              <w:rPr>
                <w:sz w:val="1"/>
                <w:szCs w:val="1"/>
                <w:color w:val="auto"/>
              </w:rPr>
            </w:pPr>
          </w:p>
        </w:tc>
      </w:tr>
      <w:tr>
        <w:trPr>
          <w:trHeight w:val="166"/>
        </w:trPr>
        <w:tc>
          <w:tcPr>
            <w:tcW w:w="46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89"/>
              </w:rPr>
              <w:t>(Loss) Locations</w:t>
            </w:r>
          </w:p>
        </w:tc>
        <w:tc>
          <w:tcPr>
            <w:tcW w:w="0" w:type="dxa"/>
            <w:vAlign w:val="bottom"/>
          </w:tcPr>
          <w:p>
            <w:pPr>
              <w:spacing w:after="0"/>
              <w:rPr>
                <w:sz w:val="1"/>
                <w:szCs w:val="1"/>
                <w:color w:val="auto"/>
              </w:rPr>
            </w:pPr>
          </w:p>
        </w:tc>
      </w:tr>
      <w:tr>
        <w:trPr>
          <w:trHeight w:val="119"/>
        </w:trPr>
        <w:tc>
          <w:tcPr>
            <w:tcW w:w="4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Borders>
              <w:top w:val="single" w:sz="8" w:color="auto"/>
            </w:tcBorders>
            <w:gridSpan w:val="4"/>
          </w:tcPr>
          <w:p>
            <w:pPr>
              <w:jc w:val="right"/>
              <w:ind w:right="94"/>
              <w:spacing w:after="0" w:line="119" w:lineRule="exact"/>
              <w:rPr>
                <w:sz w:val="20"/>
                <w:szCs w:val="20"/>
                <w:color w:val="auto"/>
              </w:rPr>
            </w:pPr>
            <w:r>
              <w:rPr>
                <w:rFonts w:ascii="Arial" w:cs="Arial" w:eastAsia="Arial" w:hAnsi="Arial"/>
                <w:sz w:val="12"/>
                <w:szCs w:val="12"/>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470"/>
              <w:spacing w:after="0" w:line="119" w:lineRule="exact"/>
              <w:rPr>
                <w:sz w:val="20"/>
                <w:szCs w:val="20"/>
                <w:color w:val="auto"/>
              </w:rPr>
            </w:pPr>
            <w:r>
              <w:rPr>
                <w:rFonts w:ascii="Arial" w:cs="Arial" w:eastAsia="Arial" w:hAnsi="Arial"/>
                <w:sz w:val="12"/>
                <w:szCs w:val="12"/>
                <w:b w:val="1"/>
                <w:bCs w:val="1"/>
                <w:color w:val="auto"/>
              </w:rPr>
              <w:t>Six Months Ended</w:t>
            </w:r>
          </w:p>
        </w:tc>
        <w:tc>
          <w:tcPr>
            <w:tcW w:w="1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2"/>
                <w:szCs w:val="12"/>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tcPr>
          <w:p>
            <w:pPr>
              <w:jc w:val="right"/>
              <w:ind w:right="514"/>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660" w:type="dxa"/>
            <w:vAlign w:val="bottom"/>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040" w:type="dxa"/>
            <w:vAlign w:val="bottom"/>
            <w:gridSpan w:val="3"/>
          </w:tcPr>
          <w:p>
            <w:pPr>
              <w:jc w:val="right"/>
              <w:ind w:right="474"/>
              <w:spacing w:after="0"/>
              <w:rPr>
                <w:sz w:val="20"/>
                <w:szCs w:val="20"/>
                <w:color w:val="auto"/>
              </w:rPr>
            </w:pPr>
            <w:r>
              <w:rPr>
                <w:rFonts w:ascii="Arial" w:cs="Arial" w:eastAsia="Arial" w:hAnsi="Arial"/>
                <w:sz w:val="14"/>
                <w:szCs w:val="14"/>
                <w:color w:val="auto"/>
              </w:rPr>
              <w:t>(7)  Net investment gains (losses)</w:t>
            </w: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gridSpan w:val="3"/>
            <w:shd w:val="clear" w:color="auto" w:fill="CCEEFF"/>
          </w:tcPr>
          <w:p>
            <w:pPr>
              <w:jc w:val="right"/>
              <w:ind w:right="534"/>
              <w:spacing w:after="0"/>
              <w:rPr>
                <w:sz w:val="20"/>
                <w:szCs w:val="20"/>
                <w:color w:val="auto"/>
              </w:rPr>
            </w:pPr>
            <w:r>
              <w:rPr>
                <w:rFonts w:ascii="Arial" w:cs="Arial" w:eastAsia="Arial" w:hAnsi="Arial"/>
                <w:sz w:val="14"/>
                <w:szCs w:val="14"/>
                <w:color w:val="auto"/>
              </w:rPr>
              <w:t>(5)  Net derivative gains (losses)</w:t>
            </w:r>
          </w:p>
        </w:tc>
        <w:tc>
          <w:tcPr>
            <w:tcW w:w="0" w:type="dxa"/>
            <w:vAlign w:val="bottom"/>
          </w:tcPr>
          <w:p>
            <w:pPr>
              <w:spacing w:after="0"/>
              <w:rPr>
                <w:sz w:val="1"/>
                <w:szCs w:val="1"/>
                <w:color w:val="auto"/>
              </w:rPr>
            </w:pPr>
          </w:p>
        </w:tc>
      </w:tr>
      <w:tr>
        <w:trPr>
          <w:trHeight w:val="176"/>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Net unrealized investment gains (losses), before income tax</w:t>
            </w:r>
          </w:p>
        </w:tc>
        <w:tc>
          <w:tcPr>
            <w:tcW w:w="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unrealized investment gains (losses), net of income tax</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gains (losses) on derivatives - cash flow hedges: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68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220" w:type="dxa"/>
            <w:vAlign w:val="bottom"/>
          </w:tcPr>
          <w:p>
            <w:pPr>
              <w:jc w:val="right"/>
              <w:ind w:right="534"/>
              <w:spacing w:after="0"/>
              <w:rPr>
                <w:sz w:val="20"/>
                <w:szCs w:val="20"/>
                <w:color w:val="auto"/>
              </w:rPr>
            </w:pPr>
            <w:r>
              <w:rPr>
                <w:rFonts w:ascii="Arial" w:cs="Arial" w:eastAsia="Arial" w:hAnsi="Arial"/>
                <w:sz w:val="14"/>
                <w:szCs w:val="14"/>
                <w:color w:val="auto"/>
                <w:w w:val="90"/>
              </w:rPr>
              <w:t>Net derivative gains (losses)</w:t>
            </w: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91"/>
              </w:rPr>
              <w:t>Net investment income</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swaps</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jc w:val="right"/>
              <w:ind w:right="534"/>
              <w:spacing w:after="0"/>
              <w:rPr>
                <w:sz w:val="20"/>
                <w:szCs w:val="20"/>
                <w:color w:val="auto"/>
              </w:rPr>
            </w:pPr>
            <w:r>
              <w:rPr>
                <w:rFonts w:ascii="Arial" w:cs="Arial" w:eastAsia="Arial" w:hAnsi="Arial"/>
                <w:sz w:val="14"/>
                <w:szCs w:val="14"/>
                <w:color w:val="auto"/>
                <w:w w:val="90"/>
              </w:rPr>
              <w:t>Net derivative gains (losses)</w:t>
            </w:r>
          </w:p>
        </w:tc>
        <w:tc>
          <w:tcPr>
            <w:tcW w:w="0" w:type="dxa"/>
            <w:vAlign w:val="bottom"/>
          </w:tcPr>
          <w:p>
            <w:pPr>
              <w:spacing w:after="0"/>
              <w:rPr>
                <w:sz w:val="1"/>
                <w:szCs w:val="1"/>
                <w:color w:val="auto"/>
              </w:rPr>
            </w:pPr>
          </w:p>
        </w:tc>
      </w:tr>
      <w:tr>
        <w:trPr>
          <w:trHeight w:val="182"/>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before income tax</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net of income tax</w:t>
            </w:r>
          </w:p>
        </w:tc>
        <w:tc>
          <w:tcPr>
            <w:tcW w:w="6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Defined benefit plans adjustment: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net actuarial gains (losses)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Amortization of defined benefit plans, before income tax</w:t>
            </w:r>
          </w:p>
        </w:tc>
        <w:tc>
          <w:tcPr>
            <w:tcW w:w="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Amortization of defined benefit plans, net of income tax</w:t>
            </w:r>
          </w:p>
        </w:tc>
        <w:tc>
          <w:tcPr>
            <w:tcW w:w="6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reclassifications, net of income tax</w:t>
            </w:r>
          </w:p>
        </w:tc>
        <w:tc>
          <w:tcPr>
            <w:tcW w:w="6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revenues consisted primarily of 12b-1 fees of $91 million and $179 million for the three months and six months ended June 30, 2021, respectively, and $76 million and $157 million for the three months and six months ended June 30, 2020,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6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6040" w:type="dxa"/>
            <w:vAlign w:val="bottom"/>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179"/>
        </w:trPr>
        <w:tc>
          <w:tcPr>
            <w:tcW w:w="6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8"/>
        </w:trPr>
        <w:tc>
          <w:tcPr>
            <w:tcW w:w="604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r>
      <w:tr>
        <w:trPr>
          <w:trHeight w:val="20"/>
        </w:trPr>
        <w:tc>
          <w:tcPr>
            <w:tcW w:w="6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79"/>
        </w:trPr>
        <w:tc>
          <w:tcPr>
            <w:tcW w:w="6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79"/>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6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(In millions, except share and per share data)</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85,549,350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94,698,169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86,555,806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99,728,754</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Dilutive effect of share-based awards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515,800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140,178</w:t>
            </w:r>
          </w:p>
        </w:tc>
      </w:tr>
      <w:tr>
        <w:trPr>
          <w:trHeight w:val="233"/>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86,065,150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94,698,169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86,555,806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99,868,932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604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29.60</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both the six months ended June 30, 2021 and the three months ended June 30, 2020, basic loss per common share equaled diluted loss per common share. The diluted shares were not utilized in the per share calculation for this period as the inclusion of such shares would have an antidilutive effect.</w:t>
      </w:r>
    </w:p>
    <w:p>
      <w:pPr>
        <w:spacing w:after="0" w:line="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both the three months ended June 30, 2021 and the six months ended June 30, 2020, weighted average shares used for calculating diluted earnings per common share excludes 187,371 of out-of-the-money stock options, as the inclusion of these shares would be antidilutive to the earnings per common share calculation due to the average share price for the three months ended June 30, 2021 and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2021.</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2021,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304" w:lineRule="auto"/>
        <w:rPr>
          <w:sz w:val="20"/>
          <w:szCs w:val="20"/>
          <w:color w:val="auto"/>
        </w:rPr>
      </w:pPr>
      <w:r>
        <w:rPr>
          <w:rFonts w:ascii="Arial" w:cs="Arial" w:eastAsia="Arial" w:hAnsi="Arial"/>
          <w:sz w:val="15"/>
          <w:szCs w:val="15"/>
          <w:i w:val="1"/>
          <w:iCs w:val="1"/>
          <w:color w:val="auto"/>
        </w:rPr>
        <w:t xml:space="preserve">Richard A. Newton v. Brighthouse Life Insurance Company </w:t>
      </w:r>
      <w:r>
        <w:rPr>
          <w:rFonts w:ascii="Arial" w:cs="Arial" w:eastAsia="Arial" w:hAnsi="Arial"/>
          <w:sz w:val="15"/>
          <w:szCs w:val="15"/>
          <w:color w:val="auto"/>
        </w:rPr>
        <w:t>(U.S. District Court, Northern District of Georgia, Atlanta Division, filed May 8, 2020).</w:t>
      </w:r>
      <w:r>
        <w:rPr>
          <w:rFonts w:ascii="Arial" w:cs="Arial" w:eastAsia="Arial" w:hAnsi="Arial"/>
          <w:sz w:val="15"/>
          <w:szCs w:val="15"/>
          <w:i w:val="1"/>
          <w:iCs w:val="1"/>
          <w:color w:val="auto"/>
        </w:rPr>
        <w:t xml:space="preserve"> </w:t>
      </w:r>
      <w:r>
        <w:rPr>
          <w:rFonts w:ascii="Arial" w:cs="Arial" w:eastAsia="Arial" w:hAnsi="Arial"/>
          <w:sz w:val="15"/>
          <w:szCs w:val="15"/>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Plaintiff was granted leave to amend the complaint. The Company intends to vigorously defend this matter.</w:t>
      </w:r>
    </w:p>
    <w:p>
      <w:pPr>
        <w:spacing w:after="0" w:line="266"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i w:val="1"/>
          <w:iCs w:val="1"/>
          <w:color w:val="auto"/>
        </w:rPr>
        <w:t xml:space="preserve">Lawrence Martin v. Brighthouse Life Insurance Company and Brighthouse Life Insurance Company of NY </w:t>
      </w:r>
      <w:r>
        <w:rPr>
          <w:rFonts w:ascii="Arial" w:cs="Arial" w:eastAsia="Arial" w:hAnsi="Arial"/>
          <w:sz w:val="15"/>
          <w:szCs w:val="15"/>
          <w:color w:val="auto"/>
        </w:rPr>
        <w:t>(U.S. District Court, Southern District of</w:t>
      </w:r>
      <w:r>
        <w:rPr>
          <w:rFonts w:ascii="Arial" w:cs="Arial" w:eastAsia="Arial" w:hAnsi="Arial"/>
          <w:sz w:val="15"/>
          <w:szCs w:val="15"/>
          <w:i w:val="1"/>
          <w:iCs w:val="1"/>
          <w:color w:val="auto"/>
        </w:rPr>
        <w:t xml:space="preserve"> </w:t>
      </w:r>
      <w:r>
        <w:rPr>
          <w:rFonts w:ascii="Arial" w:cs="Arial" w:eastAsia="Arial" w:hAnsi="Arial"/>
          <w:sz w:val="15"/>
          <w:szCs w:val="15"/>
          <w:color w:val="auto"/>
        </w:rPr>
        <w:t>New York, filed April 6, 2021). Plaintiff has filed a purported class action lawsuit against Brighthouse Life Insurance Company and Brighthouse Life Insurance Company of 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and Brighthouse Life Insurance Company of NY filed a motion to dismiss in June 2021. The Company intends to vigorously defend this matter.</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Contingencies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As with litigation and regulatory loss contingencies, the Company considers establishing liabilities for certain non-litigation loss contingencies when assertions are made involving disputes or other matters with counterparties to contractual arrangements entered into by the Company, including with third-party vendors. The Company establishes liabilities for such non-litigation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46"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Disputes have arisen with counterparties in connection with reinsurance arrangements where the Company’s subsidiaries are acting as either the reinsured or the reinsurer. These disputes involve assertions by third parties primarily related to rates, fees or reinsured benefit calculations, and in certain of such disputes the counterparty has made a request to arbitrate the dispute.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As of June 30, 2021, the Company estimates the amount of reasonably possible losses in excess of the amounts accrued for certain non-litigation loss contingencies to be up to approximately $125 million, which are primarily associated with reinsurance-related matters. For certain other reinsurance-related matters, the Company is not currently able to estimate the reasonably possible loss or range of loss until developments in such matters have provided sufficient information to support an assessment of such loss.</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and annual basis, the Company reviews relevant information with respect to non-litigation contingencies and, when applicable, updates its accruals, disclosures and estimates of reasonably possible losses or ranges of loss based on such reviews.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$646 million and $210 million at June 30, 2021 and December 31, 2020,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$2.2 billion and $1.7 billion at June 30, 2021 and December 31, 2020,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recorded liabilities were $1 million at both June 30, 2021 and December 31, 2020 for indemnities, guarantees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Authorization</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2, 2021, the Company authorized the repurchase of up to an additional $1.0 billion of common stock. No common stock repurchases have been made under the August 2, 2021 authorization as of August 6, 2021. Future repurchases may be made through open market purchases, including pursuant to 10b5-1 plans or pursuant to accelerated stock repurchase plans, or through privately negotiated transactions, from time to time at management’s discretion in accordance with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Transaction</w:t>
      </w:r>
    </w:p>
    <w:p>
      <w:pPr>
        <w:spacing w:after="0" w:line="111"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On July 26, 2021, Brighthouse Reinsurance Company of Delaware received approval from the Delaware Department of Insurance for the payment of a $600 million extraordinary dividend to Brighthouse Life Insurance Company. Such dividend has not been paid as of August 6, 2021.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80" w:type="dxa"/>
            <w:vAlign w:val="bottom"/>
            <w:gridSpan w:val="6"/>
          </w:tcPr>
          <w:p>
            <w:pPr>
              <w:ind w:left="260"/>
              <w:spacing w:after="0"/>
              <w:rPr>
                <w:sz w:val="20"/>
                <w:szCs w:val="20"/>
                <w:color w:val="auto"/>
              </w:rPr>
            </w:pPr>
            <w:r>
              <w:rPr>
                <w:rFonts w:ascii="Arial" w:cs="Arial" w:eastAsia="Arial" w:hAnsi="Arial"/>
                <w:sz w:val="18"/>
                <w:szCs w:val="18"/>
                <w:b w:val="1"/>
                <w:bCs w:val="1"/>
                <w:color w:val="auto"/>
                <w:w w:val="95"/>
              </w:rPr>
              <w:t>Index to Management’s Discussion and Analysis of Financial Condition and Results of Operations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91"/>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Arial" w:cs="Arial" w:eastAsia="Arial" w:hAnsi="Arial"/>
                <w:sz w:val="18"/>
                <w:szCs w:val="18"/>
                <w:b w:val="1"/>
                <w:bCs w:val="1"/>
                <w:color w:val="auto"/>
                <w:w w:val="83"/>
              </w:rPr>
              <w:t>Page</w:t>
            </w:r>
          </w:p>
        </w:tc>
      </w:tr>
      <w:tr>
        <w:trPr>
          <w:trHeight w:val="205"/>
        </w:trPr>
        <w:tc>
          <w:tcPr>
            <w:tcW w:w="880" w:type="dxa"/>
            <w:vAlign w:val="bottom"/>
            <w:tcBorders>
              <w:bottom w:val="single" w:sz="8" w:color="0000FF"/>
            </w:tcBorders>
            <w:gridSpan w:val="3"/>
          </w:tcPr>
          <w:p>
            <w:pPr>
              <w:spacing w:after="0" w:line="205"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Introduction</w:t>
              </w:r>
            </w:hyperlink>
          </w:p>
        </w:tc>
        <w:tc>
          <w:tcPr>
            <w:tcW w:w="906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3"/>
          </w:tcPr>
          <w:p>
            <w:pPr>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Executive Summary</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100" w:type="dxa"/>
            <w:vAlign w:val="bottom"/>
          </w:tcPr>
          <w:p>
            <w:pPr>
              <w:spacing w:after="0"/>
              <w:rPr>
                <w:sz w:val="17"/>
                <w:szCs w:val="17"/>
                <w:color w:val="auto"/>
              </w:rPr>
            </w:pPr>
          </w:p>
        </w:tc>
      </w:tr>
      <w:tr>
        <w:trPr>
          <w:trHeight w:val="205"/>
        </w:trPr>
        <w:tc>
          <w:tcPr>
            <w:tcW w:w="144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Industry Trends</w:t>
              </w:r>
            </w:hyperlink>
          </w:p>
        </w:tc>
        <w:tc>
          <w:tcPr>
            <w:tcW w:w="8500" w:type="dxa"/>
            <w:vAlign w:val="bottom"/>
            <w:gridSpan w:val="8"/>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Summary of Critical Accounting Estimates</w:t>
              </w:r>
            </w:hyperlink>
          </w:p>
        </w:tc>
        <w:tc>
          <w:tcPr>
            <w:tcW w:w="688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100" w:type="dxa"/>
            <w:vAlign w:val="bottom"/>
          </w:tcPr>
          <w:p>
            <w:pPr>
              <w:spacing w:after="0"/>
              <w:rPr>
                <w:sz w:val="17"/>
                <w:szCs w:val="17"/>
                <w:color w:val="auto"/>
              </w:rPr>
            </w:pPr>
          </w:p>
        </w:tc>
      </w:tr>
      <w:tr>
        <w:trPr>
          <w:trHeight w:val="205"/>
        </w:trPr>
        <w:tc>
          <w:tcPr>
            <w:tcW w:w="9940" w:type="dxa"/>
            <w:vAlign w:val="bottom"/>
            <w:gridSpan w:val="13"/>
          </w:tcPr>
          <w:p>
            <w:pPr>
              <w:spacing w:after="0" w:line="205" w:lineRule="exact"/>
              <w:rPr>
                <w:rFonts w:ascii="Arial" w:cs="Arial" w:eastAsia="Arial" w:hAnsi="Arial"/>
                <w:sz w:val="18"/>
                <w:szCs w:val="18"/>
                <w:color w:val="0000FF"/>
              </w:rPr>
            </w:pPr>
            <w:hyperlink w:anchor="page53">
              <w:r>
                <w:rPr>
                  <w:rFonts w:ascii="Arial" w:cs="Arial" w:eastAsia="Arial" w:hAnsi="Arial"/>
                  <w:sz w:val="18"/>
                  <w:szCs w:val="18"/>
                  <w:color w:val="0000FF"/>
                </w:rPr>
                <w:t>Non-GAAP and Other Financial Disclosures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100" w:type="dxa"/>
            <w:vAlign w:val="bottom"/>
          </w:tcPr>
          <w:p>
            <w:pPr>
              <w:spacing w:after="0"/>
              <w:rPr>
                <w:sz w:val="17"/>
                <w:szCs w:val="17"/>
                <w:color w:val="auto"/>
              </w:rPr>
            </w:pPr>
          </w:p>
        </w:tc>
      </w:tr>
      <w:tr>
        <w:trPr>
          <w:trHeight w:val="205"/>
        </w:trPr>
        <w:tc>
          <w:tcPr>
            <w:tcW w:w="15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7"/>
              </w:rPr>
            </w:pPr>
            <w:hyperlink w:anchor="page55">
              <w:r>
                <w:rPr>
                  <w:rFonts w:ascii="Arial" w:cs="Arial" w:eastAsia="Arial" w:hAnsi="Arial"/>
                  <w:sz w:val="18"/>
                  <w:szCs w:val="18"/>
                  <w:color w:val="0000FF"/>
                  <w:w w:val="87"/>
                </w:rPr>
                <w:t>Results of Operations</w:t>
              </w:r>
            </w:hyperlink>
          </w:p>
        </w:tc>
        <w:tc>
          <w:tcPr>
            <w:tcW w:w="1620" w:type="dxa"/>
            <w:vAlign w:val="bottom"/>
            <w:tcBorders>
              <w:top w:val="single" w:sz="8" w:color="0000FF"/>
            </w:tcBorders>
            <w:gridSpan w:val="5"/>
          </w:tcPr>
          <w:p>
            <w:pPr>
              <w:spacing w:after="0"/>
              <w:rPr>
                <w:sz w:val="17"/>
                <w:szCs w:val="17"/>
                <w:color w:val="auto"/>
              </w:rPr>
            </w:pPr>
          </w:p>
        </w:tc>
        <w:tc>
          <w:tcPr>
            <w:tcW w:w="67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rFonts w:ascii="Arial" w:cs="Arial" w:eastAsia="Arial" w:hAnsi="Arial"/>
                <w:sz w:val="18"/>
                <w:szCs w:val="18"/>
                <w:color w:val="0000FF"/>
                <w:w w:val="86"/>
              </w:rPr>
            </w:pPr>
            <w:hyperlink w:anchor="page68">
              <w:r>
                <w:rPr>
                  <w:rFonts w:ascii="Arial" w:cs="Arial" w:eastAsia="Arial" w:hAnsi="Arial"/>
                  <w:sz w:val="18"/>
                  <w:szCs w:val="18"/>
                  <w:color w:val="0000FF"/>
                  <w:w w:val="86"/>
                </w:rPr>
                <w:t>Investments</w:t>
              </w:r>
            </w:hyperlink>
          </w:p>
        </w:tc>
        <w:tc>
          <w:tcPr>
            <w:tcW w:w="908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Derivatives</w:t>
              </w:r>
            </w:hyperlink>
          </w:p>
        </w:tc>
        <w:tc>
          <w:tcPr>
            <w:tcW w:w="9120" w:type="dxa"/>
            <w:vAlign w:val="bottom"/>
            <w:gridSpan w:val="1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77</w:t>
              </w:r>
            </w:hyperlink>
          </w:p>
        </w:tc>
        <w:tc>
          <w:tcPr>
            <w:tcW w:w="100" w:type="dxa"/>
            <w:vAlign w:val="bottom"/>
          </w:tcPr>
          <w:p>
            <w:pPr>
              <w:spacing w:after="0"/>
              <w:rPr>
                <w:sz w:val="17"/>
                <w:szCs w:val="17"/>
                <w:color w:val="auto"/>
              </w:rPr>
            </w:pPr>
          </w:p>
        </w:tc>
      </w:tr>
      <w:tr>
        <w:trPr>
          <w:trHeight w:val="205"/>
        </w:trPr>
        <w:tc>
          <w:tcPr>
            <w:tcW w:w="2360" w:type="dxa"/>
            <w:vAlign w:val="bottom"/>
            <w:tcBorders>
              <w:bottom w:val="single" w:sz="8" w:color="0000FF"/>
            </w:tcBorders>
            <w:gridSpan w:val="9"/>
          </w:tcPr>
          <w:p>
            <w:pPr>
              <w:spacing w:after="0" w:line="205" w:lineRule="exact"/>
              <w:rPr>
                <w:rFonts w:ascii="Arial" w:cs="Arial" w:eastAsia="Arial" w:hAnsi="Arial"/>
                <w:sz w:val="18"/>
                <w:szCs w:val="18"/>
                <w:color w:val="0000FF"/>
                <w:w w:val="88"/>
              </w:rPr>
            </w:pPr>
            <w:hyperlink w:anchor="page79">
              <w:r>
                <w:rPr>
                  <w:rFonts w:ascii="Arial" w:cs="Arial" w:eastAsia="Arial" w:hAnsi="Arial"/>
                  <w:sz w:val="18"/>
                  <w:szCs w:val="18"/>
                  <w:color w:val="0000FF"/>
                  <w:w w:val="88"/>
                </w:rPr>
                <w:t>Off-Balance Sheet Arrangements</w:t>
              </w:r>
            </w:hyperlink>
          </w:p>
        </w:tc>
        <w:tc>
          <w:tcPr>
            <w:tcW w:w="7580" w:type="dxa"/>
            <w:vAlign w:val="bottom"/>
            <w:gridSpan w:val="4"/>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100" w:type="dxa"/>
            <w:vAlign w:val="bottom"/>
          </w:tcPr>
          <w:p>
            <w:pPr>
              <w:spacing w:after="0"/>
              <w:rPr>
                <w:sz w:val="17"/>
                <w:szCs w:val="17"/>
                <w:color w:val="auto"/>
              </w:rPr>
            </w:pPr>
          </w:p>
        </w:tc>
      </w:tr>
      <w:tr>
        <w:trPr>
          <w:trHeight w:val="205"/>
        </w:trPr>
        <w:tc>
          <w:tcPr>
            <w:tcW w:w="9940" w:type="dxa"/>
            <w:vAlign w:val="bottom"/>
            <w:gridSpan w:val="13"/>
          </w:tcPr>
          <w:p>
            <w:pPr>
              <w:spacing w:after="0" w:line="205" w:lineRule="exact"/>
              <w:rPr>
                <w:rFonts w:ascii="Arial" w:cs="Arial" w:eastAsia="Arial" w:hAnsi="Arial"/>
                <w:sz w:val="18"/>
                <w:szCs w:val="18"/>
                <w:color w:val="0000FF"/>
              </w:rPr>
            </w:pPr>
            <w:hyperlink w:anchor="page80">
              <w:r>
                <w:rPr>
                  <w:rFonts w:ascii="Arial" w:cs="Arial" w:eastAsia="Arial" w:hAnsi="Arial"/>
                  <w:sz w:val="18"/>
                  <w:szCs w:val="18"/>
                  <w:color w:val="0000FF"/>
                </w:rPr>
                <w:t>Policyholder Liabilities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79</w:t>
              </w:r>
            </w:hyperlink>
          </w:p>
        </w:tc>
        <w:tc>
          <w:tcPr>
            <w:tcW w:w="100" w:type="dxa"/>
            <w:vAlign w:val="bottom"/>
          </w:tcPr>
          <w:p>
            <w:pPr>
              <w:spacing w:after="0"/>
              <w:rPr>
                <w:sz w:val="17"/>
                <w:szCs w:val="17"/>
                <w:color w:val="auto"/>
              </w:rPr>
            </w:pPr>
          </w:p>
        </w:tc>
      </w:tr>
      <w:tr>
        <w:trPr>
          <w:trHeight w:val="20"/>
        </w:trPr>
        <w:tc>
          <w:tcPr>
            <w:tcW w:w="1660" w:type="dxa"/>
            <w:vAlign w:val="bottom"/>
            <w:gridSpan w:val="7"/>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3"/>
          </w:tcPr>
          <w:p>
            <w:pPr>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Liquidity and Capital Resources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82</w:t>
              </w:r>
            </w:hyperlink>
          </w:p>
        </w:tc>
        <w:tc>
          <w:tcPr>
            <w:tcW w:w="100" w:type="dxa"/>
            <w:vAlign w:val="bottom"/>
          </w:tcPr>
          <w:p>
            <w:pPr>
              <w:spacing w:after="0"/>
              <w:rPr>
                <w:sz w:val="17"/>
                <w:szCs w:val="17"/>
                <w:color w:val="auto"/>
              </w:rPr>
            </w:pPr>
          </w:p>
        </w:tc>
      </w:tr>
      <w:tr>
        <w:trPr>
          <w:trHeight w:val="20"/>
        </w:trPr>
        <w:tc>
          <w:tcPr>
            <w:tcW w:w="2280" w:type="dxa"/>
            <w:vAlign w:val="bottom"/>
            <w:gridSpan w:val="8"/>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3"/>
          </w:tcPr>
          <w:p>
            <w:pPr>
              <w:spacing w:after="0" w:line="205" w:lineRule="exact"/>
              <w:rPr>
                <w:rFonts w:ascii="Arial" w:cs="Arial" w:eastAsia="Arial" w:hAnsi="Arial"/>
                <w:sz w:val="18"/>
                <w:szCs w:val="18"/>
                <w:color w:val="0000FF"/>
              </w:rPr>
            </w:pPr>
            <w:hyperlink w:anchor="page90">
              <w:r>
                <w:rPr>
                  <w:rFonts w:ascii="Arial" w:cs="Arial" w:eastAsia="Arial" w:hAnsi="Arial"/>
                  <w:sz w:val="18"/>
                  <w:szCs w:val="18"/>
                  <w:color w:val="0000FF"/>
                </w:rPr>
                <w:t>Note Regarding Forward-Looking Statements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90</w:t>
              </w:r>
            </w:hyperlink>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27" w:right="6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“Brighthouse,” “Brighthouse Financial,” the “Company,” “we,” “our” and “us” refer to Brighthouse Financial, Inc., a Delaware corporation,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financial condition and results of operations of the Company for the periods indicated.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2020, filed with the U.S. Securities and Exchange Commission (“SEC”) on February 24, 2021 (the “2020 Annual Report”); (iii) our Quarterly Report on Form 10-Q for the quarter ended March 31, 2021 (the “First Quarter Form 10-Q”) filed with the SEC on May 10, 2021; and (iv) our current reports on Form 8-K filed in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82"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Summary” provides information regarding our business, segments and results as discussed in the Results of Operations.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our 2020 Annual Report that we believe may materially affect our future financial condition, results of operations or cash flows, including from the worldwide pandemic sparked by the novel coronavirus (the “COVID-19 pandemic”).</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accounting principles generally accepted in the United States of America (“GAAP”).</w:t>
      </w:r>
    </w:p>
    <w:p>
      <w:pPr>
        <w:spacing w:after="0" w:line="7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the Results of Operations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amounts presented in prior periods within the following discussions of our financial results have been reclassified to conform with the current year presentation.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operating purposes, we have established three segments: (i) Annuities, (ii) Life and (iii) Run-off, which consists of products that are no longer actively sold and are separately managed. In addition, we report certain of our results of operations in Corporate &amp; Other.</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See “Business — Segments and Corporate &amp; Other” and “Management’s Discussion and Analysis of Financial Condition and Results of Operations — Executive Summary — Overview” included in our 2020 Annual Report, as well as Note 2 of the Notes to the Interim Condensed Consolidated Financial Statements for further information regarding our segments and Corporate &amp;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6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(2,529)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(1,998)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920" w:type="dxa"/>
            <w:vAlign w:val="bottom"/>
            <w:vMerge w:val="restart"/>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9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the three months ended June 30, 2021, we had net income available to shareholders of $10 million and adjusted earnings of $435 million compared to a net loss available to shareholders of $2.0 billion and adjusted earnings of $11 million for the three months ended June 30, 2020. Net income available to shareholders for the three months ended June 30, 2021 primarily reflects a favorable impact from pre-tax adjusted earnings. Additionally, decreasing long-term interest rates resulted in favorable changes in the estimated fair value of freestanding interest rate derivatives we use to hedge our universal life with secondary guarantees (“ULSG”) business. These favorable impacts were partially offset by net unfavorable changes in the estimated fair value of our guaranteed minimum living benefits (“GMLB”) riders (“GMLB Riders”) due to market factors. Favorable equity markets and lower interest rates resulted in net unfavorable changes in variable annuity embedded derivative liabilities and the freestanding derivatives that hedge our variable annuity business. Favorable equity markets also unfavorably impacted the estimated fair value of the embedded derivative liabilities associated with Shield Level Annuities (“Shield”), which are referred to herein as “Shield liabilities.” In addition, the impact of widening credit spreads resulted in a favorable adjustment for non-performance risk related to variable annuity embedded derivative liabilities.</w:t>
      </w:r>
    </w:p>
    <w:p>
      <w:pPr>
        <w:spacing w:after="0" w:line="12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For the six months ended June 30, 2021, we had a net loss available to shareholders of $600 million and adjusted earnings of $820 million compared to net income available to shareholders of $3.0 billion and adjusted earnings of $222 million for the six months ended June 30, 2020. Net loss available to shareholders for the six months ended June 30, 2021 primarily reflects net unfavorable changes in the estimated fair value of our GMLB Riders due to market factors. Favorable equity markets and higher interest rates resulted in unfavorable changes to the freestanding derivatives that hedge our variable annuity business, net of favorable impacts to the underlying embedded derivative liabilities. Favorable equity markets also unfavorably impacted the estimated fair value of Shield liabilities. GMLB Riders were also unfavorably impacted by the adjustment for non-performance risk resulting from narrowing credit spreads. Increasing long-term interest rates resulted in unfavorable changes in the estimated fair value of freestanding interest rate derivatives we use to hedge our ULSG business. These unfavorable impacts were partially offset by favorable pre-tax adjusted earnings.</w:t>
      </w:r>
    </w:p>
    <w:p>
      <w:pPr>
        <w:spacing w:after="0" w:line="101" w:lineRule="exact"/>
        <w:rPr>
          <w:sz w:val="20"/>
          <w:szCs w:val="20"/>
          <w:color w:val="auto"/>
        </w:rPr>
      </w:pPr>
    </w:p>
    <w:p>
      <w:pPr>
        <w:ind w:right="1960" w:firstLine="318"/>
        <w:spacing w:after="0" w:line="387" w:lineRule="auto"/>
        <w:rPr>
          <w:sz w:val="20"/>
          <w:szCs w:val="20"/>
          <w:color w:val="auto"/>
        </w:rPr>
      </w:pPr>
      <w:r>
        <w:rPr>
          <w:rFonts w:ascii="Arial" w:cs="Arial" w:eastAsia="Arial" w:hAnsi="Arial"/>
          <w:sz w:val="18"/>
          <w:szCs w:val="18"/>
          <w:color w:val="auto"/>
        </w:rPr>
        <w:t xml:space="preserve">See “— Non-GAAP and Other Financial Disclosures.” For a detailed discussion of our results, see “— Results of Operations.” </w:t>
      </w:r>
      <w:r>
        <w:rPr>
          <w:rFonts w:ascii="Arial" w:cs="Arial" w:eastAsia="Arial" w:hAnsi="Arial"/>
          <w:sz w:val="18"/>
          <w:szCs w:val="18"/>
          <w:b w:val="1"/>
          <w:bCs w:val="1"/>
          <w:color w:val="auto"/>
        </w:rPr>
        <w:t>Industry Trends</w:t>
      </w:r>
    </w:p>
    <w:p>
      <w:pPr>
        <w:spacing w:after="0" w:line="2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2020 Annual Report for a comprehensive discussion of some of the key general trends and uncertainties that have influenced the development of our business and our historical financial performance and that we believe will continue to influence our business and results 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0"/>
        <w:spacing w:after="0" w:line="368" w:lineRule="auto"/>
        <w:rPr>
          <w:sz w:val="20"/>
          <w:szCs w:val="20"/>
          <w:color w:val="auto"/>
        </w:rPr>
      </w:pPr>
      <w:r>
        <w:rPr>
          <w:rFonts w:ascii="Arial" w:cs="Arial" w:eastAsia="Arial" w:hAnsi="Arial"/>
          <w:sz w:val="18"/>
          <w:szCs w:val="18"/>
          <w:color w:val="auto"/>
        </w:rPr>
        <w:t xml:space="preserve">operations in the future. In addition, significant changes or updates in certain of these trends and uncertainties are discussed below. </w:t>
      </w:r>
      <w:r>
        <w:rPr>
          <w:rFonts w:ascii="Arial" w:cs="Arial" w:eastAsia="Arial" w:hAnsi="Arial"/>
          <w:sz w:val="18"/>
          <w:szCs w:val="18"/>
          <w:b w:val="1"/>
          <w:bCs w:val="1"/>
          <w:i w:val="1"/>
          <w:iCs w:val="1"/>
          <w:color w:val="auto"/>
        </w:rPr>
        <w:t>COVID-19 Pandemic</w:t>
      </w:r>
    </w:p>
    <w:p>
      <w:pPr>
        <w:spacing w:after="0" w:line="1"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We continue to closely monitor developments related to the COVID-19 pandemic, which has negatively impacted us in certain respects. At this time, it continues to not be possible to estimate the severity or duration of the pandemic, including the severity, duration and frequency of any additional “waves” of the pandemic or the efficacy of any therapeutic treatments and vaccines for COVID-19, including their efficacy with respect to variants of COVID-19 that have emerged or could emerge in the future. It is likewise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aspects of our business model or targets previously provided to the markets. See “Business — Regulation,” “Risk Factors — Risks Related to Our Business — The ongoing COVID-19 pandemic could materially adversely affect our business, financial condition and results of operations, including our capitalization and liquidity” and “Management’s Discussion and Analysis of Financial Condition and Results of Operations — Industry Trends — COVID-19 Pandemic” included in our 2020 Annual Report, as well as “— Investments</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Current Environment — Selected Sector Investments,” “— Investments — Mortgage Loans — Loan Modifications Related to the COVID-19 Pandemic” and Note 4 of the Notes to the Interim Condensed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insurance subsidiaries and Brighthouse Reinsurance Company of Delaware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2020 Annual Report, as amended or supplemented herein.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states may impact our statutory capital and surplus.</w:t>
      </w:r>
    </w:p>
    <w:p>
      <w:pPr>
        <w:spacing w:after="0" w:line="46" w:lineRule="exact"/>
        <w:rPr>
          <w:sz w:val="20"/>
          <w:szCs w:val="20"/>
          <w:color w:val="auto"/>
        </w:rPr>
      </w:pPr>
    </w:p>
    <w:p>
      <w:pPr>
        <w:jc w:val="both"/>
        <w:ind w:left="160" w:firstLine="318"/>
        <w:spacing w:after="0" w:line="262" w:lineRule="auto"/>
        <w:rPr>
          <w:sz w:val="20"/>
          <w:szCs w:val="20"/>
          <w:color w:val="auto"/>
        </w:rPr>
      </w:pPr>
      <w:r>
        <w:rPr>
          <w:rFonts w:ascii="Arial" w:cs="Arial" w:eastAsia="Arial" w:hAnsi="Arial"/>
          <w:sz w:val="17"/>
          <w:szCs w:val="17"/>
          <w:color w:val="auto"/>
        </w:rPr>
        <w:t>The NAIC has established regulations that provide minimum capitalization requirements based on risk-based capital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certain RBC levels. See “Management’s Discussion and Analysis of Financial Condition and Results of Operations — Liquidity and Capital Resources” and “Risk Factors — Regulatory and Legal Risks — A decrease in the RBC ratio (as a result of a reduction in statutory surplus or increase in RBC requirements) of our insurance subsidiaries could result in increased scrutiny by insurance regulators and rating agencies and could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financial condition and results of operations” and Note 10 of the Notes to the Consolidated Financial Statements in our 2020 Annual Report.</w:t>
      </w:r>
    </w:p>
    <w:p>
      <w:pPr>
        <w:spacing w:after="0" w:line="123"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June 2021, the NAIC adopted changes to the RBC factors for bonds and real estate and created a new set of RBC charges for longevity risk. These changes will become effective on December 31, 2021. The modified bond and real estate factors, in the aggregate, are expected to have a minimal impact on our RBC ratios.</w:t>
      </w:r>
    </w:p>
    <w:p>
      <w:pPr>
        <w:spacing w:after="0" w:line="82"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In December 2020, the NAIC adopted a group capital calculation tool that uses an RBC aggregation methodology for all entities within an insurance holding company system. The NAIC has stated that the calculation will be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United States.</w:t>
      </w:r>
    </w:p>
    <w:p>
      <w:pPr>
        <w:spacing w:after="0" w:line="7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In August 2018, the NAIC adopted the framework for variable annuity reserve and capital reform (“VA Reform”). The revisions, which have resulted in substantial changes in reserves, statutory surplus and capital requirements, are designed to mitigate the incentive for insurers to engage in captive reinsurance transactions by making improvements to Actuarial Guideline 43 and the Life Risk Based Capital C3 Phase II capital requirements. VA Reform is intended to (i) mitigate the asset-liability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VA Reform became effective as of January 1, 2020, with early adoption permitted as of December 31, 2019. Brighthouse elected to early adopt the changes effective December 31, 2019. Further changes to this framework, including changes resulting from work currently underway by the NAIC to find a suitable replacement for the Economic Scenario Generators developed by the American Academy of Actuaries, could negatively impact our statutory surplus and required capital.</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See “Risk Factors — Regulatory and Legal Risks — Our insurance business is highly regulated, and changes in regulation and in supervisory and enforcement policies may materially impact our capitalization or cash flows, reduce our profitability and limit our growth” included in our 2020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2020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In this report, we present adjusted earnings, which excludes net income (loss) attributable to noncontrolling interests and preferred stock dividends, as a measure of our performance that is not calculated in accordance with GAAP. We believe the presentation of adjusted earnings, as the Company measures it for management purposes, enhances the understanding of its performance by the investor community by highlighting the results of operations and the underlying profitability drivers of our business.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6"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1" w:lineRule="exact"/>
        <w:rPr>
          <w:sz w:val="20"/>
          <w:szCs w:val="20"/>
          <w:color w:val="auto"/>
        </w:rPr>
      </w:pPr>
    </w:p>
    <w:p>
      <w:pPr>
        <w:ind w:left="800" w:hanging="317"/>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1"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How Derived from GAAP (1)</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8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7180" w:type="dxa"/>
            <w:vAlign w:val="bottom"/>
          </w:tcPr>
          <w:p>
            <w:pPr>
              <w:ind w:left="560"/>
              <w:spacing w:after="0"/>
              <w:rPr>
                <w:sz w:val="20"/>
                <w:szCs w:val="20"/>
                <w:color w:val="auto"/>
              </w:rPr>
            </w:pPr>
            <w:r>
              <w:rPr>
                <w:rFonts w:ascii="Arial" w:cs="Arial" w:eastAsia="Arial" w:hAnsi="Arial"/>
                <w:sz w:val="18"/>
                <w:szCs w:val="18"/>
                <w:color w:val="auto"/>
              </w:rPr>
              <w:t>(i)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8"/>
              </w:rPr>
              <w:t xml:space="preserve">Universal life and investment-type policy fees </w:t>
            </w:r>
            <w:r>
              <w:rPr>
                <w:rFonts w:ascii="Arial" w:cs="Arial" w:eastAsia="Arial" w:hAnsi="Arial"/>
                <w:sz w:val="18"/>
                <w:szCs w:val="18"/>
                <w:color w:val="auto"/>
                <w:w w:val="98"/>
              </w:rPr>
              <w:t>(excluding (a) unearned revenue</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0"/>
              </w:rPr>
              <w:t>adjustments related to net investment gains (losses) and net derivative gains (losses)</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2"/>
              </w:rPr>
              <w:t xml:space="preserve">and (b) GMIB Fees) plus </w:t>
            </w:r>
            <w:r>
              <w:rPr>
                <w:rFonts w:ascii="Arial" w:cs="Arial" w:eastAsia="Arial" w:hAnsi="Arial"/>
                <w:sz w:val="18"/>
                <w:szCs w:val="18"/>
                <w:i w:val="1"/>
                <w:iCs w:val="1"/>
                <w:color w:val="auto"/>
                <w:w w:val="92"/>
              </w:rPr>
              <w:t>Other revenues</w:t>
            </w:r>
            <w:r>
              <w:rPr>
                <w:rFonts w:ascii="Arial" w:cs="Arial" w:eastAsia="Arial" w:hAnsi="Arial"/>
                <w:sz w:val="18"/>
                <w:szCs w:val="18"/>
                <w:color w:val="auto"/>
                <w:w w:val="92"/>
              </w:rPr>
              <w:t xml:space="preserve"> (excluding other revenues associated with</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spread</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(ii)</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(iii)</w:t>
            </w:r>
          </w:p>
        </w:tc>
        <w:tc>
          <w:tcPr>
            <w:tcW w:w="3680" w:type="dxa"/>
            <w:vAlign w:val="bottom"/>
          </w:tcPr>
          <w:p>
            <w:pPr>
              <w:ind w:left="100"/>
              <w:spacing w:after="0"/>
              <w:rPr>
                <w:sz w:val="20"/>
                <w:szCs w:val="20"/>
                <w:color w:val="auto"/>
              </w:rPr>
            </w:pPr>
            <w:r>
              <w:rPr>
                <w:rFonts w:ascii="Arial" w:cs="Arial" w:eastAsia="Arial" w:hAnsi="Arial"/>
                <w:sz w:val="18"/>
                <w:szCs w:val="18"/>
                <w:color w:val="auto"/>
              </w:rPr>
              <w:t>Insurance-related activities</w:t>
            </w:r>
          </w:p>
        </w:tc>
        <w:tc>
          <w:tcPr>
            <w:tcW w:w="7180" w:type="dxa"/>
            <w:vAlign w:val="bottom"/>
          </w:tcPr>
          <w:p>
            <w:pPr>
              <w:ind w:left="560"/>
              <w:spacing w:after="0"/>
              <w:rPr>
                <w:sz w:val="20"/>
                <w:szCs w:val="20"/>
                <w:color w:val="auto"/>
              </w:rPr>
            </w:pPr>
            <w:r>
              <w:rPr>
                <w:rFonts w:ascii="Arial" w:cs="Arial" w:eastAsia="Arial" w:hAnsi="Arial"/>
                <w:sz w:val="18"/>
                <w:szCs w:val="18"/>
                <w:color w:val="auto"/>
              </w:rPr>
              <w:t>(iii)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7"/>
              </w:rPr>
              <w:t xml:space="preserve">Premiums </w:t>
            </w:r>
            <w:r>
              <w:rPr>
                <w:rFonts w:ascii="Arial" w:cs="Arial" w:eastAsia="Arial" w:hAnsi="Arial"/>
                <w:sz w:val="18"/>
                <w:szCs w:val="18"/>
                <w:color w:val="auto"/>
                <w:w w:val="97"/>
              </w:rPr>
              <w:t>less</w:t>
            </w:r>
            <w:r>
              <w:rPr>
                <w:rFonts w:ascii="Arial" w:cs="Arial" w:eastAsia="Arial" w:hAnsi="Arial"/>
                <w:sz w:val="18"/>
                <w:szCs w:val="18"/>
                <w:i w:val="1"/>
                <w:iCs w:val="1"/>
                <w:color w:val="auto"/>
                <w:w w:val="97"/>
              </w:rPr>
              <w:t xml:space="preserve"> Policyholder benefits and claims </w:t>
            </w:r>
            <w:r>
              <w:rPr>
                <w:rFonts w:ascii="Arial" w:cs="Arial" w:eastAsia="Arial" w:hAnsi="Arial"/>
                <w:sz w:val="18"/>
                <w:szCs w:val="18"/>
                <w:color w:val="auto"/>
                <w:w w:val="97"/>
              </w:rPr>
              <w:t>(excluding (a) GMIB Costs, (b)</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separate account assets.</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DAC and VOBA</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(iv)</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color w:val="auto"/>
                <w:w w:val="91"/>
              </w:rPr>
              <w:t>gains (losses), (b) net derivative gains (losses), (c) GMIB Fees and GMIB Costs and</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 Market Value Adjustments).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80" w:type="dxa"/>
            <w:vAlign w:val="bottom"/>
          </w:tcPr>
          <w:p>
            <w:pPr>
              <w:ind w:left="100"/>
              <w:spacing w:after="0"/>
              <w:rPr>
                <w:sz w:val="20"/>
                <w:szCs w:val="20"/>
                <w:color w:val="auto"/>
              </w:rPr>
            </w:pPr>
            <w:r>
              <w:rPr>
                <w:rFonts w:ascii="Arial" w:cs="Arial" w:eastAsia="Arial" w:hAnsi="Arial"/>
                <w:sz w:val="18"/>
                <w:szCs w:val="18"/>
                <w:color w:val="auto"/>
              </w:rPr>
              <w:t>Other expenses, net of DAC capitalization</w:t>
            </w:r>
          </w:p>
        </w:tc>
        <w:tc>
          <w:tcPr>
            <w:tcW w:w="7180" w:type="dxa"/>
            <w:vAlign w:val="bottom"/>
          </w:tcPr>
          <w:p>
            <w:pPr>
              <w:ind w:left="560"/>
              <w:spacing w:after="0"/>
              <w:rPr>
                <w:sz w:val="20"/>
                <w:szCs w:val="20"/>
                <w:color w:val="auto"/>
              </w:rPr>
            </w:pPr>
            <w:r>
              <w:rPr>
                <w:rFonts w:ascii="Arial" w:cs="Arial" w:eastAsia="Arial" w:hAnsi="Arial"/>
                <w:sz w:val="18"/>
                <w:szCs w:val="18"/>
                <w:color w:val="auto"/>
              </w:rPr>
              <w:t>(v)</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2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   Tax impact of the above items.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2021 and 2020</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Premiums</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1,212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4,249</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1,676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w:t>
            </w:r>
          </w:p>
        </w:tc>
      </w:tr>
      <w:tr>
        <w:trPr>
          <w:trHeight w:val="19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2,026</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1,655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w:t>
            </w:r>
          </w:p>
        </w:tc>
      </w:tr>
      <w:tr>
        <w:trPr>
          <w:trHeight w:val="208"/>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6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(933)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5"/>
        </w:trPr>
        <w:tc>
          <w:tcPr>
            <w:tcW w:w="6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Pre-tax adjusted earnings, less net income (loss) attributable to noncontrolling interests and</w:t>
            </w:r>
          </w:p>
        </w:tc>
        <w:tc>
          <w:tcPr>
            <w:tcW w:w="7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dividends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4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80"/>
        </w:trPr>
        <w:tc>
          <w:tcPr>
            <w:tcW w:w="63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Income available to shareholders before provision for income tax was $0 ($10 million, net of income tax), an increase of $2.5 billion ($2.0 billion, net of income tax) from a loss available to shareholders before provision for income tax of $2.5 billion ($2.0 billion, net of income tax) in the prior period.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losses from GMLB Riders, see “— GMLB Riders for the Three Months and Six Months Ended June 30, 2021 and 2020”;</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period gains on interest rate derivatives used to manage interest rate exposure in our ULSG business due to the decrease in the long-term benchmark interest rate;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pre-tax adjusted earnings, as discussed in greater detail below.</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increase in income before provision for income tax was partially offset by lower policyholder benefits and claims, included in other adjustments, resulting from the adjustment for market performance related to participating products in our Run-off segment.</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48% in the current period compared to 21% in the prior period. The increase in the effective tax rate is driven by higher pre-tax adjusted earnings, as discussed in greater detail below. Our effective tax rate differs from the statutory tax rate primarily due to the impacts of the dividends received deduction and tax credits.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Loss available to shareholders before provision for income tax was $795 million ($600 million, net of income tax), a decrease of $4.5 billion ($3.6 billion, net of income tax) from income available to shareholders before provision for income tax of $3.7 billion ($3.0 billion,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decrease in income before provision for income tax was driven by the following unfavorable items:</w:t>
      </w:r>
    </w:p>
    <w:p>
      <w:pPr>
        <w:spacing w:after="0" w:line="111" w:lineRule="exact"/>
        <w:rPr>
          <w:sz w:val="20"/>
          <w:szCs w:val="20"/>
          <w:color w:val="auto"/>
        </w:rPr>
      </w:pPr>
    </w:p>
    <w:p>
      <w:pPr>
        <w:ind w:left="800" w:hanging="317"/>
        <w:spacing w:after="0" w:line="264" w:lineRule="auto"/>
        <w:tabs>
          <w:tab w:leader="none" w:pos="7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from GMLB Riders in the current period compared to gains in the prior period, see “— GMLB Riders for the Three Months and Six Months Ended June 30, 2021 and 2020”;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period losses on interest rate derivatives used to manage interest rate exposure in our ULSG business due to the decrease in the long-term benchmark interest rate.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decrease in income before provision for income tax was partially offset by the following favorable items:</w:t>
      </w:r>
    </w:p>
    <w:p>
      <w:pPr>
        <w:spacing w:after="0" w:line="111" w:lineRule="exact"/>
        <w:rPr>
          <w:sz w:val="20"/>
          <w:szCs w:val="20"/>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pre-tax adjusted earnings, as discussed in greater detail below;</w:t>
      </w:r>
    </w:p>
    <w:p>
      <w:pPr>
        <w:spacing w:after="0" w:line="111" w:lineRule="exact"/>
        <w:rPr>
          <w:rFonts w:ascii="Arial" w:cs="Arial" w:eastAsia="Arial" w:hAnsi="Arial"/>
          <w:sz w:val="18"/>
          <w:szCs w:val="18"/>
          <w:color w:val="auto"/>
        </w:rPr>
      </w:pPr>
    </w:p>
    <w:p>
      <w:pPr>
        <w:ind w:left="800" w:right="20" w:hanging="317"/>
        <w:spacing w:after="0" w:line="264"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policyholder benefits and claims, included in other adjustments, resulting from the adjustment for market performance related to participating products in our Run-off segment;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net investment losses reflecting:</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lower current period net losses on changes in mortgage loans and fixed maturity security reserves;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current period net mark-to-market gains on equity securities compared to prior period net losses.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26% in the current period compared to 21% in the prior period. The increase in the effective tax rate is driven by higher pre-tax adjusted earnings, as discussed in greater detail below.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1"/>
              </w:rPr>
              <w:t>Six Months Ended June 30,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GMLB Riders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Net investment gains (losses)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42"/>
        </w:trPr>
        <w:tc>
          <w:tcPr>
            <w:tcW w:w="556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137</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6"/>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1"/>
              </w:rPr>
              <w:t>Six Months Ended June 30, 2020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GMLB Riders</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Net investment gains (losses)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6"/>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earnings</w:t>
            </w: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2021 and 2020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(136)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(608)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4"/>
              </w:rPr>
              <w:t>Pre-tax adjusted earnings, less net income (loss) attributable to noncontrolling interests and</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$435 million, an increase of $424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net investment spread reflecting:</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800" w:right="4000" w:firstLine="1"/>
        <w:spacing w:after="0" w:line="368" w:lineRule="auto"/>
        <w:tabs>
          <w:tab w:leader="none" w:pos="11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 and</w:t>
      </w:r>
    </w:p>
    <w:p>
      <w:pPr>
        <w:spacing w:after="0" w:line="74"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resulting from an actuarial system conversion in our Life segment in the fourth quarter of 2020;</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higher asset-based fees resulting from higher average separate account balances, a portion of which is offset in other expenses; and</w:t>
      </w:r>
    </w:p>
    <w:p>
      <w:pPr>
        <w:spacing w:after="0" w:line="122" w:lineRule="exact"/>
        <w:rPr>
          <w:rFonts w:ascii="Arial" w:cs="Arial" w:eastAsia="Arial" w:hAnsi="Arial"/>
          <w:sz w:val="17"/>
          <w:szCs w:val="17"/>
          <w:color w:val="auto"/>
        </w:rPr>
      </w:pPr>
    </w:p>
    <w:p>
      <w:pPr>
        <w:ind w:left="800" w:hanging="317"/>
        <w:spacing w:after="0" w:line="264"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net amortization of DAC and VOBA due to the impact on gross profits from less favorable equity markets in our Annuities segment and lower separate account returns in our Life segment.</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800" w:right="4980" w:firstLine="1"/>
        <w:spacing w:after="0" w:line="368" w:lineRule="auto"/>
        <w:tabs>
          <w:tab w:leader="none" w:pos="11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paid claims, net of reinsurance, in our Run-off and Life segments;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income annuity benefit payments and a decrease in guaranteed minimum death benefit (“GMDB”) liabilities resulting from less favorable equity market performance;</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lower average separate account balances, a portion of which are offset in fee income;</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one-time credit in the prior period from the exit of various transition services agreements with MetLife;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underwriting fees associated with funding agreements issued in connection with our institutional spread margin business;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legal reserves;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establishment costs;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our preferred stock dividend payments.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19% in the current period compared to 21% in the prior period. Our effective tax rate differs from the statutory tax rate primarily due to the impacts of the dividends received deduction and tax credits.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$820 million, an increase of $598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line="264" w:lineRule="auto"/>
        <w:tabs>
          <w:tab w:leader="none" w:pos="11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 and</w:t>
      </w:r>
    </w:p>
    <w:p>
      <w:pPr>
        <w:spacing w:after="0" w:line="74"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resulting from an actuarial system conversion in our Life segment in the fourth quarter of 2020;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asset-based fees resulting from higher average separate account balances, a portion of which is offset in other expenses.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800" w:right="4980" w:firstLine="1"/>
        <w:spacing w:after="0" w:line="368" w:lineRule="auto"/>
        <w:tabs>
          <w:tab w:leader="none" w:pos="1114"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paid claims, net of reinsurance, in our Run-off and Life segments;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decrease in GMDB liabilities resulting from favorable equity market performance and lower income annuity benefit payments;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deferred compensation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lower establishment costs related to planned technology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lower expenses resulting from the exit of various transition services agreements with MetLife;</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net amortization of DAC and VOBA in our Annuities segment;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our preferred stock dividend payments.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17% in the current period compared to 14% in the prior period. Our effective tax rate differs from the statutory tax rate primarily due to the impacts of the dividends received deduction and tax credits.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 and Corporate &amp; Other Results for the Three Months and Six Months Ended June 30, 2021 and 2020 — Adjusted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(417)</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(364)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increased for the three months and the six months ended June 30, 2021 driven by favorable equity market performance, partially offset by negative net flows and policy charges.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30, 2021 (1)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 (1)</w:t>
            </w:r>
          </w:p>
        </w:tc>
        <w:tc>
          <w:tcPr>
            <w:tcW w:w="0" w:type="dxa"/>
            <w:vAlign w:val="bottom"/>
          </w:tcPr>
          <w:p>
            <w:pPr>
              <w:spacing w:after="0"/>
              <w:rPr>
                <w:sz w:val="1"/>
                <w:szCs w:val="1"/>
                <w:color w:val="auto"/>
              </w:rPr>
            </w:pPr>
          </w:p>
        </w:tc>
      </w:tr>
      <w:tr>
        <w:trPr>
          <w:trHeight w:val="179"/>
        </w:trPr>
        <w:tc>
          <w:tcPr>
            <w:tcW w:w="7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103,450</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benefits</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203"/>
        </w:trPr>
        <w:tc>
          <w:tcPr>
            <w:tcW w:w="7560" w:type="dxa"/>
            <w:vAlign w:val="bottom"/>
          </w:tcPr>
          <w:p>
            <w:pPr>
              <w:ind w:left="180"/>
              <w:spacing w:after="0"/>
              <w:rPr>
                <w:sz w:val="20"/>
                <w:szCs w:val="20"/>
                <w:color w:val="auto"/>
              </w:rPr>
            </w:pPr>
            <w:r>
              <w:rPr>
                <w:rFonts w:ascii="Arial" w:cs="Arial" w:eastAsia="Arial" w:hAnsi="Arial"/>
                <w:sz w:val="16"/>
                <w:szCs w:val="16"/>
                <w:color w:val="auto"/>
              </w:rPr>
              <w:t>Net flows</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75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106,756</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106,101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5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June 30, 2021 were $149 million.</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$338 million for the current period, an increase of $167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800" w:right="4000" w:firstLine="1"/>
        <w:spacing w:after="0" w:line="368" w:lineRule="auto"/>
        <w:tabs>
          <w:tab w:leader="none" w:pos="1114"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asset-based fees resulting from lower average separate account balances, a portion of which is offset in other expenses;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amortization of DAC and VOBA driven by the net decrease in future gross profits from less favorable equity markets;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decrease in GMDB death claims;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decrease in GMDB liabilities resulting from favorable equity market performance.</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sz w:val="20"/>
          <w:szCs w:val="20"/>
          <w:color w:val="auto"/>
        </w:rPr>
      </w:pPr>
    </w:p>
    <w:p>
      <w:pPr>
        <w:ind w:left="1120" w:hanging="319"/>
        <w:spacing w:after="0" w:line="264" w:lineRule="auto"/>
        <w:tabs>
          <w:tab w:leader="none" w:pos="11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are offset in fee income;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one-time credit in the prior period from the exit of various transition services agreements with MetLife.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19% in the current period compared to 17% in the prior period. Our effective tax rate differs from the statutory tax rate primarily due to the impacts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$674 million for the current period, an increase of $187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800" w:right="4000" w:firstLine="1"/>
        <w:spacing w:after="0" w:line="368" w:lineRule="auto"/>
        <w:tabs>
          <w:tab w:leader="none" w:pos="1114"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higher asset-based fees resulting from higher average separate account balances, a portion of which is offset in other expenses; and</w:t>
      </w:r>
    </w:p>
    <w:p>
      <w:pPr>
        <w:spacing w:after="0" w:line="122" w:lineRule="exact"/>
        <w:rPr>
          <w:rFonts w:ascii="Arial" w:cs="Arial" w:eastAsia="Arial" w:hAnsi="Arial"/>
          <w:sz w:val="17"/>
          <w:szCs w:val="17"/>
          <w:color w:val="auto"/>
        </w:rPr>
      </w:pPr>
    </w:p>
    <w:p>
      <w:pPr>
        <w:ind w:left="800" w:right="20" w:hanging="317"/>
        <w:spacing w:after="0" w:line="264"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 a decrease in GMDB liabilities and deferred sales inducements (“DSI”) resulting from favorable equity market performance.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higher deferred compensation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amortization of DAC and VOBA driven by the net decrease in future gross profits from favorable equity market performance.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19% in the current period compared to 18%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89"/>
              </w:rPr>
              <w:t>90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80" w:type="dxa"/>
            <w:vAlign w:val="bottom"/>
          </w:tcPr>
          <w:p>
            <w:pPr>
              <w:spacing w:after="0"/>
              <w:rPr>
                <w:sz w:val="18"/>
                <w:szCs w:val="18"/>
                <w:color w:val="auto"/>
              </w:rPr>
            </w:pPr>
          </w:p>
        </w:tc>
        <w:tc>
          <w:tcPr>
            <w:tcW w:w="360" w:type="dxa"/>
            <w:vAlign w:val="bottom"/>
          </w:tcPr>
          <w:p>
            <w:pPr>
              <w:jc w:val="center"/>
              <w:ind w:left="1"/>
              <w:spacing w:after="0"/>
              <w:rPr>
                <w:sz w:val="20"/>
                <w:szCs w:val="20"/>
                <w:color w:val="auto"/>
              </w:rPr>
            </w:pPr>
            <w:r>
              <w:rPr>
                <w:rFonts w:ascii="Arial" w:cs="Arial" w:eastAsia="Arial" w:hAnsi="Arial"/>
                <w:sz w:val="16"/>
                <w:szCs w:val="16"/>
                <w:color w:val="auto"/>
                <w:w w:val="89"/>
              </w:rPr>
              <w:t>94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(41)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91"/>
              </w:rPr>
              <w:t>(10)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(48)</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80" w:type="dxa"/>
            <w:vAlign w:val="bottom"/>
          </w:tcPr>
          <w:p>
            <w:pPr>
              <w:spacing w:after="0"/>
              <w:rPr>
                <w:sz w:val="17"/>
                <w:szCs w:val="17"/>
                <w:color w:val="auto"/>
              </w:rPr>
            </w:pPr>
          </w:p>
        </w:tc>
        <w:tc>
          <w:tcPr>
            <w:tcW w:w="360" w:type="dxa"/>
            <w:vAlign w:val="bottom"/>
          </w:tcPr>
          <w:p>
            <w:pPr>
              <w:jc w:val="center"/>
              <w:ind w:left="1"/>
              <w:spacing w:after="0"/>
              <w:rPr>
                <w:sz w:val="20"/>
                <w:szCs w:val="20"/>
                <w:color w:val="auto"/>
              </w:rPr>
            </w:pPr>
            <w:r>
              <w:rPr>
                <w:rFonts w:ascii="Arial" w:cs="Arial" w:eastAsia="Arial" w:hAnsi="Arial"/>
                <w:sz w:val="16"/>
                <w:szCs w:val="16"/>
                <w:color w:val="auto"/>
                <w:w w:val="89"/>
              </w:rPr>
              <w:t>85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89"/>
              </w:rPr>
              <w:t>68</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$68 million for the current period, an increase of $20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800" w:right="4100" w:firstLine="1"/>
        <w:spacing w:after="0" w:line="368" w:lineRule="auto"/>
        <w:tabs>
          <w:tab w:leader="none" w:pos="11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resulting from an actuarial system conversion in the fourth quarter of 2020.</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net amortization of DAC and VOBA due to the impact on gross profits from lower separate account returns.</w:t>
      </w:r>
    </w:p>
    <w:p>
      <w:pPr>
        <w:spacing w:after="0" w:line="11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The provision for income tax, expressed as a percentage of pre-tax adjusted earnings, resulted in an effective tax rate of 20% in both the current period and prior periods. Our effective tax rate differs from the statutory tax rate primarily due to the impact of the dividends received deduction.</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$110 million for the current period, an increase of $51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800" w:right="4100" w:firstLine="1"/>
        <w:spacing w:after="0" w:line="368" w:lineRule="auto"/>
        <w:tabs>
          <w:tab w:leader="none" w:pos="11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52"/>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resulting from an actuarial system conversion in the fourth quarter of 2020; and</w:t>
      </w:r>
    </w:p>
    <w:p>
      <w:pPr>
        <w:spacing w:after="0" w:line="74" w:lineRule="exact"/>
        <w:rPr>
          <w:rFonts w:ascii="Arial" w:cs="Arial" w:eastAsia="Arial" w:hAnsi="Arial"/>
          <w:sz w:val="18"/>
          <w:szCs w:val="18"/>
          <w:color w:val="auto"/>
        </w:rPr>
      </w:pPr>
    </w:p>
    <w:p>
      <w:pPr>
        <w:ind w:left="480" w:right="400" w:firstLine="3"/>
        <w:spacing w:after="0" w:line="368" w:lineRule="auto"/>
        <w:tabs>
          <w:tab w:leader="none" w:pos="7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fee income due to an adjustment in the current period related to modeling improvements resulting from an actuarial system conversion; Key unfavorable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other expenses due to higher deferred compensation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20% in the current period compared to 19%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$122 million for the current period, an increase of $237 million.</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increase in adjusted earnings was driven by higher net investment spread due to higher returns on other limited partnerships for the comparative measurement period, partially offset by higher costs associated with insurance-related activities driven by an increase in paid claims, net of reinsurance.</w:t>
      </w:r>
    </w:p>
    <w:p>
      <w:pPr>
        <w:spacing w:after="0" w:line="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13% in the current period compared to 21% in the prior period. Our effective tax rate differs from the statutory tax rate primarily due to the impact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$198 million for the current period, an increase of $383 million.</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increase in adjusted earnings was driven by higher net investment spread due to higher returns on other limited partnerships for the comparative measurement period, partially offset by higher costs associated with insurance-related activities driven by lower underwriting margin.</w:t>
      </w:r>
    </w:p>
    <w:p>
      <w:pPr>
        <w:spacing w:after="0" w:line="5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12% in the current period compared to 22%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center"/>
              <w:ind w:right="28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4"/>
              </w:rPr>
              <w:t>Pre-tax adjusted earnings, less net income (loss) attributable to noncontrolling interests and</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(105)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$93 million for the current period.</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There was no change in adjusted earnings. Lower expenses from a decline in establishment costs, lower legal reserves and lower media spend, were partially offset by underwriting fees associated with funding agreements issued in connection with our institutional spread margin business and the timing of our preferred stock dividend payments.</w:t>
      </w:r>
    </w:p>
    <w:p>
      <w:pPr>
        <w:spacing w:after="0" w:line="82"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12% in the current period compared to 11% in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$162 million, a higher loss of $23 million from the prior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of our preferred stock dividend payments;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lower returns from short-term investments;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higher average invested long-term assets from funding agreements issued in connection with our institutional spread margin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adjusted earnings was partially offset by lower expenses due to lower establishment costs and lower legal reserves.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20% in both the current and prior periods.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and Six Months Ended June 30, 2021 and 2020</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GMLB Riders, which includes (i) changes in carrying value of the GAAP liabilities, (ii) the mark-to-market of hedges and reinsurance, (iii) fees and (iv) associated DAC offsets,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Hedges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3,617</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Fees (1)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$15 million for both the three months ended June 30, 2021 and 2020 and $29 million for both the six months ended June 30, 2021 and 2020.</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with the Three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favorable by $1.5 billion, primarily driven by:</w:t>
      </w:r>
    </w:p>
    <w:p>
      <w:pPr>
        <w:spacing w:after="0" w:line="111" w:lineRule="exact"/>
        <w:rPr>
          <w:sz w:val="20"/>
          <w:szCs w:val="20"/>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favorable changes in our GMLB hedges; and</w:t>
      </w:r>
    </w:p>
    <w:p>
      <w:pPr>
        <w:spacing w:after="0" w:line="111" w:lineRule="exact"/>
        <w:rPr>
          <w:rFonts w:ascii="Arial" w:cs="Arial" w:eastAsia="Arial" w:hAnsi="Arial"/>
          <w:sz w:val="18"/>
          <w:szCs w:val="18"/>
          <w:color w:val="auto"/>
        </w:rPr>
      </w:pPr>
    </w:p>
    <w:p>
      <w:pPr>
        <w:ind w:left="480" w:right="5840" w:firstLine="3"/>
        <w:spacing w:after="0" w:line="368" w:lineRule="auto"/>
        <w:tabs>
          <w:tab w:leader="none" w:pos="7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in GMLB DAC.</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favorable changes in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480" w:right="4480" w:firstLine="3"/>
        <w:spacing w:after="0" w:line="368" w:lineRule="auto"/>
        <w:tabs>
          <w:tab w:leader="none" w:pos="7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Higher interest rates resulted in the following impacts:</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changes in our GMLB hedges;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17"/>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widening of our credit default swap spreads combined with an increase in the underlying variable annuity liability reserves resulted in a favorable change in the adjustment for nonperformance risk, net of an unfavorable change in GMLB DAC.</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2021 Compared with the Six Months Ended June 30,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unfavorable by $3.2 billion, primarily driven by:</w:t>
      </w:r>
    </w:p>
    <w:p>
      <w:pPr>
        <w:spacing w:after="0" w:line="111" w:lineRule="exact"/>
        <w:rPr>
          <w:sz w:val="20"/>
          <w:szCs w:val="20"/>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in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changes in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relative equity markets resulted in the following impacts:</w:t>
      </w:r>
    </w:p>
    <w:p>
      <w:pPr>
        <w:spacing w:after="0" w:line="111" w:lineRule="exact"/>
        <w:rPr>
          <w:sz w:val="20"/>
          <w:szCs w:val="20"/>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changes in our GMLB hedges;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1" w:lineRule="exact"/>
        <w:rPr>
          <w:sz w:val="20"/>
          <w:szCs w:val="20"/>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in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in ceded reinsurance; and</w:t>
      </w:r>
    </w:p>
    <w:p>
      <w:pPr>
        <w:spacing w:after="0" w:line="111" w:lineRule="exact"/>
        <w:rPr>
          <w:rFonts w:ascii="Arial" w:cs="Arial" w:eastAsia="Arial" w:hAnsi="Arial"/>
          <w:sz w:val="18"/>
          <w:szCs w:val="18"/>
          <w:color w:val="auto"/>
        </w:rPr>
      </w:pPr>
    </w:p>
    <w:p>
      <w:pPr>
        <w:ind w:left="480" w:right="5680" w:firstLine="3"/>
        <w:spacing w:after="0" w:line="368" w:lineRule="auto"/>
        <w:tabs>
          <w:tab w:leader="none" w:pos="7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narrowing of our credit default swap spreads combined with a decrease in the underlying variable annuity liability reserves resulted in an unfavorable change in the adjustment for nonperformance risk, net of a favorable change in GMLB DAC.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are exposed to the following primary sources of investment risks, which may be heightened or exacerbated by the factors discussed in “— Industry Trends — COVID-19 Pandemic”:</w:t>
      </w:r>
    </w:p>
    <w:p>
      <w:pPr>
        <w:spacing w:after="0" w:line="75" w:lineRule="exact"/>
        <w:rPr>
          <w:sz w:val="20"/>
          <w:szCs w:val="20"/>
          <w:color w:val="auto"/>
        </w:rPr>
      </w:pPr>
    </w:p>
    <w:p>
      <w:pPr>
        <w:ind w:left="640" w:right="2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portfolio and the rates of return we receive on both new funds invested and reinvestment of existing funds;</w:t>
      </w:r>
    </w:p>
    <w:p>
      <w:pPr>
        <w:spacing w:after="0" w:line="111" w:lineRule="exact"/>
        <w:rPr>
          <w:sz w:val="20"/>
          <w:szCs w:val="20"/>
          <w:color w:val="auto"/>
        </w:rPr>
      </w:pPr>
    </w:p>
    <w:p>
      <w:pPr>
        <w:jc w:val="both"/>
        <w:ind w:left="640" w:hanging="316"/>
        <w:spacing w:after="0" w:line="250"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 net investment income associated with new purchases of fixed maturity securities and will favorably impact the net unrealized gain (loss) position of the fixed income investment portfolio;</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also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period-to-period” and “Risk Factors — Investments-Related Risks” in our 2020 Annual Report.</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our 2020 Annual Report.</w:t>
      </w:r>
    </w:p>
    <w:p>
      <w:pPr>
        <w:spacing w:after="0" w:line="8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Recent elevated levels of market volatility have affected the performance of various asset classes. Contributing factors include concerns about energy and oil prices impacting the energy sector, as well as the impact of the COVID-19 pandemic. See “Risk Factors — Risks Related to Our Business — The ongoing COVID-19 pandemic could materially adversely affect our business, financial condition and results of operations, including our capitalization and liquidity” included in our 2020 Annual Report.</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There has been an increased market focus on energy sector investments as a result of volatile energy and oil prices. We maintain a diversified energy sector fixed maturity securities portfolio across sub-sectors and issuers. Our exposure 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energy sector fixed maturity securities was $3.2 billion, of which 90% were investment grade, with net unrealized gains (losses) of $333 million at June 30, 2021.</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There has also been an increased market focus on retail sector investments as a result of the COVID-19 pandemic and uncertainty regarding its duration and severity. Our exposure to retail sector corporate fixed maturity securities was $1.9 billion, of which 96% were investment grade, with net unrealized gains (losses) of $211 million at June 30, 2021.</w:t>
      </w:r>
    </w:p>
    <w:p>
      <w:pPr>
        <w:spacing w:after="0" w:line="82"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In addition to the fixed maturity securities discussed above, we have exposure to mortgage loans and certain residential mortgage-backed securities (“RMBS”), commercial mortgage-backed securities (“CMBS”) and asset-backed securities (“ABS”) (collectively, “Structured Securities”) that may be impacted by the COVID-19 pandemic. Our investment managers are actively working with borrowers who are experiencing short-term financial or operational problems as a result of the COVID-19 pandemic to provide temporary relief. See “— Investments — Mortgage Loans” and Note 4 of the Notes to the Interim Condensed Consolidated Financial Statements for information on mortgage loans, including credit quality by portfolio segment and commercial mortgage loans by property type. Additionally, see “— Investments — Fixed Maturity Available-for-sale — Structured Securities” for information on Structured Securities, including security type, risk profile and ratings profile.</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5"/>
        </w:trPr>
        <w:tc>
          <w:tcPr>
            <w:tcW w:w="3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405"/>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79"/>
        </w:trPr>
        <w:tc>
          <w:tcPr>
            <w:tcW w:w="318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r>
      <w:tr>
        <w:trPr>
          <w:trHeight w:val="179"/>
        </w:trPr>
        <w:tc>
          <w:tcPr>
            <w:tcW w:w="3180" w:type="dxa"/>
            <w:vAlign w:val="bottom"/>
          </w:tcPr>
          <w:p>
            <w:pPr>
              <w:spacing w:after="0"/>
              <w:rPr>
                <w:sz w:val="15"/>
                <w:szCs w:val="15"/>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4"/>
              </w:rPr>
              <w:t>Amount</w:t>
            </w:r>
          </w:p>
        </w:tc>
      </w:tr>
      <w:tr>
        <w:trPr>
          <w:trHeight w:val="179"/>
        </w:trPr>
        <w:tc>
          <w:tcPr>
            <w:tcW w:w="3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3"/>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0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fees and expenses (2)</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8"/>
              </w:rPr>
              <w:t>(32)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2" w:lineRule="auto"/>
        <w:tabs>
          <w:tab w:leader="none" w:pos="3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8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4"/>
        <w:spacing w:after="0" w:line="264" w:lineRule="auto"/>
        <w:tabs>
          <w:tab w:leader="none" w:pos="3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1,217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See “— Results of Operations — Consolidated Results for the Three Months and Six Months Ended June 30, 2021 and 2020 for an analysis of the period over period changes in net investment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December 31, 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c>
          <w:tcPr>
            <w:tcW w:w="1100" w:type="dxa"/>
            <w:vAlign w:val="bottom"/>
          </w:tcPr>
          <w:p>
            <w:pPr>
              <w:ind w:left="140"/>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20" w:type="dxa"/>
            <w:vAlign w:val="bottom"/>
            <w:gridSpan w:val="3"/>
          </w:tcPr>
          <w:p>
            <w:pPr>
              <w:ind w:left="220"/>
              <w:spacing w:after="0" w:line="131" w:lineRule="exact"/>
              <w:rPr>
                <w:sz w:val="20"/>
                <w:szCs w:val="20"/>
                <w:color w:val="auto"/>
              </w:rPr>
            </w:pPr>
            <w:r>
              <w:rPr>
                <w:rFonts w:ascii="Arial" w:cs="Arial" w:eastAsia="Arial" w:hAnsi="Arial"/>
                <w:sz w:val="14"/>
                <w:szCs w:val="14"/>
                <w:b w:val="1"/>
                <w:bCs w:val="1"/>
                <w:color w:val="auto"/>
              </w:rPr>
              <w:t>Estimated</w:t>
            </w:r>
          </w:p>
        </w:tc>
        <w:tc>
          <w:tcPr>
            <w:tcW w:w="1040" w:type="dxa"/>
            <w:vAlign w:val="bottom"/>
          </w:tcPr>
          <w:p>
            <w:pPr>
              <w:jc w:val="right"/>
              <w:ind w:right="584"/>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20" w:type="dxa"/>
            <w:vAlign w:val="bottom"/>
            <w:gridSpan w:val="6"/>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70,636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68,328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82.8 %</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14,149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14,167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84,785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82,495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73.4 %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72.6 %</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Note 6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See “Management’s Discussion and Analysis of Financial Condition and Results of Operations — Investments — Fixed Maturity Securities AFS — Fixed Maturity Securities Credit Quality — Ratings” included in our 2020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methodologies adopted by the NAIC for certain Structured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June 30, 2021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Arial" w:cs="Arial" w:eastAsia="Arial" w:hAnsi="Arial"/>
                <w:sz w:val="11"/>
                <w:szCs w:val="11"/>
                <w:b w:val="1"/>
                <w:bCs w:val="1"/>
                <w:color w:val="auto"/>
              </w:rPr>
              <w:t>December 31, 2020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NAIC</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860" w:type="dxa"/>
            <w:vAlign w:val="bottom"/>
            <w:gridSpan w:val="2"/>
            <w:vMerge w:val="continue"/>
          </w:tcPr>
          <w:p>
            <w:pPr>
              <w:spacing w:after="0"/>
              <w:rPr>
                <w:sz w:val="8"/>
                <w:szCs w:val="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NRSRO Rating</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8"/>
                <w:szCs w:val="8"/>
                <w:color w:val="auto"/>
              </w:rPr>
            </w:pPr>
          </w:p>
        </w:tc>
        <w:tc>
          <w:tcPr>
            <w:tcW w:w="84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rPr>
              <w:t>Allowance for</w:t>
            </w: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86"/>
              </w:rPr>
              <w:t>Unrealized</w:t>
            </w:r>
          </w:p>
        </w:tc>
        <w:tc>
          <w:tcPr>
            <w:tcW w:w="90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8"/>
                <w:szCs w:val="8"/>
                <w:color w:val="auto"/>
              </w:rPr>
            </w:pPr>
          </w:p>
        </w:tc>
        <w:tc>
          <w:tcPr>
            <w:tcW w:w="740" w:type="dxa"/>
            <w:vAlign w:val="bottom"/>
          </w:tcPr>
          <w:p>
            <w:pPr>
              <w:jc w:val="right"/>
              <w:ind w:right="40"/>
              <w:spacing w:after="0" w:line="100" w:lineRule="exact"/>
              <w:rPr>
                <w:sz w:val="20"/>
                <w:szCs w:val="20"/>
                <w:color w:val="auto"/>
              </w:rPr>
            </w:pPr>
            <w:r>
              <w:rPr>
                <w:rFonts w:ascii="Arial" w:cs="Arial" w:eastAsia="Arial" w:hAnsi="Arial"/>
                <w:sz w:val="11"/>
                <w:szCs w:val="11"/>
                <w:b w:val="1"/>
                <w:bCs w:val="1"/>
                <w:color w:val="auto"/>
                <w:w w:val="85"/>
              </w:rPr>
              <w:t>Allowance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12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Designation</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Credit Losses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Gain (Loss)</w:t>
            </w:r>
          </w:p>
        </w:tc>
        <w:tc>
          <w:tcPr>
            <w:tcW w:w="1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1"/>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740" w:type="dxa"/>
            <w:vAlign w:val="bottom"/>
          </w:tcPr>
          <w:p>
            <w:pPr>
              <w:jc w:val="right"/>
              <w:ind w:right="60"/>
              <w:spacing w:after="0"/>
              <w:rPr>
                <w:sz w:val="20"/>
                <w:szCs w:val="20"/>
                <w:color w:val="auto"/>
              </w:rPr>
            </w:pPr>
            <w:r>
              <w:rPr>
                <w:rFonts w:ascii="Arial" w:cs="Arial" w:eastAsia="Arial" w:hAnsi="Arial"/>
                <w:sz w:val="11"/>
                <w:szCs w:val="11"/>
                <w:b w:val="1"/>
                <w:bCs w:val="1"/>
                <w:color w:val="auto"/>
                <w:w w:val="82"/>
              </w:rPr>
              <w:t>Credit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Gain (Loss)</w:t>
            </w:r>
          </w:p>
        </w:tc>
        <w:tc>
          <w:tcPr>
            <w:tcW w:w="1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ind w:left="4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53,758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63.4 %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52,681</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0" w:type="dxa"/>
            <w:vAlign w:val="bottom"/>
          </w:tcPr>
          <w:p>
            <w:pPr>
              <w:spacing w:after="0"/>
              <w:rPr>
                <w:sz w:val="1"/>
                <w:szCs w:val="1"/>
                <w:color w:val="auto"/>
              </w:rPr>
            </w:pPr>
          </w:p>
        </w:tc>
      </w:tr>
      <w:tr>
        <w:trPr>
          <w:trHeight w:val="166"/>
        </w:trPr>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Baa</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24,637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27,274</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26,360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81,032</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79,041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2,610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2,526</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3,639</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3,753</w:t>
            </w:r>
          </w:p>
        </w:tc>
        <w:tc>
          <w:tcPr>
            <w:tcW w:w="1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3,318</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3,454</w:t>
            </w:r>
          </w:p>
        </w:tc>
        <w:tc>
          <w:tcPr>
            <w:tcW w:w="1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9,340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84,785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70,529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11,968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82,495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gridSpan w:val="14"/>
          </w:tcPr>
          <w:p>
            <w:pPr>
              <w:jc w:val="center"/>
              <w:ind w:right="32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8"/>
        </w:trPr>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Caa and</w:t>
            </w:r>
          </w:p>
        </w:tc>
        <w:tc>
          <w:tcPr>
            <w:tcW w:w="140" w:type="dxa"/>
            <w:vAlign w:val="bottom"/>
          </w:tcPr>
          <w:p>
            <w:pPr>
              <w:spacing w:after="0"/>
              <w:rPr>
                <w:sz w:val="3"/>
                <w:szCs w:val="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1"/>
                <w:szCs w:val="1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Lower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17,586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17,642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37,917</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11,829</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9,258</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6,998</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27,274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84,785</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December 31, 2020</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37,906</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8,638</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82,495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Our portfolio does not have any exposure to any single issuer in excess of 1% of total investments and the top ten holdings in aggregate comprise 2% of total investments at both June 30, 2021 and December 31, 2020. Our U.S. and foreign corporate fixed maturity securities holdings by industry were as follows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1"/>
              </w:rPr>
              <w:t>December 31, 2020</w:t>
            </w:r>
          </w:p>
        </w:tc>
        <w:tc>
          <w:tcPr>
            <w:tcW w:w="1020" w:type="dxa"/>
            <w:vAlign w:val="bottom"/>
            <w:tcBorders>
              <w:bottom w:val="single" w:sz="8" w:color="auto"/>
            </w:tcBorders>
          </w:tcPr>
          <w:p>
            <w:pPr>
              <w:spacing w:after="0"/>
              <w:rPr>
                <w:sz w:val="16"/>
                <w:szCs w:val="16"/>
                <w:color w:val="auto"/>
              </w:rPr>
            </w:pPr>
          </w:p>
        </w:tc>
      </w:tr>
      <w:tr>
        <w:trPr>
          <w:trHeight w:val="131"/>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c>
          <w:tcPr>
            <w:tcW w:w="1100" w:type="dxa"/>
            <w:vAlign w:val="bottom"/>
          </w:tcPr>
          <w:p>
            <w:pPr>
              <w:ind w:left="120"/>
              <w:spacing w:after="0" w:line="131"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3"/>
          </w:tcPr>
          <w:p>
            <w:pPr>
              <w:ind w:left="180"/>
              <w:spacing w:after="0" w:line="131"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60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79"/>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4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5"/>
                <w:szCs w:val="15"/>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11,535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23.3</w:t>
            </w:r>
          </w:p>
        </w:tc>
      </w:tr>
      <w:tr>
        <w:trPr>
          <w:trHeight w:val="214"/>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11,452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23.2</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7,412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15.0</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3,477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7.0</w:t>
            </w:r>
          </w:p>
        </w:tc>
      </w:tr>
      <w:tr>
        <w:trPr>
          <w:trHeight w:val="380"/>
        </w:trPr>
        <w:tc>
          <w:tcPr>
            <w:tcW w:w="462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49,746</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49,417</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We held $19.1 billion and $18.0 billion of Structured Securities, at estimated fair value, at June 30, 2021 and December 31, 2020, respectively, as presented in the RMBS, CMBS and ABS sections below.</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6"/>
              </w:rPr>
              <w:t>June 30, 2021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w w:val="99"/>
              </w:rPr>
              <w:t>December 31, 2020</w:t>
            </w:r>
          </w:p>
        </w:tc>
        <w:tc>
          <w:tcPr>
            <w:tcW w:w="1160" w:type="dxa"/>
            <w:vAlign w:val="bottom"/>
            <w:tcBorders>
              <w:bottom w:val="single" w:sz="8" w:color="auto"/>
            </w:tcBorders>
          </w:tcPr>
          <w:p>
            <w:pPr>
              <w:spacing w:after="0"/>
              <w:rPr>
                <w:sz w:val="16"/>
                <w:szCs w:val="16"/>
                <w:color w:val="auto"/>
              </w:rPr>
            </w:pPr>
          </w:p>
        </w:tc>
      </w:tr>
      <w:tr>
        <w:trPr>
          <w:trHeight w:val="131"/>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ind w:left="42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ind w:left="40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2"/>
              <w:spacing w:after="0" w:line="131" w:lineRule="exact"/>
              <w:rPr>
                <w:sz w:val="20"/>
                <w:szCs w:val="20"/>
                <w:color w:val="auto"/>
              </w:rPr>
            </w:pPr>
            <w:r>
              <w:rPr>
                <w:rFonts w:ascii="Arial" w:cs="Arial" w:eastAsia="Arial" w:hAnsi="Arial"/>
                <w:sz w:val="14"/>
                <w:szCs w:val="14"/>
                <w:b w:val="1"/>
                <w:bCs w:val="1"/>
                <w:color w:val="auto"/>
                <w:w w:val="96"/>
              </w:rPr>
              <w:t>Net Unrealized</w:t>
            </w:r>
          </w:p>
        </w:tc>
      </w:t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79"/>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4,782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4,852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58.5 %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Pass-through securities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6,921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79.4 %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6,519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5"/>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6,738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116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6"/>
                <w:szCs w:val="16"/>
                <w:color w:val="auto"/>
              </w:rPr>
            </w:pPr>
          </w:p>
        </w:tc>
        <w:tc>
          <w:tcPr>
            <w:tcW w:w="3300" w:type="dxa"/>
            <w:vAlign w:val="bottom"/>
            <w:gridSpan w:val="4"/>
          </w:tcPr>
          <w:p>
            <w:pPr>
              <w:jc w:val="right"/>
              <w:ind w:right="1181"/>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38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Estimated Fair Value</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7"/>
              </w:rPr>
              <w:t>Estimated Fair Value</w:t>
            </w:r>
          </w:p>
        </w:tc>
      </w:tr>
      <w:tr>
        <w:trPr>
          <w:trHeight w:val="179"/>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2003 - 2010</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$4.9 billion, or 70.0% of total CMBS, and designated NAIC 1 was $6.6 billion, or 93.9% of total CMBS, at June 30, 2021. The estimated fair value of CMBS Aaa rating agency ratings was $5.0 billion, or 73.4% of total CMBS, and designated NAIC 1 was $6.5 billion, or 95.0% of total CMBS at December 31, 2020.</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ABS holdings are diversified by both collateral type and issuer. Our ABS holdings by collateral type and ratings profile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Estimated</w:t>
            </w:r>
          </w:p>
        </w:tc>
        <w:tc>
          <w:tcPr>
            <w:tcW w:w="1320" w:type="dxa"/>
            <w:vAlign w:val="bottom"/>
            <w:gridSpan w:val="2"/>
          </w:tcPr>
          <w:p>
            <w:pPr>
              <w:ind w:left="46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4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Estimated</w:t>
            </w:r>
          </w:p>
        </w:tc>
        <w:tc>
          <w:tcPr>
            <w:tcW w:w="1340" w:type="dxa"/>
            <w:vAlign w:val="bottom"/>
            <w:gridSpan w:val="2"/>
          </w:tcPr>
          <w:p>
            <w:pPr>
              <w:ind w:left="46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2"/>
              <w:spacing w:after="0" w:line="131" w:lineRule="exact"/>
              <w:rPr>
                <w:sz w:val="20"/>
                <w:szCs w:val="20"/>
                <w:color w:val="auto"/>
              </w:rPr>
            </w:pPr>
            <w:r>
              <w:rPr>
                <w:rFonts w:ascii="Arial" w:cs="Arial" w:eastAsia="Arial" w:hAnsi="Arial"/>
                <w:sz w:val="14"/>
                <w:szCs w:val="14"/>
                <w:b w:val="1"/>
                <w:bCs w:val="1"/>
                <w:color w:val="auto"/>
                <w:w w:val="96"/>
              </w:rPr>
              <w:t>Net Unrealized</w:t>
            </w:r>
          </w:p>
        </w:tc>
      </w:tr>
      <w:tr>
        <w:trPr>
          <w:trHeight w:val="185"/>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79"/>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8"/>
        </w:trPr>
        <w:tc>
          <w:tcPr>
            <w:tcW w:w="35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3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35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1"/>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tcPr>
          <w:p>
            <w:pPr>
              <w:ind w:left="380"/>
              <w:spacing w:after="0" w:line="131"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5"/>
              </w:rPr>
              <w:t>Allowance for</w:t>
            </w:r>
          </w:p>
        </w:tc>
        <w:tc>
          <w:tcPr>
            <w:tcW w:w="1220" w:type="dxa"/>
            <w:vAlign w:val="bottom"/>
          </w:tcPr>
          <w:p>
            <w:pPr>
              <w:jc w:val="center"/>
              <w:ind w:left="24"/>
              <w:spacing w:after="0" w:line="131" w:lineRule="exact"/>
              <w:rPr>
                <w:sz w:val="20"/>
                <w:szCs w:val="20"/>
                <w:color w:val="auto"/>
              </w:rPr>
            </w:pPr>
            <w:r>
              <w:rPr>
                <w:rFonts w:ascii="Arial" w:cs="Arial" w:eastAsia="Arial" w:hAnsi="Arial"/>
                <w:sz w:val="14"/>
                <w:szCs w:val="14"/>
                <w:b w:val="1"/>
                <w:bCs w:val="1"/>
                <w:color w:val="auto"/>
                <w:w w:val="94"/>
              </w:rPr>
              <w:t>% of 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3"/>
              </w:rPr>
              <w:t>Amortized</w:t>
            </w:r>
          </w:p>
        </w:tc>
        <w:tc>
          <w:tcPr>
            <w:tcW w:w="1180" w:type="dxa"/>
            <w:vAlign w:val="bottom"/>
            <w:gridSpan w:val="2"/>
          </w:tcPr>
          <w:p>
            <w:pPr>
              <w:ind w:left="400"/>
              <w:spacing w:after="0" w:line="131" w:lineRule="exact"/>
              <w:rPr>
                <w:sz w:val="20"/>
                <w:szCs w:val="20"/>
                <w:color w:val="auto"/>
              </w:rPr>
            </w:pPr>
            <w:r>
              <w:rPr>
                <w:rFonts w:ascii="Arial" w:cs="Arial" w:eastAsia="Arial" w:hAnsi="Arial"/>
                <w:sz w:val="14"/>
                <w:szCs w:val="14"/>
                <w:b w:val="1"/>
                <w:bCs w:val="1"/>
                <w:color w:val="auto"/>
              </w:rPr>
              <w:t>% of</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7"/>
              </w:rPr>
              <w:t>Allowance for</w:t>
            </w:r>
          </w:p>
        </w:tc>
        <w:tc>
          <w:tcPr>
            <w:tcW w:w="12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Amortized</w:t>
            </w:r>
          </w:p>
        </w:tc>
      </w:tr>
      <w:tr>
        <w:trPr>
          <w:trHeight w:val="185"/>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2"/>
              </w:rPr>
              <w:t>Credit Losses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4"/>
              </w:rPr>
              <w:t>Credit Losses</w:t>
            </w: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Cost</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23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8"/>
        </w:trPr>
        <w:tc>
          <w:tcPr>
            <w:tcW w:w="230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16,829</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96% at both June 30, 2021 and December 31, 2020. The remainder was collateralized by properties located outside of the U.S. The carrying value as a percentage of total commercial and agricultural mortgage loans for the top three states in the U.S. was as follows at: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June 30, 2021</w:t>
            </w: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w:t>
            </w:r>
          </w:p>
        </w:tc>
      </w:tr>
      <w:tr>
        <w:trPr>
          <w:trHeight w:val="209"/>
        </w:trPr>
        <w:tc>
          <w:tcPr>
            <w:tcW w:w="8500" w:type="dxa"/>
            <w:vAlign w:val="bottom"/>
          </w:tcPr>
          <w:p>
            <w:pPr>
              <w:ind w:left="20"/>
              <w:spacing w:after="0"/>
              <w:rPr>
                <w:sz w:val="20"/>
                <w:szCs w:val="20"/>
                <w:color w:val="auto"/>
              </w:rPr>
            </w:pPr>
            <w:r>
              <w:rPr>
                <w:rFonts w:ascii="Arial" w:cs="Arial" w:eastAsia="Arial" w:hAnsi="Arial"/>
                <w:sz w:val="16"/>
                <w:szCs w:val="16"/>
                <w:color w:val="auto"/>
              </w:rPr>
              <w:t>New York</w:t>
            </w:r>
          </w:p>
        </w:tc>
        <w:tc>
          <w:tcPr>
            <w:tcW w:w="2740" w:type="dxa"/>
            <w:vAlign w:val="bottom"/>
          </w:tcPr>
          <w:p>
            <w:pPr>
              <w:jc w:val="center"/>
              <w:spacing w:after="0"/>
              <w:rPr>
                <w:sz w:val="20"/>
                <w:szCs w:val="20"/>
                <w:color w:val="auto"/>
              </w:rPr>
            </w:pPr>
            <w:r>
              <w:rPr>
                <w:rFonts w:ascii="Arial" w:cs="Arial" w:eastAsia="Arial" w:hAnsi="Arial"/>
                <w:sz w:val="16"/>
                <w:szCs w:val="16"/>
                <w:color w:val="auto"/>
                <w:w w:val="93"/>
              </w:rPr>
              <w:t>11%</w:t>
            </w:r>
          </w:p>
        </w:tc>
      </w:tr>
      <w:tr>
        <w:trPr>
          <w:trHeight w:val="215"/>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residential mortgage loan portfolio is managed in a similar manner to reduce risk of concentration. All residential mortgage loans were collateralized by properties located in the U.S. at both June 30, 2021 and December 31, 2020. The carrying value as a percentage of total residential mortgage loans for the top three states in the U.S. was as follows at: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June 30, 2021</w:t>
            </w: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r>
      <w:tr>
        <w:trPr>
          <w:trHeight w:val="209"/>
        </w:trPr>
        <w:tc>
          <w:tcPr>
            <w:tcW w:w="8500" w:type="dxa"/>
            <w:vAlign w:val="bottom"/>
          </w:tcPr>
          <w:p>
            <w:pPr>
              <w:ind w:left="20"/>
              <w:spacing w:after="0"/>
              <w:rPr>
                <w:sz w:val="20"/>
                <w:szCs w:val="20"/>
                <w:color w:val="auto"/>
              </w:rPr>
            </w:pPr>
            <w:r>
              <w:rPr>
                <w:rFonts w:ascii="Arial" w:cs="Arial" w:eastAsia="Arial" w:hAnsi="Arial"/>
                <w:sz w:val="16"/>
                <w:szCs w:val="16"/>
                <w:color w:val="auto"/>
              </w:rPr>
              <w:t>Florida</w:t>
            </w:r>
          </w:p>
        </w:tc>
        <w:tc>
          <w:tcPr>
            <w:tcW w:w="2740" w:type="dxa"/>
            <w:vAlign w:val="bottom"/>
          </w:tcPr>
          <w:p>
            <w:pPr>
              <w:jc w:val="center"/>
              <w:spacing w:after="0"/>
              <w:rPr>
                <w:sz w:val="20"/>
                <w:szCs w:val="20"/>
                <w:color w:val="auto"/>
              </w:rPr>
            </w:pPr>
            <w:r>
              <w:rPr>
                <w:rFonts w:ascii="Arial" w:cs="Arial" w:eastAsia="Arial" w:hAnsi="Arial"/>
                <w:sz w:val="16"/>
                <w:szCs w:val="16"/>
                <w:color w:val="auto"/>
                <w:w w:val="93"/>
              </w:rPr>
              <w:t>10%</w:t>
            </w:r>
          </w:p>
        </w:tc>
      </w:tr>
      <w:tr>
        <w:trPr>
          <w:trHeight w:val="215"/>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6"/>
              </w:rPr>
              <w:t>June 30, 2021</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8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ind w:left="80"/>
              <w:spacing w:after="0" w:line="131" w:lineRule="exact"/>
              <w:rPr>
                <w:sz w:val="20"/>
                <w:szCs w:val="20"/>
                <w:color w:val="auto"/>
              </w:rPr>
            </w:pPr>
            <w:r>
              <w:rPr>
                <w:rFonts w:ascii="Arial" w:cs="Arial" w:eastAsia="Arial" w:hAnsi="Arial"/>
                <w:sz w:val="14"/>
                <w:szCs w:val="14"/>
                <w:b w:val="1"/>
                <w:bCs w:val="1"/>
                <w:color w:val="auto"/>
                <w:w w:val="94"/>
              </w:rPr>
              <w:t>%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440" w:type="dxa"/>
            <w:vAlign w:val="bottom"/>
          </w:tcPr>
          <w:p>
            <w:pPr>
              <w:jc w:val="right"/>
              <w:ind w:right="505"/>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w w:val="92"/>
              </w:rPr>
              <w:t>(Dollars in millions)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Pacific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2,670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Atlantic</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1,832</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1,861</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802</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Mountain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736</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North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596</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506</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England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180"/>
              <w:spacing w:after="0" w:line="206" w:lineRule="exact"/>
              <w:rPr>
                <w:sz w:val="20"/>
                <w:szCs w:val="20"/>
                <w:color w:val="auto"/>
              </w:rPr>
            </w:pPr>
            <w:r>
              <w:rPr>
                <w:rFonts w:ascii="Arial" w:cs="Arial" w:eastAsia="Arial" w:hAnsi="Arial"/>
                <w:sz w:val="18"/>
                <w:szCs w:val="18"/>
                <w:color w:val="auto"/>
              </w:rPr>
              <w:t>Carrying value, net of allowance for credit losses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9,670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Apartment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2,072</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2,068</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822</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934</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9,670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4 of the Notes to the Interim Condensed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4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58% and 57% at June 30, 2021 and December 31, 2020, respectively, and our average debt-service coverage ratio was 2.3x at both June 30, 2021 and December 31, 2020.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at both June 30, 2021 and December 31, 2020. The values utilized in calculating the agricultural mortgage loan loan-to-value ratio are developed in connection with the ongoing review of the agricultural loan portfolio and are routinely updated.</w:t>
      </w:r>
    </w:p>
    <w:p>
      <w:pPr>
        <w:spacing w:after="0" w:line="2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Loan Modifications Related to the COVID-19 Pandemic. </w:t>
      </w:r>
      <w:r>
        <w:rPr>
          <w:rFonts w:ascii="Arial" w:cs="Arial" w:eastAsia="Arial" w:hAnsi="Arial"/>
          <w:sz w:val="18"/>
          <w:szCs w:val="18"/>
          <w:color w:val="auto"/>
        </w:rPr>
        <w:t>Our investment managers’ underwriting and credit management practices are proactively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to meet the changing economic environment. To actively mitigate losses and enhance borrower support across the mortgage loan portfolio segments, we have expanded our loan modification and customer assistance programs.</w:t>
      </w:r>
    </w:p>
    <w:p>
      <w:pPr>
        <w:spacing w:after="0" w:line="8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March 1, 2020, we have completed loan modifications and have provided waivers to certain covenants, including the furniture, fixture and expense reserves, tenant rent payment deferrals or lease modifications, rate reductions, maturity date extensions, and other actions with a number of our borrowers impacted by the COVID-19 pandemic. A subset of these modifications included short-term principal and interest forbearance. At June 30, 2021, the recorded investment on mortgage loans where borrowers were offered debt-service forbearance and were not making payments was $205 million, comprised of $102 million commercial mortgage loans, $53 million of agricultural mortgage loans and $50 million of residential mortgage loans. At December 31, 2020, the recorded investment on mortgage loans where borrowers were offered debt-service forbearance and were not making payments was $299 million, comprised of $197 million commercial mortgage loans, $23 million of agricultural mortgage loans and $79 million of residential mortgage loans. These types of modifications are generally not considered troubled debt restructurings (“TDRs”) due to certain relief granted by U.S. federal legislation in March 2020. For more information on TDRs, see Note 4 to the Interim Condensed Consolidated Financial Statements.</w:t>
      </w:r>
    </w:p>
    <w:p>
      <w:pPr>
        <w:spacing w:after="0" w:line="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Notes 4 and 6 of the Notes to the Interim Condensed Consolidated Financial Statements 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how the allowance for credit losses is established and monitored, as well as activity in and balances of the allowance for credit losses for the six months ended June 30, 2021 and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limited liability companies (“LLCs”)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gridSpan w:val="3"/>
          </w:tcPr>
          <w:p>
            <w:pPr>
              <w:jc w:val="right"/>
              <w:ind w:right="443"/>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 interests</w:t>
            </w:r>
          </w:p>
        </w:tc>
        <w:tc>
          <w:tcPr>
            <w:tcW w:w="1320" w:type="dxa"/>
            <w:vAlign w:val="bottom"/>
            <w:shd w:val="clear" w:color="auto" w:fill="CCEEFF"/>
          </w:tcPr>
          <w:p>
            <w:pPr>
              <w:jc w:val="right"/>
              <w:ind w:right="114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33"/>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3,546</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$528 million and $501 million at June 30, 2021 and December 31, 2020,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June 30, 2021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December 31, 2020</w:t>
            </w:r>
          </w:p>
        </w:tc>
        <w:tc>
          <w:tcPr>
            <w:tcW w:w="940" w:type="dxa"/>
            <w:vAlign w:val="bottom"/>
            <w:tcBorders>
              <w:bottom w:val="single" w:sz="8" w:color="auto"/>
            </w:tcBorders>
          </w:tcPr>
          <w:p>
            <w:pPr>
              <w:spacing w:after="0"/>
              <w:rPr>
                <w:sz w:val="16"/>
                <w:szCs w:val="16"/>
                <w:color w:val="auto"/>
              </w:rPr>
            </w:pPr>
          </w:p>
        </w:tc>
      </w:tr>
      <w:tr>
        <w:trPr>
          <w:trHeight w:val="131"/>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3"/>
          </w:tcPr>
          <w:p>
            <w:pPr>
              <w:jc w:val="center"/>
              <w:ind w:right="900"/>
              <w:spacing w:after="0" w:line="131"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tcPr>
          <w:p>
            <w:pPr>
              <w:ind w:left="100"/>
              <w:spacing w:after="0" w:line="131"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gridSpan w:val="3"/>
          </w:tcPr>
          <w:p>
            <w:pPr>
              <w:jc w:val="center"/>
              <w:ind w:right="980"/>
              <w:spacing w:after="0" w:line="131" w:lineRule="exact"/>
              <w:rPr>
                <w:sz w:val="20"/>
                <w:szCs w:val="20"/>
                <w:color w:val="auto"/>
              </w:rPr>
            </w:pPr>
            <w:r>
              <w:rPr>
                <w:rFonts w:ascii="Arial" w:cs="Arial" w:eastAsia="Arial" w:hAnsi="Arial"/>
                <w:sz w:val="14"/>
                <w:szCs w:val="14"/>
                <w:b w:val="1"/>
                <w:bCs w:val="1"/>
                <w:color w:val="auto"/>
                <w:w w:val="93"/>
              </w:rPr>
              <w:t>Carrying</w:t>
            </w:r>
          </w:p>
        </w:tc>
        <w:tc>
          <w:tcPr>
            <w:tcW w:w="940" w:type="dxa"/>
            <w:vAlign w:val="bottom"/>
          </w:tcPr>
          <w:p>
            <w:pPr>
              <w:jc w:val="right"/>
              <w:ind w:right="54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w w:val="89"/>
              </w:rPr>
              <w:t>Total</w:t>
            </w:r>
          </w:p>
        </w:tc>
      </w:tr>
      <w:tr>
        <w:trPr>
          <w:trHeight w:val="179"/>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80" w:type="dxa"/>
            <w:vAlign w:val="bottom"/>
            <w:gridSpan w:val="6"/>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5"/>
                <w:szCs w:val="15"/>
                <w:color w:val="auto"/>
              </w:rPr>
            </w:pPr>
          </w:p>
        </w:tc>
      </w:tr>
      <w:tr>
        <w:trPr>
          <w:trHeight w:val="425"/>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93.6 %</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95.6 %</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1.1</w:t>
            </w: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renewable energy partnerships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1.3</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0.3</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w:t>
      </w:r>
    </w:p>
    <w:p>
      <w:pPr>
        <w:spacing w:after="0" w:line="82" w:lineRule="exact"/>
        <w:rPr>
          <w:sz w:val="20"/>
          <w:szCs w:val="20"/>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June 30, 2021 and December 31, 2020.</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six months ended June 30, 2021 and 2020.</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 ULSG Market Risk Exposure Management” and “Management’s Discussion and Analysis of Financial Condition and Results of Operations — Results of Operations — Annual Actuarial Review” included in our 2020 Annual Report for more information about our use of derivatives by major hedging programs.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Derivatives categorized as Level 3 at June 30, 2021 include: credit default swaps priced using unobservable credit spreads, or that are priced through independent broker quotations; equity variance swaps with unobservable volatility inputs and foreign currency swaps with certain unobservable inputs.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on the balance sheets and does not affect our legal right of offset.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45"/>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4"/>
                <w:szCs w:val="14"/>
                <w:b w:val="1"/>
                <w:bCs w:val="1"/>
                <w:color w:val="auto"/>
              </w:rPr>
              <w:t>December 31, 2020</w:t>
            </w:r>
          </w:p>
        </w:tc>
      </w:tr>
      <w:tr>
        <w:trPr>
          <w:trHeight w:val="131"/>
        </w:trPr>
        <w:tc>
          <w:tcPr>
            <w:tcW w:w="4700" w:type="dxa"/>
            <w:vAlign w:val="bottom"/>
          </w:tcPr>
          <w:p>
            <w:pPr>
              <w:spacing w:after="0"/>
              <w:rPr>
                <w:sz w:val="11"/>
                <w:szCs w:val="11"/>
                <w:color w:val="auto"/>
              </w:rPr>
            </w:pPr>
          </w:p>
        </w:tc>
        <w:tc>
          <w:tcPr>
            <w:tcW w:w="1660" w:type="dxa"/>
            <w:vAlign w:val="bottom"/>
            <w:gridSpan w:val="3"/>
          </w:tcPr>
          <w:p>
            <w:pPr>
              <w:ind w:left="340"/>
              <w:spacing w:after="0" w:line="131" w:lineRule="exact"/>
              <w:rPr>
                <w:sz w:val="20"/>
                <w:szCs w:val="20"/>
                <w:color w:val="auto"/>
              </w:rPr>
            </w:pPr>
            <w:r>
              <w:rPr>
                <w:rFonts w:ascii="Arial" w:cs="Arial" w:eastAsia="Arial" w:hAnsi="Arial"/>
                <w:sz w:val="14"/>
                <w:szCs w:val="14"/>
                <w:b w:val="1"/>
                <w:bCs w:val="1"/>
                <w:color w:val="auto"/>
              </w:rPr>
              <w:t>Gross Notional</w:t>
            </w:r>
          </w:p>
        </w:tc>
        <w:tc>
          <w:tcPr>
            <w:tcW w:w="1180" w:type="dxa"/>
            <w:vAlign w:val="bottom"/>
          </w:tcPr>
          <w:p>
            <w:pPr>
              <w:jc w:val="right"/>
              <w:ind w:right="25"/>
              <w:spacing w:after="0" w:line="131" w:lineRule="exact"/>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89"/>
              </w:rPr>
              <w:t>Gross Notional</w:t>
            </w:r>
          </w:p>
        </w:tc>
        <w:tc>
          <w:tcPr>
            <w:tcW w:w="280" w:type="dxa"/>
            <w:vAlign w:val="bottom"/>
          </w:tcPr>
          <w:p>
            <w:pPr>
              <w:spacing w:after="0"/>
              <w:rPr>
                <w:sz w:val="11"/>
                <w:szCs w:val="11"/>
                <w:color w:val="auto"/>
              </w:rPr>
            </w:pPr>
          </w:p>
        </w:tc>
        <w:tc>
          <w:tcPr>
            <w:tcW w:w="1280" w:type="dxa"/>
            <w:vAlign w:val="bottom"/>
          </w:tcPr>
          <w:p>
            <w:pPr>
              <w:jc w:val="right"/>
              <w:ind w:right="404"/>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7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1,774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Purchased</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1,792</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Note 6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the nonperformance risk adjustment included in the valuation of guaranteed minimum benefits accounted for as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amount of this non-cash collateral was $7 million at estimated fair value at June 30, 2021. The Company did not hold non-cash collateral at December 31, 2020.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$448 million and $898 million at June 30, 2021 and December 31, 2020, respectively. See Note 5 of the Notes to the Interim Condensed Consolidated Financial Statements for information regarding the earned income on and the gross notional amount, estimated fair value of assets and liabilities and primary underlying risk exposure of our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“Guarantees” in Note 10 of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we enter into commitments for the purpose of enhancing the total return on our investment portfolio: mortgage loan commitments and commitments to fund partnership investments, bank credit facilities and private corporate bond investments. See Note 4 of the Notes to the Interim Condensed Consolidated Financial Statements for information on the investment income, investment expense, gains and losses from such investments. See also “— Investments — Fixed Maturity Securities AFS” and “— Investments — Mortgage Loans” for information on our investments in fixed maturity securities and mortgage loans. See “— Investments — Limited Partnerships and Limited Liability Companies” for information on our partnership investments.</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than the commitments disclosed in Note 10 of the Notes to the Interim Condensed Consolidated Financial Statements, there are no other material obligations or liabilities arising from the commitments to fund mortgage loans, partnership investments,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our 2020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our 2020 Annual Report. Except as otherwise discussed below, there have been no material changes to our actuarial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our 2020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See Note 3 of the Notes to the Consolidated Financial Statements included in our 2020 Annual Report. A discussion of policyholder account balances by segment, as well as Corporate &amp; Other, can be found in “Management’s Discussion and Analysis of Financial Condition and Results of Operations — Policyholder Liabilities” included in our 2020 Annual Report. Policyholder account balances also include amounts associated with funding agreements issued in connection with our institutional spread margin business. See “— Liquidity and Capital Resources — The Company — Primary Sources of Liquidity and Capital — Funding Sources — Funding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Overview — Current Products — Variable Annuities” included in our 2020 Annual Report for additional information.</w:t>
      </w:r>
    </w:p>
    <w:p>
      <w:pPr>
        <w:spacing w:after="0" w:line="45" w:lineRule="exact"/>
        <w:rPr>
          <w:sz w:val="20"/>
          <w:szCs w:val="20"/>
          <w:color w:val="auto"/>
        </w:rPr>
      </w:pPr>
    </w:p>
    <w:p>
      <w:pPr>
        <w:ind w:right="660" w:firstLine="318"/>
        <w:spacing w:after="0" w:line="368"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holders were to annuitize on the balance sheet date, even though the guaranteed amount under the contract may not be annuitized until after the waiting period of the contract.</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NAR for the guaranteed minimum accumulation benefits (“GMAB”) and guaranteed minimum withdrawal benefits (“GMWB”) is the amount of guaranteed benefits in excess of the account values (if any) as of the balance sheet date. The NAR assumes utilization of benefits by all contract holders as of the balance sheet date. For the GMAB, the NAR would not be available until the GMAB maturity date. For the GMWB, only a small portion of the Benefit Base is available for withdrawal on an annual basis.</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Overview — Net Amount at Risk” included in our 2020 Annual Report.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variable annuity account values and NAR by type of guaranteed minimum benefit were as follows at: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June 30, 2021 (1)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December 31, 2020 (1)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Death Benefit</w:t>
            </w:r>
          </w:p>
        </w:tc>
        <w:tc>
          <w:tcPr>
            <w:tcW w:w="160" w:type="dxa"/>
            <w:vAlign w:val="bottom"/>
          </w:tcPr>
          <w:p>
            <w:pPr>
              <w:spacing w:after="0"/>
              <w:rPr>
                <w:sz w:val="11"/>
                <w:szCs w:val="11"/>
                <w:color w:val="auto"/>
              </w:rPr>
            </w:pPr>
          </w:p>
        </w:tc>
        <w:tc>
          <w:tcPr>
            <w:tcW w:w="720" w:type="dxa"/>
            <w:vAlign w:val="bottom"/>
          </w:tcPr>
          <w:p>
            <w:pPr>
              <w:jc w:val="center"/>
              <w:ind w:right="82"/>
              <w:spacing w:after="0" w:line="131" w:lineRule="exact"/>
              <w:rPr>
                <w:sz w:val="20"/>
                <w:szCs w:val="20"/>
                <w:color w:val="auto"/>
              </w:rPr>
            </w:pPr>
            <w:r>
              <w:rPr>
                <w:rFonts w:ascii="Arial" w:cs="Arial" w:eastAsia="Arial" w:hAnsi="Arial"/>
                <w:sz w:val="14"/>
                <w:szCs w:val="14"/>
                <w:b w:val="1"/>
                <w:bCs w:val="1"/>
                <w:color w:val="auto"/>
                <w:w w:val="96"/>
              </w:rPr>
              <w:t>Living</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 of Account Value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Living Benefit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Benefit NAR</w:t>
            </w:r>
          </w:p>
        </w:tc>
        <w:tc>
          <w:tcPr>
            <w:tcW w:w="1480" w:type="dxa"/>
            <w:vAlign w:val="bottom"/>
            <w:gridSpan w:val="2"/>
            <w:vMerge w:val="continue"/>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Account Value</w:t>
            </w:r>
          </w:p>
        </w:tc>
        <w:tc>
          <w:tcPr>
            <w:tcW w:w="100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(1)</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In-the-Money (2)</w:t>
            </w:r>
          </w:p>
        </w:tc>
        <w:tc>
          <w:tcPr>
            <w:tcW w:w="10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NAR (1)</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6,482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GMIB Max with EDB (3)</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11,476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c>
          <w:tcPr>
            <w:tcW w:w="138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138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GMAB</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38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4"/>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GMWB4L</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15,333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486</w:t>
            </w:r>
          </w:p>
        </w:tc>
        <w:tc>
          <w:tcPr>
            <w:tcW w:w="1380" w:type="dxa"/>
            <w:vAlign w:val="bottom"/>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718</w:t>
            </w:r>
          </w:p>
        </w:tc>
        <w:tc>
          <w:tcPr>
            <w:tcW w:w="1380" w:type="dxa"/>
            <w:vAlign w:val="bottom"/>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GMWB4L (FlexChoice</w:t>
            </w:r>
            <w:r>
              <w:rPr>
                <w:rFonts w:ascii="Arial" w:cs="Arial" w:eastAsia="Arial" w:hAnsi="Arial"/>
                <w:sz w:val="20"/>
                <w:szCs w:val="20"/>
                <w:color w:val="auto"/>
                <w:vertAlign w:val="superscript"/>
              </w:rPr>
              <w:t>SM</w:t>
            </w: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3,989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08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20,259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5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111,655</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108,424</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7,562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EDB is defined as enhanced death benefits.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Under GAAP, certain of our variable annuity guarantee features are accounted for as insurance liabilities and reported on the balance sheet in future policy benefits with changes reported in policyholder benefits and claims. These liabilities are accounted for using long-term assumptions of equity and bond market returns and the level of interest rates. Therefore, these liabilities, valued at $6.0 billion at June 30, 2021,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the GMIBs that require annuitization, as well as the life contingent portion of the expected annuitization when the policyholder is required to annuitize upon depletion of their account value.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All other variable annuity guarantee features are accounted for as embedded derivatives and reported on the balance sheet in policyholder account balances with changes reported in net derivative gains (losses). These liabilities, valued at $2.0 billion at June 30, 2021,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are accounted for as embedded derivatives and reported on the balance sheet in policyholder account balances with changes reported in net derivative gains (losses). These liabilities, valued at $5.4 billion at June 30, 2021, are accounted for at estimated fair value. See “Management’s Discussion and Analysis of Financial Condition and Results of Operations — Summary of Critical Accounting Estimates” included in our 2020 Annual Report.</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variable annuity reserve balances by guarantee type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Future Policy</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Policyholder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Future Policy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Policyholder</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Account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Reserves</w:t>
            </w: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1"/>
                <w:szCs w:val="11"/>
                <w:color w:val="auto"/>
              </w:rPr>
            </w:pPr>
          </w:p>
        </w:tc>
        <w:tc>
          <w:tcPr>
            <w:tcW w:w="9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86"/>
              </w:rPr>
              <w:t>Total Reserves</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Balances</w:t>
            </w:r>
          </w:p>
        </w:tc>
        <w:tc>
          <w:tcPr>
            <w:tcW w:w="10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5,995</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GMWB4L (FlexChoice</w:t>
            </w:r>
            <w:r>
              <w:rPr>
                <w:rFonts w:ascii="Arial" w:cs="Arial" w:eastAsia="Arial" w:hAnsi="Arial"/>
                <w:sz w:val="20"/>
                <w:szCs w:val="20"/>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43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5,974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8,014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2,920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8,936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2020 Annual Report. Furthermore, changes in policyholder behavior assumptions can result in additional changes in accounting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45"/>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400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r>
      <w:tr>
        <w:trPr>
          <w:trHeight w:val="179"/>
        </w:trPr>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2,180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25,980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8"/>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41,518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36,246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in our variable annuity hedging program as well as the interest rate hedges allocated from our macro interest rate hedging program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45"/>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400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r>
      <w:tr>
        <w:trPr>
          <w:trHeight w:val="187"/>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15,056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75,535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2020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 Industry Trends — COVID-19 Pandemic” and “— Investments — Current Environment,” as well as “Management’s Discussion and Analysis of Financial Condition and Results of Operations — Industry Trends and Uncertainties,” and “Management’s Discussion and Analysis of Financial Condition and Results of Operations — Investments — Current Environment” included in our 2020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maintain a substantial short-term liquidity position, which was $3.8 billion and $4.5 billion at June 30, 2021 and December 31, 2020,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$53.3 billion and $52.0 billion at June 30, 2021 and December 31, 2020,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ind w:left="160" w:right="920" w:firstLine="318"/>
        <w:spacing w:after="0" w:line="368"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We target to maintain a debt-to-capital ratio of approximately 25%, which we monitor using an average of our key leverage ratios as calculated by A.M. Best, Fitch, Moody’s and S&amp;P. As such, we may opportunistically look to pursue additional financing over time, which may include borrowings under credit facilities, the issuance of debt, equity or hybrid securities, the incurrence of term loans, or the refinancing of existing indebtedness. There can be no assurance that we will be able to complete any such financing transactions on terms and conditions favorable to us or at all.</w:t>
      </w:r>
    </w:p>
    <w:p>
      <w:pPr>
        <w:spacing w:after="0" w:line="40"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In support of our target combined RBC ratio between 400% and 450% in normal market conditions, we expect to continue to maintain a capital and exposure risk management program that targets total assets supporting our variable annuity contracts at or above the average of the worst two percent of a set of capital market scenarios over the life of the contracts (“CTE98”) level in normal market conditions. We refer to our target level of assets as our Variable Annuity Target Funding Level. While total assets supporting our variable annuity capital may exceed the CTE98 level, under stressed conditions, we intend to allow such assets supporting our variable annuity contracts to range between a target floor level of CTE95 (the average of the worst five percent of a set of capital market scenarios over the life of the contracts) and CTE98.</w:t>
      </w:r>
    </w:p>
    <w:p>
      <w:pPr>
        <w:spacing w:after="0" w:line="73"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On February 10, 2021, we authorized the repurchase of up to $200 million of our common stock, which is in addition to the $1.1 billion aggregate stock repurchase authorizations announced in February 2020, May 2019 and August 2018, and on August 2, 2021, we authorized the repurchase of up to an additional $1.0 billion of common stock. Repurchases made under the February 10, 2021 and August 2, 2021 authorizations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5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Credit rating agencies may continue to review and adjust our ratings. For example, in April 2020, Fitch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In April 2021, Fitch revised the rating outlook for BHF and certain of its subsidiaries from negative back to stable. See “Risk Factors — Risks Related to Our Business — A downgrade or a potential downgrade in our financial strength or credit ratings could result in a loss of business and materially adversely affect our financial condition and results of operations” included in our 2020 Annual Report for an in-depth description of the impact of a potential ratings downgrade.</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3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jc w:val="center"/>
        <w:ind w:left="838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179"/>
        </w:trPr>
        <w:tc>
          <w:tcPr>
            <w:tcW w:w="8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5,591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3,485</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issued</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08"/>
        </w:trPr>
        <w:tc>
          <w:tcPr>
            <w:tcW w:w="8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5,660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4,886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w:t>
            </w:r>
          </w:p>
        </w:tc>
      </w:tr>
      <w:tr>
        <w:trPr>
          <w:trHeight w:val="23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 7 of the Notes to the Interim Condensed Consolidated Financial Statements and Note 10 of the Notes to the Consolidated Financial Statements included in our 2020 Annual Report for information on preferred stock issuances.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0" w:lineRule="auto"/>
        <w:rPr>
          <w:sz w:val="20"/>
          <w:szCs w:val="20"/>
          <w:color w:val="auto"/>
        </w:rPr>
      </w:pPr>
      <w:r>
        <w:rPr>
          <w:rFonts w:ascii="Arial" w:cs="Arial" w:eastAsia="Arial" w:hAnsi="Arial"/>
          <w:sz w:val="18"/>
          <w:szCs w:val="18"/>
          <w:color w:val="auto"/>
        </w:rPr>
        <w:t>From time to time, 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active funding agreements issued in connection with the programs described in more detail below. The activity under all such funding agreements is reported in policyholder account balances. See Note 3 of the Notes to the Consolidated Financial Statements included in our 2020 Annual Report for additional information on funding agreements.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will be reported in Corporate &amp; Other.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$5.0 billion. Activity related to these funding agreements is reported in Corporate &amp; Other.</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an active funding agreement program, under which funding agreements may be issued either (i) for spread lending purposes or (ii) to provide additional liquidity. Activity related to these funding agreements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Brighthouse Life Insurance Company has a funding agreement program with the Federal Agricultural Mortgage Corporation and its affiliate Farmer Mac Mortgage Securities Corporation (“Farmer Mac”) with a term ending on December 31, 2023, pursuant to which the parties may enter into funding agreements in an aggregate amount of up to $500 million either (i) for spread lending purposes or (ii) to provide additional liquidity. Activity related to these funding agreements is reported in Corporate &amp; Other.</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2"/>
              </w:rPr>
              <w:t>Issuances</w:t>
            </w:r>
          </w:p>
        </w:tc>
        <w:tc>
          <w:tcPr>
            <w:tcW w:w="840" w:type="dxa"/>
            <w:vAlign w:val="bottom"/>
            <w:tcBorders>
              <w:bottom w:val="single" w:sz="8" w:color="auto"/>
            </w:tcBorders>
          </w:tcPr>
          <w:p>
            <w:pPr>
              <w:spacing w:after="0"/>
              <w:rPr>
                <w:sz w:val="16"/>
                <w:szCs w:val="16"/>
                <w:color w:val="auto"/>
              </w:rPr>
            </w:pPr>
          </w:p>
        </w:tc>
      </w:tr>
      <w:tr>
        <w:trPr>
          <w:trHeight w:val="193"/>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ind w:left="120"/>
              <w:spacing w:after="0"/>
              <w:rPr>
                <w:sz w:val="20"/>
                <w:szCs w:val="20"/>
                <w:color w:val="auto"/>
              </w:rPr>
            </w:pPr>
            <w:r>
              <w:rPr>
                <w:rFonts w:ascii="Arial" w:cs="Arial" w:eastAsia="Arial" w:hAnsi="Arial"/>
                <w:sz w:val="14"/>
                <w:szCs w:val="14"/>
                <w:b w:val="1"/>
                <w:bCs w:val="1"/>
                <w:color w:val="auto"/>
              </w:rPr>
              <w:t>Aggregate Principal Amount Outstanding</w:t>
            </w:r>
          </w:p>
        </w:tc>
        <w:tc>
          <w:tcPr>
            <w:tcW w:w="240" w:type="dxa"/>
            <w:vAlign w:val="bottom"/>
          </w:tcPr>
          <w:p>
            <w:pPr>
              <w:spacing w:after="0"/>
              <w:rPr>
                <w:sz w:val="16"/>
                <w:szCs w:val="16"/>
                <w:color w:val="auto"/>
              </w:rPr>
            </w:pPr>
          </w:p>
        </w:tc>
        <w:tc>
          <w:tcPr>
            <w:tcW w:w="2240" w:type="dxa"/>
            <w:vAlign w:val="bottom"/>
            <w:gridSpan w:val="4"/>
          </w:tcPr>
          <w:p>
            <w:pPr>
              <w:jc w:val="center"/>
              <w:ind w:right="162"/>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3"/>
        </w:trPr>
        <w:tc>
          <w:tcPr>
            <w:tcW w:w="54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r>
      <w:tr>
        <w:trPr>
          <w:trHeight w:val="179"/>
        </w:trPr>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 (1)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 (2)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1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Farmer Mac Funding Agreements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r>
      <w:tr>
        <w:trPr>
          <w:trHeight w:val="228"/>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Subsequent to June 30, 2021 and through August 4, 2021, Brighthouse Life Insurance Company has received deposits of $1.7 billion under the FABCP Program, which was established in July 2021.</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Additionally, in April 2020, Brighthouse Life Insurance Company issued funding agreements for an aggregate collateralized borrowing of $1.0 billion to provide a readily available source of contingent liquidity and repaid such borrowing during the fourth quarter of 2020.</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 9 of the Notes to the Consolidated Financial Statements included in our 2020 Annual Report for information on debt issuances.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included in our 2020 Annual Report for information regarding our credit and committed facilities.</w:t>
      </w:r>
    </w:p>
    <w:p>
      <w:pPr>
        <w:spacing w:after="0" w:line="75"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Outstanding Long-term Debt</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outstanding long-term debt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gridSpan w:val="3"/>
          </w:tcPr>
          <w:p>
            <w:pPr>
              <w:jc w:val="right"/>
              <w:ind w:right="383"/>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280" w:type="dxa"/>
            <w:vAlign w:val="bottom"/>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3,043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r>
      <w:tr>
        <w:trPr>
          <w:trHeight w:val="209"/>
        </w:trPr>
        <w:tc>
          <w:tcPr>
            <w:tcW w:w="7760" w:type="dxa"/>
            <w:vAlign w:val="bottom"/>
          </w:tcPr>
          <w:p>
            <w:pPr>
              <w:ind w:left="20"/>
              <w:spacing w:after="0"/>
              <w:rPr>
                <w:sz w:val="20"/>
                <w:szCs w:val="20"/>
                <w:color w:val="auto"/>
              </w:rPr>
            </w:pPr>
            <w:r>
              <w:rPr>
                <w:rFonts w:ascii="Arial" w:cs="Arial" w:eastAsia="Arial" w:hAnsi="Arial"/>
                <w:sz w:val="16"/>
                <w:szCs w:val="16"/>
                <w:color w:val="auto"/>
              </w:rPr>
              <w:t>Junior subordinated debentures</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debt (1)</w:t>
            </w:r>
          </w:p>
        </w:tc>
        <w:tc>
          <w:tcPr>
            <w:tcW w:w="1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7760" w:type="dxa"/>
            <w:vAlign w:val="bottom"/>
          </w:tcPr>
          <w:p>
            <w:pPr>
              <w:ind w:left="180"/>
              <w:spacing w:after="0"/>
              <w:rPr>
                <w:sz w:val="20"/>
                <w:szCs w:val="20"/>
                <w:color w:val="auto"/>
              </w:rPr>
            </w:pPr>
            <w:r>
              <w:rPr>
                <w:rFonts w:ascii="Arial" w:cs="Arial" w:eastAsia="Arial" w:hAnsi="Arial"/>
                <w:sz w:val="16"/>
                <w:szCs w:val="16"/>
                <w:color w:val="auto"/>
              </w:rPr>
              <w:t>Total long-term debt (2)</w:t>
            </w:r>
          </w:p>
        </w:tc>
        <w:tc>
          <w:tcPr>
            <w:tcW w:w="1280" w:type="dxa"/>
            <w:vAlign w:val="bottom"/>
            <w:tcBorders>
              <w:bottom w:val="single" w:sz="8" w:color="auto"/>
            </w:tcBorders>
          </w:tcPr>
          <w:p>
            <w:pPr>
              <w:jc w:val="right"/>
              <w:ind w:right="11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3,436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r>
      <w:tr>
        <w:trPr>
          <w:trHeight w:val="20"/>
        </w:trPr>
        <w:tc>
          <w:tcPr>
            <w:tcW w:w="7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$34 million and $35 million at June 30, 2021 and December 31, 2020, respectively, for senior notes and junior subordinated debentures on a combined basis.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included in our 2020 Annual Report for additional information regarding the terms of our long-term debt.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Our debt instruments and credit and committed facilities contain certain administrative, reporting and legal covenants. Additionally, 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June 30, 2021, we were in compliance with these financial covenants.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See Note 7 of the Notes to the Interim Condensed Consolidated Financial Statements for information relating to authorizations to repurchase BHF common stock, amounts of common stock repurchased pursuant to such authorizations and the amount remaining under such authorizations at June 30, 2021. Subsequent to June 30, 2021 and through August 4, 2021, BHF repurchased an additional 1,133,120 shares of its common stock through open market purchases, pursuant to 10b5-1 plans, for $49 million. See Note 11 of the Notes to the Interim Condensed Consolidated Financial Statements for information relating to the authorization of share repurchases subsequent to June 30,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7 of the Notes to the Interim Condensed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Note 9 of the Notes to the Consolidated Financial Statements included in our 2020 Annual Report for information on debt repayments.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Repurchases, Redemptions and Exchanges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71" w:lineRule="exact"/>
        <w:rPr>
          <w:sz w:val="20"/>
          <w:szCs w:val="20"/>
          <w:color w:val="auto"/>
        </w:rPr>
      </w:pPr>
    </w:p>
    <w:p>
      <w:pPr>
        <w:ind w:left="320" w:firstLine="318"/>
        <w:spacing w:after="0" w:line="368" w:lineRule="auto"/>
        <w:rPr>
          <w:sz w:val="20"/>
          <w:szCs w:val="20"/>
          <w:color w:val="auto"/>
        </w:rPr>
      </w:pPr>
      <w:r>
        <w:rPr>
          <w:rFonts w:ascii="Arial" w:cs="Arial" w:eastAsia="Arial" w:hAnsi="Arial"/>
          <w:sz w:val="18"/>
          <w:szCs w:val="18"/>
          <w:color w:val="auto"/>
        </w:rPr>
        <w:t xml:space="preserve">See Note 9 of the Notes to the Consolidated Financial Statements included in our 2020 Annual Report for additional information on debt repurchases. </w:t>
      </w:r>
      <w:r>
        <w:rPr>
          <w:rFonts w:ascii="Arial" w:cs="Arial" w:eastAsia="Arial" w:hAnsi="Arial"/>
          <w:sz w:val="18"/>
          <w:szCs w:val="18"/>
          <w:i w:val="1"/>
          <w:iCs w:val="1"/>
          <w:u w:val="single" w:color="auto"/>
          <w:color w:val="auto"/>
        </w:rPr>
        <w:t>Insurance Liabilities</w:t>
      </w:r>
    </w:p>
    <w:p>
      <w:pPr>
        <w:spacing w:after="0" w:line="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six months ended June 30, 2021 and 2020, general account surrenders and withdrawals totaled $1.4 billion and $1.1 billion, respectively, of which $1.2 billion and $1.0 billion, respectively, was attributable to products within the Annuities segment.</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We pledge collateral to, and have collateral pledged to us by, counterparties in connection with our derivatives. At both June 30, 2021 and December 31, 2020, we did not pledge any cash collateral to counterparties. At June 30, 2021 and December 31, 2020, we were obligated to return cash collateral pledged to us by counterparties of $1.1 billion and $1.6 billion, respectively. See Note 5 of the Notes to the Interim Condensed Consolidated Financial Statements for additional information about pledged collateral. We also pledge collateral from time to time in connection with funding agreements.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$4.0 billion and $3.7 billion at June 30, 2021 and December 31, 2020, respectively. Of these amounts, $1.3 billion and $937 million at June 30, 2021 and December 31, 2020, respectively, were on open, meaning that the related loaned security could be returned to us on the next business day requiring the immediate return of cash collateral we hold. The estimated fair value of the securities on loan related to the cash collateral on open at June 30, 2021 was $1.2 billion, primarily comprised of U.S. government and agency securities that, if put back to us, could be immediately sold to satisfy the cash requirement. See Note 4 of the Notes to the Interim Condensed Consolidated Financial Statements.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10 of the Notes to the Interim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both June 30, 2021 and December 31, 2020, BHF and certain of its non-insurance subsidiaries had short-term liquidity of $1.6 billion.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At June 30, 2021 and December 31, 2020, BHF and certain of its non-insurance subsidiaries had liquid assets of $1.6 billion and $1.7 billion, respectively, of which $1.6 billion was held by BHF at both June 30, 2021 and December 31, 2020. Liquid assets are comprised of cash and cash equivalents, short-term investments and publicly-traded securities, excluding assets that are pledged or otherwise committed. Assets pledged or otherwise committed include assets held in trust.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5"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and other distributions by our insurance subsidiaries is governed by insurance laws and regulations. See Note 10 of the Notes to the Consolidated Financial Statements included in our 2020 Annual Report.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40"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During the six months ended June 30, 2021 and 2020, BHF received cash distributions of $310 million and $988 million, respectively, from BH Holdings. During both the six months ended June 30, 2021 and 2020, BHF did not make any cash capital contributions to BH Holdings. Distributions received in 2021 and 2020 primarily relate to $250 million and $800 million, respectively, of ordinary cash dividends paid by Brighthouse Life Insurance Company to BH Holdings.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2021 and 2020, BHF borrowed $352 million and $287 million, respectively, from certain of its non-insurance subsidiaries and repaid $481 million and $350 million of such borrowings during the six months ended June 30, 2021 and 2020, respectively. At June 30, 2021 and December 31, 2020, BHF had total obligations outstanding of $324 million and $453 million, respectively, under such agreements.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both the six months ended June 30, 2021 and 2020, there were no borrowings or repayments by BHF under these facilities and, at both June 30, 2021 and December 31, 2020,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 differences from actual outcomes compared to the sensitivities calculated under certain scenarios and sensitivities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interest rates on our future ULSG policyholder obligations and net income volatility;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adverse impact on liabilities for policyholder claims as a result of extreme mortality events;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2"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impact of economic conditions in the capital markets and the U.S. and global economy, as well as geo-political or catastrophic events, on our investment portfolio, including on realized and unrealized losses and impairments, net investment spread and net investment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hanging="316"/>
        <w:spacing w:after="0" w:line="294" w:lineRule="auto"/>
        <w:tabs>
          <w:tab w:leader="none" w:pos="63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potential material negative tax impact of potential future tax legislation that could make some of our products less attractive to consumers;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are not as expected, leading to material additional taxes or material adverse consequences to tax attributes that impact us;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2020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2020 Annual Report.</w:t>
      </w:r>
    </w:p>
    <w:p>
      <w:pPr>
        <w:spacing w:after="0" w:line="13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There have been no material changes to our market risk exposures from the market risk exposures previously disclosed in our 2020 Annual Report, with the exception of sensitivity to changes in interest rates previously disclosed in our First Quarter Form 10-Q.</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this report. Based on that evaluation, the Chief Executive Officer and the Chief Financial Officer have concluded that these disclosure controls and procedures were effective as of June 30, 2021.</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June 30, 2021 that have materially affected, or are reasonably likely to materially affect, these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10 of the Notes to the Interim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discuss in this report, in our 2020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2020 Annual Report.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Purchases of BHF common stock made by or on behalf of BHF or its affiliates during the three months ended June 30, 2021 are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 per</w:t>
            </w: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65"/>
              <w:spacing w:after="0" w:line="133"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33"/>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Publicly Announced Plans or</w:t>
            </w:r>
          </w:p>
        </w:tc>
        <w:tc>
          <w:tcPr>
            <w:tcW w:w="100" w:type="dxa"/>
            <w:vAlign w:val="bottom"/>
          </w:tcPr>
          <w:p>
            <w:pPr>
              <w:spacing w:after="0"/>
              <w:rPr>
                <w:sz w:val="11"/>
                <w:szCs w:val="11"/>
                <w:color w:val="auto"/>
              </w:rPr>
            </w:pPr>
          </w:p>
        </w:tc>
        <w:tc>
          <w:tcPr>
            <w:tcW w:w="18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178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179"/>
        </w:trPr>
        <w:tc>
          <w:tcPr>
            <w:tcW w:w="3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1 — April 30, 2021</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897,950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May 1 — May 31, 2021</w:t>
            </w:r>
          </w:p>
        </w:tc>
        <w:tc>
          <w:tcPr>
            <w:tcW w:w="1780" w:type="dxa"/>
            <w:vAlign w:val="bottom"/>
          </w:tcPr>
          <w:p>
            <w:pPr>
              <w:jc w:val="right"/>
              <w:spacing w:after="0"/>
              <w:rPr>
                <w:sz w:val="20"/>
                <w:szCs w:val="20"/>
                <w:color w:val="auto"/>
              </w:rPr>
            </w:pPr>
            <w:r>
              <w:rPr>
                <w:rFonts w:ascii="Arial" w:cs="Arial" w:eastAsia="Arial" w:hAnsi="Arial"/>
                <w:sz w:val="16"/>
                <w:szCs w:val="16"/>
                <w:color w:val="auto"/>
              </w:rPr>
              <w:t>815,561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48.31</w:t>
            </w:r>
          </w:p>
        </w:tc>
        <w:tc>
          <w:tcPr>
            <w:tcW w:w="120" w:type="dxa"/>
            <w:vAlign w:val="bottom"/>
          </w:tcPr>
          <w:p>
            <w:pPr>
              <w:spacing w:after="0"/>
              <w:rPr>
                <w:sz w:val="18"/>
                <w:szCs w:val="18"/>
                <w:color w:val="auto"/>
              </w:rPr>
            </w:pPr>
          </w:p>
        </w:tc>
        <w:tc>
          <w:tcPr>
            <w:tcW w:w="1800" w:type="dxa"/>
            <w:vAlign w:val="bottom"/>
          </w:tcPr>
          <w:p>
            <w:pPr>
              <w:jc w:val="right"/>
              <w:ind w:right="5"/>
              <w:spacing w:after="0"/>
              <w:rPr>
                <w:sz w:val="20"/>
                <w:szCs w:val="20"/>
                <w:color w:val="auto"/>
              </w:rPr>
            </w:pPr>
            <w:r>
              <w:rPr>
                <w:rFonts w:ascii="Arial" w:cs="Arial" w:eastAsia="Arial" w:hAnsi="Arial"/>
                <w:sz w:val="16"/>
                <w:szCs w:val="16"/>
                <w:color w:val="auto"/>
              </w:rPr>
              <w:t>815,561</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 — June 30,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939,843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938,884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8"/>
        </w:trPr>
        <w:tc>
          <w:tcPr>
            <w:tcW w:w="3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79"/>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2" w:lineRule="auto"/>
        <w:tabs>
          <w:tab w:leader="none" w:pos="3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February 10, 2021, we authorized the repurchase of up to $200 million of our common stock, which is in addition to the $1.1 billion aggregate stock repurchase authorizations announced in February 2020, May 2019 and August 2018. On August 2, 2021, we authorized the repurchase of up to an additional $1.0 billion of common stock. For more information on common stock repurchases, see Notes 7 and 11 of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jc w:val="both"/>
        <w:ind w:firstLine="159"/>
        <w:spacing w:after="0" w:line="263"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Regarding Reliance on Statements in Our Contracts:</w:t>
      </w:r>
      <w:r>
        <w:rPr>
          <w:rFonts w:ascii="Arial" w:cs="Arial" w:eastAsia="Arial" w:hAnsi="Arial"/>
          <w:sz w:val="17"/>
          <w:szCs w:val="17"/>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100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179"/>
        </w:trPr>
        <w:tc>
          <w:tcPr>
            <w:tcW w:w="1060" w:type="dxa"/>
            <w:vAlign w:val="bottom"/>
          </w:tcPr>
          <w:p>
            <w:pPr>
              <w:jc w:val="center"/>
              <w:spacing w:after="0" w:line="179"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5"/>
                <w:szCs w:val="15"/>
                <w:color w:val="auto"/>
              </w:rPr>
            </w:pPr>
          </w:p>
        </w:tc>
        <w:tc>
          <w:tcPr>
            <w:tcW w:w="10060" w:type="dxa"/>
            <w:vAlign w:val="bottom"/>
            <w:gridSpan w:val="3"/>
          </w:tcPr>
          <w:p>
            <w:pPr>
              <w:spacing w:after="0" w:line="179" w:lineRule="exact"/>
              <w:rPr>
                <w:rFonts w:ascii="Arial" w:cs="Arial" w:eastAsia="Arial" w:hAnsi="Arial"/>
                <w:sz w:val="18"/>
                <w:szCs w:val="18"/>
                <w:color w:val="0000FF"/>
              </w:rPr>
            </w:pPr>
            <w:hyperlink w:anchor="page97">
              <w:r>
                <w:rPr>
                  <w:rFonts w:ascii="Arial" w:cs="Arial" w:eastAsia="Arial" w:hAnsi="Arial"/>
                  <w:sz w:val="18"/>
                  <w:szCs w:val="18"/>
                  <w:color w:val="0000FF"/>
                </w:rPr>
                <w:t>Certification of Chief Executive Officer pursuant to Section 302 of the Sarbanes-Oxley Act of 2002.</w:t>
              </w:r>
            </w:hyperlink>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Certification of Chief Financial Officer pursuant to Section 302 of the Sarbanes-Oxley Act of 2002.</w:t>
              </w:r>
            </w:hyperlink>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7"/>
                <w:szCs w:val="17"/>
                <w:color w:val="auto"/>
              </w:rPr>
            </w:pPr>
          </w:p>
        </w:tc>
        <w:tc>
          <w:tcPr>
            <w:tcW w:w="10060" w:type="dxa"/>
            <w:vAlign w:val="bottom"/>
            <w:gridSpan w:val="3"/>
          </w:tcPr>
          <w:p>
            <w:pPr>
              <w:spacing w:after="0" w:line="205" w:lineRule="exact"/>
              <w:rPr>
                <w:rFonts w:ascii="Arial" w:cs="Arial" w:eastAsia="Arial" w:hAnsi="Arial"/>
                <w:sz w:val="18"/>
                <w:szCs w:val="18"/>
                <w:color w:val="0000FF"/>
              </w:rPr>
            </w:pPr>
            <w:hyperlink w:anchor="page99">
              <w:r>
                <w:rPr>
                  <w:rFonts w:ascii="Arial" w:cs="Arial" w:eastAsia="Arial" w:hAnsi="Arial"/>
                  <w:sz w:val="18"/>
                  <w:szCs w:val="18"/>
                  <w:color w:val="0000FF"/>
                </w:rPr>
                <w:t>Certification of Chief Executive Officer pursuant to Section 906 of the Sarbanes-Oxley Act of 2002.</w:t>
              </w:r>
            </w:hyperlink>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90"/>
              </w:rPr>
            </w:pPr>
            <w:hyperlink w:anchor="page100">
              <w:r>
                <w:rPr>
                  <w:rFonts w:ascii="Arial" w:cs="Arial" w:eastAsia="Arial" w:hAnsi="Arial"/>
                  <w:sz w:val="18"/>
                  <w:szCs w:val="18"/>
                  <w:color w:val="0000FF"/>
                  <w:w w:val="90"/>
                </w:rPr>
                <w:t>Certification of Chief Financial Officer pursuant to Section 906 of the Sarbanes-Oxley Act of 2002.</w:t>
              </w:r>
            </w:hyperlink>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193"/>
        </w:trPr>
        <w:tc>
          <w:tcPr>
            <w:tcW w:w="118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4"/>
              </w:rPr>
              <w:t>101.INS*</w:t>
            </w:r>
          </w:p>
        </w:tc>
        <w:tc>
          <w:tcPr>
            <w:tcW w:w="10060" w:type="dxa"/>
            <w:vAlign w:val="bottom"/>
            <w:gridSpan w:val="3"/>
          </w:tcPr>
          <w:p>
            <w:pPr>
              <w:spacing w:after="0" w:line="193"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the Inline XBRL document.</w:t>
            </w:r>
          </w:p>
        </w:tc>
      </w:tr>
      <w:tr>
        <w:trPr>
          <w:trHeight w:val="225"/>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101.SCH*</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174"/>
        </w:trPr>
        <w:tc>
          <w:tcPr>
            <w:tcW w:w="1060" w:type="dxa"/>
            <w:vAlign w:val="bottom"/>
          </w:tcPr>
          <w:p>
            <w:pPr>
              <w:jc w:val="center"/>
              <w:spacing w:after="0" w:line="174" w:lineRule="exact"/>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15"/>
                <w:szCs w:val="15"/>
                <w:color w:val="auto"/>
              </w:rPr>
            </w:pPr>
          </w:p>
        </w:tc>
        <w:tc>
          <w:tcPr>
            <w:tcW w:w="10060" w:type="dxa"/>
            <w:vAlign w:val="bottom"/>
            <w:gridSpan w:val="3"/>
          </w:tcPr>
          <w:p>
            <w:pPr>
              <w:spacing w:after="0" w:line="174" w:lineRule="exact"/>
              <w:rPr>
                <w:sz w:val="20"/>
                <w:szCs w:val="20"/>
                <w:color w:val="auto"/>
              </w:rPr>
            </w:pPr>
            <w:r>
              <w:rPr>
                <w:rFonts w:ascii="Arial" w:cs="Arial" w:eastAsia="Arial" w:hAnsi="Arial"/>
                <w:sz w:val="18"/>
                <w:szCs w:val="18"/>
                <w:color w:val="auto"/>
                <w:w w:val="93"/>
              </w:rPr>
              <w:t>The cover page of Brighthouse Financial, Inc.’s Quarterly Report on Form 10-Q for the quarter ended June 30, 2021, formatted in Inline</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XBRL (included within the Exhibit 101 attachments).</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BRIGHTHOUSE FINANCIAL, INC.</w:t>
      </w:r>
    </w:p>
    <w:p>
      <w:pPr>
        <w:spacing w:after="0" w:line="111" w:lineRule="exact"/>
        <w:rPr>
          <w:sz w:val="20"/>
          <w:szCs w:val="20"/>
          <w:color w:val="auto"/>
        </w:rPr>
      </w:pPr>
    </w:p>
    <w:tbl>
      <w:tblPr>
        <w:tblLayout w:type="fixed"/>
        <w:tblInd w:w="3160" w:type="dxa"/>
        <w:tblCellMar>
          <w:top w:w="0" w:type="dxa"/>
          <w:left w:w="0" w:type="dxa"/>
          <w:bottom w:w="0" w:type="dxa"/>
          <w:right w:w="0" w:type="dxa"/>
        </w:tblCellMar>
      </w:tblPr>
      <w:tr>
        <w:trPr>
          <w:trHeight w:val="224"/>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240" w:type="dxa"/>
            <w:vAlign w:val="bottom"/>
          </w:tcPr>
          <w:p>
            <w:pPr>
              <w:ind w:left="260"/>
              <w:spacing w:after="0"/>
              <w:rPr>
                <w:sz w:val="20"/>
                <w:szCs w:val="20"/>
                <w:color w:val="auto"/>
              </w:rPr>
            </w:pPr>
            <w:r>
              <w:rPr>
                <w:rFonts w:ascii="Arial" w:cs="Arial" w:eastAsia="Arial" w:hAnsi="Arial"/>
                <w:sz w:val="18"/>
                <w:szCs w:val="18"/>
                <w:color w:val="auto"/>
              </w:rPr>
              <w:t>/s/ Edward A. Spehar</w:t>
            </w:r>
          </w:p>
        </w:tc>
      </w:tr>
      <w:tr>
        <w:trPr>
          <w:trHeight w:val="244"/>
        </w:trPr>
        <w:tc>
          <w:tcPr>
            <w:tcW w:w="280" w:type="dxa"/>
            <w:vAlign w:val="bottom"/>
          </w:tcPr>
          <w:p>
            <w:pPr>
              <w:spacing w:after="0"/>
              <w:rPr>
                <w:sz w:val="21"/>
                <w:szCs w:val="21"/>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Edward A. Spehar</w:t>
            </w:r>
          </w:p>
        </w:tc>
      </w:tr>
      <w:tr>
        <w:trPr>
          <w:trHeight w:val="265"/>
        </w:trPr>
        <w:tc>
          <w:tcPr>
            <w:tcW w:w="28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Title:</w:t>
            </w:r>
          </w:p>
        </w:tc>
        <w:tc>
          <w:tcPr>
            <w:tcW w:w="4240" w:type="dxa"/>
            <w:vAlign w:val="bottom"/>
          </w:tcPr>
          <w:p>
            <w:pPr>
              <w:ind w:left="260"/>
              <w:spacing w:after="0"/>
              <w:rPr>
                <w:sz w:val="20"/>
                <w:szCs w:val="20"/>
                <w:color w:val="auto"/>
              </w:rPr>
            </w:pPr>
            <w:r>
              <w:rPr>
                <w:rFonts w:ascii="Arial" w:cs="Arial" w:eastAsia="Arial" w:hAnsi="Arial"/>
                <w:sz w:val="18"/>
                <w:szCs w:val="18"/>
                <w:color w:val="auto"/>
                <w:w w:val="95"/>
              </w:rPr>
              <w:t>Executive Vice President and Chief Financial Officer</w:t>
            </w:r>
          </w:p>
        </w:tc>
      </w:tr>
      <w:tr>
        <w:trPr>
          <w:trHeight w:val="174"/>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40" w:type="dxa"/>
            <w:vAlign w:val="bottom"/>
          </w:tcPr>
          <w:p>
            <w:pPr>
              <w:ind w:left="260"/>
              <w:spacing w:after="0" w:line="174" w:lineRule="exact"/>
              <w:rPr>
                <w:sz w:val="20"/>
                <w:szCs w:val="20"/>
                <w:color w:val="auto"/>
              </w:rPr>
            </w:pPr>
            <w:r>
              <w:rPr>
                <w:rFonts w:ascii="Arial" w:cs="Arial" w:eastAsia="Arial" w:hAnsi="Arial"/>
                <w:sz w:val="18"/>
                <w:szCs w:val="18"/>
                <w:color w:val="auto"/>
              </w:rPr>
              <w:t>(Duly Authorized Officer and Principal Financial</w:t>
            </w:r>
          </w:p>
        </w:tc>
      </w:tr>
      <w:tr>
        <w:trPr>
          <w:trHeight w:val="223"/>
        </w:trPr>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Officer)</w:t>
            </w: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27" w:right="339" w:bottom="1440" w:gutter="0" w:footer="0" w:header="0"/>
        </w:sectPr>
      </w:pPr>
    </w:p>
    <w:bookmarkStart w:id="96" w:name="page97"/>
    <w:bookmarkEnd w:id="96"/>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97" w:name="page98"/>
    <w:bookmarkEnd w:id="97"/>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7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Quarterly Report on Form 10-Q for the quarter ended June 30, 2021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Quarterly Report on Form 10-Q for the quarter ended June 30, 2021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5"/>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4"/>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3"/>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lowerRoman"/>
      <w:start w:val="2"/>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2"/>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4"/>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emdash "/>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
      <w:numFmt w:val="bullet"/>
      <w:start w:val="1"/>
    </w:lvl>
  </w:abstractNum>
  <w:abstractNum w:abstractNumId="36">
    <w:nsid w:val="354FE9F9"/>
    <w:multiLevelType w:val="hybridMultilevel"/>
    <w:lvl w:ilvl="0">
      <w:lvlJc w:val="left"/>
      <w:lvlText w:val="•"/>
      <w:numFmt w:val="bullet"/>
      <w:start w:val="1"/>
    </w:lvl>
    <w:lvl w:ilvl="1">
      <w:lvlJc w:val="left"/>
      <w:lvlText w:val="◦"/>
      <w:numFmt w:val="bullet"/>
      <w:start w:val="1"/>
    </w:lvl>
  </w:abstractNum>
  <w:abstractNum w:abstractNumId="37">
    <w:nsid w:val="15B5AF5C"/>
    <w:multiLevelType w:val="hybridMultilevel"/>
    <w:lvl w:ilvl="0">
      <w:lvlJc w:val="left"/>
      <w:lvlText w:val="•"/>
      <w:numFmt w:val="bullet"/>
      <w:start w:val="1"/>
    </w:lvl>
    <w:lvl w:ilvl="1">
      <w:lvlJc w:val="left"/>
      <w:lvlText w:val="◦"/>
      <w:numFmt w:val="bullet"/>
      <w:start w:val="1"/>
    </w:lvl>
  </w:abstractNum>
  <w:abstractNum w:abstractNumId="38">
    <w:nsid w:val="741226BB"/>
    <w:multiLevelType w:val="hybridMultilevel"/>
    <w:lvl w:ilvl="0">
      <w:lvlJc w:val="left"/>
      <w:lvlText w:val="•"/>
      <w:numFmt w:val="bullet"/>
      <w:start w:val="1"/>
    </w:lvl>
    <w:lvl w:ilvl="1">
      <w:lvlJc w:val="left"/>
      <w:lvlText w:val="◦"/>
      <w:numFmt w:val="bullet"/>
      <w:start w:val="1"/>
    </w:lvl>
  </w:abstractNum>
  <w:abstractNum w:abstractNumId="39">
    <w:nsid w:val="D34B6A8"/>
    <w:multiLevelType w:val="hybridMultilevel"/>
    <w:lvl w:ilvl="0">
      <w:lvlJc w:val="left"/>
      <w:lvlText w:val="•"/>
      <w:numFmt w:val="bullet"/>
      <w:start w:val="1"/>
    </w:lvl>
    <w:lvl w:ilvl="1">
      <w:lvlJc w:val="left"/>
      <w:lvlText w:val="◦"/>
      <w:numFmt w:val="bullet"/>
      <w:start w:val="1"/>
    </w:lvl>
  </w:abstractNum>
  <w:abstractNum w:abstractNumId="40">
    <w:nsid w:val="10233C99"/>
    <w:multiLevelType w:val="hybridMultilevel"/>
    <w:lvl w:ilvl="0">
      <w:lvlJc w:val="left"/>
      <w:lvlText w:val="•"/>
      <w:numFmt w:val="bullet"/>
      <w:start w:val="1"/>
    </w:lvl>
    <w:lvl w:ilvl="1">
      <w:lvlJc w:val="left"/>
      <w:lvlText w:val="◦"/>
      <w:numFmt w:val="bullet"/>
      <w:start w:val="1"/>
    </w:lvl>
  </w:abstractNum>
  <w:abstractNum w:abstractNumId="41">
    <w:nsid w:val="3F6AB60F"/>
    <w:multiLevelType w:val="hybridMultilevel"/>
    <w:lvl w:ilvl="0">
      <w:lvlJc w:val="left"/>
      <w:lvlText w:val="•"/>
      <w:numFmt w:val="bullet"/>
      <w:start w:val="1"/>
    </w:lvl>
    <w:lvl w:ilvl="1">
      <w:lvlJc w:val="left"/>
      <w:lvlText w:val="◦"/>
      <w:numFmt w:val="bullet"/>
      <w:start w:val="1"/>
    </w:lvl>
  </w:abstractNum>
  <w:abstractNum w:abstractNumId="42">
    <w:nsid w:val="61574095"/>
    <w:multiLevelType w:val="hybridMultilevel"/>
    <w:lvl w:ilvl="0">
      <w:lvlJc w:val="left"/>
      <w:lvlText w:val="•"/>
      <w:numFmt w:val="bullet"/>
      <w:start w:val="1"/>
    </w:lvl>
    <w:lvl w:ilvl="1">
      <w:lvlJc w:val="left"/>
      <w:lvlText w:val="◦"/>
      <w:numFmt w:val="bullet"/>
      <w:start w:val="1"/>
    </w:lvl>
  </w:abstractNum>
  <w:abstractNum w:abstractNumId="43">
    <w:nsid w:val="7E0C57B1"/>
    <w:multiLevelType w:val="hybridMultilevel"/>
    <w:lvl w:ilvl="0">
      <w:lvlJc w:val="left"/>
      <w:lvlText w:val="•"/>
      <w:numFmt w:val="bullet"/>
      <w:start w:val="1"/>
    </w:lvl>
    <w:lvl w:ilvl="1">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lvl w:ilvl="1">
      <w:lvlJc w:val="left"/>
      <w:lvlText w:val="◦"/>
      <w:numFmt w:val="bullet"/>
      <w:start w:val="1"/>
    </w:lvl>
  </w:abstractNum>
  <w:abstractNum w:abstractNumId="48">
    <w:nsid w:val="2F305DEF"/>
    <w:multiLevelType w:val="hybridMultilevel"/>
    <w:lvl w:ilvl="0">
      <w:lvlJc w:val="left"/>
      <w:lvlText w:val="•"/>
      <w:numFmt w:val="bullet"/>
      <w:start w:val="1"/>
    </w:lvl>
    <w:lvl w:ilvl="1">
      <w:lvlJc w:val="left"/>
      <w:lvlText w:val="◦"/>
      <w:numFmt w:val="bullet"/>
      <w:start w:val="1"/>
    </w:lvl>
  </w:abstractNum>
  <w:abstractNum w:abstractNumId="49">
    <w:nsid w:val="25A70BF7"/>
    <w:multiLevelType w:val="hybridMultilevel"/>
    <w:lvl w:ilvl="0">
      <w:lvlJc w:val="left"/>
      <w:lvlText w:val="•"/>
      <w:numFmt w:val="bullet"/>
      <w:start w:val="1"/>
    </w:lvl>
    <w:lvl w:ilvl="1">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lvl w:ilvl="1">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3"/>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2021-08-06T16:16:35Z</dcterms:created>
  <dcterms:modified xsi:type="dcterms:W3CDTF">2021-08-06T16:16:35Z</dcterms:modified>
</cp:coreProperties>
</file>