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408940</wp:posOffset>
            </wp:positionH>
            <wp:positionV relativeFrom="page">
              <wp:posOffset>829310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408940</wp:posOffset>
            </wp:positionH>
            <wp:positionV relativeFrom="page">
              <wp:posOffset>787400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t>UNITED STATES</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2502535</wp:posOffset>
            </wp:positionH>
            <wp:positionV relativeFrom="paragraph">
              <wp:posOffset>165735</wp:posOffset>
            </wp:positionV>
            <wp:extent cx="2347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10-Q</w:t>
      </w:r>
    </w:p>
    <w:p>
      <w:pPr>
        <w:spacing w:after="0" w:line="163" w:lineRule="exact"/>
        <w:rPr>
          <w:sz w:val="24"/>
          <w:szCs w:val="24"/>
          <w:color w:val="auto"/>
        </w:rPr>
      </w:pPr>
    </w:p>
    <w:p>
      <w:pPr>
        <w:ind w:left="1800" w:hanging="370"/>
        <w:spacing w:after="0"/>
        <w:tabs>
          <w:tab w:leader="none" w:pos="18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2026</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0" w:lineRule="exact"/>
        <w:rPr>
          <w:sz w:val="24"/>
          <w:szCs w:val="24"/>
          <w:color w:val="auto"/>
        </w:rPr>
      </w:pPr>
    </w:p>
    <w:p>
      <w:pPr>
        <w:ind w:left="1640" w:hanging="369"/>
        <w:spacing w:after="0"/>
        <w:tabs>
          <w:tab w:leader="none" w:pos="164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transition period from ___ to ___</w:t>
      </w:r>
    </w:p>
    <w:p>
      <w:pPr>
        <w:spacing w:after="0" w:line="1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001-37905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2830830</wp:posOffset>
            </wp:positionH>
            <wp:positionV relativeFrom="paragraph">
              <wp:posOffset>199390</wp:posOffset>
            </wp:positionV>
            <wp:extent cx="1489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89075" cy="8255"/>
                    </a:xfrm>
                    <a:prstGeom prst="rect">
                      <a:avLst/>
                    </a:prstGeom>
                    <a:noFill/>
                  </pic:spPr>
                </pic:pic>
              </a:graphicData>
            </a:graphic>
          </wp:anchor>
        </w:drawing>
        <w:drawing>
          <wp:anchor simplePos="0" relativeHeight="251657728" behindDoc="1" locked="0" layoutInCell="0" allowOverlap="1">
            <wp:simplePos x="0" y="0"/>
            <wp:positionH relativeFrom="column">
              <wp:posOffset>2544445</wp:posOffset>
            </wp:positionH>
            <wp:positionV relativeFrom="paragraph">
              <wp:posOffset>342265</wp:posOffset>
            </wp:positionV>
            <wp:extent cx="2061210" cy="471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61210" cy="4711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Brighthouse Financial, Inc.</w:t>
      </w:r>
    </w:p>
    <w:p>
      <w:pPr>
        <w:spacing w:after="0" w:line="53" w:lineRule="exact"/>
        <w:rPr>
          <w:sz w:val="24"/>
          <w:szCs w:val="24"/>
          <w:color w:val="auto"/>
        </w:rPr>
      </w:pPr>
    </w:p>
    <w:p>
      <w:pPr>
        <w:jc w:val="center"/>
        <w:ind w:right="-339"/>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82" w:lineRule="exact"/>
        <w:rPr>
          <w:sz w:val="24"/>
          <w:szCs w:val="24"/>
          <w:color w:val="auto"/>
        </w:rPr>
      </w:pPr>
    </w:p>
    <w:tbl>
      <w:tblPr>
        <w:tblLayout w:type="fixed"/>
        <w:tblInd w:w="3080" w:type="dxa"/>
        <w:tblCellMar>
          <w:top w:w="0" w:type="dxa"/>
          <w:left w:w="0" w:type="dxa"/>
          <w:bottom w:w="0" w:type="dxa"/>
          <w:right w:w="0" w:type="dxa"/>
        </w:tblCellMar>
      </w:tblPr>
      <w:tr>
        <w:trPr>
          <w:trHeight w:val="186"/>
        </w:trPr>
        <w:tc>
          <w:tcPr>
            <w:tcW w:w="2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81-3846992</w:t>
            </w:r>
          </w:p>
        </w:tc>
      </w:tr>
    </w:tbl>
    <w:p>
      <w:pPr>
        <w:spacing w:after="0" w:line="26" w:lineRule="exact"/>
        <w:rPr>
          <w:sz w:val="24"/>
          <w:szCs w:val="24"/>
          <w:color w:val="auto"/>
        </w:rPr>
      </w:pPr>
    </w:p>
    <w:p>
      <w:pPr>
        <w:sectPr>
          <w:pgSz w:w="11900" w:h="16838" w:orient="portrait"/>
          <w:cols w:equalWidth="0" w:num="1">
            <w:col w:w="11240"/>
          </w:cols>
          <w:pgMar w:left="320" w:top="1391" w:right="339" w:bottom="1440" w:gutter="0" w:footer="0" w:header="0"/>
        </w:sect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p>
      <w:pPr>
        <w:spacing w:after="0" w:line="197"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11225 North Community House Road, Charlotte, North Carolina</w:t>
      </w:r>
    </w:p>
    <w:p>
      <w:pPr>
        <w:spacing w:after="0" w:line="1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p>
      <w:pPr>
        <w:spacing w:after="0" w:line="237" w:lineRule="exact"/>
        <w:rPr>
          <w:sz w:val="24"/>
          <w:szCs w:val="24"/>
          <w:color w:val="auto"/>
        </w:rPr>
      </w:pPr>
    </w:p>
    <w:tbl>
      <w:tblPr>
        <w:tblLayout w:type="fixed"/>
        <w:tblInd w:w="1120" w:type="dxa"/>
        <w:tblCellMar>
          <w:top w:w="0" w:type="dxa"/>
          <w:left w:w="0" w:type="dxa"/>
          <w:bottom w:w="0" w:type="dxa"/>
          <w:right w:w="0" w:type="dxa"/>
        </w:tblCellMar>
      </w:tblPr>
      <w:tr>
        <w:trPr>
          <w:trHeight w:val="177"/>
        </w:trPr>
        <w:tc>
          <w:tcPr>
            <w:tcW w:w="1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60" w:type="dxa"/>
            <w:vAlign w:val="bottom"/>
            <w:gridSpan w:val="2"/>
          </w:tcPr>
          <w:p>
            <w:pPr>
              <w:jc w:val="center"/>
              <w:ind w:right="118"/>
              <w:spacing w:after="0"/>
              <w:rPr>
                <w:sz w:val="20"/>
                <w:szCs w:val="20"/>
                <w:color w:val="auto"/>
              </w:rPr>
            </w:pPr>
            <w:r>
              <w:rPr>
                <w:rFonts w:ascii="Times New Roman" w:cs="Times New Roman" w:eastAsia="Times New Roman" w:hAnsi="Times New Roman"/>
                <w:sz w:val="14"/>
                <w:szCs w:val="14"/>
                <w:b w:val="1"/>
                <w:bCs w:val="1"/>
                <w:color w:val="auto"/>
              </w:rPr>
              <w:t>(980) 365-7100</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40" w:type="dxa"/>
            <w:vAlign w:val="bottom"/>
            <w:gridSpan w:val="4"/>
          </w:tcPr>
          <w:p>
            <w:pPr>
              <w:jc w:val="center"/>
              <w:ind w:left="758"/>
              <w:spacing w:after="0"/>
              <w:rPr>
                <w:sz w:val="20"/>
                <w:szCs w:val="20"/>
                <w:color w:val="auto"/>
              </w:rPr>
            </w:pPr>
            <w:r>
              <w:rPr>
                <w:rFonts w:ascii="Times New Roman" w:cs="Times New Roman" w:eastAsia="Times New Roman" w:hAnsi="Times New Roman"/>
                <w:sz w:val="12"/>
                <w:szCs w:val="12"/>
                <w:i w:val="1"/>
                <w:iCs w:val="1"/>
                <w:color w:val="auto"/>
              </w:rPr>
              <w:t>(Registrant’s telephone number, including area code)</w:t>
            </w:r>
          </w:p>
        </w:tc>
        <w:tc>
          <w:tcPr>
            <w:tcW w:w="0" w:type="dxa"/>
            <w:vAlign w:val="bottom"/>
          </w:tcPr>
          <w:p>
            <w:pPr>
              <w:spacing w:after="0"/>
              <w:rPr>
                <w:sz w:val="1"/>
                <w:szCs w:val="1"/>
                <w:color w:val="auto"/>
              </w:rPr>
            </w:pPr>
          </w:p>
        </w:tc>
      </w:tr>
      <w:tr>
        <w:trPr>
          <w:trHeight w:val="252"/>
        </w:trPr>
        <w:tc>
          <w:tcPr>
            <w:tcW w:w="1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40" w:type="dxa"/>
            <w:vAlign w:val="bottom"/>
            <w:gridSpan w:val="4"/>
          </w:tcPr>
          <w:p>
            <w:pPr>
              <w:jc w:val="center"/>
              <w:ind w:left="738"/>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0" w:type="dxa"/>
            <w:vAlign w:val="bottom"/>
          </w:tcPr>
          <w:p>
            <w:pPr>
              <w:spacing w:after="0"/>
              <w:rPr>
                <w:sz w:val="1"/>
                <w:szCs w:val="1"/>
                <w:color w:val="auto"/>
              </w:rPr>
            </w:pPr>
          </w:p>
        </w:tc>
      </w:tr>
      <w:tr>
        <w:trPr>
          <w:trHeight w:val="362"/>
        </w:trPr>
        <w:tc>
          <w:tcPr>
            <w:tcW w:w="1400" w:type="dxa"/>
            <w:vAlign w:val="bottom"/>
          </w:tcPr>
          <w:p>
            <w:pPr>
              <w:spacing w:after="0"/>
              <w:rPr>
                <w:sz w:val="24"/>
                <w:szCs w:val="24"/>
                <w:color w:val="auto"/>
              </w:rPr>
            </w:pPr>
          </w:p>
        </w:tc>
        <w:tc>
          <w:tcPr>
            <w:tcW w:w="2460" w:type="dxa"/>
            <w:vAlign w:val="bottom"/>
            <w:gridSpan w:val="2"/>
          </w:tcPr>
          <w:p>
            <w:pPr>
              <w:jc w:val="center"/>
              <w:ind w:right="1518"/>
              <w:spacing w:after="0"/>
              <w:rPr>
                <w:sz w:val="20"/>
                <w:szCs w:val="20"/>
                <w:color w:val="auto"/>
              </w:rPr>
            </w:pPr>
            <w:r>
              <w:rPr>
                <w:rFonts w:ascii="Times New Roman" w:cs="Times New Roman" w:eastAsia="Times New Roman" w:hAnsi="Times New Roman"/>
                <w:sz w:val="12"/>
                <w:szCs w:val="12"/>
                <w:color w:val="auto"/>
              </w:rPr>
              <w:t>Title of each class</w:t>
            </w:r>
          </w:p>
        </w:tc>
        <w:tc>
          <w:tcPr>
            <w:tcW w:w="2060" w:type="dxa"/>
            <w:vAlign w:val="bottom"/>
            <w:gridSpan w:val="3"/>
          </w:tcPr>
          <w:p>
            <w:pPr>
              <w:jc w:val="center"/>
              <w:ind w:right="60"/>
              <w:spacing w:after="0"/>
              <w:rPr>
                <w:sz w:val="20"/>
                <w:szCs w:val="20"/>
                <w:color w:val="auto"/>
              </w:rPr>
            </w:pPr>
            <w:r>
              <w:rPr>
                <w:rFonts w:ascii="Times New Roman" w:cs="Times New Roman" w:eastAsia="Times New Roman" w:hAnsi="Times New Roman"/>
                <w:sz w:val="12"/>
                <w:szCs w:val="12"/>
                <w:color w:val="auto"/>
              </w:rPr>
              <w:t>Trading symbol(s)</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Common Stock, par value $0.01 per share</w:t>
            </w:r>
          </w:p>
        </w:tc>
        <w:tc>
          <w:tcPr>
            <w:tcW w:w="540" w:type="dxa"/>
            <w:vAlign w:val="bottom"/>
          </w:tcPr>
          <w:p>
            <w:pPr>
              <w:spacing w:after="0"/>
              <w:rPr>
                <w:sz w:val="17"/>
                <w:szCs w:val="17"/>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w:t>
            </w:r>
          </w:p>
        </w:tc>
        <w:tc>
          <w:tcPr>
            <w:tcW w:w="0" w:type="dxa"/>
            <w:vAlign w:val="bottom"/>
          </w:tcPr>
          <w:p>
            <w:pPr>
              <w:spacing w:after="0"/>
              <w:rPr>
                <w:sz w:val="1"/>
                <w:szCs w:val="1"/>
                <w:color w:val="auto"/>
              </w:rPr>
            </w:pPr>
          </w:p>
        </w:tc>
      </w:tr>
      <w:tr>
        <w:trPr>
          <w:trHeight w:val="163"/>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4"/>
                <w:szCs w:val="14"/>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w w:val="98"/>
              </w:rPr>
              <w:t>BHFAP</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6.600% Non-Cumulative Preferred Stock, Series A</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2"/>
                <w:szCs w:val="12"/>
                <w:b w:val="1"/>
                <w:bCs w:val="1"/>
                <w:color w:val="auto"/>
              </w:rPr>
              <w:t>BHFAO</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6.750% Non-Cumulative Preferred Stock, Series B</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BHFAN</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5.375% Non-Cumulative Preferred Stock, Series C</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Depositary Shares, each representing a 1/1,000th interest in a share of</w:t>
            </w:r>
          </w:p>
        </w:tc>
        <w:tc>
          <w:tcPr>
            <w:tcW w:w="540" w:type="dxa"/>
            <w:vAlign w:val="bottom"/>
          </w:tcPr>
          <w:p>
            <w:pPr>
              <w:spacing w:after="0"/>
              <w:rPr>
                <w:sz w:val="13"/>
                <w:szCs w:val="13"/>
                <w:color w:val="auto"/>
              </w:rPr>
            </w:pPr>
          </w:p>
        </w:tc>
        <w:tc>
          <w:tcPr>
            <w:tcW w:w="1520" w:type="dxa"/>
            <w:vAlign w:val="bottom"/>
            <w:gridSpan w:val="2"/>
            <w:vMerge w:val="restart"/>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BHFAM</w:t>
            </w:r>
          </w:p>
        </w:tc>
        <w:tc>
          <w:tcPr>
            <w:tcW w:w="0" w:type="dxa"/>
            <w:vAlign w:val="bottom"/>
          </w:tcPr>
          <w:p>
            <w:pPr>
              <w:spacing w:after="0"/>
              <w:rPr>
                <w:sz w:val="1"/>
                <w:szCs w:val="1"/>
                <w:color w:val="auto"/>
              </w:rPr>
            </w:pPr>
          </w:p>
        </w:tc>
      </w:tr>
      <w:tr>
        <w:trPr>
          <w:trHeight w:val="102"/>
        </w:trPr>
        <w:tc>
          <w:tcPr>
            <w:tcW w:w="3860" w:type="dxa"/>
            <w:vAlign w:val="bottom"/>
            <w:gridSpan w:val="3"/>
            <w:vMerge w:val="restart"/>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4.625% Non-Cumulative Preferred Stock, Series D</w:t>
            </w:r>
          </w:p>
        </w:tc>
        <w:tc>
          <w:tcPr>
            <w:tcW w:w="5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3860" w:type="dxa"/>
            <w:vAlign w:val="bottom"/>
            <w:gridSpan w:val="3"/>
            <w:vMerge w:val="continue"/>
          </w:tcPr>
          <w:p>
            <w:pPr>
              <w:spacing w:after="0"/>
              <w:rPr>
                <w:sz w:val="5"/>
                <w:szCs w:val="5"/>
                <w:color w:val="auto"/>
              </w:rPr>
            </w:pPr>
          </w:p>
        </w:tc>
        <w:tc>
          <w:tcPr>
            <w:tcW w:w="54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3860" w:type="dxa"/>
            <w:vAlign w:val="bottom"/>
            <w:gridSpan w:val="3"/>
          </w:tcPr>
          <w:p>
            <w:pPr>
              <w:jc w:val="center"/>
              <w:ind w:right="118"/>
              <w:spacing w:after="0"/>
              <w:rPr>
                <w:sz w:val="20"/>
                <w:szCs w:val="20"/>
                <w:color w:val="auto"/>
              </w:rPr>
            </w:pPr>
            <w:r>
              <w:rPr>
                <w:rFonts w:ascii="Times New Roman" w:cs="Times New Roman" w:eastAsia="Times New Roman" w:hAnsi="Times New Roman"/>
                <w:sz w:val="12"/>
                <w:szCs w:val="12"/>
                <w:b w:val="1"/>
                <w:bCs w:val="1"/>
                <w:color w:val="auto"/>
              </w:rPr>
              <w:t>6.250% Junior Subordinated Debentures due 2058</w:t>
            </w:r>
          </w:p>
        </w:tc>
        <w:tc>
          <w:tcPr>
            <w:tcW w:w="540" w:type="dxa"/>
            <w:vAlign w:val="bottom"/>
          </w:tcPr>
          <w:p>
            <w:pPr>
              <w:spacing w:after="0"/>
              <w:rPr>
                <w:sz w:val="16"/>
                <w:szCs w:val="16"/>
                <w:color w:val="auto"/>
              </w:rPr>
            </w:pPr>
          </w:p>
        </w:tc>
        <w:tc>
          <w:tcPr>
            <w:tcW w:w="1520" w:type="dxa"/>
            <w:vAlign w:val="bottom"/>
            <w:gridSpan w:val="2"/>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rPr>
              <w:t>BHFAL</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(I.R.S. Employer Identification No.)</w:t>
      </w:r>
    </w:p>
    <w:p>
      <w:pPr>
        <w:spacing w:after="0" w:line="197"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b w:val="1"/>
          <w:bCs w:val="1"/>
          <w:color w:val="auto"/>
        </w:rPr>
        <w:t>28277</w:t>
      </w:r>
    </w:p>
    <w:p>
      <w:pPr>
        <w:spacing w:after="0" w:line="131" w:lineRule="exact"/>
        <w:rPr>
          <w:sz w:val="24"/>
          <w:szCs w:val="24"/>
          <w:color w:val="auto"/>
        </w:rPr>
      </w:pPr>
    </w:p>
    <w:p>
      <w:pPr>
        <w:jc w:val="center"/>
        <w:ind w:right="2080"/>
        <w:spacing w:after="0"/>
        <w:rPr>
          <w:sz w:val="20"/>
          <w:szCs w:val="20"/>
          <w:color w:val="auto"/>
        </w:rPr>
      </w:pPr>
      <w:r>
        <w:rPr>
          <w:rFonts w:ascii="Times New Roman" w:cs="Times New Roman" w:eastAsia="Times New Roman" w:hAnsi="Times New Roman"/>
          <w:sz w:val="14"/>
          <w:szCs w:val="14"/>
          <w:i w:val="1"/>
          <w:iCs w:val="1"/>
          <w:color w:val="auto"/>
        </w:rPr>
        <w:t>(Zip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u w:val="single" w:color="auto"/>
          <w:color w:val="auto"/>
        </w:rPr>
        <w:t>Name of each exchange on which registered</w:t>
      </w:r>
    </w:p>
    <w:p>
      <w:pPr>
        <w:spacing w:after="0" w:line="5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27"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8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114"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2"/>
          <w:szCs w:val="12"/>
          <w:b w:val="1"/>
          <w:bCs w:val="1"/>
          <w:color w:val="auto"/>
        </w:rPr>
        <w:t>The Nasdaq Stock Market LLC</w:t>
      </w:r>
    </w:p>
    <w:p>
      <w:pPr>
        <w:spacing w:after="0" w:line="208" w:lineRule="exact"/>
        <w:rPr>
          <w:sz w:val="24"/>
          <w:szCs w:val="24"/>
          <w:color w:val="auto"/>
        </w:rPr>
      </w:pPr>
    </w:p>
    <w:p>
      <w:pPr>
        <w:sectPr>
          <w:pgSz w:w="11900" w:h="16838" w:orient="portrait"/>
          <w:cols w:equalWidth="0" w:num="2">
            <w:col w:w="7040" w:space="100"/>
            <w:col w:w="4100"/>
          </w:cols>
          <w:pgMar w:left="320" w:top="1391" w:right="339" w:bottom="1440" w:gutter="0" w:footer="0" w:header="0"/>
          <w:type w:val="continuous"/>
        </w:sect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85" w:lineRule="exact"/>
        <w:rPr>
          <w:sz w:val="24"/>
          <w:szCs w:val="24"/>
          <w:color w:val="auto"/>
        </w:rPr>
      </w:pPr>
    </w:p>
    <w:p>
      <w:pPr>
        <w:spacing w:after="0" w:line="163"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rPr>
        <w:t>☐</w:t>
      </w:r>
    </w:p>
    <w:p>
      <w:pPr>
        <w:spacing w:after="0" w:line="72" w:lineRule="exact"/>
        <w:rPr>
          <w:sz w:val="24"/>
          <w:szCs w:val="24"/>
          <w:color w:val="auto"/>
        </w:rPr>
      </w:pPr>
    </w:p>
    <w:p>
      <w:pPr>
        <w:spacing w:after="0" w:line="292" w:lineRule="auto"/>
        <w:rPr>
          <w:sz w:val="20"/>
          <w:szCs w:val="20"/>
          <w:color w:val="auto"/>
        </w:rPr>
      </w:pPr>
      <w:r>
        <w:rPr>
          <w:rFonts w:ascii="Times New Roman" w:cs="Times New Roman" w:eastAsia="Times New Roman" w:hAnsi="Times New Roman"/>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2" w:lineRule="exact"/>
        <w:rPr>
          <w:sz w:val="24"/>
          <w:szCs w:val="24"/>
          <w:color w:val="auto"/>
        </w:rPr>
      </w:pPr>
    </w:p>
    <w:tbl>
      <w:tblPr>
        <w:tblLayout w:type="fixed"/>
        <w:tblInd w:w="1100" w:type="dxa"/>
        <w:tblCellMar>
          <w:top w:w="0" w:type="dxa"/>
          <w:left w:w="0" w:type="dxa"/>
          <w:bottom w:w="0" w:type="dxa"/>
          <w:right w:w="0" w:type="dxa"/>
        </w:tblCellMar>
      </w:tblP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Large 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Accelerated filer</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66"/>
        </w:trPr>
        <w:tc>
          <w:tcPr>
            <w:tcW w:w="1180" w:type="dxa"/>
            <w:vAlign w:val="bottom"/>
          </w:tcPr>
          <w:p>
            <w:pPr>
              <w:spacing w:after="0"/>
              <w:rPr>
                <w:sz w:val="20"/>
                <w:szCs w:val="20"/>
                <w:color w:val="auto"/>
              </w:rPr>
            </w:pPr>
            <w:r>
              <w:rPr>
                <w:rFonts w:ascii="Times New Roman" w:cs="Times New Roman" w:eastAsia="Times New Roman" w:hAnsi="Times New Roman"/>
                <w:sz w:val="12"/>
                <w:szCs w:val="12"/>
                <w:color w:val="auto"/>
              </w:rPr>
              <w:t>Non-accelerated filer</w:t>
            </w:r>
          </w:p>
        </w:tc>
        <w:tc>
          <w:tcPr>
            <w:tcW w:w="2960" w:type="dxa"/>
            <w:vAlign w:val="bottom"/>
          </w:tcPr>
          <w:p>
            <w:pPr>
              <w:ind w:left="60"/>
              <w:spacing w:after="0" w:line="121" w:lineRule="exact"/>
              <w:rPr>
                <w:sz w:val="20"/>
                <w:szCs w:val="20"/>
                <w:color w:val="auto"/>
              </w:rPr>
            </w:pPr>
            <w:r>
              <w:rPr>
                <w:rFonts w:ascii="MS PGothic" w:cs="MS PGothic" w:eastAsia="MS PGothic" w:hAnsi="MS PGothic"/>
                <w:sz w:val="12"/>
                <w:szCs w:val="12"/>
                <w:color w:val="auto"/>
              </w:rPr>
              <w:t>☐</w:t>
            </w: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Smaller reporting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7"/>
        </w:trPr>
        <w:tc>
          <w:tcPr>
            <w:tcW w:w="1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240" w:type="dxa"/>
            <w:vAlign w:val="bottom"/>
          </w:tcPr>
          <w:p>
            <w:pPr>
              <w:ind w:left="2780"/>
              <w:spacing w:after="0"/>
              <w:rPr>
                <w:sz w:val="20"/>
                <w:szCs w:val="20"/>
                <w:color w:val="auto"/>
              </w:rPr>
            </w:pPr>
            <w:r>
              <w:rPr>
                <w:rFonts w:ascii="Times New Roman" w:cs="Times New Roman" w:eastAsia="Times New Roman" w:hAnsi="Times New Roman"/>
                <w:sz w:val="12"/>
                <w:szCs w:val="12"/>
                <w:color w:val="auto"/>
              </w:rPr>
              <w:t>Emerging growth company</w:t>
            </w:r>
          </w:p>
        </w:tc>
        <w:tc>
          <w:tcPr>
            <w:tcW w:w="240" w:type="dxa"/>
            <w:vAlign w:val="bottom"/>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56"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46" w:lineRule="exact"/>
        <w:rPr>
          <w:sz w:val="24"/>
          <w:szCs w:val="24"/>
          <w:color w:val="auto"/>
        </w:rPr>
      </w:pPr>
    </w:p>
    <w:p>
      <w:pPr>
        <w:ind w:right="4860"/>
        <w:spacing w:after="0" w:line="220" w:lineRule="exact"/>
        <w:rPr>
          <w:sz w:val="20"/>
          <w:szCs w:val="20"/>
          <w:color w:val="auto"/>
        </w:rPr>
      </w:pPr>
      <w:r>
        <w:rPr>
          <w:rFonts w:ascii="Times New Roman" w:cs="Times New Roman" w:eastAsia="Times New Roman" w:hAnsi="Times New Roman"/>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No </w:t>
      </w:r>
      <w:r>
        <w:rPr>
          <w:rFonts w:ascii="MS PGothic" w:cs="MS PGothic" w:eastAsia="MS PGothic" w:hAnsi="MS PGothic"/>
          <w:sz w:val="12"/>
          <w:szCs w:val="12"/>
          <w:color w:val="auto"/>
          <w:highlight w:val="black"/>
        </w:rPr>
        <w:t>☑</w:t>
      </w:r>
      <w:r>
        <w:rPr>
          <w:rFonts w:ascii="Times New Roman" w:cs="Times New Roman" w:eastAsia="Times New Roman" w:hAnsi="Times New Roman"/>
          <w:sz w:val="12"/>
          <w:szCs w:val="12"/>
          <w:color w:val="auto"/>
        </w:rPr>
        <w:t xml:space="preserve"> As of October 30, 2026, 57,512,254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738505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137160</wp:posOffset>
            </wp:positionV>
            <wp:extent cx="6995160"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6510"/>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111760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u w:val="single" w:color="auto"/>
          <w:color w:val="auto"/>
        </w:rPr>
        <w:t>Page</w:t>
      </w:r>
    </w:p>
    <w:p>
      <w:pPr>
        <w:spacing w:after="0" w:line="3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0000FF"/>
        </w:rPr>
        <w:t>Part I — Financial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color w:val="auto"/>
                <w:w w:val="99"/>
              </w:rPr>
              <w:t>Consolidated Financial Statements (at September 30, 2026 (Unaudited) and December 31, 2025 and for the Three Months and Nine</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auto"/>
              </w:rPr>
              <w:t>Months Ended September 30, 2026 and 2025 (Unaudited)):</w:t>
            </w: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40" w:type="dxa"/>
            <w:vAlign w:val="bottom"/>
            <w:gridSpan w:val="14"/>
          </w:tcPr>
          <w:p>
            <w:pPr>
              <w:spacing w:after="0" w:line="206" w:lineRule="exact"/>
              <w:rPr>
                <w:sz w:val="20"/>
                <w:szCs w:val="20"/>
                <w:color w:val="auto"/>
              </w:rPr>
            </w:pPr>
            <w:r>
              <w:rPr>
                <w:rFonts w:ascii="Times New Roman" w:cs="Times New Roman" w:eastAsia="Times New Roman" w:hAnsi="Times New Roman"/>
                <w:sz w:val="18"/>
                <w:szCs w:val="18"/>
                <w:color w:val="0000FF"/>
                <w:w w:val="97"/>
              </w:rPr>
              <w:t>Interim Condensed Consolidated Balance Sheets</w:t>
            </w:r>
          </w:p>
        </w:tc>
        <w:tc>
          <w:tcPr>
            <w:tcW w:w="5880" w:type="dxa"/>
            <w:vAlign w:val="bottom"/>
            <w:gridSpan w:val="11"/>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jc w:val="center"/>
              <w:spacing w:after="0" w:line="206" w:lineRule="exact"/>
              <w:rPr>
                <w:sz w:val="20"/>
                <w:szCs w:val="20"/>
                <w:color w:val="auto"/>
              </w:rPr>
            </w:pPr>
            <w:r>
              <w:rPr>
                <w:rFonts w:ascii="Times New Roman" w:cs="Times New Roman" w:eastAsia="Times New Roman" w:hAnsi="Times New Roman"/>
                <w:sz w:val="18"/>
                <w:szCs w:val="18"/>
                <w:color w:val="0000FF"/>
                <w:w w:val="88"/>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6"/>
              </w:rPr>
              <w:t>Interim Condensed Consolidated Statements of Operations and Comprehensive Income (Loss)</w:t>
            </w:r>
          </w:p>
        </w:tc>
        <w:tc>
          <w:tcPr>
            <w:tcW w:w="27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2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Interim Condensed Consolidated Statements of Equity</w:t>
            </w:r>
          </w:p>
        </w:tc>
        <w:tc>
          <w:tcPr>
            <w:tcW w:w="27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Interim Condensed Consolidated Statements of Cash Flows</w:t>
            </w:r>
          </w:p>
        </w:tc>
        <w:tc>
          <w:tcPr>
            <w:tcW w:w="360" w:type="dxa"/>
            <w:vAlign w:val="bottom"/>
            <w:gridSpan w:val="2"/>
          </w:tcPr>
          <w:p>
            <w:pPr>
              <w:jc w:val="center"/>
              <w:ind w:left="192"/>
              <w:spacing w:after="0"/>
              <w:rPr>
                <w:sz w:val="20"/>
                <w:szCs w:val="20"/>
                <w:color w:val="auto"/>
              </w:rPr>
            </w:pPr>
            <w:r>
              <w:rPr>
                <w:rFonts w:ascii="Times New Roman" w:cs="Times New Roman" w:eastAsia="Times New Roman" w:hAnsi="Times New Roman"/>
                <w:sz w:val="18"/>
                <w:szCs w:val="18"/>
                <w:color w:val="0000FF"/>
                <w:w w:val="88"/>
              </w:rPr>
              <w:t>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32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the Interim Condensed Consolidated Financial Statements (Unaudited):</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w w:val="97"/>
              </w:rPr>
              <w:t>Note 1 — Business, Basis of Presentation and Summary of Significant Accounting Policies</w:t>
            </w:r>
          </w:p>
        </w:tc>
        <w:tc>
          <w:tcPr>
            <w:tcW w:w="27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6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Note 2 — Segment Information</w:t>
            </w:r>
          </w:p>
        </w:tc>
        <w:tc>
          <w:tcPr>
            <w:tcW w:w="2700" w:type="dxa"/>
            <w:vAlign w:val="bottom"/>
            <w:gridSpan w:val="2"/>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8"/>
                <w:szCs w:val="18"/>
                <w:color w:val="0000FF"/>
                <w:w w:val="88"/>
              </w:rPr>
              <w:t>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8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5"/>
              </w:rPr>
              <w:t>Note 3 — Insurance Liabilities</w:t>
            </w:r>
          </w:p>
        </w:tc>
        <w:tc>
          <w:tcPr>
            <w:tcW w:w="6980" w:type="dxa"/>
            <w:vAlign w:val="bottom"/>
            <w:gridSpan w:val="13"/>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14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4 — Market Risk Benefits</w:t>
            </w: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19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7"/>
              </w:rPr>
              <w:t>Note 5 — Separate Accounts</w:t>
            </w:r>
          </w:p>
        </w:tc>
        <w:tc>
          <w:tcPr>
            <w:tcW w:w="120" w:type="dxa"/>
            <w:vAlign w:val="bottom"/>
          </w:tcPr>
          <w:p>
            <w:pPr>
              <w:spacing w:after="0"/>
              <w:rPr>
                <w:sz w:val="19"/>
                <w:szCs w:val="19"/>
                <w:color w:val="auto"/>
              </w:rPr>
            </w:pPr>
          </w:p>
        </w:tc>
        <w:tc>
          <w:tcPr>
            <w:tcW w:w="6980" w:type="dxa"/>
            <w:vAlign w:val="bottom"/>
            <w:gridSpan w:val="13"/>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20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w w:val="97"/>
              </w:rPr>
              <w:t>Note 6 — Deferred Policy Acquisition Costs, Value of Business Acquired and Other Intangibles</w:t>
            </w:r>
          </w:p>
        </w:tc>
        <w:tc>
          <w:tcPr>
            <w:tcW w:w="2360" w:type="dxa"/>
            <w:vAlign w:val="bottom"/>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22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1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Note 7 — Investments</w:t>
            </w:r>
          </w:p>
        </w:tc>
        <w:tc>
          <w:tcPr>
            <w:tcW w:w="2360" w:type="dxa"/>
            <w:vAlign w:val="bottom"/>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23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tcBorders>
              <w:left w:val="single" w:sz="8" w:color="0000FF"/>
            </w:tcBorders>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5"/>
              </w:rPr>
              <w:t>Note 8 — Derivatives</w:t>
            </w:r>
          </w:p>
        </w:tc>
        <w:tc>
          <w:tcPr>
            <w:tcW w:w="7600" w:type="dxa"/>
            <w:vAlign w:val="bottom"/>
            <w:gridSpan w:val="15"/>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 9 — Fair Value</w:t>
            </w:r>
          </w:p>
        </w:tc>
        <w:tc>
          <w:tcPr>
            <w:tcW w:w="7620" w:type="dxa"/>
            <w:vAlign w:val="bottom"/>
            <w:gridSpan w:val="16"/>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41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6"/>
              </w:rPr>
              <w:t>Note 10 — Equity</w:t>
            </w:r>
          </w:p>
        </w:tc>
        <w:tc>
          <w:tcPr>
            <w:tcW w:w="160" w:type="dxa"/>
            <w:vAlign w:val="bottom"/>
          </w:tcPr>
          <w:p>
            <w:pPr>
              <w:spacing w:after="0"/>
              <w:rPr>
                <w:sz w:val="19"/>
                <w:szCs w:val="19"/>
                <w:color w:val="auto"/>
              </w:rPr>
            </w:pPr>
          </w:p>
        </w:tc>
        <w:tc>
          <w:tcPr>
            <w:tcW w:w="7700" w:type="dxa"/>
            <w:vAlign w:val="bottom"/>
            <w:gridSpan w:val="17"/>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11 — Other Revenues and Other Expenses</w:t>
            </w: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54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0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w w:val="97"/>
              </w:rPr>
              <w:t>Note 12 — Earnings Per Common Share</w:t>
            </w:r>
          </w:p>
        </w:tc>
        <w:tc>
          <w:tcPr>
            <w:tcW w:w="520" w:type="dxa"/>
            <w:vAlign w:val="bottom"/>
            <w:gridSpan w:val="2"/>
          </w:tcPr>
          <w:p>
            <w:pPr>
              <w:spacing w:after="0"/>
              <w:rPr>
                <w:sz w:val="19"/>
                <w:szCs w:val="19"/>
                <w:color w:val="auto"/>
              </w:rPr>
            </w:pPr>
          </w:p>
        </w:tc>
        <w:tc>
          <w:tcPr>
            <w:tcW w:w="5760" w:type="dxa"/>
            <w:vAlign w:val="bottom"/>
            <w:gridSpan w:val="10"/>
          </w:tcPr>
          <w:p>
            <w:pPr>
              <w:spacing w:after="0"/>
              <w:rPr>
                <w:sz w:val="19"/>
                <w:szCs w:val="19"/>
                <w:color w:val="auto"/>
              </w:rPr>
            </w:pP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55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320" w:type="dxa"/>
            <w:vAlign w:val="bottom"/>
            <w:tcBorders>
              <w:left w:val="single" w:sz="8" w:color="0000FF"/>
            </w:tcBorders>
            <w:gridSpan w:val="3"/>
            <w:shd w:val="clear" w:color="auto" w:fill="0000FF"/>
          </w:tcPr>
          <w:p>
            <w:pPr>
              <w:spacing w:after="0" w:line="20" w:lineRule="exact"/>
              <w:rPr>
                <w:sz w:val="1"/>
                <w:szCs w:val="1"/>
                <w:color w:val="auto"/>
              </w:rPr>
            </w:pPr>
          </w:p>
        </w:tc>
        <w:tc>
          <w:tcPr>
            <w:tcW w:w="11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6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 13 — Contingencies, Commitments and Guarantees</w:t>
            </w: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56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500" w:type="dxa"/>
            <w:vAlign w:val="bottom"/>
            <w:tcBorders>
              <w:left w:val="single" w:sz="8" w:color="0000FF"/>
            </w:tcBorders>
            <w:gridSpan w:val="8"/>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460" w:type="dxa"/>
            <w:vAlign w:val="bottom"/>
            <w:gridSpan w:val="3"/>
          </w:tcPr>
          <w:p>
            <w:pPr>
              <w:jc w:val="center"/>
              <w:ind w:left="112"/>
              <w:spacing w:after="0"/>
              <w:rPr>
                <w:sz w:val="20"/>
                <w:szCs w:val="20"/>
                <w:color w:val="auto"/>
              </w:rPr>
            </w:pPr>
            <w:r>
              <w:rPr>
                <w:rFonts w:ascii="Times New Roman" w:cs="Times New Roman" w:eastAsia="Times New Roman" w:hAnsi="Times New Roman"/>
                <w:sz w:val="18"/>
                <w:szCs w:val="18"/>
                <w:color w:val="0000FF"/>
                <w:w w:val="99"/>
              </w:rPr>
              <w:t>60</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580" w:type="dxa"/>
            <w:vAlign w:val="bottom"/>
            <w:tcBorders>
              <w:top w:val="single" w:sz="8" w:color="0000FF"/>
            </w:tcBorders>
            <w:gridSpan w:val="2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7"/>
              </w:rPr>
              <w:t>Quantitative and Qualitative Disclosures About Market Risk</w:t>
            </w:r>
          </w:p>
        </w:tc>
        <w:tc>
          <w:tcPr>
            <w:tcW w:w="2120" w:type="dxa"/>
            <w:vAlign w:val="bottom"/>
            <w:tcBorders>
              <w:top w:val="single" w:sz="8" w:color="0000FF"/>
            </w:tcBorders>
            <w:gridSpan w:val="2"/>
            <w:vMerge w:val="restart"/>
          </w:tcPr>
          <w:p>
            <w:pPr>
              <w:spacing w:after="0" w:line="20" w:lineRule="exact"/>
              <w:rPr>
                <w:sz w:val="1"/>
                <w:szCs w:val="1"/>
                <w:color w:val="auto"/>
              </w:rPr>
            </w:pPr>
          </w:p>
        </w:tc>
        <w:tc>
          <w:tcPr>
            <w:tcW w:w="2780" w:type="dxa"/>
            <w:vAlign w:val="bottom"/>
            <w:gridSpan w:val="3"/>
            <w:vMerge w:val="restart"/>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4580" w:type="dxa"/>
            <w:vAlign w:val="bottom"/>
            <w:gridSpan w:val="21"/>
            <w:vMerge w:val="continue"/>
          </w:tcPr>
          <w:p>
            <w:pPr>
              <w:spacing w:after="0"/>
              <w:rPr>
                <w:sz w:val="17"/>
                <w:szCs w:val="17"/>
                <w:color w:val="auto"/>
              </w:rPr>
            </w:pPr>
          </w:p>
        </w:tc>
        <w:tc>
          <w:tcPr>
            <w:tcW w:w="2120" w:type="dxa"/>
            <w:vAlign w:val="bottom"/>
            <w:gridSpan w:val="2"/>
            <w:vMerge w:val="continue"/>
          </w:tcPr>
          <w:p>
            <w:pPr>
              <w:spacing w:after="0"/>
              <w:rPr>
                <w:sz w:val="17"/>
                <w:szCs w:val="17"/>
                <w:color w:val="auto"/>
              </w:rPr>
            </w:pPr>
          </w:p>
        </w:tc>
        <w:tc>
          <w:tcPr>
            <w:tcW w:w="2780" w:type="dxa"/>
            <w:vAlign w:val="bottom"/>
            <w:gridSpan w:val="3"/>
            <w:vMerge w:val="continue"/>
          </w:tcPr>
          <w:p>
            <w:pPr>
              <w:spacing w:after="0"/>
              <w:rPr>
                <w:sz w:val="17"/>
                <w:szCs w:val="17"/>
                <w:color w:val="auto"/>
              </w:rPr>
            </w:pPr>
          </w:p>
        </w:tc>
        <w:tc>
          <w:tcPr>
            <w:tcW w:w="660" w:type="dxa"/>
            <w:vAlign w:val="bottom"/>
            <w:gridSpan w:val="4"/>
          </w:tcPr>
          <w:p>
            <w:pPr>
              <w:jc w:val="center"/>
              <w:spacing w:after="0" w:line="199" w:lineRule="exact"/>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880" w:type="dxa"/>
            <w:vAlign w:val="bottom"/>
            <w:tcBorders>
              <w:top w:val="single" w:sz="8" w:color="0000FF"/>
            </w:tcBorders>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Controls and Procedures</w:t>
            </w:r>
          </w:p>
        </w:tc>
        <w:tc>
          <w:tcPr>
            <w:tcW w:w="2700" w:type="dxa"/>
            <w:vAlign w:val="bottom"/>
            <w:tcBorders>
              <w:top w:val="single" w:sz="8" w:color="0000FF"/>
            </w:tcBorders>
            <w:gridSpan w:val="10"/>
            <w:vMerge w:val="restart"/>
          </w:tcPr>
          <w:p>
            <w:pPr>
              <w:spacing w:after="0" w:line="20" w:lineRule="exact"/>
              <w:rPr>
                <w:sz w:val="1"/>
                <w:szCs w:val="1"/>
                <w:color w:val="auto"/>
              </w:rPr>
            </w:pPr>
          </w:p>
        </w:tc>
        <w:tc>
          <w:tcPr>
            <w:tcW w:w="4900" w:type="dxa"/>
            <w:vAlign w:val="bottom"/>
            <w:gridSpan w:val="5"/>
            <w:vMerge w:val="restart"/>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tcBorders>
              <w:top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880" w:type="dxa"/>
            <w:vAlign w:val="bottom"/>
            <w:gridSpan w:val="11"/>
            <w:vMerge w:val="continue"/>
          </w:tcPr>
          <w:p>
            <w:pPr>
              <w:spacing w:after="0"/>
              <w:rPr>
                <w:sz w:val="17"/>
                <w:szCs w:val="17"/>
                <w:color w:val="auto"/>
              </w:rPr>
            </w:pPr>
          </w:p>
        </w:tc>
        <w:tc>
          <w:tcPr>
            <w:tcW w:w="2700" w:type="dxa"/>
            <w:vAlign w:val="bottom"/>
            <w:gridSpan w:val="10"/>
            <w:vMerge w:val="continue"/>
          </w:tcPr>
          <w:p>
            <w:pPr>
              <w:spacing w:after="0"/>
              <w:rPr>
                <w:sz w:val="17"/>
                <w:szCs w:val="17"/>
                <w:color w:val="auto"/>
              </w:rPr>
            </w:pPr>
          </w:p>
        </w:tc>
        <w:tc>
          <w:tcPr>
            <w:tcW w:w="4900" w:type="dxa"/>
            <w:vAlign w:val="bottom"/>
            <w:gridSpan w:val="5"/>
            <w:vMerge w:val="continue"/>
          </w:tcPr>
          <w:p>
            <w:pPr>
              <w:spacing w:after="0"/>
              <w:rPr>
                <w:sz w:val="17"/>
                <w:szCs w:val="17"/>
                <w:color w:val="auto"/>
              </w:rPr>
            </w:pPr>
          </w:p>
        </w:tc>
        <w:tc>
          <w:tcPr>
            <w:tcW w:w="660" w:type="dxa"/>
            <w:vAlign w:val="bottom"/>
            <w:gridSpan w:val="4"/>
          </w:tcPr>
          <w:p>
            <w:pPr>
              <w:jc w:val="center"/>
              <w:spacing w:after="0" w:line="199" w:lineRule="exact"/>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2600" w:type="dxa"/>
            <w:vAlign w:val="bottom"/>
            <w:gridSpan w:val="9"/>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10560" w:type="dxa"/>
            <w:vAlign w:val="bottom"/>
            <w:gridSpan w:val="28"/>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0000FF"/>
                <w:w w:val="96"/>
              </w:rPr>
              <w:t>Legal Proceedings</w:t>
            </w:r>
          </w:p>
        </w:tc>
        <w:tc>
          <w:tcPr>
            <w:tcW w:w="8100" w:type="dxa"/>
            <w:vAlign w:val="bottom"/>
            <w:gridSpan w:val="20"/>
          </w:tcPr>
          <w:p>
            <w:pPr>
              <w:spacing w:after="0"/>
              <w:rPr>
                <w:sz w:val="19"/>
                <w:szCs w:val="19"/>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FF"/>
                <w:w w:val="96"/>
              </w:rPr>
              <w:t>Risk Factors</w:t>
            </w:r>
          </w:p>
        </w:tc>
        <w:tc>
          <w:tcPr>
            <w:tcW w:w="420" w:type="dxa"/>
            <w:vAlign w:val="bottom"/>
            <w:gridSpan w:val="2"/>
          </w:tcPr>
          <w:p>
            <w:pPr>
              <w:spacing w:after="0"/>
              <w:rPr>
                <w:sz w:val="19"/>
                <w:szCs w:val="19"/>
                <w:color w:val="auto"/>
              </w:rPr>
            </w:pPr>
          </w:p>
        </w:tc>
        <w:tc>
          <w:tcPr>
            <w:tcW w:w="8100" w:type="dxa"/>
            <w:vAlign w:val="bottom"/>
            <w:gridSpan w:val="20"/>
          </w:tcPr>
          <w:p>
            <w:pPr>
              <w:spacing w:after="0"/>
              <w:rPr>
                <w:sz w:val="19"/>
                <w:szCs w:val="19"/>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60" w:type="dxa"/>
            <w:vAlign w:val="bottom"/>
            <w:gridSpan w:val="13"/>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48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3060" w:type="dxa"/>
            <w:vAlign w:val="bottom"/>
            <w:gridSpan w:val="13"/>
            <w:shd w:val="clear" w:color="auto" w:fill="0000FF"/>
          </w:tcPr>
          <w:p>
            <w:pPr>
              <w:spacing w:after="0" w:line="20" w:lineRule="exact"/>
              <w:rPr>
                <w:sz w:val="1"/>
                <w:szCs w:val="1"/>
                <w:color w:val="auto"/>
              </w:rPr>
            </w:pPr>
          </w:p>
        </w:tc>
        <w:tc>
          <w:tcPr>
            <w:tcW w:w="500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w w:val="96"/>
              </w:rPr>
              <w:t>Other Information</w:t>
            </w:r>
          </w:p>
        </w:tc>
        <w:tc>
          <w:tcPr>
            <w:tcW w:w="3060" w:type="dxa"/>
            <w:vAlign w:val="bottom"/>
            <w:gridSpan w:val="13"/>
          </w:tcPr>
          <w:p>
            <w:pPr>
              <w:spacing w:after="0"/>
              <w:rPr>
                <w:sz w:val="19"/>
                <w:szCs w:val="19"/>
                <w:color w:val="auto"/>
              </w:rPr>
            </w:pPr>
          </w:p>
        </w:tc>
        <w:tc>
          <w:tcPr>
            <w:tcW w:w="5000" w:type="dxa"/>
            <w:vAlign w:val="bottom"/>
            <w:gridSpan w:val="6"/>
          </w:tcPr>
          <w:p>
            <w:pPr>
              <w:spacing w:after="0"/>
              <w:rPr>
                <w:sz w:val="19"/>
                <w:szCs w:val="19"/>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800" w:type="dxa"/>
            <w:vAlign w:val="bottom"/>
            <w:gridSpan w:val="4"/>
            <w:shd w:val="clear" w:color="auto" w:fill="0000FF"/>
          </w:tcPr>
          <w:p>
            <w:pPr>
              <w:spacing w:after="0" w:line="20" w:lineRule="exact"/>
              <w:rPr>
                <w:sz w:val="1"/>
                <w:szCs w:val="1"/>
                <w:color w:val="auto"/>
              </w:rPr>
            </w:pPr>
          </w:p>
        </w:tc>
        <w:tc>
          <w:tcPr>
            <w:tcW w:w="8060" w:type="dxa"/>
            <w:vAlign w:val="bottom"/>
            <w:gridSpan w:val="19"/>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42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8060" w:type="dxa"/>
            <w:vAlign w:val="bottom"/>
            <w:gridSpan w:val="19"/>
          </w:tcPr>
          <w:p>
            <w:pPr>
              <w:spacing w:after="0"/>
              <w:rPr>
                <w:sz w:val="19"/>
                <w:szCs w:val="19"/>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Signature</w:t>
            </w: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080" w:type="dxa"/>
            <w:vAlign w:val="bottom"/>
            <w:gridSpan w:val="2"/>
            <w:vMerge w:val="continue"/>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360" w:type="dxa"/>
            <w:vAlign w:val="bottom"/>
          </w:tcPr>
          <w:p>
            <w:pPr>
              <w:spacing w:after="0"/>
              <w:rPr>
                <w:sz w:val="23"/>
                <w:szCs w:val="23"/>
                <w:color w:val="auto"/>
              </w:rPr>
            </w:pPr>
          </w:p>
        </w:tc>
        <w:tc>
          <w:tcPr>
            <w:tcW w:w="66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0000FF"/>
                <w:w w:val="96"/>
              </w:rPr>
              <w:t>104</w:t>
            </w:r>
          </w:p>
        </w:tc>
        <w:tc>
          <w:tcPr>
            <w:tcW w:w="0" w:type="dxa"/>
            <w:vAlign w:val="bottom"/>
          </w:tcPr>
          <w:p>
            <w:pPr>
              <w:spacing w:after="0"/>
              <w:rPr>
                <w:sz w:val="1"/>
                <w:szCs w:val="1"/>
                <w:color w:val="auto"/>
              </w:rPr>
            </w:pPr>
          </w:p>
        </w:tc>
      </w:tr>
      <w:tr>
        <w:trPr>
          <w:trHeight w:val="1166"/>
        </w:trPr>
        <w:tc>
          <w:tcPr>
            <w:tcW w:w="20" w:type="dxa"/>
            <w:vAlign w:val="bottom"/>
            <w:tcBorders>
              <w:bottom w:val="single" w:sz="8" w:color="9A9A9A"/>
            </w:tcBorders>
          </w:tcPr>
          <w:p>
            <w:pPr>
              <w:spacing w:after="0"/>
              <w:rPr>
                <w:sz w:val="24"/>
                <w:szCs w:val="24"/>
                <w:color w:val="auto"/>
              </w:rPr>
            </w:pPr>
          </w:p>
        </w:tc>
        <w:tc>
          <w:tcPr>
            <w:tcW w:w="740" w:type="dxa"/>
            <w:vAlign w:val="bottom"/>
            <w:tcBorders>
              <w:top w:val="single" w:sz="8" w:color="0000FF"/>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39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64"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Interim Condensed Consolidated Balance Sheets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2026 (Unaudited) and December 31, 2025</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and per share data)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520" w:type="dxa"/>
            <w:vAlign w:val="bottom"/>
          </w:tcPr>
          <w:p>
            <w:pPr>
              <w:jc w:val="right"/>
              <w:ind w:right="20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38"/>
        </w:trPr>
        <w:tc>
          <w:tcPr>
            <w:tcW w:w="77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77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Fixed maturity securities available-for-sale, at estimated fair value (amortized cost: $86,330 and $87,046, respectively; allowance for</w:t>
            </w: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77,333</w:t>
            </w:r>
          </w:p>
        </w:tc>
        <w:tc>
          <w:tcPr>
            <w:tcW w:w="12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credit losses of $66 and $64, respectively)</w:t>
            </w: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Trading securities, at estimated fair value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securities, at estimated fair value</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Mortgage loans (net of allowance for credit losses of $254 and $200,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22,755</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loans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1,450</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4,696</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Short-term investments, principally at estimated fair value</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invested assets, principally at estimated fair value (net of allowance for credit losses of $0 and $0,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7,932</w:t>
            </w:r>
          </w:p>
        </w:tc>
        <w:tc>
          <w:tcPr>
            <w:tcW w:w="0" w:type="dxa"/>
            <w:vAlign w:val="bottom"/>
          </w:tcPr>
          <w:p>
            <w:pPr>
              <w:spacing w:after="0"/>
              <w:rPr>
                <w:sz w:val="1"/>
                <w:szCs w:val="1"/>
                <w:color w:val="auto"/>
              </w:rPr>
            </w:pPr>
          </w:p>
        </w:tc>
      </w:tr>
      <w:tr>
        <w:trPr>
          <w:trHeight w:val="24"/>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investments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119,032</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120,629</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investment income</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reinsurance and other receivables (net of allowance for credit losses of $3 and $3,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21,579</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policy acquisition costs and value of business acquired</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4,567</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income tax recoverable</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asset</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1,442</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assets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Separate account assets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81,648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85,528</w:t>
            </w:r>
          </w:p>
        </w:tc>
        <w:tc>
          <w:tcPr>
            <w:tcW w:w="0" w:type="dxa"/>
            <w:vAlign w:val="bottom"/>
          </w:tcPr>
          <w:p>
            <w:pPr>
              <w:spacing w:after="0"/>
              <w:rPr>
                <w:sz w:val="1"/>
                <w:szCs w:val="1"/>
                <w:color w:val="auto"/>
              </w:rPr>
            </w:pPr>
          </w:p>
        </w:tc>
      </w:tr>
      <w:tr>
        <w:trPr>
          <w:trHeight w:val="24"/>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241,800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77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Future policy benefits</w:t>
            </w: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30,778</w:t>
            </w:r>
          </w:p>
        </w:tc>
        <w:tc>
          <w:tcPr>
            <w:tcW w:w="120" w:type="dxa"/>
            <w:vAlign w:val="bottom"/>
          </w:tcPr>
          <w:p>
            <w:pPr>
              <w:spacing w:after="0"/>
              <w:rPr>
                <w:sz w:val="16"/>
                <w:szCs w:val="16"/>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32,025</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88,803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87,952</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Market risk benefit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6,486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8,063</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policy-related balances</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3,893</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Payables for collateral under securities loaned and other transactions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4,705</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Long-term debt</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3,155</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9,646</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Separate account liabilities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81,648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85,528</w:t>
            </w:r>
          </w:p>
        </w:tc>
        <w:tc>
          <w:tcPr>
            <w:tcW w:w="0" w:type="dxa"/>
            <w:vAlign w:val="bottom"/>
          </w:tcPr>
          <w:p>
            <w:pPr>
              <w:spacing w:after="0"/>
              <w:rPr>
                <w:sz w:val="1"/>
                <w:szCs w:val="1"/>
                <w:color w:val="auto"/>
              </w:rPr>
            </w:pPr>
          </w:p>
        </w:tc>
      </w:tr>
      <w:tr>
        <w:trPr>
          <w:trHeight w:val="181"/>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233,583</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234,967</w:t>
            </w:r>
          </w:p>
        </w:tc>
        <w:tc>
          <w:tcPr>
            <w:tcW w:w="0" w:type="dxa"/>
            <w:vAlign w:val="bottom"/>
          </w:tcPr>
          <w:p>
            <w:pPr>
              <w:spacing w:after="0"/>
              <w:rPr>
                <w:sz w:val="1"/>
                <w:szCs w:val="1"/>
                <w:color w:val="auto"/>
              </w:rPr>
            </w:pPr>
          </w:p>
        </w:tc>
      </w:tr>
      <w:tr>
        <w:trPr>
          <w:trHeight w:val="24"/>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Contingencies, Commitments and Guarantees (Note 13)</w:t>
            </w:r>
          </w:p>
        </w:tc>
        <w:tc>
          <w:tcPr>
            <w:tcW w:w="1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5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Brighthouse Financial, Inc.’s stockholders’ equity:</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par value $0.01 per share; $1,753 aggregate liquidation preference</w:t>
            </w:r>
          </w:p>
        </w:tc>
        <w:tc>
          <w:tcPr>
            <w:tcW w:w="180" w:type="dxa"/>
            <w:vAlign w:val="bottom"/>
          </w:tcPr>
          <w:p>
            <w:pPr>
              <w:spacing w:after="0"/>
              <w:rPr>
                <w:sz w:val="16"/>
                <w:szCs w:val="16"/>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6"/>
        </w:trPr>
        <w:tc>
          <w:tcPr>
            <w:tcW w:w="7720" w:type="dxa"/>
            <w:vAlign w:val="bottom"/>
            <w:shd w:val="clear" w:color="auto" w:fill="CCEEFF"/>
          </w:tcPr>
          <w:p>
            <w:pPr>
              <w:ind w:left="20"/>
              <w:spacing w:after="0" w:line="146" w:lineRule="exact"/>
              <w:rPr>
                <w:sz w:val="20"/>
                <w:szCs w:val="20"/>
                <w:color w:val="auto"/>
              </w:rPr>
            </w:pPr>
            <w:r>
              <w:rPr>
                <w:rFonts w:ascii="Times New Roman" w:cs="Times New Roman" w:eastAsia="Times New Roman" w:hAnsi="Times New Roman"/>
                <w:sz w:val="14"/>
                <w:szCs w:val="14"/>
                <w:color w:val="auto"/>
              </w:rPr>
              <w:t>Common stock, par value $0.01 per share; 1,000,000,000 shares authorized; 124,643,295 and 124,081,967 shares issued,</w:t>
            </w: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9"/>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respectively; 57,512,254 and 57,171,217 shares outstanding, respectively</w:t>
            </w:r>
          </w:p>
        </w:tc>
        <w:tc>
          <w:tcPr>
            <w:tcW w:w="18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13,870</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Retained earnings (deficit)</w:t>
            </w: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88"/>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at cost; 67,131,041 and 66,910,750 shares, respectively</w:t>
            </w: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181"/>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Brighthouse Financial, Inc.’s stockholders’ equity</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6,768</w:t>
            </w:r>
          </w:p>
        </w:tc>
        <w:tc>
          <w:tcPr>
            <w:tcW w:w="0" w:type="dxa"/>
            <w:vAlign w:val="bottom"/>
          </w:tcPr>
          <w:p>
            <w:pPr>
              <w:spacing w:after="0"/>
              <w:rPr>
                <w:sz w:val="1"/>
                <w:szCs w:val="1"/>
                <w:color w:val="auto"/>
              </w:rPr>
            </w:pPr>
          </w:p>
        </w:tc>
      </w:tr>
      <w:tr>
        <w:trPr>
          <w:trHeight w:val="24"/>
        </w:trPr>
        <w:tc>
          <w:tcPr>
            <w:tcW w:w="7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7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Noncontrolling interests</w:t>
            </w: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0" w:type="dxa"/>
            <w:vAlign w:val="bottom"/>
          </w:tcPr>
          <w:p>
            <w:pPr>
              <w:spacing w:after="0"/>
              <w:rPr>
                <w:sz w:val="1"/>
                <w:szCs w:val="1"/>
                <w:color w:val="auto"/>
              </w:rPr>
            </w:pPr>
          </w:p>
        </w:tc>
      </w:tr>
      <w:tr>
        <w:trPr>
          <w:trHeight w:val="181"/>
        </w:trPr>
        <w:tc>
          <w:tcPr>
            <w:tcW w:w="77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 equity</w:t>
            </w: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5,076</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6,833</w:t>
            </w:r>
          </w:p>
        </w:tc>
        <w:tc>
          <w:tcPr>
            <w:tcW w:w="0" w:type="dxa"/>
            <w:vAlign w:val="bottom"/>
          </w:tcPr>
          <w:p>
            <w:pPr>
              <w:spacing w:after="0"/>
              <w:rPr>
                <w:sz w:val="1"/>
                <w:szCs w:val="1"/>
                <w:color w:val="auto"/>
              </w:rPr>
            </w:pPr>
          </w:p>
        </w:tc>
      </w:tr>
      <w:tr>
        <w:trPr>
          <w:trHeight w:val="24"/>
        </w:trPr>
        <w:tc>
          <w:tcPr>
            <w:tcW w:w="7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liabilities and equity</w:t>
            </w: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238,659</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241,800</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Operations and Comprehensive Income (Loss)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and Nine Months Ended September 30, 2026 and 2025 (Unaudited)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5"/>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4"/>
                <w:szCs w:val="14"/>
                <w:color w:val="auto"/>
              </w:rPr>
            </w:pPr>
          </w:p>
        </w:tc>
        <w:tc>
          <w:tcPr>
            <w:tcW w:w="162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7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gridSpan w:val="5"/>
            <w:vMerge w:val="continue"/>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gridSpan w:val="4"/>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line="20" w:lineRule="exact"/>
              <w:rPr>
                <w:sz w:val="1"/>
                <w:szCs w:val="1"/>
                <w:color w:val="auto"/>
              </w:rPr>
            </w:pPr>
          </w:p>
        </w:tc>
      </w:tr>
      <w:tr>
        <w:trPr>
          <w:trHeight w:val="191"/>
        </w:trPr>
        <w:tc>
          <w:tcPr>
            <w:tcW w:w="7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6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5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75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9"/>
                <w:szCs w:val="19"/>
                <w:color w:val="auto"/>
              </w:rPr>
            </w:pP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22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1,334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2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218"/>
        </w:trPr>
        <w:tc>
          <w:tcPr>
            <w:tcW w:w="75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1,816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20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7520" w:type="dxa"/>
            <w:vAlign w:val="bottom"/>
          </w:tcPr>
          <w:p>
            <w:pPr>
              <w:ind w:left="20"/>
              <w:spacing w:after="0" w:line="172" w:lineRule="exact"/>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$161, ($273), $161 and ($273),</w:t>
            </w: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10"/>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223"/>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deferred policy acquisition costs and value of business acquired</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22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218"/>
        </w:trPr>
        <w:tc>
          <w:tcPr>
            <w:tcW w:w="7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1,231</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218"/>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9"/>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479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w:t>
            </w:r>
          </w:p>
        </w:tc>
        <w:tc>
          <w:tcPr>
            <w:tcW w:w="8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1"/>
        </w:trPr>
        <w:tc>
          <w:tcPr>
            <w:tcW w:w="7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453</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0" w:type="dxa"/>
            <w:vAlign w:val="bottom"/>
          </w:tcPr>
          <w:p>
            <w:pPr>
              <w:spacing w:after="0"/>
              <w:rPr>
                <w:sz w:val="1"/>
                <w:szCs w:val="1"/>
                <w:color w:val="auto"/>
              </w:rPr>
            </w:pPr>
          </w:p>
        </w:tc>
      </w:tr>
      <w:tr>
        <w:trPr>
          <w:trHeight w:val="223"/>
        </w:trPr>
        <w:tc>
          <w:tcPr>
            <w:tcW w:w="7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46"/>
        </w:trPr>
        <w:tc>
          <w:tcPr>
            <w:tcW w:w="75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 (loss) attributable to Brighthouse Financial, Inc.</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716</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7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5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7.93</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7.89</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Equity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Three Months and Nine Months Ended September 30, 2026 and 2025 (Unaudited)</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ind w:right="38"/>
              <w:spacing w:after="0" w:line="133" w:lineRule="exact"/>
              <w:rPr>
                <w:sz w:val="20"/>
                <w:szCs w:val="20"/>
                <w:color w:val="auto"/>
              </w:rPr>
            </w:pPr>
            <w:r>
              <w:rPr>
                <w:rFonts w:ascii="Times New Roman" w:cs="Times New Roman" w:eastAsia="Times New Roman" w:hAnsi="Times New Roman"/>
                <w:sz w:val="12"/>
                <w:szCs w:val="12"/>
                <w:b w:val="1"/>
                <w:bCs w:val="1"/>
                <w:color w:val="auto"/>
                <w:w w:val="99"/>
              </w:rPr>
              <w:t>Preferred</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center"/>
              <w:ind w:right="38"/>
              <w:spacing w:after="0" w:line="133"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1"/>
                <w:szCs w:val="11"/>
                <w:color w:val="auto"/>
              </w:rPr>
            </w:pPr>
          </w:p>
        </w:tc>
        <w:tc>
          <w:tcPr>
            <w:tcW w:w="11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1"/>
                <w:szCs w:val="11"/>
                <w:color w:val="auto"/>
              </w:rPr>
            </w:pPr>
          </w:p>
        </w:tc>
        <w:tc>
          <w:tcPr>
            <w:tcW w:w="56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2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Stock</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18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2025</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13,870</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(686)</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(3,729)</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6,768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6,833</w:t>
            </w:r>
          </w:p>
        </w:tc>
        <w:tc>
          <w:tcPr>
            <w:tcW w:w="0" w:type="dxa"/>
            <w:vAlign w:val="bottom"/>
          </w:tcPr>
          <w:p>
            <w:pPr>
              <w:spacing w:after="0"/>
              <w:rPr>
                <w:sz w:val="1"/>
                <w:szCs w:val="1"/>
                <w:color w:val="auto"/>
              </w:rPr>
            </w:pPr>
          </w:p>
        </w:tc>
      </w:tr>
      <w:tr>
        <w:trPr>
          <w:trHeight w:val="133"/>
        </w:trPr>
        <w:tc>
          <w:tcPr>
            <w:tcW w:w="2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217</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13,847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(2,701)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6,615</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330</w:t>
            </w:r>
          </w:p>
        </w:tc>
        <w:tc>
          <w:tcPr>
            <w:tcW w:w="0" w:type="dxa"/>
            <w:vAlign w:val="bottom"/>
          </w:tcPr>
          <w:p>
            <w:pPr>
              <w:spacing w:after="0"/>
              <w:rPr>
                <w:sz w:val="1"/>
                <w:szCs w:val="1"/>
                <w:color w:val="auto"/>
              </w:rPr>
            </w:pPr>
          </w:p>
        </w:tc>
      </w:tr>
      <w:tr>
        <w:trPr>
          <w:trHeight w:val="133"/>
        </w:trPr>
        <w:tc>
          <w:tcPr>
            <w:tcW w:w="2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(1,842)</w:t>
            </w: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September 30, 2026</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13,822</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(2,701)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(5,968)</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5,076</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Retained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Accumulated Other</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Brighthouse</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Preferred</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Common</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center"/>
              <w:ind w:right="78"/>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Treasury</w:t>
            </w:r>
          </w:p>
        </w:tc>
        <w:tc>
          <w:tcPr>
            <w:tcW w:w="100" w:type="dxa"/>
            <w:vAlign w:val="bottom"/>
          </w:tcPr>
          <w:p>
            <w:pPr>
              <w:spacing w:after="0"/>
              <w:rPr>
                <w:sz w:val="10"/>
                <w:szCs w:val="10"/>
                <w:color w:val="auto"/>
              </w:rPr>
            </w:pPr>
          </w:p>
        </w:tc>
        <w:tc>
          <w:tcPr>
            <w:tcW w:w="120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Financial, Inc.’s</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Noncontrolling</w:t>
            </w:r>
          </w:p>
        </w:tc>
        <w:tc>
          <w:tcPr>
            <w:tcW w:w="100" w:type="dxa"/>
            <w:vAlign w:val="bottom"/>
          </w:tcPr>
          <w:p>
            <w:pPr>
              <w:spacing w:after="0"/>
              <w:rPr>
                <w:sz w:val="10"/>
                <w:szCs w:val="10"/>
                <w:color w:val="auto"/>
              </w:rPr>
            </w:pPr>
          </w:p>
        </w:tc>
        <w:tc>
          <w:tcPr>
            <w:tcW w:w="560" w:type="dxa"/>
            <w:vAlign w:val="bottom"/>
            <w:vMerge w:val="restart"/>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Earnings</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jc w:val="center"/>
              <w:ind w:right="1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Stockholders’</w:t>
            </w:r>
          </w:p>
        </w:tc>
        <w:tc>
          <w:tcPr>
            <w:tcW w:w="120" w:type="dxa"/>
            <w:vAlign w:val="bottom"/>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w w:val="97"/>
              </w:rPr>
              <w:t>Stock</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Stock</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(Deficit)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Stock at Cost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rPr>
              <w:t>Income (Loss)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Interests</w:t>
            </w:r>
          </w:p>
        </w:tc>
        <w:tc>
          <w:tcPr>
            <w:tcW w:w="100" w:type="dxa"/>
            <w:vAlign w:val="bottom"/>
          </w:tcPr>
          <w:p>
            <w:pPr>
              <w:spacing w:after="0"/>
              <w:rPr>
                <w:sz w:val="14"/>
                <w:szCs w:val="14"/>
                <w:color w:val="auto"/>
              </w:rPr>
            </w:pPr>
          </w:p>
        </w:tc>
        <w:tc>
          <w:tcPr>
            <w:tcW w:w="56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0" w:type="dxa"/>
            <w:vAlign w:val="bottom"/>
          </w:tcPr>
          <w:p>
            <w:pPr>
              <w:spacing w:after="0"/>
              <w:rPr>
                <w:sz w:val="1"/>
                <w:szCs w:val="1"/>
                <w:color w:val="auto"/>
              </w:rPr>
            </w:pPr>
          </w:p>
        </w:tc>
      </w:tr>
      <w:tr>
        <w:trPr>
          <w:trHeight w:val="23"/>
        </w:trPr>
        <w:tc>
          <w:tcPr>
            <w:tcW w:w="24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December 31, 2024</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13,927</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(1,119)</w:t>
            </w:r>
          </w:p>
        </w:tc>
        <w:tc>
          <w:tcPr>
            <w:tcW w:w="20" w:type="dxa"/>
            <w:vAlign w:val="bottom"/>
            <w:shd w:val="clear" w:color="auto" w:fill="CCEEFF"/>
          </w:tcPr>
          <w:p>
            <w:pPr>
              <w:spacing w:after="0"/>
              <w:rPr>
                <w:sz w:val="15"/>
                <w:szCs w:val="15"/>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(5,278)</w:t>
            </w:r>
          </w:p>
        </w:tc>
        <w:tc>
          <w:tcPr>
            <w:tcW w:w="20" w:type="dxa"/>
            <w:vAlign w:val="bottom"/>
            <w:shd w:val="clear" w:color="auto" w:fill="CCEEFF"/>
          </w:tcPr>
          <w:p>
            <w:pPr>
              <w:spacing w:after="0"/>
              <w:rPr>
                <w:sz w:val="15"/>
                <w:szCs w:val="15"/>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4,959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5,024</w:t>
            </w:r>
          </w:p>
        </w:tc>
        <w:tc>
          <w:tcPr>
            <w:tcW w:w="0" w:type="dxa"/>
            <w:vAlign w:val="bottom"/>
          </w:tcPr>
          <w:p>
            <w:pPr>
              <w:spacing w:after="0"/>
              <w:rPr>
                <w:sz w:val="1"/>
                <w:szCs w:val="1"/>
                <w:color w:val="auto"/>
              </w:rPr>
            </w:pPr>
          </w:p>
        </w:tc>
      </w:tr>
      <w:tr>
        <w:trPr>
          <w:trHeight w:val="133"/>
        </w:trPr>
        <w:tc>
          <w:tcPr>
            <w:tcW w:w="2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(102)</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(51)</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(181)</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1,021</w:t>
            </w:r>
          </w:p>
        </w:tc>
        <w:tc>
          <w:tcPr>
            <w:tcW w:w="0" w:type="dxa"/>
            <w:vAlign w:val="bottom"/>
          </w:tcPr>
          <w:p>
            <w:pPr>
              <w:spacing w:after="0"/>
              <w:rPr>
                <w:sz w:val="1"/>
                <w:szCs w:val="1"/>
                <w:color w:val="auto"/>
              </w:rPr>
            </w:pPr>
          </w:p>
        </w:tc>
      </w:tr>
      <w:tr>
        <w:trPr>
          <w:trHeight w:val="170"/>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Balance at June 30, 2025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(2,687)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(4,257)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5,738</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Treasury stock acquired in connection with</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share repurchases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Share-based compensation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Dividends on preferred stock</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Times New Roman" w:cs="Times New Roman" w:eastAsia="Times New Roman" w:hAnsi="Times New Roman"/>
                <w:sz w:val="12"/>
                <w:szCs w:val="12"/>
                <w:color w:val="auto"/>
              </w:rPr>
              <w:t>Change in noncontrolling interests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income (loss)</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481</w:t>
            </w:r>
          </w:p>
        </w:tc>
        <w:tc>
          <w:tcPr>
            <w:tcW w:w="0" w:type="dxa"/>
            <w:vAlign w:val="bottom"/>
          </w:tcPr>
          <w:p>
            <w:pPr>
              <w:spacing w:after="0"/>
              <w:rPr>
                <w:sz w:val="1"/>
                <w:szCs w:val="1"/>
                <w:color w:val="auto"/>
              </w:rPr>
            </w:pPr>
          </w:p>
        </w:tc>
      </w:tr>
      <w:tr>
        <w:trPr>
          <w:trHeight w:val="133"/>
        </w:trPr>
        <w:tc>
          <w:tcPr>
            <w:tcW w:w="244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comprehensive income (loss), net of</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2"/>
                <w:szCs w:val="12"/>
                <w:color w:val="auto"/>
              </w:rPr>
              <w:t>income tax</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237</w:t>
            </w:r>
          </w:p>
        </w:tc>
        <w:tc>
          <w:tcPr>
            <w:tcW w:w="0" w:type="dxa"/>
            <w:vAlign w:val="bottom"/>
          </w:tcPr>
          <w:p>
            <w:pPr>
              <w:spacing w:after="0"/>
              <w:rPr>
                <w:sz w:val="1"/>
                <w:szCs w:val="1"/>
                <w:color w:val="auto"/>
              </w:rPr>
            </w:pPr>
          </w:p>
        </w:tc>
      </w:tr>
      <w:tr>
        <w:trPr>
          <w:trHeight w:val="199"/>
        </w:trPr>
        <w:tc>
          <w:tcPr>
            <w:tcW w:w="24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Balance at September 30, 2025</w:t>
            </w: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w w:val="99"/>
              </w:rPr>
              <w:t>$</w:t>
            </w:r>
          </w:p>
        </w:tc>
        <w:tc>
          <w:tcPr>
            <w:tcW w:w="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13,893</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(823)</w:t>
            </w:r>
          </w:p>
        </w:tc>
        <w:tc>
          <w:tcPr>
            <w:tcW w:w="20" w:type="dxa"/>
            <w:vAlign w:val="bottom"/>
            <w:shd w:val="clear" w:color="auto" w:fill="CCEEFF"/>
          </w:tcPr>
          <w:p>
            <w:pPr>
              <w:spacing w:after="0"/>
              <w:rPr>
                <w:sz w:val="17"/>
                <w:szCs w:val="17"/>
                <w:color w:val="auto"/>
              </w:rPr>
            </w:pPr>
          </w:p>
        </w:tc>
        <w:tc>
          <w:tcPr>
            <w:tcW w:w="2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(4,020)</w:t>
            </w:r>
          </w:p>
        </w:tc>
        <w:tc>
          <w:tcPr>
            <w:tcW w:w="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6,428</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Interim Condensed Consolidated Statements of Cash Flows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2026 and 2025 (Unaudited)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160"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6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4866640</wp:posOffset>
            </wp:positionH>
            <wp:positionV relativeFrom="paragraph">
              <wp:posOffset>31115</wp:posOffset>
            </wp:positionV>
            <wp:extent cx="2271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ind w:right="64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66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0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1120" w:type="dxa"/>
            <w:vAlign w:val="bottom"/>
            <w:tcBorders>
              <w:bottom w:val="single" w:sz="8" w:color="CCEEFF"/>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(1,128)</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w:t>
            </w:r>
          </w:p>
        </w:tc>
      </w:tr>
      <w:tr>
        <w:trPr>
          <w:trHeight w:val="16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1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maturities and repayments of:</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10,903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9,560</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1,650</w:t>
            </w: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Fixed maturity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(9,915)</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(8,716)</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Trading securities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securities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Mortgage loans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(1,938)</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(1,364)</w:t>
            </w: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Limited partnerships and limited liability companies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in connection with freestanding derivatives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16,679</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12,123</w:t>
            </w: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paid in connection with freestanding derivatives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(18,492)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(12,945)</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policy loans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w:t>
            </w: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change in short-term investments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1,123</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other invested assets</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r>
      <w:tr>
        <w:trPr>
          <w:trHeight w:val="18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2,047</w:t>
            </w:r>
          </w:p>
        </w:tc>
      </w:tr>
      <w:tr>
        <w:trPr>
          <w:trHeight w:val="24"/>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12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shd w:val="clear" w:color="auto" w:fill="CCEEFF"/>
          </w:tcPr>
          <w:p>
            <w:pPr>
              <w:spacing w:after="0"/>
              <w:rPr>
                <w:sz w:val="14"/>
                <w:szCs w:val="14"/>
                <w:color w:val="auto"/>
              </w:rPr>
            </w:pP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Policyholder account balances:</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Deposits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21,311</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14,589</w:t>
            </w:r>
          </w:p>
        </w:tc>
      </w:tr>
      <w:tr>
        <w:trPr>
          <w:trHeight w:val="188"/>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Withdrawals</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(19,831)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(15,225)</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change in payables for collateral under securities loaned and other transactions</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repaid</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Dividends on preferred stock</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Treasury stock acquired in connection with share repurchases</w:t>
            </w:r>
          </w:p>
        </w:tc>
        <w:tc>
          <w:tcPr>
            <w:tcW w:w="1120" w:type="dxa"/>
            <w:vAlign w:val="bottom"/>
          </w:tcPr>
          <w:p>
            <w:pPr>
              <w:spacing w:after="0"/>
              <w:rPr>
                <w:sz w:val="16"/>
                <w:szCs w:val="16"/>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9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Financing element on certain derivative instruments and other derivative related transactions, net</w:t>
            </w:r>
          </w:p>
        </w:tc>
        <w:tc>
          <w:tcPr>
            <w:tcW w:w="112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net</w:t>
            </w:r>
          </w:p>
        </w:tc>
        <w:tc>
          <w:tcPr>
            <w:tcW w:w="1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4"/>
        </w:trPr>
        <w:tc>
          <w:tcPr>
            <w:tcW w:w="76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5"/>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w:t>
            </w:r>
          </w:p>
        </w:tc>
      </w:tr>
      <w:tr>
        <w:trPr>
          <w:trHeight w:val="181"/>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cash, cash equivalents and restricted cash</w:t>
            </w:r>
          </w:p>
        </w:tc>
        <w:tc>
          <w:tcPr>
            <w:tcW w:w="1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1,561</w:t>
            </w: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12"/>
        </w:trPr>
        <w:tc>
          <w:tcPr>
            <w:tcW w:w="7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12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5,045</w:t>
            </w:r>
          </w:p>
        </w:tc>
      </w:tr>
      <w:tr>
        <w:trPr>
          <w:trHeight w:val="205"/>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end of period</w:t>
            </w:r>
          </w:p>
        </w:tc>
        <w:tc>
          <w:tcPr>
            <w:tcW w:w="1120" w:type="dxa"/>
            <w:vAlign w:val="bottom"/>
            <w:tcBorders>
              <w:top w:val="single" w:sz="8" w:color="auto"/>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8,527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6,606</w:t>
            </w: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59"/>
        </w:trPr>
        <w:tc>
          <w:tcPr>
            <w:tcW w:w="7660" w:type="dxa"/>
            <w:vAlign w:val="bottom"/>
            <w:tcBorders>
              <w:bottom w:val="single" w:sz="8" w:color="CCEEFF"/>
            </w:tcBorders>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112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spacing w:after="0"/>
              <w:rPr>
                <w:sz w:val="13"/>
                <w:szCs w:val="13"/>
                <w:color w:val="auto"/>
              </w:rPr>
            </w:pPr>
          </w:p>
        </w:tc>
      </w:tr>
      <w:tr>
        <w:trPr>
          <w:trHeight w:val="188"/>
        </w:trPr>
        <w:tc>
          <w:tcPr>
            <w:tcW w:w="7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paid (received) for:</w:t>
            </w: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4"/>
        </w:trPr>
        <w:tc>
          <w:tcPr>
            <w:tcW w:w="76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7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w:t>
            </w:r>
          </w:p>
        </w:tc>
        <w:tc>
          <w:tcPr>
            <w:tcW w:w="1120" w:type="dxa"/>
            <w:vAlign w:val="bottom"/>
            <w:tcBorders>
              <w:bottom w:val="single" w:sz="8" w:color="auto"/>
            </w:tcBorders>
            <w:shd w:val="clear" w:color="auto" w:fill="CCEEFF"/>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7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w:t>
            </w:r>
          </w:p>
        </w:tc>
        <w:tc>
          <w:tcPr>
            <w:tcW w:w="1120" w:type="dxa"/>
            <w:vAlign w:val="bottom"/>
            <w:tcBorders>
              <w:bottom w:val="single" w:sz="8" w:color="auto"/>
            </w:tcBorders>
          </w:tcPr>
          <w:p>
            <w:pPr>
              <w:jc w:val="right"/>
              <w:ind w:right="949"/>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See accompanying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5060"/>
        <w:spacing w:after="0" w:line="369" w:lineRule="auto"/>
        <w:rPr>
          <w:sz w:val="20"/>
          <w:szCs w:val="20"/>
          <w:color w:val="auto"/>
        </w:rPr>
      </w:pPr>
      <w:r>
        <w:rPr>
          <w:rFonts w:ascii="Times New Roman" w:cs="Times New Roman" w:eastAsia="Times New Roman" w:hAnsi="Times New Roman"/>
          <w:sz w:val="18"/>
          <w:szCs w:val="18"/>
          <w:b w:val="1"/>
          <w:bCs w:val="1"/>
          <w:color w:val="auto"/>
        </w:rPr>
        <w:t xml:space="preserve">1. Business, Basis of Presentation and Summary of Significant Accounting Policies </w:t>
      </w:r>
      <w:r>
        <w:rPr>
          <w:rFonts w:ascii="Times New Roman" w:cs="Times New Roman" w:eastAsia="Times New Roman" w:hAnsi="Times New Roman"/>
          <w:sz w:val="18"/>
          <w:szCs w:val="18"/>
          <w:b w:val="1"/>
          <w:bCs w:val="1"/>
          <w:i w:val="1"/>
          <w:iCs w:val="1"/>
          <w:color w:val="auto"/>
        </w:rPr>
        <w:t>Business</w:t>
      </w:r>
    </w:p>
    <w:p>
      <w:pPr>
        <w:spacing w:after="0" w:line="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Brighthouse Financial, Inc. (“BHF” and, together with its subsidiaries, “Brighthouse Financial” or the “Company”) is one of the largest providers of annuity and life insurance products in the U.S. through multiple independent distribution channels and marketing arrangements with a diverse network of distribution partners. The Company is organized into the following reportable segments: Annuities; Life; Run-off; and Corporate &amp; Other.</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with BHF surviving as a wholly-owned subsidiary of Aquarian Parent (the “Merger”).</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BHF’s common stock issued and outstanding immediately prior to the Effective Time will be converted into the right to receive $70.00 per share, net in cash, without interest and less any amounts that are required to be deducted or withheld under applicable law.</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(“GAAP”) requires management to adopt accounting policies and make estimates and assumptions that affect amounts reported on the interim condensed consolidated financial statements. In applying these policies and estimates, management makes subjective and complex judgments that frequently require assumptions about matters that are inherently uncertain. Many of these policies, estimates and related judgments are common in the insurance and financial services industries; others are specific to the Company’s business and operations. Actual results could differ from these estimates.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Consolidation</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include the accounts of Brighthouse Financial, as well as partnerships and limited liability companies (“LLC”) that the Company controls. Intercompany accounts and transactions have been eliminated.</w:t>
      </w:r>
    </w:p>
    <w:p>
      <w:pPr>
        <w:spacing w:after="0" w:line="57"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Company uses the equity method of accounting for investments in limited partnerships and LLCs when it has more than a minor ownership interest or more than a minor influence over the investee’s operations. The Company generally recognizes its share of the investee’s earnings on a three-month lag in instances where the investee’s financial information is not sufficiently timely or when the investee’s reporting period differs from the Company’s reporting period. When the Company has virtually no influence over the investee’s operations, the investment is carried at fair value.</w:t>
      </w:r>
    </w:p>
    <w:p>
      <w:pPr>
        <w:spacing w:after="0" w:line="74"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are unaudited and reflect all adjustments (including normal recurring adjustments) necessary to present fairly the financial position, results of operations and cash flows for the interim periods presented in conformity with GAAP. Interim results are not necessarily indicative of full year performance. The December 31, 2025 consolidated balance sheet data was derived from audited consolidated financial statements included in Brighthouse Financial, Inc.’s Annual Report on Form 10-K for the year ended December 31, 2025 (the “2025 Annual Report”), which include all disclosures required by GAAP. Therefore, these interim condensed consolidated financial statements should be read in conjunction with the consolidated financial statements of the Company included in the 2025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Pronouncements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Changes to GAAP are established by the Financial Accounting Standards Board (“FASB”) in the form of accounting standards updates (“ASU”) to the FASB Accounting Standards Codification. The Company considers the applicability and impact of all ASUs. There were no significant ASUs adopted during the period ended September 30, 2026.</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Business, Basis of Presentation and Summary of Significant Accounting Policies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Adoption of New Accounting Pronouncements</w:t>
      </w:r>
    </w:p>
    <w:p>
      <w:pPr>
        <w:spacing w:after="0" w:line="113" w:lineRule="exact"/>
        <w:rPr>
          <w:sz w:val="20"/>
          <w:szCs w:val="20"/>
          <w:color w:val="auto"/>
        </w:rPr>
      </w:pPr>
    </w:p>
    <w:p>
      <w:pPr>
        <w:jc w:val="both"/>
        <w:ind w:left="160" w:firstLine="318"/>
        <w:spacing w:after="0" w:line="269" w:lineRule="auto"/>
        <w:rPr>
          <w:sz w:val="20"/>
          <w:szCs w:val="20"/>
          <w:color w:val="auto"/>
        </w:rPr>
      </w:pPr>
      <w:r>
        <w:rPr>
          <w:rFonts w:ascii="Times New Roman" w:cs="Times New Roman" w:eastAsia="Times New Roman" w:hAnsi="Times New Roman"/>
          <w:sz w:val="17"/>
          <w:szCs w:val="17"/>
          <w:color w:val="auto"/>
        </w:rPr>
        <w:t xml:space="preserve">In November 2025, the FASB issued new guidance on financial instrument credit losses (ASU 2025-08, </w:t>
      </w:r>
      <w:r>
        <w:rPr>
          <w:rFonts w:ascii="Times New Roman" w:cs="Times New Roman" w:eastAsia="Times New Roman" w:hAnsi="Times New Roman"/>
          <w:sz w:val="17"/>
          <w:szCs w:val="17"/>
          <w:i w:val="1"/>
          <w:iCs w:val="1"/>
          <w:color w:val="auto"/>
        </w:rPr>
        <w:t>Financial Instruments – Credit Losses (Topic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326): Purchased Loans</w:t>
      </w:r>
      <w:r>
        <w:rPr>
          <w:rFonts w:ascii="Times New Roman" w:cs="Times New Roman" w:eastAsia="Times New Roman" w:hAnsi="Times New Roman"/>
          <w:sz w:val="17"/>
          <w:szCs w:val="17"/>
          <w:color w:val="auto"/>
        </w:rPr>
        <w:t>). Under current GAAP, an allowance for credit losses for assets purchased with credit deterioration is established by grossing up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amortized cost basis of the asset, while the allowance for all other loans is recognized separately as an expense. The ASU expands the population of purchased financial instruments subject to the gross-up approach for determining the allowance for credit losses to include all purchased loans that meet certain criteria. The ASU is effective for annual and interim periods starting with fiscal year 2027. This ASU is required to be adopted prospectively for all loans acquired on or after the effective date. The Company is currently evaluating the impact of this guidance on its financial statements.</w:t>
      </w:r>
    </w:p>
    <w:p>
      <w:pPr>
        <w:spacing w:after="0" w:line="63" w:lineRule="exact"/>
        <w:rPr>
          <w:sz w:val="20"/>
          <w:szCs w:val="20"/>
          <w:color w:val="auto"/>
        </w:rPr>
      </w:pPr>
    </w:p>
    <w:p>
      <w:pPr>
        <w:jc w:val="both"/>
        <w:ind w:left="160" w:firstLine="318"/>
        <w:spacing w:after="0" w:line="271" w:lineRule="auto"/>
        <w:rPr>
          <w:sz w:val="20"/>
          <w:szCs w:val="20"/>
          <w:color w:val="auto"/>
        </w:rPr>
      </w:pPr>
      <w:r>
        <w:rPr>
          <w:rFonts w:ascii="Times New Roman" w:cs="Times New Roman" w:eastAsia="Times New Roman" w:hAnsi="Times New Roman"/>
          <w:sz w:val="17"/>
          <w:szCs w:val="17"/>
          <w:color w:val="auto"/>
        </w:rPr>
        <w:t xml:space="preserve">In November 2024, the FASB issued new guidance on income statement expense disclosures (ASU 2024-03, </w:t>
      </w:r>
      <w:r>
        <w:rPr>
          <w:rFonts w:ascii="Times New Roman" w:cs="Times New Roman" w:eastAsia="Times New Roman" w:hAnsi="Times New Roman"/>
          <w:sz w:val="17"/>
          <w:szCs w:val="17"/>
          <w:i w:val="1"/>
          <w:iCs w:val="1"/>
          <w:color w:val="auto"/>
        </w:rPr>
        <w:t>Income Statement—Reporting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Comprehensive Income—Expense Disaggregation Disclosures (Subtopic 220-40)</w:t>
      </w:r>
      <w:r>
        <w:rPr>
          <w:rFonts w:ascii="Times New Roman" w:cs="Times New Roman" w:eastAsia="Times New Roman" w:hAnsi="Times New Roman"/>
          <w:sz w:val="17"/>
          <w:szCs w:val="17"/>
          <w:color w:val="auto"/>
        </w:rPr>
        <w:t>: Disaggregation of Income Statement Expenses). This ASU requires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public companies to disclose additional disaggregated information about expenses in the notes to financial statements at each interim and annual reporting period. This ASU is effective for fiscal years starting January 1, 2027, and for interim periods starting January 1, 2028. This ASU is required to be adopted prospectively with the option of retrospective application. The Company is currently evaluating the impact of this guidance on its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is organized into and provides its products and services through the following reportable segments: Annuities; Life; Run-off; and Corporate &amp; Other. The Company’s chief operating decision maker (“CODM”) views and manages the business through these segments.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Annuities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Annuities segment consists of a variety of variable, fixed, index-linked and income annuities designed to address contract holders’ needs for protected wealth accumulation on a tax-deferred basis, wealth transfer and income security.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Life</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Life segment consists of insurance products, including term, universal, whole and variable life products designed to address policyholders’ needs for financial security and protected wealth transfer, which may be on a tax-advantaged basis.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Run-off</w:t>
      </w:r>
    </w:p>
    <w:p>
      <w:pPr>
        <w:spacing w:after="0" w:line="115" w:lineRule="exact"/>
        <w:rPr>
          <w:sz w:val="20"/>
          <w:szCs w:val="20"/>
          <w:color w:val="auto"/>
        </w:rPr>
      </w:pPr>
    </w:p>
    <w:p>
      <w:pPr>
        <w:jc w:val="both"/>
        <w:ind w:left="160" w:firstLine="318"/>
        <w:spacing w:after="0" w:line="304" w:lineRule="auto"/>
        <w:rPr>
          <w:sz w:val="20"/>
          <w:szCs w:val="20"/>
          <w:color w:val="auto"/>
        </w:rPr>
      </w:pPr>
      <w:r>
        <w:rPr>
          <w:rFonts w:ascii="Times New Roman" w:cs="Times New Roman" w:eastAsia="Times New Roman" w:hAnsi="Times New Roman"/>
          <w:sz w:val="17"/>
          <w:szCs w:val="17"/>
          <w:color w:val="auto"/>
        </w:rPr>
        <w:t>The Run-off segment consists primarily of products that are no longer actively sold and are separately managed, including universal life with secondary guarantees (“ULSG”), structured settlements, pension risk transfer contracts, certain company-owned life insurance policies and certain funding agreements.</w:t>
      </w:r>
    </w:p>
    <w:p>
      <w:pPr>
        <w:spacing w:after="0" w:line="3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Corporate &amp; Other</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Corporate &amp; Other segment consists of activities related to funding agreements associated with the Company’s institutional spread margin business, excess capital not allocated to the other segments, interest expense related to the Company’s outstanding debt, and preferred stock dividends, as well as expenses associated with certain legal proceedings and income tax audit issues. The Corporate &amp; Other segment also includes long-term care business reinsured through 100% quota share reinsurance agreements.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Measure and Segment Accounting Policies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Company’s CODM is its Chief Executive Officer (“CEO”). The CEO uses adjusted earnings to evaluate segment performance and facilitate comparisons to industry results. The Company believes the presentation of adjusted earnings, as the Company measures it for management purposes, enhances the understanding of its performance by the investor community by highlighting the results of operations and the underlying profitability drivers of the business.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the Company’s primary businesses by excluding the impact of market volatility, which could distort trends.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market risk benefits (“MRB”);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segment accounting policies are the same as those used to prepare the Company’s interim condensed consolidated financial statements, except for the adjustments to calculate adjusted earnings described above. In addition, segment accounting policies include the methods of capital allocation described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Segment investment and capitalization targets are based on statutory oriented risk principles and metrics. Segment invested assets backing liabilities are based on net statutory liabilities plus excess capital, with excess capital determined based on statutory risk-based capital metrics. Assets in excess of those allocated to the Annuities, Life and Run-off segments, if any, are held in the Corporate &amp; Other segment. Segment net investment income reflects the performance of each segment’s respective invested assets.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tables below provide information about the Company’s segments, including significant segment expenses, and reconciliations to Net income (loss) available to common shareholders.</w:t>
      </w:r>
    </w:p>
    <w:p>
      <w:pPr>
        <w:spacing w:after="0" w:line="200" w:lineRule="exact"/>
        <w:rPr>
          <w:sz w:val="20"/>
          <w:szCs w:val="20"/>
          <w:color w:val="auto"/>
        </w:rPr>
      </w:pPr>
    </w:p>
    <w:p>
      <w:pPr>
        <w:spacing w:after="0" w:line="222"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31115</wp:posOffset>
            </wp:positionV>
            <wp:extent cx="3458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241" w:lineRule="exact"/>
        <w:rPr>
          <w:sz w:val="20"/>
          <w:szCs w:val="20"/>
          <w:color w:val="auto"/>
        </w:rPr>
      </w:pPr>
    </w:p>
    <w:tbl>
      <w:tblPr>
        <w:tblLayout w:type="fixed"/>
        <w:tblInd w:w="5800" w:type="dxa"/>
        <w:tblCellMar>
          <w:top w:w="0" w:type="dxa"/>
          <w:left w:w="0" w:type="dxa"/>
          <w:bottom w:w="0" w:type="dxa"/>
          <w:right w:w="0" w:type="dxa"/>
        </w:tblCellMar>
      </w:tblPr>
      <w:tr>
        <w:trPr>
          <w:trHeight w:val="161"/>
        </w:trPr>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277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00" w:type="dxa"/>
            <w:vAlign w:val="bottom"/>
          </w:tcPr>
          <w:p>
            <w:pPr>
              <w:spacing w:after="0"/>
              <w:rPr>
                <w:sz w:val="20"/>
                <w:szCs w:val="2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adjustments</w:t>
            </w:r>
          </w:p>
        </w:tc>
        <w:tc>
          <w:tcPr>
            <w:tcW w:w="30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 expenses (2)</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0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7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Adjusted earnings (loss)</w:t>
            </w:r>
          </w:p>
        </w:tc>
        <w:tc>
          <w:tcPr>
            <w:tcW w:w="30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7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-4943475</wp:posOffset>
            </wp:positionV>
            <wp:extent cx="713486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-4522470</wp:posOffset>
            </wp:positionV>
            <wp:extent cx="7134860" cy="277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-3967480</wp:posOffset>
            </wp:positionV>
            <wp:extent cx="7134860" cy="277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-3411855</wp:posOffset>
            </wp:positionV>
            <wp:extent cx="7134860" cy="277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-2856865</wp:posOffset>
            </wp:positionV>
            <wp:extent cx="7134860" cy="277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-2276475</wp:posOffset>
            </wp:positionV>
            <wp:extent cx="7134860" cy="1682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-1830070</wp:posOffset>
            </wp:positionV>
            <wp:extent cx="7134860" cy="277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-1275080</wp:posOffset>
            </wp:positionV>
            <wp:extent cx="7134860" cy="277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-720090</wp:posOffset>
            </wp:positionV>
            <wp:extent cx="7134860" cy="277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wp:posOffset>
            </wp:positionV>
            <wp:extent cx="7134860" cy="277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-164465</wp:posOffset>
            </wp:positionV>
            <wp:extent cx="7134860" cy="1682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853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527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(52)</w:t>
      </w:r>
    </w:p>
    <w:p>
      <w:pPr>
        <w:spacing w:after="0" w:line="2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(55)</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(1,144)</w:t>
      </w:r>
    </w:p>
    <w:p>
      <w:pPr>
        <w:spacing w:after="0" w:line="26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897</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68</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61</w:t>
      </w:r>
    </w:p>
    <w:p>
      <w:pPr>
        <w:spacing w:after="0" w:line="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302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43180</wp:posOffset>
            </wp:positionV>
            <wp:extent cx="6394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20"/>
            <w:col w:w="480"/>
          </w:cols>
          <w:pgMar w:left="320" w:top="230" w:right="339" w:bottom="1440" w:gutter="0" w:footer="0" w:header="0"/>
          <w:type w:val="continuous"/>
        </w:sectPr>
      </w:pPr>
    </w:p>
    <w:p>
      <w:pPr>
        <w:spacing w:after="0" w:line="295" w:lineRule="exact"/>
        <w:rPr>
          <w:sz w:val="20"/>
          <w:szCs w:val="20"/>
          <w:color w:val="auto"/>
        </w:rPr>
      </w:pPr>
    </w:p>
    <w:p>
      <w:pPr>
        <w:ind w:left="20"/>
        <w:spacing w:after="0"/>
        <w:tabs>
          <w:tab w:leader="none" w:pos="5800" w:val="left"/>
          <w:tab w:leader="none" w:pos="6480" w:val="left"/>
          <w:tab w:leader="none" w:pos="6920" w:val="left"/>
          <w:tab w:leader="none" w:pos="7580" w:val="left"/>
          <w:tab w:leader="none" w:pos="802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783</w:t>
        <w:tab/>
        <w:t>$</w:t>
      </w:r>
      <w:r>
        <w:rPr>
          <w:sz w:val="20"/>
          <w:szCs w:val="20"/>
          <w:color w:val="auto"/>
        </w:rPr>
        <w:tab/>
      </w:r>
      <w:r>
        <w:rPr>
          <w:rFonts w:ascii="Times New Roman" w:cs="Times New Roman" w:eastAsia="Times New Roman" w:hAnsi="Times New Roman"/>
          <w:sz w:val="16"/>
          <w:szCs w:val="16"/>
          <w:color w:val="auto"/>
        </w:rPr>
        <w:t>109</w:t>
        <w:tab/>
        <w:t>$</w:t>
      </w:r>
      <w:r>
        <w:rPr>
          <w:sz w:val="20"/>
          <w:szCs w:val="20"/>
          <w:color w:val="auto"/>
        </w:rPr>
        <w:tab/>
      </w:r>
      <w:r>
        <w:rPr>
          <w:rFonts w:ascii="Times New Roman" w:cs="Times New Roman" w:eastAsia="Times New Roman" w:hAnsi="Times New Roman"/>
          <w:sz w:val="16"/>
          <w:szCs w:val="16"/>
          <w:color w:val="auto"/>
        </w:rPr>
        <w:t>283</w:t>
        <w:tab/>
        <w:t>$</w:t>
      </w:r>
      <w:r>
        <w:rPr>
          <w:sz w:val="20"/>
          <w:szCs w:val="20"/>
          <w:color w:val="auto"/>
        </w:rPr>
        <w:tab/>
      </w:r>
      <w:r>
        <w:rPr>
          <w:rFonts w:ascii="Times New Roman" w:cs="Times New Roman" w:eastAsia="Times New Roman" w:hAnsi="Times New Roman"/>
          <w:sz w:val="16"/>
          <w:szCs w:val="16"/>
          <w:color w:val="auto"/>
        </w:rPr>
        <w:t>135</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4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31115</wp:posOffset>
            </wp:positionV>
            <wp:extent cx="3458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241" w:lineRule="exact"/>
        <w:rPr>
          <w:sz w:val="20"/>
          <w:szCs w:val="20"/>
          <w:color w:val="auto"/>
        </w:rPr>
      </w:pPr>
    </w:p>
    <w:tbl>
      <w:tblPr>
        <w:tblLayout w:type="fixed"/>
        <w:tblInd w:w="5800" w:type="dxa"/>
        <w:tblCellMar>
          <w:top w:w="0" w:type="dxa"/>
          <w:left w:w="0" w:type="dxa"/>
          <w:bottom w:w="0" w:type="dxa"/>
          <w:right w:w="0" w:type="dxa"/>
        </w:tblCellMar>
      </w:tblPr>
      <w:tr>
        <w:trPr>
          <w:trHeight w:val="161"/>
        </w:trPr>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277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00" w:type="dxa"/>
            <w:vAlign w:val="bottom"/>
          </w:tcPr>
          <w:p>
            <w:pPr>
              <w:spacing w:after="0"/>
              <w:rPr>
                <w:sz w:val="18"/>
                <w:szCs w:val="18"/>
                <w:color w:val="auto"/>
              </w:rPr>
            </w:pP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60" w:type="dxa"/>
            <w:vAlign w:val="bottom"/>
          </w:tcPr>
          <w:p>
            <w:pPr>
              <w:spacing w:after="0"/>
              <w:rPr>
                <w:sz w:val="20"/>
                <w:szCs w:val="2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6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7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$0</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-5078095</wp:posOffset>
            </wp:positionV>
            <wp:extent cx="7134860" cy="1428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-4657090</wp:posOffset>
            </wp:positionV>
            <wp:extent cx="7134860" cy="277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-4102100</wp:posOffset>
            </wp:positionV>
            <wp:extent cx="7134860" cy="277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-3546475</wp:posOffset>
            </wp:positionV>
            <wp:extent cx="7134860" cy="277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-2991485</wp:posOffset>
            </wp:positionV>
            <wp:extent cx="7134860" cy="277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-2411095</wp:posOffset>
            </wp:positionV>
            <wp:extent cx="7134860" cy="1682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-1964690</wp:posOffset>
            </wp:positionV>
            <wp:extent cx="7134860" cy="277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-1409700</wp:posOffset>
            </wp:positionV>
            <wp:extent cx="7134860" cy="2774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-854075</wp:posOffset>
            </wp:positionV>
            <wp:extent cx="7134860" cy="277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wp:posOffset>
            </wp:positionV>
            <wp:extent cx="7134860" cy="277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wp:posOffset>
            </wp:positionV>
            <wp:extent cx="7134860" cy="302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1,816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970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48</w:t>
      </w:r>
    </w:p>
    <w:p>
      <w:pPr>
        <w:spacing w:after="0" w:line="25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6"/>
          <w:szCs w:val="16"/>
          <w:color w:val="auto"/>
        </w:rPr>
        <w:t>7</w:t>
      </w:r>
    </w:p>
    <w:p>
      <w:pPr>
        <w:spacing w:after="0" w:line="2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(410)</w:t>
      </w:r>
    </w:p>
    <w:p>
      <w:pPr>
        <w:spacing w:after="0" w:line="2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(289)</w:t>
      </w:r>
    </w:p>
    <w:p>
      <w:pPr>
        <w:spacing w:after="0" w:line="253"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(10)</w:t>
      </w:r>
    </w:p>
    <w:p>
      <w:pPr>
        <w:spacing w:after="0" w:line="2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137</w:t>
      </w: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wp:posOffset>
            </wp:positionH>
            <wp:positionV relativeFrom="paragraph">
              <wp:posOffset>43180</wp:posOffset>
            </wp:positionV>
            <wp:extent cx="63944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80"/>
            <w:col w:w="420"/>
          </w:cols>
          <w:pgMar w:left="320" w:top="230" w:right="339" w:bottom="1440" w:gutter="0" w:footer="0" w:header="0"/>
          <w:type w:val="continuous"/>
        </w:sectPr>
      </w:pPr>
    </w:p>
    <w:p>
      <w:pPr>
        <w:spacing w:after="0" w:line="295" w:lineRule="exact"/>
        <w:rPr>
          <w:sz w:val="20"/>
          <w:szCs w:val="20"/>
          <w:color w:val="auto"/>
        </w:rPr>
      </w:pPr>
    </w:p>
    <w:p>
      <w:pPr>
        <w:ind w:left="20"/>
        <w:spacing w:after="0"/>
        <w:tabs>
          <w:tab w:leader="none" w:pos="5800" w:val="left"/>
          <w:tab w:leader="none" w:pos="6480" w:val="left"/>
          <w:tab w:leader="none" w:pos="6920" w:val="left"/>
          <w:tab w:leader="none" w:pos="7580" w:val="left"/>
          <w:tab w:leader="none" w:pos="802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770</w:t>
        <w:tab/>
        <w:t>$</w:t>
      </w:r>
      <w:r>
        <w:rPr>
          <w:sz w:val="20"/>
          <w:szCs w:val="20"/>
          <w:color w:val="auto"/>
        </w:rPr>
        <w:tab/>
      </w:r>
      <w:r>
        <w:rPr>
          <w:rFonts w:ascii="Times New Roman" w:cs="Times New Roman" w:eastAsia="Times New Roman" w:hAnsi="Times New Roman"/>
          <w:sz w:val="16"/>
          <w:szCs w:val="16"/>
          <w:color w:val="auto"/>
        </w:rPr>
        <w:t>117</w:t>
        <w:tab/>
        <w:t>$</w:t>
      </w:r>
      <w:r>
        <w:rPr>
          <w:sz w:val="20"/>
          <w:szCs w:val="20"/>
          <w:color w:val="auto"/>
        </w:rPr>
        <w:tab/>
      </w:r>
      <w:r>
        <w:rPr>
          <w:rFonts w:ascii="Times New Roman" w:cs="Times New Roman" w:eastAsia="Times New Roman" w:hAnsi="Times New Roman"/>
          <w:sz w:val="16"/>
          <w:szCs w:val="16"/>
          <w:color w:val="auto"/>
        </w:rPr>
        <w:t>292</w:t>
        <w:tab/>
        <w:t>$</w:t>
      </w:r>
      <w:r>
        <w:rPr>
          <w:sz w:val="20"/>
          <w:szCs w:val="20"/>
          <w:color w:val="auto"/>
        </w:rPr>
        <w:tab/>
      </w:r>
      <w:r>
        <w:rPr>
          <w:rFonts w:ascii="Times New Roman" w:cs="Times New Roman" w:eastAsia="Times New Roman" w:hAnsi="Times New Roman"/>
          <w:sz w:val="16"/>
          <w:szCs w:val="16"/>
          <w:color w:val="auto"/>
        </w:rPr>
        <w:t>148</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3680460</wp:posOffset>
            </wp:positionH>
            <wp:positionV relativeFrom="paragraph">
              <wp:posOffset>31115</wp:posOffset>
            </wp:positionV>
            <wp:extent cx="3458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58210" cy="8255"/>
                    </a:xfrm>
                    <a:prstGeom prst="rect">
                      <a:avLst/>
                    </a:prstGeom>
                    <a:noFill/>
                  </pic:spPr>
                </pic:pic>
              </a:graphicData>
            </a:graphic>
          </wp:anchor>
        </w:drawing>
      </w:r>
    </w:p>
    <w:p>
      <w:pPr>
        <w:spacing w:after="0" w:line="241" w:lineRule="exact"/>
        <w:rPr>
          <w:sz w:val="20"/>
          <w:szCs w:val="20"/>
          <w:color w:val="auto"/>
        </w:rPr>
      </w:pPr>
    </w:p>
    <w:tbl>
      <w:tblPr>
        <w:tblLayout w:type="fixed"/>
        <w:tblInd w:w="5800" w:type="dxa"/>
        <w:tblCellMar>
          <w:top w:w="0" w:type="dxa"/>
          <w:left w:w="0" w:type="dxa"/>
          <w:bottom w:w="0" w:type="dxa"/>
          <w:right w:w="0" w:type="dxa"/>
        </w:tblCellMar>
      </w:tblPr>
      <w:tr>
        <w:trPr>
          <w:trHeight w:val="161"/>
        </w:trPr>
        <w:tc>
          <w:tcPr>
            <w:tcW w:w="11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9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26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16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98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7134860" cy="277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32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w:t>
            </w:r>
          </w:p>
        </w:tc>
        <w:tc>
          <w:tcPr>
            <w:tcW w:w="100" w:type="dxa"/>
            <w:vAlign w:val="bottom"/>
          </w:tcPr>
          <w:p>
            <w:pPr>
              <w:spacing w:after="0"/>
              <w:rPr>
                <w:sz w:val="18"/>
                <w:szCs w:val="18"/>
                <w:color w:val="auto"/>
              </w:rPr>
            </w:pPr>
          </w:p>
        </w:tc>
        <w:tc>
          <w:tcPr>
            <w:tcW w:w="40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18"/>
                <w:szCs w:val="18"/>
                <w:color w:val="auto"/>
              </w:rPr>
            </w:pPr>
          </w:p>
        </w:tc>
        <w:tc>
          <w:tcPr>
            <w:tcW w:w="3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Segment expenses:</w:t>
            </w: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320" w:type="dxa"/>
            <w:vAlign w:val="bottom"/>
          </w:tcPr>
          <w:p>
            <w:pPr>
              <w:spacing w:after="0"/>
              <w:rPr>
                <w:sz w:val="20"/>
                <w:szCs w:val="20"/>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578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adjustments</w:t>
            </w:r>
          </w:p>
        </w:tc>
        <w:tc>
          <w:tcPr>
            <w:tcW w:w="320" w:type="dxa"/>
            <w:vAlign w:val="bottom"/>
          </w:tcPr>
          <w:p>
            <w:pPr>
              <w:spacing w:after="0"/>
              <w:rPr>
                <w:sz w:val="18"/>
                <w:szCs w:val="18"/>
                <w:color w:val="auto"/>
              </w:rPr>
            </w:pPr>
          </w:p>
        </w:tc>
        <w:tc>
          <w:tcPr>
            <w:tcW w:w="6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 expense on debt</w:t>
            </w:r>
          </w:p>
        </w:tc>
        <w:tc>
          <w:tcPr>
            <w:tcW w:w="3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expenses (2)</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32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3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32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earnings (loss)</w:t>
            </w: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400" w:type="dxa"/>
            <w:vAlign w:val="bottom"/>
            <w:tcBorders>
              <w:top w:val="single" w:sz="8" w:color="auto"/>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3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4"/>
        </w:trPr>
        <w:tc>
          <w:tcPr>
            <w:tcW w:w="57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($2)</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Market value adjustments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780" w:type="dxa"/>
            <w:vAlign w:val="bottom"/>
          </w:tcPr>
          <w:p>
            <w:pPr>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57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-5078095</wp:posOffset>
            </wp:positionV>
            <wp:extent cx="7134860" cy="142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-4657090</wp:posOffset>
            </wp:positionV>
            <wp:extent cx="7134860" cy="277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-4102100</wp:posOffset>
            </wp:positionV>
            <wp:extent cx="7134860" cy="277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-3546475</wp:posOffset>
            </wp:positionV>
            <wp:extent cx="7134860" cy="277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-2991485</wp:posOffset>
            </wp:positionV>
            <wp:extent cx="7134860" cy="277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-2411095</wp:posOffset>
            </wp:positionV>
            <wp:extent cx="7134860" cy="1682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-1964690</wp:posOffset>
            </wp:positionV>
            <wp:extent cx="7134860" cy="277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-1409700</wp:posOffset>
            </wp:positionV>
            <wp:extent cx="7134860" cy="277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-854075</wp:posOffset>
            </wp:positionV>
            <wp:extent cx="7134860" cy="277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171450</wp:posOffset>
            </wp:positionV>
            <wp:extent cx="7134860" cy="277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-299085</wp:posOffset>
            </wp:positionV>
            <wp:extent cx="7134860" cy="3028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4,002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(110)</w:t>
      </w:r>
    </w:p>
    <w:p>
      <w:pPr>
        <w:spacing w:after="0" w:line="265"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6"/>
          <w:szCs w:val="16"/>
          <w:color w:val="auto"/>
        </w:rPr>
        <w:t>(63)</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(2,130)</w:t>
      </w: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1,519</w:t>
      </w:r>
    </w:p>
    <w:p>
      <w:pPr>
        <w:spacing w:after="0" w:line="25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6"/>
          <w:szCs w:val="16"/>
          <w:color w:val="auto"/>
        </w:rPr>
        <w:t>77</w:t>
      </w:r>
    </w:p>
    <w:p>
      <w:pPr>
        <w:spacing w:after="0" w:line="25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149</w:t>
      </w: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466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43180</wp:posOffset>
            </wp:positionV>
            <wp:extent cx="6394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39445" cy="8255"/>
                    </a:xfrm>
                    <a:prstGeom prst="rect">
                      <a:avLst/>
                    </a:prstGeom>
                    <a:noFill/>
                  </pic:spPr>
                </pic:pic>
              </a:graphicData>
            </a:graphic>
          </wp:anchor>
        </w:drawing>
      </w:r>
    </w:p>
    <w:p>
      <w:pPr>
        <w:spacing w:after="0" w:line="250" w:lineRule="exact"/>
        <w:rPr>
          <w:sz w:val="20"/>
          <w:szCs w:val="20"/>
          <w:color w:val="auto"/>
        </w:rPr>
      </w:pPr>
    </w:p>
    <w:p>
      <w:pPr>
        <w:sectPr>
          <w:pgSz w:w="11900" w:h="16838" w:orient="portrait"/>
          <w:cols w:equalWidth="0" w:num="2">
            <w:col w:w="10340" w:space="420"/>
            <w:col w:w="480"/>
          </w:cols>
          <w:pgMar w:left="320" w:top="230" w:right="339" w:bottom="1440" w:gutter="0" w:footer="0" w:header="0"/>
          <w:type w:val="continuous"/>
        </w:sectPr>
      </w:pPr>
    </w:p>
    <w:p>
      <w:pPr>
        <w:spacing w:after="0" w:line="295" w:lineRule="exact"/>
        <w:rPr>
          <w:sz w:val="20"/>
          <w:szCs w:val="20"/>
          <w:color w:val="auto"/>
        </w:rPr>
      </w:pPr>
    </w:p>
    <w:p>
      <w:pPr>
        <w:ind w:left="20"/>
        <w:spacing w:after="0"/>
        <w:tabs>
          <w:tab w:leader="none" w:pos="5800" w:val="left"/>
          <w:tab w:leader="none" w:pos="6360" w:val="left"/>
          <w:tab w:leader="none" w:pos="6920" w:val="left"/>
          <w:tab w:leader="none" w:pos="7580" w:val="left"/>
          <w:tab w:leader="none" w:pos="8020" w:val="left"/>
          <w:tab w:leader="none" w:pos="8700" w:val="left"/>
          <w:tab w:leader="none" w:pos="9120" w:val="left"/>
          <w:tab w:leader="none" w:pos="9800" w:val="left"/>
        </w:tabs>
        <w:rPr>
          <w:sz w:val="20"/>
          <w:szCs w:val="20"/>
          <w:color w:val="auto"/>
        </w:rPr>
      </w:pPr>
      <w:r>
        <w:rPr>
          <w:rFonts w:ascii="Times New Roman" w:cs="Times New Roman" w:eastAsia="Times New Roman" w:hAnsi="Times New Roman"/>
          <w:sz w:val="16"/>
          <w:szCs w:val="16"/>
          <w:color w:val="auto"/>
        </w:rPr>
        <w:t>Interest revenue</w:t>
      </w:r>
      <w:r>
        <w:rPr>
          <w:sz w:val="20"/>
          <w:szCs w:val="20"/>
          <w:color w:val="auto"/>
        </w:rPr>
        <w:tab/>
      </w:r>
      <w:r>
        <w:rPr>
          <w:rFonts w:ascii="Times New Roman" w:cs="Times New Roman" w:eastAsia="Times New Roman" w:hAnsi="Times New Roman"/>
          <w:sz w:val="16"/>
          <w:szCs w:val="16"/>
          <w:color w:val="auto"/>
        </w:rPr>
        <w:t>$</w:t>
      </w:r>
      <w:r>
        <w:rPr>
          <w:sz w:val="20"/>
          <w:szCs w:val="20"/>
          <w:color w:val="auto"/>
        </w:rPr>
        <w:tab/>
      </w:r>
      <w:r>
        <w:rPr>
          <w:rFonts w:ascii="Times New Roman" w:cs="Times New Roman" w:eastAsia="Times New Roman" w:hAnsi="Times New Roman"/>
          <w:sz w:val="16"/>
          <w:szCs w:val="16"/>
          <w:color w:val="auto"/>
        </w:rPr>
        <w:t>2,353</w:t>
        <w:tab/>
        <w:t>$</w:t>
      </w:r>
      <w:r>
        <w:rPr>
          <w:sz w:val="20"/>
          <w:szCs w:val="20"/>
          <w:color w:val="auto"/>
        </w:rPr>
        <w:tab/>
      </w:r>
      <w:r>
        <w:rPr>
          <w:rFonts w:ascii="Times New Roman" w:cs="Times New Roman" w:eastAsia="Times New Roman" w:hAnsi="Times New Roman"/>
          <w:sz w:val="16"/>
          <w:szCs w:val="16"/>
          <w:color w:val="auto"/>
        </w:rPr>
        <w:t>273</w:t>
        <w:tab/>
        <w:t>$</w:t>
      </w:r>
      <w:r>
        <w:rPr>
          <w:sz w:val="20"/>
          <w:szCs w:val="20"/>
          <w:color w:val="auto"/>
        </w:rPr>
        <w:tab/>
      </w:r>
      <w:r>
        <w:rPr>
          <w:rFonts w:ascii="Times New Roman" w:cs="Times New Roman" w:eastAsia="Times New Roman" w:hAnsi="Times New Roman"/>
          <w:sz w:val="16"/>
          <w:szCs w:val="16"/>
          <w:color w:val="auto"/>
        </w:rPr>
        <w:t>793</w:t>
        <w:tab/>
        <w:t>$</w:t>
      </w:r>
      <w:r>
        <w:rPr>
          <w:sz w:val="20"/>
          <w:szCs w:val="20"/>
          <w:color w:val="auto"/>
        </w:rPr>
        <w:tab/>
      </w:r>
      <w:r>
        <w:rPr>
          <w:rFonts w:ascii="Times New Roman" w:cs="Times New Roman" w:eastAsia="Times New Roman" w:hAnsi="Times New Roman"/>
          <w:sz w:val="16"/>
          <w:szCs w:val="16"/>
          <w:color w:val="auto"/>
        </w:rPr>
        <w:t>398</w:t>
      </w:r>
    </w:p>
    <w:p>
      <w:pPr>
        <w:sectPr>
          <w:pgSz w:w="11900" w:h="16838" w:orient="portrait"/>
          <w:cols w:equalWidth="0" w:num="1">
            <w:col w:w="11240"/>
          </w:cols>
          <w:pgMar w:left="320" w:top="2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00" w:type="dxa"/>
            <w:vAlign w:val="bottom"/>
            <w:gridSpan w:val="8"/>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24"/>
                <w:szCs w:val="24"/>
                <w:color w:val="auto"/>
              </w:rPr>
            </w:pPr>
          </w:p>
        </w:tc>
        <w:tc>
          <w:tcPr>
            <w:tcW w:w="8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24"/>
                <w:szCs w:val="24"/>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220" w:type="dxa"/>
            <w:vAlign w:val="bottom"/>
          </w:tcPr>
          <w:p>
            <w:pPr>
              <w:spacing w:after="0"/>
              <w:rPr>
                <w:sz w:val="24"/>
                <w:szCs w:val="24"/>
                <w:color w:val="auto"/>
              </w:rPr>
            </w:pPr>
          </w:p>
        </w:tc>
        <w:tc>
          <w:tcPr>
            <w:tcW w:w="78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&amp; Other</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5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955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223"/>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Revenues excluded from adjusted earnings (1)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Segment expenses:</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Policyholder benefits and claims</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800" w:type="dxa"/>
            <w:vAlign w:val="bottom"/>
            <w:shd w:val="clear" w:color="auto" w:fill="CCEEFF"/>
          </w:tcPr>
          <w:p>
            <w:pPr>
              <w:ind w:left="180"/>
              <w:spacing w:after="0" w:line="175" w:lineRule="exact"/>
              <w:rPr>
                <w:sz w:val="20"/>
                <w:szCs w:val="20"/>
                <w:color w:val="auto"/>
              </w:rPr>
            </w:pPr>
            <w:r>
              <w:rPr>
                <w:rFonts w:ascii="Times New Roman" w:cs="Times New Roman" w:eastAsia="Times New Roman" w:hAnsi="Times New Roman"/>
                <w:sz w:val="16"/>
                <w:szCs w:val="16"/>
                <w:color w:val="auto"/>
              </w:rPr>
              <w:t>Interest credited to policyholder account balances, excluding market value</w:t>
            </w:r>
          </w:p>
        </w:tc>
        <w:tc>
          <w:tcPr>
            <w:tcW w:w="16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5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adjustments</w:t>
            </w:r>
          </w:p>
        </w:tc>
        <w:tc>
          <w:tcPr>
            <w:tcW w:w="16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5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 on debt</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expenses (2)</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16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
        </w:trPr>
        <w:tc>
          <w:tcPr>
            <w:tcW w:w="5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5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5"/>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for:</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35"/>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4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 of $1</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435"/>
        </w:trPr>
        <w:tc>
          <w:tcPr>
            <w:tcW w:w="5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40"/>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435"/>
        </w:trPr>
        <w:tc>
          <w:tcPr>
            <w:tcW w:w="5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16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8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0" w:type="dxa"/>
            <w:vAlign w:val="bottom"/>
          </w:tcPr>
          <w:p>
            <w:pPr>
              <w:spacing w:after="0"/>
              <w:rPr>
                <w:sz w:val="1"/>
                <w:szCs w:val="1"/>
                <w:color w:val="auto"/>
              </w:rPr>
            </w:pPr>
          </w:p>
        </w:tc>
      </w:tr>
      <w:tr>
        <w:trPr>
          <w:trHeight w:val="458"/>
        </w:trPr>
        <w:tc>
          <w:tcPr>
            <w:tcW w:w="5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1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5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7"/>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5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reportable segment, certain revenues are excluded from adjusted earnings (loss), including net investment gains (losses), investment gains (losses) on trading securities and net derivative gains (losses), excluding Investment Hedge Adjustments.</w:t>
      </w:r>
    </w:p>
    <w:p>
      <w:pPr>
        <w:spacing w:after="0" w:line="57" w:lineRule="exact"/>
        <w:rPr>
          <w:rFonts w:ascii="Times New Roman" w:cs="Times New Roman" w:eastAsia="Times New Roman" w:hAnsi="Times New Roman"/>
          <w:sz w:val="18"/>
          <w:szCs w:val="18"/>
          <w:color w:val="auto"/>
        </w:rPr>
      </w:pPr>
    </w:p>
    <w:p>
      <w:pPr>
        <w:ind w:left="320" w:right="3960" w:hanging="314"/>
        <w:spacing w:after="0" w:line="458" w:lineRule="auto"/>
        <w:tabs>
          <w:tab w:leader="none" w:pos="3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expenses include corporate expense allocations directly attributable to each of the segments. Total assets by segment were as follows at:</w:t>
      </w:r>
    </w:p>
    <w:p>
      <w:pPr>
        <w:sectPr>
          <w:pgSz w:w="11900" w:h="16838" w:orient="portrait"/>
          <w:cols w:equalWidth="0" w:num="1">
            <w:col w:w="11240"/>
          </w:cols>
          <w:pgMar w:left="320" w:top="230"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164,141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166,867</w:t>
            </w: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27,395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27,494</w:t>
            </w:r>
          </w:p>
        </w:tc>
      </w:tr>
      <w:tr>
        <w:trPr>
          <w:trHeight w:val="44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Run-off</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25,455</w:t>
            </w:r>
          </w:p>
        </w:tc>
      </w:tr>
      <w:tr>
        <w:trPr>
          <w:trHeight w:val="435"/>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24,146</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21,984</w:t>
            </w:r>
          </w:p>
        </w:tc>
      </w:tr>
      <w:tr>
        <w:trPr>
          <w:trHeight w:val="45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238,659</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241,800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Segment Information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premiums, universal life and investment-type product policy fees and other revenues by major product group were as follows: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40" w:type="dxa"/>
            <w:vAlign w:val="bottom"/>
            <w:gridSpan w:val="4"/>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87"/>
        </w:trPr>
        <w:tc>
          <w:tcPr>
            <w:tcW w:w="63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Annuity products</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623"/>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Life insurance products</w:t>
            </w: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825</w:t>
            </w: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products</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43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74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844</w:t>
            </w:r>
          </w:p>
        </w:tc>
        <w:tc>
          <w:tcPr>
            <w:tcW w:w="12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2,488</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Substantially all of the Company’s premiums, universal life and investment-type product policy fees and other revenues originated in the U.S.</w:t>
      </w:r>
    </w:p>
    <w:p>
      <w:pPr>
        <w:spacing w:after="0" w:line="11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Revenues derived from any individual customer did not exceed 10% of premiums, universal life and investment-type product policy fees and other revenues for the three months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5" w:name="page16"/>
    <w:bookmarkEnd w:id="15"/>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for Future Policy Benefits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liability for future policy benefits (“LFPB”) for non-participating traditional and limited-payment contracts was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Nine Months Ended September 30,</w:t>
            </w: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70"/>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ind w:right="35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0" w:type="dxa"/>
            <w:vAlign w:val="bottom"/>
          </w:tcPr>
          <w:p>
            <w:pPr>
              <w:spacing w:after="0"/>
              <w:rPr>
                <w:sz w:val="1"/>
                <w:szCs w:val="1"/>
                <w:color w:val="auto"/>
              </w:rPr>
            </w:pPr>
          </w:p>
        </w:tc>
      </w:tr>
      <w:tr>
        <w:trPr>
          <w:trHeight w:val="146"/>
        </w:trPr>
        <w:tc>
          <w:tcPr>
            <w:tcW w:w="4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rPr>
              <w:t>Settlement and</w:t>
            </w:r>
          </w:p>
        </w:tc>
        <w:tc>
          <w:tcPr>
            <w:tcW w:w="0" w:type="dxa"/>
            <w:vAlign w:val="bottom"/>
          </w:tcPr>
          <w:p>
            <w:pPr>
              <w:spacing w:after="0"/>
              <w:rPr>
                <w:sz w:val="1"/>
                <w:szCs w:val="1"/>
                <w:color w:val="auto"/>
              </w:rPr>
            </w:pPr>
          </w:p>
        </w:tc>
      </w:tr>
      <w:tr>
        <w:trPr>
          <w:trHeight w:val="159"/>
        </w:trPr>
        <w:tc>
          <w:tcPr>
            <w:tcW w:w="4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10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Term and Whole</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70"/>
              <w:spacing w:after="0"/>
              <w:rPr>
                <w:sz w:val="20"/>
                <w:szCs w:val="20"/>
                <w:color w:val="auto"/>
              </w:rPr>
            </w:pPr>
            <w:r>
              <w:rPr>
                <w:rFonts w:ascii="Times New Roman" w:cs="Times New Roman" w:eastAsia="Times New Roman" w:hAnsi="Times New Roman"/>
                <w:sz w:val="12"/>
                <w:szCs w:val="12"/>
                <w:b w:val="1"/>
                <w:bCs w:val="1"/>
                <w:color w:val="auto"/>
              </w:rPr>
              <w:t>Pension Risk</w:t>
            </w:r>
          </w:p>
        </w:tc>
        <w:tc>
          <w:tcPr>
            <w:tcW w:w="0" w:type="dxa"/>
            <w:vAlign w:val="bottom"/>
          </w:tcPr>
          <w:p>
            <w:pPr>
              <w:spacing w:after="0"/>
              <w:rPr>
                <w:sz w:val="1"/>
                <w:szCs w:val="1"/>
                <w:color w:val="auto"/>
              </w:rPr>
            </w:pPr>
          </w:p>
        </w:tc>
      </w:tr>
      <w:tr>
        <w:trPr>
          <w:trHeight w:val="162"/>
        </w:trPr>
        <w:tc>
          <w:tcPr>
            <w:tcW w:w="4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10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Life Insurance</w:t>
            </w:r>
          </w:p>
        </w:tc>
        <w:tc>
          <w:tcPr>
            <w:tcW w:w="122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Income Annuities</w:t>
            </w: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rPr>
              <w:t>Transfer Annuities</w:t>
            </w: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4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net premiums: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2,504</w:t>
            </w:r>
          </w:p>
        </w:tc>
        <w:tc>
          <w:tcPr>
            <w:tcW w:w="100" w:type="dxa"/>
            <w:vAlign w:val="bottom"/>
          </w:tcPr>
          <w:p>
            <w:pPr>
              <w:spacing w:after="0"/>
              <w:rPr>
                <w:sz w:val="24"/>
                <w:szCs w:val="24"/>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2,808</w:t>
            </w:r>
          </w:p>
        </w:tc>
        <w:tc>
          <w:tcPr>
            <w:tcW w:w="100" w:type="dxa"/>
            <w:vAlign w:val="bottom"/>
          </w:tcPr>
          <w:p>
            <w:pPr>
              <w:spacing w:after="0"/>
              <w:rPr>
                <w:sz w:val="24"/>
                <w:szCs w:val="24"/>
                <w:color w:val="auto"/>
              </w:rPr>
            </w:pPr>
          </w:p>
        </w:tc>
        <w:tc>
          <w:tcPr>
            <w:tcW w:w="26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2,747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3,161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tcPr>
          <w:p>
            <w:pPr>
              <w:spacing w:after="0"/>
              <w:rPr>
                <w:sz w:val="24"/>
                <w:szCs w:val="24"/>
                <w:color w:val="auto"/>
              </w:rPr>
            </w:pPr>
          </w:p>
        </w:tc>
        <w:tc>
          <w:tcPr>
            <w:tcW w:w="11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2,529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3,033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premiums collected</w:t>
            </w:r>
          </w:p>
        </w:tc>
        <w:tc>
          <w:tcPr>
            <w:tcW w:w="12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(279)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7"/>
        </w:trPr>
        <w:tc>
          <w:tcPr>
            <w:tcW w:w="40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2,364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2,846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(353)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(243)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7"/>
        </w:trPr>
        <w:tc>
          <w:tcPr>
            <w:tcW w:w="40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2,011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2,603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Present value of expected future policy benefits: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4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5,053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3,985</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6,009</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5,325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3,763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6,118</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Beginning balance at original discount rate</w:t>
            </w:r>
          </w:p>
        </w:tc>
        <w:tc>
          <w:tcPr>
            <w:tcW w:w="1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5,513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4,272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6,635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5,989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4,161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6,876</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model refinements</w:t>
            </w: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changes in cash flow assumptions</w:t>
            </w:r>
          </w:p>
        </w:tc>
        <w:tc>
          <w:tcPr>
            <w:tcW w:w="120" w:type="dxa"/>
            <w:vAlign w:val="bottom"/>
          </w:tcPr>
          <w:p>
            <w:pPr>
              <w:spacing w:after="0"/>
              <w:rPr>
                <w:sz w:val="24"/>
                <w:szCs w:val="24"/>
                <w:color w:val="auto"/>
              </w:rPr>
            </w:pPr>
          </w:p>
        </w:tc>
        <w:tc>
          <w:tcPr>
            <w:tcW w:w="100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(234)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actual variances from expected experience</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(104)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393"/>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Adjusted beginning of period balance</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5,175</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4,256</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6,654</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5,844</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4,143</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6,878</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Issuances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298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accrual</w:t>
            </w:r>
          </w:p>
        </w:tc>
        <w:tc>
          <w:tcPr>
            <w:tcW w:w="1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214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(326)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(411)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(308)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(408)</w:t>
            </w:r>
          </w:p>
        </w:tc>
        <w:tc>
          <w:tcPr>
            <w:tcW w:w="0" w:type="dxa"/>
            <w:vAlign w:val="bottom"/>
          </w:tcPr>
          <w:p>
            <w:pPr>
              <w:spacing w:after="0"/>
              <w:rPr>
                <w:sz w:val="1"/>
                <w:szCs w:val="1"/>
                <w:color w:val="auto"/>
              </w:rPr>
            </w:pPr>
          </w:p>
        </w:tc>
      </w:tr>
      <w:tr>
        <w:trPr>
          <w:trHeight w:val="393"/>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Ending balance at original discount rate</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4,384</w:t>
            </w: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6,457</w:t>
            </w: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6,691</w:t>
            </w:r>
          </w:p>
        </w:tc>
        <w:tc>
          <w:tcPr>
            <w:tcW w:w="0" w:type="dxa"/>
            <w:vAlign w:val="bottom"/>
          </w:tcPr>
          <w:p>
            <w:pPr>
              <w:spacing w:after="0"/>
              <w:rPr>
                <w:sz w:val="1"/>
                <w:szCs w:val="1"/>
                <w:color w:val="auto"/>
              </w:rPr>
            </w:pPr>
          </w:p>
        </w:tc>
      </w:tr>
      <w:tr>
        <w:trPr>
          <w:trHeight w:val="24"/>
        </w:trPr>
        <w:tc>
          <w:tcPr>
            <w:tcW w:w="4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changes in discount rate assumptions</w:t>
            </w: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(556)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(279)</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417"/>
        </w:trPr>
        <w:tc>
          <w:tcPr>
            <w:tcW w:w="40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Balance,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4,282</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4"/>
                <w:szCs w:val="14"/>
                <w:color w:val="auto"/>
              </w:rPr>
              <w:t>5,149</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3,973</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6,119</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end of period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2,271</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3,828</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5,346</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2,546</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3,973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6,119</w:t>
            </w:r>
          </w:p>
        </w:tc>
        <w:tc>
          <w:tcPr>
            <w:tcW w:w="0" w:type="dxa"/>
            <w:vAlign w:val="bottom"/>
          </w:tcPr>
          <w:p>
            <w:pPr>
              <w:spacing w:after="0"/>
              <w:rPr>
                <w:sz w:val="1"/>
                <w:szCs w:val="1"/>
                <w:color w:val="auto"/>
              </w:rPr>
            </w:pP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Reinsurance recoverable, end of period</w:t>
            </w:r>
          </w:p>
        </w:tc>
        <w:tc>
          <w:tcPr>
            <w:tcW w:w="1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24"/>
        </w:trPr>
        <w:tc>
          <w:tcPr>
            <w:tcW w:w="4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2"/>
        </w:trPr>
        <w:tc>
          <w:tcPr>
            <w:tcW w:w="4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230" w:right="339" w:bottom="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liability for future policy benefits, after reinsurance recoverable</w:t>
            </w: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spacing w:after="0"/>
              <w:rPr>
                <w:sz w:val="15"/>
                <w:szCs w:val="15"/>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373"/>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Weighted-average duration of liability</w:t>
            </w:r>
          </w:p>
        </w:tc>
        <w:tc>
          <w:tcPr>
            <w:tcW w:w="34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7.0 years</w:t>
            </w:r>
          </w:p>
        </w:tc>
        <w:tc>
          <w:tcPr>
            <w:tcW w:w="34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7.5 years</w:t>
            </w:r>
          </w:p>
        </w:tc>
        <w:tc>
          <w:tcPr>
            <w:tcW w:w="320" w:type="dxa"/>
            <w:vAlign w:val="bottom"/>
          </w:tcPr>
          <w:p>
            <w:pPr>
              <w:spacing w:after="0"/>
              <w:rPr>
                <w:sz w:val="24"/>
                <w:szCs w:val="24"/>
                <w:color w:val="auto"/>
              </w:rPr>
            </w:pPr>
          </w:p>
        </w:tc>
        <w:tc>
          <w:tcPr>
            <w:tcW w:w="900" w:type="dxa"/>
            <w:vAlign w:val="bottom"/>
            <w:gridSpan w:val="2"/>
          </w:tcPr>
          <w:p>
            <w:pPr>
              <w:ind w:left="200"/>
              <w:spacing w:after="0"/>
              <w:rPr>
                <w:sz w:val="20"/>
                <w:szCs w:val="20"/>
                <w:color w:val="auto"/>
              </w:rPr>
            </w:pPr>
            <w:r>
              <w:rPr>
                <w:rFonts w:ascii="Times New Roman" w:cs="Times New Roman" w:eastAsia="Times New Roman" w:hAnsi="Times New Roman"/>
                <w:sz w:val="14"/>
                <w:szCs w:val="14"/>
                <w:color w:val="auto"/>
              </w:rPr>
              <w:t>11.5 years</w:t>
            </w:r>
          </w:p>
        </w:tc>
        <w:tc>
          <w:tcPr>
            <w:tcW w:w="34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7.2 years</w:t>
            </w:r>
          </w:p>
        </w:tc>
        <w:tc>
          <w:tcPr>
            <w:tcW w:w="340" w:type="dxa"/>
            <w:vAlign w:val="bottom"/>
          </w:tcPr>
          <w:p>
            <w:pPr>
              <w:spacing w:after="0"/>
              <w:rPr>
                <w:sz w:val="24"/>
                <w:szCs w:val="24"/>
                <w:color w:val="auto"/>
              </w:rPr>
            </w:pP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4"/>
                <w:szCs w:val="14"/>
                <w:color w:val="auto"/>
              </w:rPr>
              <w:t>7.7 years</w:t>
            </w: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 years</w:t>
            </w:r>
          </w:p>
        </w:tc>
      </w:tr>
      <w:tr>
        <w:trPr>
          <w:trHeight w:val="24"/>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interest accretion rate</w:t>
            </w: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4.15 %</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3.92 %</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4.11 %</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4.47 %</w:t>
            </w: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discount rate</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6.16 %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6.23 %</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6.44 %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4.97 %</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5.08 %</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5.37 %</w:t>
            </w:r>
          </w:p>
        </w:tc>
      </w:tr>
      <w:tr>
        <w:trPr>
          <w:trHeight w:val="24"/>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premiums or assessments recognized during period</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351</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400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379</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undiscounted</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4,596</w:t>
            </w:r>
          </w:p>
        </w:tc>
        <w:tc>
          <w:tcPr>
            <w:tcW w:w="10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5,268</w:t>
            </w:r>
          </w:p>
        </w:tc>
        <w:tc>
          <w:tcPr>
            <w:tcW w:w="10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04"/>
        </w:trPr>
        <w:tc>
          <w:tcPr>
            <w:tcW w:w="4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gross premiums, discounted</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3,420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3,934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r>
      <w:tr>
        <w:trPr>
          <w:trHeight w:val="400"/>
        </w:trPr>
        <w:tc>
          <w:tcPr>
            <w:tcW w:w="40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undiscounted</w:t>
            </w: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6,130</w:t>
            </w:r>
          </w:p>
        </w:tc>
        <w:tc>
          <w:tcPr>
            <w:tcW w:w="100" w:type="dxa"/>
            <w:vAlign w:val="bottom"/>
          </w:tcPr>
          <w:p>
            <w:pPr>
              <w:spacing w:after="0"/>
              <w:rPr>
                <w:sz w:val="24"/>
                <w:szCs w:val="24"/>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12,458</w:t>
            </w:r>
          </w:p>
        </w:tc>
        <w:tc>
          <w:tcPr>
            <w:tcW w:w="10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7,538</w:t>
            </w:r>
          </w:p>
        </w:tc>
        <w:tc>
          <w:tcPr>
            <w:tcW w:w="100" w:type="dxa"/>
            <w:vAlign w:val="bottom"/>
          </w:tcPr>
          <w:p>
            <w:pPr>
              <w:spacing w:after="0"/>
              <w:rPr>
                <w:sz w:val="24"/>
                <w:szCs w:val="24"/>
                <w:color w:val="auto"/>
              </w:rPr>
            </w:pPr>
          </w:p>
        </w:tc>
        <w:tc>
          <w:tcPr>
            <w:tcW w:w="34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5,992</w:t>
            </w:r>
          </w:p>
        </w:tc>
        <w:tc>
          <w:tcPr>
            <w:tcW w:w="120" w:type="dxa"/>
            <w:vAlign w:val="bottom"/>
          </w:tcPr>
          <w:p>
            <w:pPr>
              <w:spacing w:after="0"/>
              <w:rPr>
                <w:sz w:val="24"/>
                <w:szCs w:val="24"/>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12,937</w:t>
            </w:r>
          </w:p>
        </w:tc>
      </w:tr>
      <w:tr>
        <w:trPr>
          <w:trHeight w:val="24"/>
        </w:trPr>
        <w:tc>
          <w:tcPr>
            <w:tcW w:w="40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40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future benefit payments, discounted</w:t>
            </w: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4,384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6,457</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5,606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4,252</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6,691</w:t>
            </w:r>
          </w:p>
        </w:tc>
      </w:tr>
      <w:tr>
        <w:trPr>
          <w:trHeight w:val="24"/>
        </w:trPr>
        <w:tc>
          <w:tcPr>
            <w:tcW w:w="40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311"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measurement of LFPBs can be significantly impacted by changes in assumptions for policyholder behavior. As part of the 2026 and 2025 annual actuarial reviews (“AAR”), the Company updated assumptions regarding mortality and lapses for term participating and non-participating whole life insurance. The impact from changes in assumptions is presented in effect of changes in cash flow assumptions in the table above.</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the additional insurance liabilities for universal life-type contracts with secondary guarantees was as follows:</w:t>
      </w:r>
    </w:p>
    <w:p>
      <w:pPr>
        <w:spacing w:after="0" w:line="224"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4808220</wp:posOffset>
            </wp:positionH>
            <wp:positionV relativeFrom="paragraph">
              <wp:posOffset>31115</wp:posOffset>
            </wp:positionV>
            <wp:extent cx="23221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32219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20" w:type="dxa"/>
            <w:vAlign w:val="bottom"/>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5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4"/>
        </w:trPr>
        <w:tc>
          <w:tcPr>
            <w:tcW w:w="75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20" w:type="dxa"/>
            <w:vAlign w:val="bottom"/>
          </w:tcPr>
          <w:p>
            <w:pPr>
              <w:spacing w:after="0"/>
              <w:rPr>
                <w:sz w:val="16"/>
                <w:szCs w:val="16"/>
                <w:color w:val="auto"/>
              </w:rPr>
            </w:pPr>
          </w:p>
        </w:tc>
      </w:tr>
      <w:tr>
        <w:trPr>
          <w:trHeight w:val="38"/>
        </w:trPr>
        <w:tc>
          <w:tcPr>
            <w:tcW w:w="75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5"/>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80" w:type="dxa"/>
            <w:vAlign w:val="bottom"/>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10,077</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8,986</w:t>
            </w: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Beginning balance before the effect of unrealized gains and losses</w:t>
            </w:r>
          </w:p>
        </w:tc>
        <w:tc>
          <w:tcPr>
            <w:tcW w:w="1080" w:type="dxa"/>
            <w:vAlign w:val="bottom"/>
          </w:tcPr>
          <w:p>
            <w:pPr>
              <w:spacing w:after="0"/>
              <w:rPr>
                <w:sz w:val="19"/>
                <w:szCs w:val="19"/>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10,298</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9,277</w:t>
            </w:r>
          </w:p>
        </w:tc>
      </w:tr>
      <w:tr>
        <w:trPr>
          <w:trHeight w:val="228"/>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cash flow assumptions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480</w:t>
            </w:r>
          </w:p>
        </w:tc>
      </w:tr>
      <w:tr>
        <w:trPr>
          <w:trHeight w:val="223"/>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actual variances from expected experience</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94</w:t>
            </w: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beginning of period balance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10,311</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9,851</w:t>
            </w:r>
          </w:p>
        </w:tc>
      </w:tr>
      <w:tr>
        <w:trPr>
          <w:trHeight w:val="223"/>
        </w:trPr>
        <w:tc>
          <w:tcPr>
            <w:tcW w:w="75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accrual</w:t>
            </w:r>
          </w:p>
        </w:tc>
        <w:tc>
          <w:tcPr>
            <w:tcW w:w="1080" w:type="dxa"/>
            <w:vAlign w:val="bottom"/>
          </w:tcPr>
          <w:p>
            <w:pPr>
              <w:spacing w:after="0"/>
              <w:rPr>
                <w:sz w:val="19"/>
                <w:szCs w:val="19"/>
                <w:color w:val="auto"/>
              </w:rPr>
            </w:pP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346</w:t>
            </w:r>
          </w:p>
        </w:tc>
      </w:tr>
      <w:tr>
        <w:trPr>
          <w:trHeight w:val="228"/>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assessments collected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355</w:t>
            </w:r>
          </w:p>
        </w:tc>
      </w:tr>
      <w:tr>
        <w:trPr>
          <w:trHeight w:val="223"/>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Benefit payments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(384)</w:t>
            </w: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 before the effect of unrealized gains and losses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10,734</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10,168</w:t>
            </w:r>
          </w:p>
        </w:tc>
      </w:tr>
      <w:tr>
        <w:trPr>
          <w:trHeight w:val="223"/>
        </w:trPr>
        <w:tc>
          <w:tcPr>
            <w:tcW w:w="75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Effect of unrealized gains and losses</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(209)</w:t>
            </w:r>
          </w:p>
        </w:tc>
      </w:tr>
      <w:tr>
        <w:trPr>
          <w:trHeight w:val="221"/>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10,359</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9,959</w:t>
            </w:r>
          </w:p>
        </w:tc>
      </w:tr>
      <w:tr>
        <w:trPr>
          <w:trHeight w:val="223"/>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0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1,844</w:t>
            </w: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1,786</w:t>
            </w:r>
          </w:p>
        </w:tc>
      </w:tr>
      <w:tr>
        <w:trPr>
          <w:trHeight w:val="246"/>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additional liability, after reinsurance recoverable</w:t>
            </w:r>
          </w:p>
        </w:tc>
        <w:tc>
          <w:tcPr>
            <w:tcW w:w="108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8,515</w:t>
            </w: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8,173</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duration of liability</w:t>
            </w:r>
          </w:p>
        </w:tc>
        <w:tc>
          <w:tcPr>
            <w:tcW w:w="1080" w:type="dxa"/>
            <w:vAlign w:val="bottom"/>
          </w:tcPr>
          <w:p>
            <w:pPr>
              <w:spacing w:after="0"/>
              <w:rPr>
                <w:sz w:val="17"/>
                <w:szCs w:val="17"/>
                <w:color w:val="auto"/>
              </w:rPr>
            </w:pPr>
          </w:p>
        </w:tc>
        <w:tc>
          <w:tcPr>
            <w:tcW w:w="8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6.5 years</w:t>
            </w:r>
          </w:p>
        </w:tc>
        <w:tc>
          <w:tcPr>
            <w:tcW w:w="6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years</w:t>
            </w:r>
          </w:p>
        </w:tc>
      </w:tr>
      <w:tr>
        <w:trPr>
          <w:trHeight w:val="228"/>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interest accretion rate</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4.96 %</w:t>
            </w: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4.94 %</w:t>
            </w:r>
          </w:p>
        </w:tc>
      </w:tr>
      <w:tr>
        <w:trPr>
          <w:trHeight w:val="220"/>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assessments recognized during period</w:t>
            </w:r>
          </w:p>
        </w:tc>
        <w:tc>
          <w:tcPr>
            <w:tcW w:w="1080" w:type="dxa"/>
            <w:vAlign w:val="bottom"/>
          </w:tcPr>
          <w:p>
            <w:pPr>
              <w:jc w:val="right"/>
              <w:ind w:right="923"/>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795</w:t>
            </w:r>
          </w:p>
        </w:tc>
        <w:tc>
          <w:tcPr>
            <w:tcW w:w="120" w:type="dxa"/>
            <w:vAlign w:val="bottom"/>
          </w:tcPr>
          <w:p>
            <w:pPr>
              <w:spacing w:after="0"/>
              <w:rPr>
                <w:sz w:val="19"/>
                <w:szCs w:val="19"/>
                <w:color w:val="auto"/>
              </w:rPr>
            </w:pPr>
          </w:p>
        </w:tc>
        <w:tc>
          <w:tcPr>
            <w:tcW w:w="640" w:type="dxa"/>
            <w:vAlign w:val="bottom"/>
          </w:tcPr>
          <w:p>
            <w:pPr>
              <w:jc w:val="right"/>
              <w:ind w:right="4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801</w:t>
            </w:r>
          </w:p>
        </w:tc>
      </w:tr>
    </w:tbl>
    <w:p>
      <w:pPr>
        <w:spacing w:after="0" w:line="23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measurement of liabilities for secondary guarantees can be significantly impacted by changes in assumptions for policyholder behavior, as well as the expected general account rate of return, which includes assumptions for long-term treasury yields. The Company’s practice of projecting treasury yields uses a mean reversion approach that assumes that long-term interest rates are less influenced by short-term fluctuations and are only changed when sustained interim deviations are expected. As part of the 2026 AAR, the Company updated assumptions regarding policyholder behavior, including mortality, premium persistency, lapses and withdrawals. The Company also increased the long-term general account earned rate, while the mean reversion rate was unchanged. As part of the 2025 AAR, the Company updated assumptions regarding policyholder behavior, including mortality, premium persistency, lapses and withdrawals. The Company also increased the long-term general account earned rate, including an increase in the mean reversion rate from 4.00% to 4.50%. The impact from changes in assumptions, excluding the effects on the ULSG liability for profits followed by losses, is presented in effect of changes in cash flow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the net LFPBs for non-participating traditional and limited-payment contracts and the additional insurance liabilities for universal life-type contracts with secondary guarantees reported in the preceding rollforward tables to LFPBs on the consolidated balance sheets was as follows at:</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20" w:type="dxa"/>
            <w:vAlign w:val="bottom"/>
          </w:tcPr>
          <w:p>
            <w:pPr>
              <w:spacing w:after="0"/>
              <w:rPr>
                <w:sz w:val="16"/>
                <w:szCs w:val="16"/>
                <w:color w:val="auto"/>
              </w:rPr>
            </w:pP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4"/>
        </w:trPr>
        <w:tc>
          <w:tcPr>
            <w:tcW w:w="7760" w:type="dxa"/>
            <w:vAlign w:val="bottom"/>
          </w:tcPr>
          <w:p>
            <w:pPr>
              <w:spacing w:after="0"/>
              <w:rPr>
                <w:sz w:val="16"/>
                <w:szCs w:val="16"/>
                <w:color w:val="auto"/>
              </w:rPr>
            </w:pPr>
          </w:p>
        </w:tc>
        <w:tc>
          <w:tcPr>
            <w:tcW w:w="1080" w:type="dxa"/>
            <w:vAlign w:val="bottom"/>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20" w:type="dxa"/>
            <w:vAlign w:val="bottom"/>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760" w:type="dxa"/>
            <w:vAlign w:val="bottom"/>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94"/>
        </w:trPr>
        <w:tc>
          <w:tcPr>
            <w:tcW w:w="7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40" w:type="dxa"/>
            <w:vAlign w:val="bottom"/>
            <w:gridSpan w:val="3"/>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20" w:type="dxa"/>
            <w:vAlign w:val="bottom"/>
          </w:tcPr>
          <w:p>
            <w:pPr>
              <w:spacing w:after="0"/>
              <w:rPr>
                <w:sz w:val="16"/>
                <w:szCs w:val="16"/>
                <w:color w:val="auto"/>
              </w:rPr>
            </w:pPr>
          </w:p>
        </w:tc>
      </w:tr>
      <w:tr>
        <w:trPr>
          <w:trHeight w:val="38"/>
        </w:trPr>
        <w:tc>
          <w:tcPr>
            <w:tcW w:w="7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reported in the preceding rollforward tables</w:t>
            </w:r>
          </w:p>
        </w:tc>
        <w:tc>
          <w:tcPr>
            <w:tcW w:w="1080" w:type="dxa"/>
            <w:vAlign w:val="bottom"/>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21,804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22,597</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care insurance (1)</w:t>
            </w:r>
          </w:p>
        </w:tc>
        <w:tc>
          <w:tcPr>
            <w:tcW w:w="10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4,702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5,285</w:t>
            </w:r>
          </w:p>
        </w:tc>
      </w:tr>
      <w:tr>
        <w:trPr>
          <w:trHeight w:val="22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ULSG liabilities, including liability for profits followed by losses (2)</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Participating whole life insurance (3)</w:t>
            </w:r>
          </w:p>
        </w:tc>
        <w:tc>
          <w:tcPr>
            <w:tcW w:w="1080" w:type="dxa"/>
            <w:vAlign w:val="bottom"/>
          </w:tcPr>
          <w:p>
            <w:pPr>
              <w:spacing w:after="0"/>
              <w:rPr>
                <w:sz w:val="19"/>
                <w:szCs w:val="19"/>
                <w:color w:val="auto"/>
              </w:rPr>
            </w:pPr>
          </w:p>
        </w:tc>
        <w:tc>
          <w:tcPr>
            <w:tcW w:w="6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3,322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3,276</w:t>
            </w:r>
          </w:p>
        </w:tc>
      </w:tr>
      <w:tr>
        <w:trPr>
          <w:trHeight w:val="22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profit liabilities</w:t>
            </w:r>
          </w:p>
        </w:tc>
        <w:tc>
          <w:tcPr>
            <w:tcW w:w="10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w:t>
            </w:r>
          </w:p>
        </w:tc>
      </w:tr>
      <w:tr>
        <w:trPr>
          <w:trHeight w:val="22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0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46"/>
        </w:trPr>
        <w:tc>
          <w:tcPr>
            <w:tcW w:w="7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liability for future policy benefits</w:t>
            </w:r>
          </w:p>
        </w:tc>
        <w:tc>
          <w:tcPr>
            <w:tcW w:w="1080" w:type="dxa"/>
            <w:vAlign w:val="bottom"/>
            <w:tcBorders>
              <w:bottom w:val="single" w:sz="8" w:color="auto"/>
            </w:tcBorders>
            <w:shd w:val="clear" w:color="auto" w:fill="CCEEFF"/>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30,778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32,021</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fully reinsured individual long-term care insurance. See Note 2.</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assumptions for ULSG liabilities, including the liability for profits followed by losses, was ($236) million and ($1.2) billion for the nine months ended September 30, 2026 and 2025, respectively.</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whole life insurance uses an interest assumption based on the non-forfeiture interest rate, ranging from 3.5% to 4.5%, and mortality rates guaranteed in calculating the cash surrender values described in such contracts, and also includes a liability for terminal dividends. Participating whole life insurance represented 3% of the Company’s life insurance in-force at both September 30, 2026 and 2025, and 37% and 38% of gross traditional life insurance premiums for the nine months ended September 30,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policyholder account balances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00" w:type="dxa"/>
            <w:vAlign w:val="bottom"/>
          </w:tcPr>
          <w:p>
            <w:pPr>
              <w:spacing w:after="0"/>
              <w:rPr>
                <w:sz w:val="12"/>
                <w:szCs w:val="12"/>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Variable Annuities</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5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Company-Owned</w:t>
            </w:r>
          </w:p>
        </w:tc>
        <w:tc>
          <w:tcPr>
            <w:tcW w:w="0" w:type="dxa"/>
            <w:vAlign w:val="bottom"/>
          </w:tcPr>
          <w:p>
            <w:pPr>
              <w:spacing w:after="0"/>
              <w:rPr>
                <w:sz w:val="1"/>
                <w:szCs w:val="1"/>
                <w:color w:val="auto"/>
              </w:rPr>
            </w:pPr>
          </w:p>
        </w:tc>
      </w:tr>
      <w:tr>
        <w:trPr>
          <w:trHeight w:val="179"/>
        </w:trPr>
        <w:tc>
          <w:tcPr>
            <w:tcW w:w="36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2"/>
                <w:szCs w:val="12"/>
                <w:b w:val="1"/>
                <w:bCs w:val="1"/>
                <w:color w:val="auto"/>
              </w:rPr>
              <w:t>(1)</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2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Fixed Rate Annuities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2"/>
                <w:szCs w:val="12"/>
                <w:b w:val="1"/>
                <w:bCs w:val="1"/>
                <w:color w:val="auto"/>
              </w:rPr>
              <w:t>Life Insurance (1)</w:t>
            </w:r>
          </w:p>
        </w:tc>
        <w:tc>
          <w:tcPr>
            <w:tcW w:w="0" w:type="dxa"/>
            <w:vAlign w:val="bottom"/>
          </w:tcPr>
          <w:p>
            <w:pPr>
              <w:spacing w:after="0"/>
              <w:rPr>
                <w:sz w:val="1"/>
                <w:szCs w:val="1"/>
                <w:color w:val="auto"/>
              </w:rPr>
            </w:pPr>
          </w:p>
        </w:tc>
      </w:tr>
      <w:tr>
        <w:trPr>
          <w:trHeight w:val="182"/>
        </w:trPr>
        <w:tc>
          <w:tcPr>
            <w:tcW w:w="3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ind w:left="540"/>
              <w:spacing w:after="0"/>
              <w:rPr>
                <w:sz w:val="20"/>
                <w:szCs w:val="20"/>
                <w:color w:val="auto"/>
              </w:rPr>
            </w:pPr>
            <w:r>
              <w:rPr>
                <w:rFonts w:ascii="Times New Roman" w:cs="Times New Roman" w:eastAsia="Times New Roman" w:hAnsi="Times New Roman"/>
                <w:sz w:val="12"/>
                <w:szCs w:val="12"/>
                <w:b w:val="1"/>
                <w:bCs w:val="1"/>
                <w:color w:val="auto"/>
              </w:rPr>
              <w:t>(Dollars in millions)</w:t>
            </w: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2,627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3,403</w:t>
            </w:r>
          </w:p>
        </w:tc>
        <w:tc>
          <w:tcPr>
            <w:tcW w:w="120" w:type="dxa"/>
            <w:vAlign w:val="bottom"/>
          </w:tcPr>
          <w:p>
            <w:pPr>
              <w:spacing w:after="0"/>
              <w:rPr>
                <w:sz w:val="16"/>
                <w:szCs w:val="16"/>
                <w:color w:val="auto"/>
              </w:rPr>
            </w:pPr>
          </w:p>
        </w:tc>
        <w:tc>
          <w:tcPr>
            <w:tcW w:w="1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52,594</w:t>
            </w:r>
          </w:p>
        </w:tc>
        <w:tc>
          <w:tcPr>
            <w:tcW w:w="10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13,252</w:t>
            </w:r>
          </w:p>
        </w:tc>
        <w:tc>
          <w:tcPr>
            <w:tcW w:w="100" w:type="dxa"/>
            <w:vAlign w:val="bottom"/>
          </w:tcPr>
          <w:p>
            <w:pPr>
              <w:spacing w:after="0"/>
              <w:rPr>
                <w:sz w:val="16"/>
                <w:szCs w:val="16"/>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4,461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646</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196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6,296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440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(396)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(7,047)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(1,028)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(344)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(268)</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92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2,983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2,638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3,131</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55,035</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12,542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4,245</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4"/>
                <w:szCs w:val="14"/>
                <w:color w:val="auto"/>
              </w:rPr>
              <w:t>637</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2.20 %</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1.42 %</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3.10 %</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2,590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3,833</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48,605</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14,665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4,779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1,166</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and deposits</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6,180</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899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Surrenders and withdrawals</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(5,631)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(1,936)</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Benefit payments</w:t>
            </w:r>
          </w:p>
        </w:tc>
        <w:tc>
          <w:tcPr>
            <w:tcW w:w="160" w:type="dxa"/>
            <w:vAlign w:val="bottom"/>
          </w:tcPr>
          <w:p>
            <w:pPr>
              <w:spacing w:after="0"/>
              <w:rPr>
                <w:sz w:val="16"/>
                <w:szCs w:val="16"/>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7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transfers from (to) separate account</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credited</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426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Policy charges</w:t>
            </w: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(724)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Changes related to embedded derivatives</w:t>
            </w:r>
          </w:p>
        </w:tc>
        <w:tc>
          <w:tcPr>
            <w:tcW w:w="160" w:type="dxa"/>
            <w:vAlign w:val="bottom"/>
          </w:tcPr>
          <w:p>
            <w:pPr>
              <w:spacing w:after="0"/>
              <w:rPr>
                <w:sz w:val="16"/>
                <w:szCs w:val="16"/>
                <w:color w:val="auto"/>
              </w:rPr>
            </w:pP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2,751</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80" w:type="dxa"/>
            <w:vAlign w:val="bottom"/>
          </w:tcPr>
          <w:p>
            <w:pPr>
              <w:jc w:val="right"/>
              <w:ind w:right="1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
        </w:trPr>
        <w:tc>
          <w:tcPr>
            <w:tcW w:w="36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2,615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3,529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52,182</w:t>
            </w:r>
          </w:p>
        </w:tc>
        <w:tc>
          <w:tcPr>
            <w:tcW w:w="1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13,777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4,548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647</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crediting rate (2)</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3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2.07 %</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1.44 %</w:t>
            </w: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2.96 %</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2.49 %</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2.30 %</w:t>
            </w:r>
          </w:p>
        </w:tc>
        <w:tc>
          <w:tcPr>
            <w:tcW w:w="0" w:type="dxa"/>
            <w:vAlign w:val="bottom"/>
          </w:tcPr>
          <w:p>
            <w:pPr>
              <w:spacing w:after="0"/>
              <w:rPr>
                <w:sz w:val="1"/>
                <w:szCs w:val="1"/>
                <w:color w:val="auto"/>
              </w:rPr>
            </w:pPr>
          </w:p>
        </w:tc>
      </w:tr>
      <w:tr>
        <w:trPr>
          <w:trHeight w:val="278"/>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liabilities related to separate account products where the contract holder elected a general account investment option.</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the effects of embedded derivatives related to index-linked crediting rates.</w:t>
      </w:r>
    </w:p>
    <w:p>
      <w:pPr>
        <w:spacing w:after="0" w:line="1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policyholder account balances reported in the preceding rollforward table to the liability for policyholder account balances on the consolidated balance sheets was as follows at: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4"/>
        </w:trPr>
        <w:tc>
          <w:tcPr>
            <w:tcW w:w="7800" w:type="dxa"/>
            <w:vAlign w:val="bottom"/>
          </w:tcPr>
          <w:p>
            <w:pPr>
              <w:spacing w:after="0"/>
              <w:rPr>
                <w:sz w:val="16"/>
                <w:szCs w:val="16"/>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4"/>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78,228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77,298</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Funding agreements classified as investment contracts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9,104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9,876</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Institutional group annuities</w:t>
            </w:r>
          </w:p>
        </w:tc>
        <w:tc>
          <w:tcPr>
            <w:tcW w:w="10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investment contract liabilities</w:t>
            </w:r>
          </w:p>
        </w:tc>
        <w:tc>
          <w:tcPr>
            <w:tcW w:w="10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w:t>
            </w:r>
          </w:p>
        </w:tc>
      </w:tr>
      <w:tr>
        <w:trPr>
          <w:trHeight w:val="246"/>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policyholder account balances</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88,803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88,703</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Insurance Liabilities (continued)</w:t>
      </w:r>
    </w:p>
    <w:p>
      <w:pPr>
        <w:spacing w:after="0" w:line="200" w:lineRule="exact"/>
        <w:rPr>
          <w:sz w:val="20"/>
          <w:szCs w:val="20"/>
          <w:color w:val="auto"/>
        </w:rPr>
      </w:pPr>
    </w:p>
    <w:p>
      <w:pPr>
        <w:spacing w:after="0" w:line="258"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balance of account values by range of guaranteed minimum crediting rates and the related range of difference, in basis points, between rates being credited to policyholders and the respective guaranteed minimums was as follows at: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At Guaranteed</w:t>
            </w:r>
          </w:p>
        </w:tc>
        <w:tc>
          <w:tcPr>
            <w:tcW w:w="14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1 to 50 Basis Points</w:t>
            </w:r>
          </w:p>
        </w:tc>
        <w:tc>
          <w:tcPr>
            <w:tcW w:w="16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51 to 150 Basis</w:t>
            </w:r>
          </w:p>
        </w:tc>
        <w:tc>
          <w:tcPr>
            <w:tcW w:w="8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Greater than 150</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Guaranteed Minimum Crediting Rate</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280" w:type="dxa"/>
            <w:vAlign w:val="bottom"/>
          </w:tcPr>
          <w:p>
            <w:pPr>
              <w:spacing w:after="0"/>
              <w:rPr>
                <w:sz w:val="16"/>
                <w:szCs w:val="16"/>
                <w:color w:val="auto"/>
              </w:rPr>
            </w:pPr>
          </w:p>
        </w:tc>
        <w:tc>
          <w:tcPr>
            <w:tcW w:w="11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w w:val="99"/>
              </w:rPr>
              <w:t>Above</w:t>
            </w:r>
          </w:p>
        </w:tc>
        <w:tc>
          <w:tcPr>
            <w:tcW w:w="160" w:type="dxa"/>
            <w:vAlign w:val="bottom"/>
          </w:tcPr>
          <w:p>
            <w:pPr>
              <w:spacing w:after="0"/>
              <w:rPr>
                <w:sz w:val="16"/>
                <w:szCs w:val="16"/>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Points Above</w:t>
            </w:r>
          </w:p>
        </w:tc>
        <w:tc>
          <w:tcPr>
            <w:tcW w:w="80" w:type="dxa"/>
            <w:vAlign w:val="bottom"/>
          </w:tcPr>
          <w:p>
            <w:pPr>
              <w:spacing w:after="0"/>
              <w:rPr>
                <w:sz w:val="16"/>
                <w:szCs w:val="16"/>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Basis Points Above</w:t>
            </w:r>
          </w:p>
        </w:tc>
        <w:tc>
          <w:tcPr>
            <w:tcW w:w="300" w:type="dxa"/>
            <w:vAlign w:val="bottom"/>
          </w:tcPr>
          <w:p>
            <w:pPr>
              <w:spacing w:after="0"/>
              <w:rPr>
                <w:sz w:val="16"/>
                <w:szCs w:val="16"/>
                <w:color w:val="auto"/>
              </w:rPr>
            </w:pPr>
          </w:p>
        </w:tc>
        <w:tc>
          <w:tcPr>
            <w:tcW w:w="1040" w:type="dxa"/>
            <w:vAlign w:val="bottom"/>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4"/>
        </w:trPr>
        <w:tc>
          <w:tcPr>
            <w:tcW w:w="4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8,474</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7,092</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05"/>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6,906</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8,112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16,255</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6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651</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0" w:type="dxa"/>
            <w:vAlign w:val="bottom"/>
          </w:tcPr>
          <w:p>
            <w:pPr>
              <w:spacing w:after="0"/>
              <w:rPr>
                <w:sz w:val="1"/>
                <w:szCs w:val="1"/>
                <w:color w:val="auto"/>
              </w:rPr>
            </w:pPr>
          </w:p>
        </w:tc>
      </w:tr>
      <w:tr>
        <w:trPr>
          <w:trHeight w:val="24"/>
        </w:trPr>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2,560</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3,770</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0" w:type="dxa"/>
            <w:vAlign w:val="bottom"/>
          </w:tcPr>
          <w:p>
            <w:pPr>
              <w:spacing w:after="0"/>
              <w:rPr>
                <w:sz w:val="1"/>
                <w:szCs w:val="1"/>
                <w:color w:val="auto"/>
              </w:rPr>
            </w:pPr>
          </w:p>
        </w:tc>
      </w:tr>
      <w:tr>
        <w:trPr>
          <w:trHeight w:val="205"/>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1,372</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1,216</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4,232</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6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Annuities (1):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8,134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8,842</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0" w:type="dxa"/>
            <w:vAlign w:val="bottom"/>
          </w:tcPr>
          <w:p>
            <w:pPr>
              <w:spacing w:after="0"/>
              <w:rPr>
                <w:sz w:val="1"/>
                <w:szCs w:val="1"/>
                <w:color w:val="auto"/>
              </w:rPr>
            </w:pPr>
          </w:p>
        </w:tc>
      </w:tr>
      <w:tr>
        <w:trPr>
          <w:trHeight w:val="205"/>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7,417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8,461</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17,207</w:t>
            </w:r>
          </w:p>
        </w:tc>
        <w:tc>
          <w:tcPr>
            <w:tcW w:w="0" w:type="dxa"/>
            <w:vAlign w:val="bottom"/>
          </w:tcPr>
          <w:p>
            <w:pPr>
              <w:spacing w:after="0"/>
              <w:rPr>
                <w:sz w:val="1"/>
                <w:szCs w:val="1"/>
                <w:color w:val="auto"/>
              </w:rPr>
            </w:pP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160" w:type="dxa"/>
            <w:vAlign w:val="bottom"/>
            <w:tcBorders>
              <w:bottom w:val="single" w:sz="8" w:color="CCEEFF"/>
            </w:tcBorders>
            <w:gridSpan w:val="2"/>
            <w:shd w:val="clear" w:color="auto" w:fill="CCEEFF"/>
          </w:tcPr>
          <w:p>
            <w:pPr>
              <w:ind w:left="20"/>
              <w:spacing w:after="0" w:line="154" w:lineRule="exact"/>
              <w:rPr>
                <w:sz w:val="20"/>
                <w:szCs w:val="20"/>
                <w:color w:val="auto"/>
              </w:rPr>
            </w:pPr>
            <w:r>
              <w:rPr>
                <w:rFonts w:ascii="Times New Roman" w:cs="Times New Roman" w:eastAsia="Times New Roman" w:hAnsi="Times New Roman"/>
                <w:sz w:val="14"/>
                <w:szCs w:val="14"/>
                <w:b w:val="1"/>
                <w:bCs w:val="1"/>
                <w:color w:val="auto"/>
              </w:rPr>
              <w:t>Life insurance (2) (3):</w:t>
            </w:r>
          </w:p>
        </w:tc>
        <w:tc>
          <w:tcPr>
            <w:tcW w:w="160" w:type="dxa"/>
            <w:vAlign w:val="bottom"/>
            <w:tcBorders>
              <w:bottom w:val="single" w:sz="8" w:color="CCEEFF"/>
            </w:tcBorders>
            <w:shd w:val="clear" w:color="auto" w:fill="CCEEFF"/>
          </w:tcPr>
          <w:p>
            <w:pPr>
              <w:spacing w:after="0"/>
              <w:rPr>
                <w:sz w:val="13"/>
                <w:szCs w:val="13"/>
                <w:color w:val="auto"/>
              </w:rPr>
            </w:pPr>
          </w:p>
        </w:tc>
        <w:tc>
          <w:tcPr>
            <w:tcW w:w="11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100" w:type="dxa"/>
            <w:vAlign w:val="bottom"/>
          </w:tcPr>
          <w:p>
            <w:pPr>
              <w:spacing w:after="0"/>
              <w:rPr>
                <w:sz w:val="16"/>
                <w:szCs w:val="16"/>
                <w:color w:val="auto"/>
              </w:rPr>
            </w:pPr>
          </w:p>
        </w:tc>
        <w:tc>
          <w:tcPr>
            <w:tcW w:w="30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413</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0" w:type="dxa"/>
            <w:vAlign w:val="bottom"/>
          </w:tcPr>
          <w:p>
            <w:pPr>
              <w:spacing w:after="0"/>
              <w:rPr>
                <w:sz w:val="1"/>
                <w:szCs w:val="1"/>
                <w:color w:val="auto"/>
              </w:rPr>
            </w:pPr>
          </w:p>
        </w:tc>
      </w:tr>
      <w:tr>
        <w:trPr>
          <w:trHeight w:val="24"/>
        </w:trPr>
        <w:tc>
          <w:tcPr>
            <w:tcW w:w="4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525</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2,566</w:t>
            </w: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ULSG (3):</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41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than 2.00%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2.00% to 3.99%</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3,962</w:t>
            </w: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Greater than 3.99%</w:t>
            </w:r>
          </w:p>
        </w:tc>
        <w:tc>
          <w:tcPr>
            <w:tcW w:w="16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w:t>
            </w:r>
          </w:p>
        </w:tc>
        <w:tc>
          <w:tcPr>
            <w:tcW w:w="0" w:type="dxa"/>
            <w:vAlign w:val="bottom"/>
          </w:tcPr>
          <w:p>
            <w:pPr>
              <w:spacing w:after="0"/>
              <w:rPr>
                <w:sz w:val="1"/>
                <w:szCs w:val="1"/>
                <w:color w:val="auto"/>
              </w:rPr>
            </w:pPr>
          </w:p>
        </w:tc>
      </w:tr>
      <w:tr>
        <w:trPr>
          <w:trHeight w:val="205"/>
        </w:trPr>
        <w:tc>
          <w:tcPr>
            <w:tcW w:w="41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1,496</w:t>
            </w:r>
          </w:p>
        </w:tc>
        <w:tc>
          <w:tcPr>
            <w:tcW w:w="12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4,446</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fixed rate annuities and the fixed account portion of variable annuities.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policyholder account balances for retained asset accounts, universal life policies and the fixed account portion of universal variable life insurance policies.</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gross of policy loans.</w:t>
      </w:r>
    </w:p>
    <w:p>
      <w:pPr>
        <w:spacing w:after="0" w:line="111" w:lineRule="exact"/>
        <w:rPr>
          <w:rFonts w:ascii="Times New Roman" w:cs="Times New Roman" w:eastAsia="Times New Roman" w:hAnsi="Times New Roman"/>
          <w:sz w:val="18"/>
          <w:szCs w:val="18"/>
          <w:color w:val="auto"/>
        </w:rPr>
      </w:pPr>
    </w:p>
    <w:p>
      <w:pPr>
        <w:ind w:left="3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5 for information regarding net amount at risk and cash surrender values.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 Risk Benefits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MRB assets and liabilities associated with variable annuities was as follows:</w:t>
      </w:r>
    </w:p>
    <w:p>
      <w:pPr>
        <w:spacing w:after="0" w:line="224"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77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31115</wp:posOffset>
            </wp:positionV>
            <wp:extent cx="218757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187575" cy="8255"/>
                    </a:xfrm>
                    <a:prstGeom prst="rect">
                      <a:avLst/>
                    </a:prstGeom>
                    <a:noFill/>
                  </pic:spPr>
                </pic:pic>
              </a:graphicData>
            </a:graphic>
          </wp:anchor>
        </w:drawing>
      </w:r>
    </w:p>
    <w:p>
      <w:pPr>
        <w:spacing w:after="0" w:line="57"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760" w:type="dxa"/>
            <w:vAlign w:val="bottom"/>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4"/>
        </w:trPr>
        <w:tc>
          <w:tcPr>
            <w:tcW w:w="77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40" w:type="dxa"/>
            <w:vAlign w:val="bottom"/>
          </w:tcPr>
          <w:p>
            <w:pPr>
              <w:spacing w:after="0"/>
              <w:rPr>
                <w:sz w:val="16"/>
                <w:szCs w:val="16"/>
                <w:color w:val="auto"/>
              </w:rPr>
            </w:pPr>
          </w:p>
        </w:tc>
      </w:tr>
      <w:tr>
        <w:trPr>
          <w:trHeight w:val="38"/>
        </w:trPr>
        <w:tc>
          <w:tcPr>
            <w:tcW w:w="77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00" w:type="dxa"/>
            <w:vAlign w:val="bottom"/>
            <w:shd w:val="clear" w:color="auto" w:fill="CCEEFF"/>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7,001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7,233</w:t>
            </w:r>
          </w:p>
        </w:tc>
      </w:tr>
      <w:tr>
        <w:trPr>
          <w:trHeight w:val="223"/>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 before effect of changes in nonperformance risk</w:t>
            </w:r>
          </w:p>
        </w:tc>
        <w:tc>
          <w:tcPr>
            <w:tcW w:w="10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5,219</w:t>
            </w:r>
          </w:p>
        </w:tc>
      </w:tr>
      <w:tr>
        <w:trPr>
          <w:trHeight w:val="228"/>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Decrements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future expected assumptions</w:t>
            </w:r>
          </w:p>
        </w:tc>
        <w:tc>
          <w:tcPr>
            <w:tcW w:w="10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540</w:t>
            </w:r>
          </w:p>
        </w:tc>
      </w:tr>
      <w:tr>
        <w:trPr>
          <w:trHeight w:val="228"/>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actual different from expected experience</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interest rates</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w:t>
            </w:r>
          </w:p>
        </w:tc>
      </w:tr>
      <w:tr>
        <w:trPr>
          <w:trHeight w:val="228"/>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fund returns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equity index volatility</w:t>
            </w:r>
          </w:p>
        </w:tc>
        <w:tc>
          <w:tcPr>
            <w:tcW w:w="10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r>
      <w:tr>
        <w:trPr>
          <w:trHeight w:val="228"/>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Issuances</w:t>
            </w:r>
          </w:p>
        </w:tc>
        <w:tc>
          <w:tcPr>
            <w:tcW w:w="10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Effect of changes in risk margin</w:t>
            </w:r>
          </w:p>
        </w:tc>
        <w:tc>
          <w:tcPr>
            <w:tcW w:w="10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2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Aging of the block and other</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841</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w:t>
            </w:r>
          </w:p>
        </w:tc>
      </w:tr>
      <w:tr>
        <w:trPr>
          <w:trHeight w:val="21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before effect of changes in nonperformance risk</w:t>
            </w:r>
          </w:p>
        </w:tc>
        <w:tc>
          <w:tcPr>
            <w:tcW w:w="10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4,217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5,617</w:t>
            </w:r>
          </w:p>
        </w:tc>
      </w:tr>
      <w:tr>
        <w:trPr>
          <w:trHeight w:val="22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changes in nonperformance risk</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1,198</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1,918</w:t>
            </w:r>
          </w:p>
        </w:tc>
      </w:tr>
      <w:tr>
        <w:trPr>
          <w:trHeight w:val="218"/>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000" w:type="dxa"/>
            <w:vAlign w:val="bottom"/>
          </w:tcPr>
          <w:p>
            <w:pPr>
              <w:spacing w:after="0"/>
              <w:rPr>
                <w:sz w:val="19"/>
                <w:szCs w:val="19"/>
                <w:color w:val="auto"/>
              </w:rPr>
            </w:pP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5,415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7,535</w:t>
            </w:r>
          </w:p>
        </w:tc>
      </w:tr>
      <w:tr>
        <w:trPr>
          <w:trHeight w:val="225"/>
        </w:trPr>
        <w:tc>
          <w:tcPr>
            <w:tcW w:w="7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Reinsurance recoverable, end of period</w:t>
            </w:r>
          </w:p>
        </w:tc>
        <w:tc>
          <w:tcPr>
            <w:tcW w:w="10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21"/>
        </w:trPr>
        <w:tc>
          <w:tcPr>
            <w:tcW w:w="7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 net of reinsurance (1)</w:t>
            </w:r>
          </w:p>
        </w:tc>
        <w:tc>
          <w:tcPr>
            <w:tcW w:w="1000" w:type="dxa"/>
            <w:vAlign w:val="bottom"/>
            <w:tcBorders>
              <w:bottom w:val="single" w:sz="8" w:color="auto"/>
            </w:tcBorders>
          </w:tcPr>
          <w:p>
            <w:pPr>
              <w:jc w:val="right"/>
              <w:ind w:right="8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5,419</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7,521</w:t>
            </w:r>
          </w:p>
        </w:tc>
      </w:tr>
      <w:tr>
        <w:trPr>
          <w:trHeight w:val="20"/>
        </w:trPr>
        <w:tc>
          <w:tcPr>
            <w:tcW w:w="776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attained age of contract holder</w:t>
            </w:r>
          </w:p>
        </w:tc>
        <w:tc>
          <w:tcPr>
            <w:tcW w:w="10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75.2 years</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 years</w:t>
            </w: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sum of MRB assets and MRB liabilities presented on the consolidated balance sheets at September 30, 2026 and 2025, with the exception of ($37) million and $29 million, respectively, of index-linked annuity MRBs not included in this table.</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Market conditions, including, but not limited to, changes in interest rates, equity indices, market volatility and variations in actuarial assumptions, including policyholder behavior, mortality and risk margins related to non-capital markets inputs, as well as changes in nonperformance risk, may result in significant fluctuations in the estimated fair value of the guarantees. As part of the 2026 and 2025 AARs, the Company updated assumptions regarding policyholder behavior, mortality and separate account fund allocations. The impact from changes in assumptions is presented in effect of changes in future expected assumptions in the table above.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Separate Accounts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separate account liabilities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4"/>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23"/>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center"/>
              <w:ind w:right="6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r>
      <w:tr>
        <w:trPr>
          <w:trHeight w:val="181"/>
        </w:trPr>
        <w:tc>
          <w:tcPr>
            <w:tcW w:w="3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Company-Owned</w:t>
            </w:r>
          </w:p>
        </w:tc>
        <w:tc>
          <w:tcPr>
            <w:tcW w:w="180" w:type="dxa"/>
            <w:vAlign w:val="bottom"/>
          </w:tcPr>
          <w:p>
            <w:pPr>
              <w:spacing w:after="0"/>
              <w:rPr>
                <w:sz w:val="15"/>
                <w:szCs w:val="15"/>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Company-Owned</w:t>
            </w:r>
          </w:p>
        </w:tc>
      </w:tr>
      <w:tr>
        <w:trPr>
          <w:trHeight w:val="186"/>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20" w:type="dxa"/>
            <w:vAlign w:val="bottom"/>
          </w:tcPr>
          <w:p>
            <w:pPr>
              <w:spacing w:after="0"/>
              <w:rPr>
                <w:sz w:val="16"/>
                <w:szCs w:val="16"/>
                <w:color w:val="auto"/>
              </w:rPr>
            </w:pPr>
          </w:p>
        </w:tc>
        <w:tc>
          <w:tcPr>
            <w:tcW w:w="1040" w:type="dxa"/>
            <w:vAlign w:val="bottom"/>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Life Insurance</w:t>
            </w:r>
          </w:p>
        </w:tc>
      </w:tr>
      <w:tr>
        <w:trPr>
          <w:trHeight w:val="38"/>
        </w:trPr>
        <w:tc>
          <w:tcPr>
            <w:tcW w:w="38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5"/>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4"/>
        </w:trPr>
        <w:tc>
          <w:tcPr>
            <w:tcW w:w="3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2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8"/>
        </w:trPr>
        <w:tc>
          <w:tcPr>
            <w:tcW w:w="3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5"/>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 and deposits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Surrenders and withdrawals</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payments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performance</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charges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r>
      <w:tr>
        <w:trPr>
          <w:trHeight w:val="228"/>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transfers from (to) general account</w:t>
            </w: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223"/>
        </w:trPr>
        <w:tc>
          <w:tcPr>
            <w:tcW w:w="3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46"/>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71,771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77,515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 reconciliation of separate account liabilities reported in the preceding rollforward table to the separate account liabilities balance on the consolidated balance sheets was as follows at: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6"/>
                <w:szCs w:val="16"/>
                <w:color w:val="auto"/>
              </w:rPr>
            </w:pP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4"/>
        </w:trPr>
        <w:tc>
          <w:tcPr>
            <w:tcW w:w="7800" w:type="dxa"/>
            <w:vAlign w:val="bottom"/>
          </w:tcPr>
          <w:p>
            <w:pPr>
              <w:spacing w:after="0"/>
              <w:rPr>
                <w:sz w:val="16"/>
                <w:szCs w:val="16"/>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140" w:type="dxa"/>
            <w:vAlign w:val="bottom"/>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8"/>
        </w:trPr>
        <w:tc>
          <w:tcPr>
            <w:tcW w:w="7800" w:type="dxa"/>
            <w:vAlign w:val="bottom"/>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94"/>
        </w:trPr>
        <w:tc>
          <w:tcPr>
            <w:tcW w:w="7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16"/>
                <w:szCs w:val="16"/>
                <w:color w:val="auto"/>
              </w:rPr>
            </w:pPr>
          </w:p>
        </w:tc>
      </w:tr>
      <w:tr>
        <w:trPr>
          <w:trHeight w:val="37"/>
        </w:trPr>
        <w:tc>
          <w:tcPr>
            <w:tcW w:w="7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 reported in the preceding rollforward table</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81,334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86,844</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Variable income annuities</w:t>
            </w:r>
          </w:p>
        </w:tc>
        <w:tc>
          <w:tcPr>
            <w:tcW w:w="10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Pension risk transfer annuities</w:t>
            </w:r>
          </w:p>
        </w:tc>
        <w:tc>
          <w:tcPr>
            <w:tcW w:w="10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21"/>
        </w:trPr>
        <w:tc>
          <w:tcPr>
            <w:tcW w:w="7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separate account liabilities</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81,648</w:t>
            </w:r>
          </w:p>
        </w:tc>
        <w:tc>
          <w:tcPr>
            <w:tcW w:w="120" w:type="dxa"/>
            <w:vAlign w:val="bottom"/>
          </w:tcPr>
          <w:p>
            <w:pPr>
              <w:spacing w:after="0"/>
              <w:rPr>
                <w:sz w:val="19"/>
                <w:szCs w:val="19"/>
                <w:color w:val="auto"/>
              </w:rPr>
            </w:pPr>
          </w:p>
        </w:tc>
        <w:tc>
          <w:tcPr>
            <w:tcW w:w="5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87,127</w:t>
            </w:r>
          </w:p>
        </w:tc>
      </w:tr>
      <w:tr>
        <w:trPr>
          <w:trHeight w:val="20"/>
        </w:trPr>
        <w:tc>
          <w:tcPr>
            <w:tcW w:w="78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aggregate estimated fair value of assets, by major investment asset category, supporting separate accounts was as follows at: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280" w:type="dxa"/>
            <w:vAlign w:val="bottom"/>
            <w:tcBorders>
              <w:bottom w:val="single" w:sz="8" w:color="auto"/>
            </w:tcBorders>
            <w:gridSpan w:val="4"/>
          </w:tcPr>
          <w:p>
            <w:pPr>
              <w:spacing w:after="0"/>
              <w:rPr>
                <w:sz w:val="2"/>
                <w:szCs w:val="2"/>
                <w:color w:val="auto"/>
              </w:rPr>
            </w:pPr>
          </w:p>
        </w:tc>
      </w:tr>
      <w:tr>
        <w:trPr>
          <w:trHeight w:val="194"/>
        </w:trPr>
        <w:tc>
          <w:tcPr>
            <w:tcW w:w="7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8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38"/>
        </w:trPr>
        <w:tc>
          <w:tcPr>
            <w:tcW w:w="78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tcPr>
          <w:p>
            <w:pPr>
              <w:spacing w:after="0"/>
              <w:rPr>
                <w:sz w:val="3"/>
                <w:szCs w:val="3"/>
                <w:color w:val="auto"/>
              </w:rPr>
            </w:pP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81,449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85,314</w:t>
            </w:r>
          </w:p>
        </w:tc>
      </w:tr>
      <w:tr>
        <w:trPr>
          <w:trHeight w:val="223"/>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28"/>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6"/>
        </w:trPr>
        <w:tc>
          <w:tcPr>
            <w:tcW w:w="78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aggregate estimated fair value of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Separate Accounts (continued)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Amount at Risk and Cash Surrender Values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Information regarding the net amount at risk and cash surrender value for insurance products was as follows at: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Universal Life</w:t>
            </w:r>
          </w:p>
        </w:tc>
        <w:tc>
          <w:tcPr>
            <w:tcW w:w="180" w:type="dxa"/>
            <w:vAlign w:val="bottom"/>
          </w:tcPr>
          <w:p>
            <w:pPr>
              <w:spacing w:after="0"/>
              <w:rPr>
                <w:sz w:val="12"/>
                <w:szCs w:val="12"/>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8"/>
              </w:rPr>
              <w:t>Variable</w:t>
            </w:r>
          </w:p>
        </w:tc>
        <w:tc>
          <w:tcPr>
            <w:tcW w:w="14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Index-linked</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Fixed Rate</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b w:val="1"/>
                <w:bCs w:val="1"/>
                <w:color w:val="auto"/>
              </w:rPr>
              <w:t>Company-Owned</w:t>
            </w:r>
          </w:p>
        </w:tc>
      </w:tr>
      <w:tr>
        <w:trPr>
          <w:trHeight w:val="186"/>
        </w:trPr>
        <w:tc>
          <w:tcPr>
            <w:tcW w:w="4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2"/>
                <w:szCs w:val="12"/>
                <w:b w:val="1"/>
                <w:bCs w:val="1"/>
                <w:color w:val="auto"/>
              </w:rPr>
              <w:t>Insurance</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2"/>
                <w:szCs w:val="12"/>
                <w:b w:val="1"/>
                <w:bCs w:val="1"/>
                <w:color w:val="auto"/>
              </w:rPr>
              <w:t>ULSG</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2"/>
                <w:szCs w:val="12"/>
                <w:b w:val="1"/>
                <w:bCs w:val="1"/>
                <w:color w:val="auto"/>
              </w:rPr>
              <w:t>Life Insurance</w:t>
            </w:r>
          </w:p>
        </w:tc>
      </w:tr>
      <w:tr>
        <w:trPr>
          <w:trHeight w:val="177"/>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00" w:type="dxa"/>
            <w:vAlign w:val="bottom"/>
            <w:gridSpan w:val="5"/>
          </w:tcPr>
          <w:p>
            <w:pPr>
              <w:ind w:left="62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47"/>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2,638</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3,131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4,245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637</w:t>
            </w:r>
          </w:p>
        </w:tc>
      </w:tr>
      <w:tr>
        <w:trPr>
          <w:trHeight w:val="23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7,069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71,771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2,494</w:t>
            </w:r>
          </w:p>
        </w:tc>
      </w:tr>
      <w:tr>
        <w:trPr>
          <w:trHeight w:val="263"/>
        </w:trPr>
        <w:tc>
          <w:tcPr>
            <w:tcW w:w="464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9,707</w:t>
            </w:r>
          </w:p>
        </w:tc>
        <w:tc>
          <w:tcPr>
            <w:tcW w:w="8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74,902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55,035</w:t>
            </w:r>
          </w:p>
        </w:tc>
        <w:tc>
          <w:tcPr>
            <w:tcW w:w="100" w:type="dxa"/>
            <w:vAlign w:val="bottom"/>
            <w:tcBorders>
              <w:top w:val="single" w:sz="8" w:color="CCEEFF"/>
              <w:bottom w:val="single" w:sz="8" w:color="auto"/>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4,245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3,131</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r>
        <w:trPr>
          <w:trHeight w:val="202"/>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30,080</w:t>
            </w:r>
          </w:p>
        </w:tc>
        <w:tc>
          <w:tcPr>
            <w:tcW w:w="80" w:type="dxa"/>
            <w:vAlign w:val="bottom"/>
          </w:tcPr>
          <w:p>
            <w:pPr>
              <w:spacing w:after="0"/>
              <w:rPr>
                <w:sz w:val="17"/>
                <w:szCs w:val="17"/>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12,344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7"/>
                <w:szCs w:val="17"/>
                <w:color w:val="auto"/>
              </w:rPr>
            </w:pPr>
          </w:p>
        </w:tc>
        <w:tc>
          <w:tcPr>
            <w:tcW w:w="960" w:type="dxa"/>
            <w:vAlign w:val="bottom"/>
            <w:gridSpan w:val="2"/>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60,569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2,556</w:t>
            </w:r>
          </w:p>
        </w:tc>
      </w:tr>
      <w:tr>
        <w:trPr>
          <w:trHeight w:val="248"/>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9,139</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74,586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56,376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3,873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2,934</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4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 balances reported in the preceding rollforward tables: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3,529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4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77,515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w:t>
            </w:r>
          </w:p>
        </w:tc>
      </w:tr>
      <w:tr>
        <w:trPr>
          <w:trHeight w:val="238"/>
        </w:trPr>
        <w:tc>
          <w:tcPr>
            <w:tcW w:w="4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 account balances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9,474</w:t>
            </w:r>
          </w:p>
        </w:tc>
        <w:tc>
          <w:tcPr>
            <w:tcW w:w="8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81,044</w:t>
            </w: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52,182</w:t>
            </w:r>
          </w:p>
        </w:tc>
        <w:tc>
          <w:tcPr>
            <w:tcW w:w="10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13,777</w:t>
            </w:r>
          </w:p>
        </w:tc>
        <w:tc>
          <w:tcPr>
            <w:tcW w:w="100" w:type="dxa"/>
            <w:vAlign w:val="bottom"/>
          </w:tcPr>
          <w:p>
            <w:pPr>
              <w:spacing w:after="0"/>
              <w:rPr>
                <w:sz w:val="20"/>
                <w:szCs w:val="20"/>
                <w:color w:val="auto"/>
              </w:rPr>
            </w:pPr>
          </w:p>
        </w:tc>
        <w:tc>
          <w:tcPr>
            <w:tcW w:w="22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4,548</w:t>
            </w: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3,117</w:t>
            </w: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232"/>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amount at risk</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31,883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11,853</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N/A</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62,181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2,649</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surrender value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8,877</w:t>
            </w:r>
          </w:p>
        </w:tc>
        <w:tc>
          <w:tcPr>
            <w:tcW w:w="80" w:type="dxa"/>
            <w:vAlign w:val="bottom"/>
          </w:tcPr>
          <w:p>
            <w:pPr>
              <w:spacing w:after="0"/>
              <w:rPr>
                <w:sz w:val="19"/>
                <w:szCs w:val="19"/>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80,688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13,779</w:t>
            </w:r>
          </w:p>
        </w:tc>
        <w:tc>
          <w:tcPr>
            <w:tcW w:w="100" w:type="dxa"/>
            <w:vAlign w:val="bottom"/>
          </w:tcPr>
          <w:p>
            <w:pPr>
              <w:spacing w:after="0"/>
              <w:rPr>
                <w:sz w:val="19"/>
                <w:szCs w:val="19"/>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4,144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2,918</w:t>
            </w:r>
          </w:p>
        </w:tc>
      </w:tr>
    </w:tbl>
    <w:p>
      <w:pPr>
        <w:spacing w:after="0" w:line="25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Products may contain both separate account and general account fund options; accordingly, net amount at risk and cash surrender value reported in the table above relate to the total account balance for each respective product grouping.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Policy Acquisition Costs and Value of Business Acquired</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policy acquisition costs (“DAC”) and value of business acquired (“VOBA”)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Index-linked</w:t>
            </w:r>
          </w:p>
        </w:tc>
        <w:tc>
          <w:tcPr>
            <w:tcW w:w="10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Term and Whole</w:t>
            </w:r>
          </w:p>
        </w:tc>
        <w:tc>
          <w:tcPr>
            <w:tcW w:w="140" w:type="dxa"/>
            <w:vAlign w:val="bottom"/>
          </w:tcPr>
          <w:p>
            <w:pPr>
              <w:spacing w:after="0"/>
              <w:rPr>
                <w:sz w:val="14"/>
                <w:szCs w:val="14"/>
                <w:color w:val="auto"/>
              </w:rPr>
            </w:pPr>
          </w:p>
        </w:tc>
        <w:tc>
          <w:tcPr>
            <w:tcW w:w="108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Universal Life</w:t>
            </w:r>
          </w:p>
        </w:tc>
      </w:tr>
      <w:tr>
        <w:trPr>
          <w:trHeight w:val="186"/>
        </w:trPr>
        <w:tc>
          <w:tcPr>
            <w:tcW w:w="4740" w:type="dxa"/>
            <w:vAlign w:val="bottom"/>
          </w:tcPr>
          <w:p>
            <w:pPr>
              <w:spacing w:after="0"/>
              <w:rPr>
                <w:sz w:val="16"/>
                <w:szCs w:val="16"/>
                <w:color w:val="auto"/>
              </w:rPr>
            </w:pPr>
          </w:p>
        </w:tc>
        <w:tc>
          <w:tcPr>
            <w:tcW w:w="13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Variable Annuities</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0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Life Insurance</w:t>
            </w:r>
          </w:p>
        </w:tc>
        <w:tc>
          <w:tcPr>
            <w:tcW w:w="140" w:type="dxa"/>
            <w:vAlign w:val="bottom"/>
          </w:tcPr>
          <w:p>
            <w:pPr>
              <w:spacing w:after="0"/>
              <w:rPr>
                <w:sz w:val="16"/>
                <w:szCs w:val="16"/>
                <w:color w:val="auto"/>
              </w:rPr>
            </w:pPr>
          </w:p>
        </w:tc>
        <w:tc>
          <w:tcPr>
            <w:tcW w:w="108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Insurance</w:t>
            </w:r>
          </w:p>
        </w:tc>
      </w:tr>
      <w:tr>
        <w:trPr>
          <w:trHeight w:val="38"/>
        </w:trPr>
        <w:tc>
          <w:tcPr>
            <w:tcW w:w="474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94"/>
        </w:trPr>
        <w:tc>
          <w:tcPr>
            <w:tcW w:w="4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8"/>
        </w:trPr>
        <w:tc>
          <w:tcPr>
            <w:tcW w:w="4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0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1,655</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9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4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DAC:</w:t>
            </w: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8"/>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08"/>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VOBA:</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5"/>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8"/>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Pr>
          <w:p>
            <w:pPr>
              <w:spacing w:after="0"/>
              <w:rPr>
                <w:sz w:val="19"/>
                <w:szCs w:val="19"/>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r>
      <w:tr>
        <w:trPr>
          <w:trHeight w:val="208"/>
        </w:trPr>
        <w:tc>
          <w:tcPr>
            <w:tcW w:w="4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DAC and VOBA:</w:t>
            </w:r>
          </w:p>
        </w:tc>
        <w:tc>
          <w:tcPr>
            <w:tcW w:w="4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r>
      <w:tr>
        <w:trPr>
          <w:trHeight w:val="225"/>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1,553</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353</w:t>
            </w:r>
          </w:p>
        </w:tc>
      </w:tr>
      <w:tr>
        <w:trPr>
          <w:trHeight w:val="20"/>
        </w:trPr>
        <w:tc>
          <w:tcPr>
            <w:tcW w:w="47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Sales Inducements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deferred sales inducements, included in other assets, was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4"/>
        </w:trPr>
        <w:tc>
          <w:tcPr>
            <w:tcW w:w="6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4"/>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r>
      <w:tr>
        <w:trPr>
          <w:trHeight w:val="167"/>
        </w:trPr>
        <w:tc>
          <w:tcPr>
            <w:tcW w:w="6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Fixed Rate</w:t>
            </w:r>
          </w:p>
        </w:tc>
        <w:tc>
          <w:tcPr>
            <w:tcW w:w="18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Variable</w:t>
            </w:r>
          </w:p>
        </w:tc>
        <w:tc>
          <w:tcPr>
            <w:tcW w:w="180" w:type="dxa"/>
            <w:vAlign w:val="bottom"/>
          </w:tcPr>
          <w:p>
            <w:pPr>
              <w:spacing w:after="0"/>
              <w:rPr>
                <w:sz w:val="14"/>
                <w:szCs w:val="14"/>
                <w:color w:val="auto"/>
              </w:rPr>
            </w:pPr>
          </w:p>
        </w:tc>
        <w:tc>
          <w:tcPr>
            <w:tcW w:w="98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Fixed Rate</w:t>
            </w:r>
          </w:p>
        </w:tc>
      </w:tr>
      <w:tr>
        <w:trPr>
          <w:trHeight w:val="186"/>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8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80" w:type="dxa"/>
            <w:vAlign w:val="bottom"/>
          </w:tcPr>
          <w:p>
            <w:pPr>
              <w:spacing w:after="0"/>
              <w:rPr>
                <w:sz w:val="16"/>
                <w:szCs w:val="16"/>
                <w:color w:val="auto"/>
              </w:rPr>
            </w:pPr>
          </w:p>
        </w:tc>
        <w:tc>
          <w:tcPr>
            <w:tcW w:w="980" w:type="dxa"/>
            <w:vAlign w:val="bottom"/>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51"/>
        </w:trPr>
        <w:tc>
          <w:tcPr>
            <w:tcW w:w="63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gridSpan w:val="5"/>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r>
      <w:tr>
        <w:trPr>
          <w:trHeight w:val="194"/>
        </w:trPr>
        <w:tc>
          <w:tcPr>
            <w:tcW w:w="6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7"/>
        </w:trPr>
        <w:tc>
          <w:tcPr>
            <w:tcW w:w="6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8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7"/>
              </w:rPr>
              <w:t>(15)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960" w:type="dxa"/>
            <w:vAlign w:val="bottom"/>
          </w:tcPr>
          <w:p>
            <w:pPr>
              <w:ind w:left="680"/>
              <w:spacing w:after="0"/>
              <w:rPr>
                <w:sz w:val="20"/>
                <w:szCs w:val="20"/>
                <w:color w:val="auto"/>
              </w:rPr>
            </w:pPr>
            <w:r>
              <w:rPr>
                <w:rFonts w:ascii="Times New Roman" w:cs="Times New Roman" w:eastAsia="Times New Roman" w:hAnsi="Times New Roman"/>
                <w:sz w:val="16"/>
                <w:szCs w:val="16"/>
                <w:color w:val="auto"/>
                <w:w w:val="97"/>
              </w:rPr>
              <w:t>(16)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18"/>
        </w:trPr>
        <w:tc>
          <w:tcPr>
            <w:tcW w:w="6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162</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Deferred Policy Acquisition Costs, Value of Business Acquired and Other Intangibles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Unearned Revenue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unearned revenue, included in other policy-related balances, was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1"/>
        </w:trPr>
        <w:tc>
          <w:tcPr>
            <w:tcW w:w="4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Variable</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Universal Life</w:t>
            </w: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Variable</w:t>
            </w:r>
          </w:p>
        </w:tc>
      </w:tr>
      <w:tr>
        <w:trPr>
          <w:trHeight w:val="186"/>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40" w:type="dxa"/>
            <w:vAlign w:val="bottom"/>
          </w:tcPr>
          <w:p>
            <w:pPr>
              <w:spacing w:after="0"/>
              <w:rPr>
                <w:sz w:val="16"/>
                <w:szCs w:val="16"/>
                <w:color w:val="auto"/>
              </w:rPr>
            </w:pPr>
          </w:p>
        </w:tc>
        <w:tc>
          <w:tcPr>
            <w:tcW w:w="9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20" w:type="dxa"/>
            <w:vAlign w:val="bottom"/>
          </w:tcPr>
          <w:p>
            <w:pPr>
              <w:spacing w:after="0"/>
              <w:rPr>
                <w:sz w:val="16"/>
                <w:szCs w:val="16"/>
                <w:color w:val="auto"/>
              </w:rPr>
            </w:pPr>
          </w:p>
        </w:tc>
        <w:tc>
          <w:tcPr>
            <w:tcW w:w="11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220" w:type="dxa"/>
            <w:vAlign w:val="bottom"/>
          </w:tcPr>
          <w:p>
            <w:pPr>
              <w:spacing w:after="0"/>
              <w:rPr>
                <w:sz w:val="16"/>
                <w:szCs w:val="16"/>
                <w:color w:val="auto"/>
              </w:rPr>
            </w:pPr>
          </w:p>
        </w:tc>
        <w:tc>
          <w:tcPr>
            <w:tcW w:w="10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ULSG</w:t>
            </w:r>
          </w:p>
        </w:tc>
        <w:tc>
          <w:tcPr>
            <w:tcW w:w="180" w:type="dxa"/>
            <w:vAlign w:val="bottom"/>
          </w:tcPr>
          <w:p>
            <w:pPr>
              <w:spacing w:after="0"/>
              <w:rPr>
                <w:sz w:val="16"/>
                <w:szCs w:val="16"/>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Annuities</w:t>
            </w:r>
          </w:p>
        </w:tc>
      </w:tr>
      <w:tr>
        <w:trPr>
          <w:trHeight w:val="38"/>
        </w:trPr>
        <w:tc>
          <w:tcPr>
            <w:tcW w:w="40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340" w:type="dxa"/>
            <w:vAlign w:val="bottom"/>
            <w:tcBorders>
              <w:bottom w:val="single" w:sz="8" w:color="auto"/>
            </w:tcBorders>
            <w:gridSpan w:val="5"/>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94"/>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4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8"/>
        </w:trPr>
        <w:tc>
          <w:tcPr>
            <w:tcW w:w="40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r>
      <w:tr>
        <w:trPr>
          <w:trHeight w:val="43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793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715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60</w:t>
            </w:r>
          </w:p>
        </w:tc>
      </w:tr>
      <w:tr>
        <w:trPr>
          <w:trHeight w:val="435"/>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Capitalization</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ind w:left="7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r>
      <w:tr>
        <w:trPr>
          <w:trHeight w:val="437"/>
        </w:trPr>
        <w:tc>
          <w:tcPr>
            <w:tcW w:w="4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w:t>
            </w: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w w:val="97"/>
              </w:rPr>
              <w:t>(56)</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w w:val="96"/>
              </w:rPr>
              <w:t>(5)</w:t>
            </w:r>
          </w:p>
        </w:tc>
      </w:tr>
      <w:tr>
        <w:trPr>
          <w:trHeight w:val="393"/>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833</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776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6"/>
                <w:szCs w:val="16"/>
                <w:color w:val="auto"/>
              </w:rPr>
              <w:t>55</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w:t>
      </w:r>
    </w:p>
    <w:p>
      <w:pPr>
        <w:spacing w:after="0" w:line="11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2025 Annual Report for a description of the Company’s accounting policies for investments and the fair value hierarchy for investments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by Sector</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Fixed maturity securities by sector were as follows at:</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r>
      <w:tr>
        <w:trPr>
          <w:trHeight w:val="391"/>
        </w:trPr>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5"/>
          </w:tcPr>
          <w:p>
            <w:pPr>
              <w:ind w:left="14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5"/>
          </w:tcPr>
          <w:p>
            <w:pPr>
              <w:ind w:left="120"/>
              <w:spacing w:after="0"/>
              <w:rPr>
                <w:sz w:val="20"/>
                <w:szCs w:val="20"/>
                <w:color w:val="auto"/>
              </w:rPr>
            </w:pPr>
            <w:r>
              <w:rPr>
                <w:rFonts w:ascii="Times New Roman" w:cs="Times New Roman" w:eastAsia="Times New Roman" w:hAnsi="Times New Roman"/>
                <w:sz w:val="12"/>
                <w:szCs w:val="12"/>
                <w:b w:val="1"/>
                <w:bCs w:val="1"/>
                <w:color w:val="auto"/>
              </w:rPr>
              <w:t>Gross Unrealized</w:t>
            </w: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12"/>
        </w:trPr>
        <w:tc>
          <w:tcPr>
            <w:tcW w:w="2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6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Estimated Fair</w:t>
            </w: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Allowance for</w:t>
            </w:r>
          </w:p>
        </w:tc>
        <w:tc>
          <w:tcPr>
            <w:tcW w:w="14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Estimated Fair</w:t>
            </w:r>
          </w:p>
        </w:tc>
      </w:tr>
      <w:tr>
        <w:trPr>
          <w:trHeight w:val="179"/>
        </w:trPr>
        <w:tc>
          <w:tcPr>
            <w:tcW w:w="2340" w:type="dxa"/>
            <w:vAlign w:val="bottom"/>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Value</w:t>
            </w: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Amortized Cost</w:t>
            </w:r>
          </w:p>
        </w:tc>
        <w:tc>
          <w:tcPr>
            <w:tcW w:w="98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2"/>
                <w:szCs w:val="12"/>
                <w:b w:val="1"/>
                <w:bCs w:val="1"/>
                <w:color w:val="auto"/>
              </w:rPr>
              <w:t>Credit Losses</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2"/>
                <w:szCs w:val="12"/>
                <w:b w:val="1"/>
                <w:bCs w:val="1"/>
                <w:color w:val="auto"/>
              </w:rPr>
              <w:t>Gains</w:t>
            </w: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Losses</w:t>
            </w:r>
          </w:p>
        </w:tc>
        <w:tc>
          <w:tcPr>
            <w:tcW w:w="2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2"/>
                <w:szCs w:val="12"/>
                <w:b w:val="1"/>
                <w:bCs w:val="1"/>
                <w:color w:val="auto"/>
              </w:rPr>
              <w:t>Value</w:t>
            </w:r>
          </w:p>
        </w:tc>
      </w:tr>
      <w:tr>
        <w:trPr>
          <w:trHeight w:val="389"/>
        </w:trPr>
        <w:tc>
          <w:tcPr>
            <w:tcW w:w="2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3"/>
          </w:tcPr>
          <w:p>
            <w:pPr>
              <w:ind w:left="3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3"/>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corporate</w:t>
            </w:r>
          </w:p>
        </w:tc>
        <w:tc>
          <w:tcPr>
            <w:tcW w:w="2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41,408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4,777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36,656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41,590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3,097</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38,909</w:t>
            </w:r>
          </w:p>
        </w:tc>
      </w:tr>
      <w:tr>
        <w:trPr>
          <w:trHeight w:val="40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corporate</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1,374</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12,380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11,497</w:t>
            </w:r>
          </w:p>
        </w:tc>
      </w:tr>
      <w:tr>
        <w:trPr>
          <w:trHeight w:val="24"/>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404"/>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 mortgage-backed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9,551</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8,591</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9,029</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8,532</w:t>
            </w:r>
          </w:p>
        </w:tc>
      </w:tr>
      <w:tr>
        <w:trPr>
          <w:trHeight w:val="40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government and agency</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7,216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6,711</w:t>
            </w:r>
          </w:p>
        </w:tc>
      </w:tr>
      <w:tr>
        <w:trPr>
          <w:trHeight w:val="24"/>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404"/>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Asset-backed securities</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5,699</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5,612</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6,081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6,059</w:t>
            </w:r>
          </w:p>
        </w:tc>
      </w:tr>
      <w:tr>
        <w:trPr>
          <w:trHeight w:val="40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Commercial mortgage-backed securities</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5,940</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5,622</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6,086</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5,870</w:t>
            </w:r>
          </w:p>
        </w:tc>
      </w:tr>
      <w:tr>
        <w:trPr>
          <w:trHeight w:val="24"/>
        </w:trPr>
        <w:tc>
          <w:tcPr>
            <w:tcW w:w="2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404"/>
        </w:trPr>
        <w:tc>
          <w:tcPr>
            <w:tcW w:w="2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28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3,691</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3,494</w:t>
            </w:r>
          </w:p>
        </w:tc>
      </w:tr>
      <w:tr>
        <w:trPr>
          <w:trHeight w:val="400"/>
        </w:trPr>
        <w:tc>
          <w:tcPr>
            <w:tcW w:w="23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government</w:t>
            </w:r>
          </w:p>
        </w:tc>
        <w:tc>
          <w:tcPr>
            <w:tcW w:w="2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796</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973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942</w:t>
            </w:r>
          </w:p>
        </w:tc>
      </w:tr>
      <w:tr>
        <w:trPr>
          <w:trHeight w:val="24"/>
        </w:trPr>
        <w:tc>
          <w:tcPr>
            <w:tcW w:w="2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442"/>
        </w:trPr>
        <w:tc>
          <w:tcPr>
            <w:tcW w:w="2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28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86,330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77,333</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87,046</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963</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5,931</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82,014</w:t>
            </w: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held non-income producing fixed maturity securities with an estimated fair value of $11 million and $14 million at September 30, 2026 and December 31, 2025, respectively.</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ind w:left="180" w:hanging="174"/>
        <w:spacing w:after="0"/>
        <w:tabs>
          <w:tab w:leader="none" w:pos="1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 (continued)</w:t>
      </w:r>
    </w:p>
    <w:p>
      <w:pPr>
        <w:spacing w:after="0" w:line="200" w:lineRule="exact"/>
        <w:rPr>
          <w:rFonts w:ascii="Times New Roman" w:cs="Times New Roman" w:eastAsia="Times New Roman" w:hAnsi="Times New Roman"/>
          <w:sz w:val="18"/>
          <w:szCs w:val="18"/>
          <w:b w:val="1"/>
          <w:bCs w:val="1"/>
          <w:color w:val="auto"/>
        </w:rPr>
      </w:pPr>
    </w:p>
    <w:p>
      <w:pPr>
        <w:spacing w:after="0" w:line="359" w:lineRule="exact"/>
        <w:rPr>
          <w:rFonts w:ascii="Times New Roman" w:cs="Times New Roman" w:eastAsia="Times New Roman" w:hAnsi="Times New Roman"/>
          <w:sz w:val="18"/>
          <w:szCs w:val="18"/>
          <w:b w:val="1"/>
          <w:bCs w:val="1"/>
          <w:color w:val="auto"/>
        </w:rPr>
      </w:pPr>
    </w:p>
    <w:p>
      <w:pPr>
        <w:ind w:left="1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u w:val="single" w:color="auto"/>
          <w:color w:val="auto"/>
        </w:rPr>
        <w:t>Maturities of Fixed Maturity Securities</w:t>
      </w:r>
    </w:p>
    <w:p>
      <w:pPr>
        <w:spacing w:after="0" w:line="115" w:lineRule="exact"/>
        <w:rPr>
          <w:rFonts w:ascii="Times New Roman" w:cs="Times New Roman" w:eastAsia="Times New Roman" w:hAnsi="Times New Roman"/>
          <w:sz w:val="18"/>
          <w:szCs w:val="18"/>
          <w:b w:val="1"/>
          <w:bCs w:val="1"/>
          <w:color w:val="auto"/>
        </w:rPr>
      </w:pPr>
    </w:p>
    <w:p>
      <w:pPr>
        <w:ind w:left="4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amortized cost and estimated fair value of fixed maturity securities, by contractual maturity date, were as follows at September 30, 2026:</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3"/>
                <w:szCs w:val="13"/>
                <w:color w:val="auto"/>
              </w:rPr>
            </w:pPr>
          </w:p>
        </w:tc>
        <w:tc>
          <w:tcPr>
            <w:tcW w:w="132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Due in One Year or</w:t>
            </w:r>
          </w:p>
        </w:tc>
        <w:tc>
          <w:tcPr>
            <w:tcW w:w="1420" w:type="dxa"/>
            <w:vAlign w:val="bottom"/>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Due After One Year</w:t>
            </w: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Due After Five Years</w:t>
            </w:r>
          </w:p>
        </w:tc>
        <w:tc>
          <w:tcPr>
            <w:tcW w:w="13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Due After Ten Years</w:t>
            </w:r>
          </w:p>
        </w:tc>
        <w:tc>
          <w:tcPr>
            <w:tcW w:w="220" w:type="dxa"/>
            <w:vAlign w:val="bottom"/>
          </w:tcPr>
          <w:p>
            <w:pPr>
              <w:spacing w:after="0"/>
              <w:rPr>
                <w:sz w:val="13"/>
                <w:szCs w:val="13"/>
                <w:color w:val="auto"/>
              </w:rPr>
            </w:pPr>
          </w:p>
        </w:tc>
        <w:tc>
          <w:tcPr>
            <w:tcW w:w="114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Structured</w:t>
            </w:r>
          </w:p>
        </w:tc>
        <w:tc>
          <w:tcPr>
            <w:tcW w:w="280" w:type="dxa"/>
            <w:vAlign w:val="bottom"/>
          </w:tcPr>
          <w:p>
            <w:pPr>
              <w:spacing w:after="0"/>
              <w:rPr>
                <w:sz w:val="13"/>
                <w:szCs w:val="13"/>
                <w:color w:val="auto"/>
              </w:rPr>
            </w:pPr>
          </w:p>
        </w:tc>
        <w:tc>
          <w:tcPr>
            <w:tcW w:w="108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Total Fixed</w:t>
            </w:r>
          </w:p>
        </w:tc>
        <w:tc>
          <w:tcPr>
            <w:tcW w:w="0" w:type="dxa"/>
            <w:vAlign w:val="bottom"/>
          </w:tcPr>
          <w:p>
            <w:pPr>
              <w:spacing w:after="0"/>
              <w:rPr>
                <w:sz w:val="1"/>
                <w:szCs w:val="1"/>
                <w:color w:val="auto"/>
              </w:rPr>
            </w:pPr>
          </w:p>
        </w:tc>
      </w:tr>
      <w:tr>
        <w:trPr>
          <w:trHeight w:val="191"/>
        </w:trPr>
        <w:tc>
          <w:tcPr>
            <w:tcW w:w="29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Less</w:t>
            </w:r>
          </w:p>
        </w:tc>
        <w:tc>
          <w:tcPr>
            <w:tcW w:w="1420" w:type="dxa"/>
            <w:vAlign w:val="bottom"/>
            <w:tcBorders>
              <w:bottom w:val="single" w:sz="8" w:color="auto"/>
            </w:tcBorders>
            <w:gridSpan w:val="2"/>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Through Five Years</w:t>
            </w:r>
          </w:p>
        </w:tc>
        <w:tc>
          <w:tcPr>
            <w:tcW w:w="14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Through Ten Years</w:t>
            </w:r>
          </w:p>
        </w:tc>
        <w:tc>
          <w:tcPr>
            <w:tcW w:w="138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05"/>
              <w:spacing w:after="0"/>
              <w:rPr>
                <w:sz w:val="20"/>
                <w:szCs w:val="20"/>
                <w:color w:val="auto"/>
              </w:rPr>
            </w:pPr>
            <w:r>
              <w:rPr>
                <w:rFonts w:ascii="Times New Roman" w:cs="Times New Roman" w:eastAsia="Times New Roman" w:hAnsi="Times New Roman"/>
                <w:sz w:val="14"/>
                <w:szCs w:val="14"/>
                <w:b w:val="1"/>
                <w:bCs w:val="1"/>
                <w:color w:val="auto"/>
              </w:rPr>
              <w:t>Securities (1)</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Maturity Securities</w:t>
            </w:r>
          </w:p>
        </w:tc>
        <w:tc>
          <w:tcPr>
            <w:tcW w:w="0" w:type="dxa"/>
            <w:vAlign w:val="bottom"/>
          </w:tcPr>
          <w:p>
            <w:pPr>
              <w:spacing w:after="0"/>
              <w:rPr>
                <w:sz w:val="1"/>
                <w:szCs w:val="1"/>
                <w:color w:val="auto"/>
              </w:rPr>
            </w:pPr>
          </w:p>
        </w:tc>
      </w:tr>
      <w:tr>
        <w:trPr>
          <w:trHeight w:val="398"/>
        </w:trPr>
        <w:tc>
          <w:tcPr>
            <w:tcW w:w="2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Amortized cost</w:t>
            </w:r>
          </w:p>
        </w:tc>
        <w:tc>
          <w:tcPr>
            <w:tcW w:w="3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4,967</w:t>
            </w:r>
          </w:p>
        </w:tc>
        <w:tc>
          <w:tcPr>
            <w:tcW w:w="520" w:type="dxa"/>
            <w:vAlign w:val="bottom"/>
            <w:shd w:val="clear" w:color="auto" w:fill="CCEEFF"/>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21,484</w:t>
            </w:r>
          </w:p>
        </w:tc>
        <w:tc>
          <w:tcPr>
            <w:tcW w:w="5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12,832</w:t>
            </w:r>
          </w:p>
        </w:tc>
        <w:tc>
          <w:tcPr>
            <w:tcW w:w="5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25,857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21,190</w:t>
            </w:r>
          </w:p>
        </w:tc>
        <w:tc>
          <w:tcPr>
            <w:tcW w:w="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86,330</w:t>
            </w:r>
          </w:p>
        </w:tc>
        <w:tc>
          <w:tcPr>
            <w:tcW w:w="0" w:type="dxa"/>
            <w:vAlign w:val="bottom"/>
          </w:tcPr>
          <w:p>
            <w:pPr>
              <w:spacing w:after="0"/>
              <w:rPr>
                <w:sz w:val="1"/>
                <w:szCs w:val="1"/>
                <w:color w:val="auto"/>
              </w:rPr>
            </w:pPr>
          </w:p>
        </w:tc>
      </w:tr>
      <w:tr>
        <w:trPr>
          <w:trHeight w:val="432"/>
        </w:trPr>
        <w:tc>
          <w:tcPr>
            <w:tcW w:w="2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w:t>
            </w:r>
          </w:p>
        </w:tc>
        <w:tc>
          <w:tcPr>
            <w:tcW w:w="3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4,949</w:t>
            </w:r>
          </w:p>
        </w:tc>
        <w:tc>
          <w:tcPr>
            <w:tcW w:w="520" w:type="dxa"/>
            <w:vAlign w:val="bottom"/>
          </w:tcPr>
          <w:p>
            <w:pPr>
              <w:jc w:val="right"/>
              <w:ind w:right="265"/>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20,434</w:t>
            </w:r>
          </w:p>
        </w:tc>
        <w:tc>
          <w:tcPr>
            <w:tcW w:w="5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11,944</w:t>
            </w:r>
          </w:p>
        </w:tc>
        <w:tc>
          <w:tcPr>
            <w:tcW w:w="58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20,181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19,825</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77,333</w:t>
            </w:r>
          </w:p>
        </w:tc>
        <w:tc>
          <w:tcPr>
            <w:tcW w:w="0" w:type="dxa"/>
            <w:vAlign w:val="bottom"/>
          </w:tcPr>
          <w:p>
            <w:pPr>
              <w:spacing w:after="0"/>
              <w:rPr>
                <w:sz w:val="1"/>
                <w:szCs w:val="1"/>
                <w:color w:val="auto"/>
              </w:rPr>
            </w:pPr>
          </w:p>
        </w:tc>
      </w:tr>
      <w:tr>
        <w:trPr>
          <w:trHeight w:val="259"/>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Structured securities include residential mortgage-backed securities (“RMBS”), commercial mortgage-backed securities (“CMBS”) and asset-backed securities (“ABS”) (collectively, “Structured Securities”).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Actual maturities may differ from contractual maturities due to the exercise of call or prepayment options. Fixed maturity securities not due at a single maturity date have been presented in the year of final contractual maturity. Structured Securities are shown separately, as they are not due at a single maturity.</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Continuous Gross Unrealized Losses for Fixed Maturity Securities by Sector</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 and gross unrealized losses of fixed maturity securities in an unrealized loss position, by sector and by length of time that the securities have been in a continuous unrealized loss position, were as follows at:</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00" w:type="dxa"/>
            <w:vAlign w:val="bottom"/>
            <w:gridSpan w:val="4"/>
          </w:tcPr>
          <w:p>
            <w:pPr>
              <w:jc w:val="right"/>
              <w:ind w:right="32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5"/>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200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120" w:type="dxa"/>
            <w:vAlign w:val="bottom"/>
          </w:tcPr>
          <w:p>
            <w:pPr>
              <w:spacing w:after="0"/>
              <w:rPr>
                <w:sz w:val="15"/>
                <w:szCs w:val="15"/>
                <w:color w:val="auto"/>
              </w:rPr>
            </w:pPr>
          </w:p>
        </w:tc>
        <w:tc>
          <w:tcPr>
            <w:tcW w:w="200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Less than 12 Months</w:t>
            </w:r>
          </w:p>
        </w:tc>
        <w:tc>
          <w:tcPr>
            <w:tcW w:w="100" w:type="dxa"/>
            <w:vAlign w:val="bottom"/>
          </w:tcPr>
          <w:p>
            <w:pPr>
              <w:spacing w:after="0"/>
              <w:rPr>
                <w:sz w:val="15"/>
                <w:szCs w:val="15"/>
                <w:color w:val="auto"/>
              </w:rPr>
            </w:pPr>
          </w:p>
        </w:tc>
        <w:tc>
          <w:tcPr>
            <w:tcW w:w="1900" w:type="dxa"/>
            <w:vAlign w:val="bottom"/>
            <w:gridSpan w:val="4"/>
          </w:tcPr>
          <w:p>
            <w:pPr>
              <w:jc w:val="right"/>
              <w:ind w:right="269"/>
              <w:spacing w:after="0"/>
              <w:rPr>
                <w:sz w:val="20"/>
                <w:szCs w:val="20"/>
                <w:color w:val="auto"/>
              </w:rPr>
            </w:pPr>
            <w:r>
              <w:rPr>
                <w:rFonts w:ascii="Times New Roman" w:cs="Times New Roman" w:eastAsia="Times New Roman" w:hAnsi="Times New Roman"/>
                <w:sz w:val="14"/>
                <w:szCs w:val="14"/>
                <w:b w:val="1"/>
                <w:bCs w:val="1"/>
                <w:color w:val="auto"/>
              </w:rPr>
              <w:t>12 Months or Greater</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1"/>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2"/>
                <w:szCs w:val="12"/>
                <w:color w:val="auto"/>
              </w:rPr>
            </w:pPr>
          </w:p>
        </w:tc>
        <w:tc>
          <w:tcPr>
            <w:tcW w:w="8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80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00" w:type="dxa"/>
            <w:vAlign w:val="bottom"/>
          </w:tcPr>
          <w:p>
            <w:pPr>
              <w:spacing w:after="0"/>
              <w:rPr>
                <w:sz w:val="12"/>
                <w:szCs w:val="12"/>
                <w:color w:val="auto"/>
              </w:rPr>
            </w:pPr>
          </w:p>
        </w:tc>
        <w:tc>
          <w:tcPr>
            <w:tcW w:w="820" w:type="dxa"/>
            <w:vAlign w:val="bottom"/>
            <w:vMerge w:val="restart"/>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0" w:type="dxa"/>
            <w:vAlign w:val="bottom"/>
          </w:tcPr>
          <w:p>
            <w:pPr>
              <w:spacing w:after="0"/>
              <w:rPr>
                <w:sz w:val="1"/>
                <w:szCs w:val="1"/>
                <w:color w:val="auto"/>
              </w:rPr>
            </w:pPr>
          </w:p>
        </w:tc>
      </w:tr>
      <w:tr>
        <w:trPr>
          <w:trHeight w:val="146"/>
        </w:trPr>
        <w:tc>
          <w:tcPr>
            <w:tcW w:w="2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7"/>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9"/>
              <w:spacing w:after="0" w:line="146"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0" w:type="dxa"/>
            <w:vAlign w:val="bottom"/>
          </w:tcPr>
          <w:p>
            <w:pPr>
              <w:spacing w:after="0"/>
              <w:rPr>
                <w:sz w:val="1"/>
                <w:szCs w:val="1"/>
                <w:color w:val="auto"/>
              </w:rPr>
            </w:pPr>
          </w:p>
        </w:tc>
      </w:tr>
      <w:tr>
        <w:trPr>
          <w:trHeight w:val="187"/>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U.S. corporate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16,361</w:t>
            </w: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1,095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16,511</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4,160</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19,089</w:t>
            </w: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2,702</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Foreign corporate</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5,026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RMBS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173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4,054</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U.S. government and agency</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1,721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ABS</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2,856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CMBS</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3,484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2"/>
        </w:trPr>
        <w:tc>
          <w:tcPr>
            <w:tcW w:w="2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State and political subdivision</w:t>
            </w:r>
          </w:p>
        </w:tc>
        <w:tc>
          <w:tcPr>
            <w:tcW w:w="1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1,366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w:t>
            </w:r>
          </w:p>
        </w:tc>
        <w:tc>
          <w:tcPr>
            <w:tcW w:w="0" w:type="dxa"/>
            <w:vAlign w:val="bottom"/>
          </w:tcPr>
          <w:p>
            <w:pPr>
              <w:spacing w:after="0"/>
              <w:rPr>
                <w:sz w:val="1"/>
                <w:szCs w:val="1"/>
                <w:color w:val="auto"/>
              </w:rPr>
            </w:pPr>
          </w:p>
        </w:tc>
      </w:tr>
      <w:tr>
        <w:trPr>
          <w:trHeight w:val="18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Foreign government</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24"/>
        </w:trPr>
        <w:tc>
          <w:tcPr>
            <w:tcW w:w="28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2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 fixed maturity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34,144</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1,918</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33,166</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38,363</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5,282</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4"/>
                <w:szCs w:val="14"/>
                <w:color w:val="auto"/>
              </w:rPr>
              <w:t>Total number of securities in an unrealized loss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28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color w:val="auto"/>
              </w:rPr>
              <w:t>4,749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5,093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8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position</w:t>
            </w: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Fixed Maturity Securities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For fixed maturity securities in an unrealized loss position, management first assesses whether the Company intends to sell, or whether it is more likely than not it will be required to sell the security before recovery of its amortized cost basis. If either of the criteria regarding intent or requirement to sell is met, the security’s amortized cost basis is written down to estimated fair value through net investment gains (losses). For fixed maturity securities that do not meet the aforementioned criteria, management evaluates whether the decline in estimated fair value has resulted from credit losses or other factors.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Inherent in management’s evaluation of the security are assumptions and estimates about the operations of the issuer and its future earnings potential. Considerations used in the allowance for credit loss evaluation process include, but are not limited to: (i) the extent to which estimated fair value is less than amortized cost; (ii) any changes to the rating of the security by a rating agency; (iii) adverse conditions specifically related to the security, industry or geographic area; and (iv) payment structure of the fixed maturity security and the likelihood of the issuer being able to make payments in the future or the issuer’s failure to make scheduled interest and principal payments. If this assessment indicates that a credit loss exists, the present value of cash flows expected to be collected from the security are compared to the amortized cost basis of the security. If the present value of cash flows expected to be collected is less than the amortized cost basis, a credit loss is deemed to exist and an allowance for credit losses is recorded, limited by the amount that the estimated fair value is less than the amortized cost basis, with a corresponding charge to net investment gains (losses). Any unrealized losses that have not been recorded through an allowance for credit losses are recognized in other comprehensive income (“OCI”).</w:t>
      </w:r>
    </w:p>
    <w:p>
      <w:pPr>
        <w:spacing w:after="0" w:line="81"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Once a security specific allowance for credit losses is established, the present value of cash flows expected to be collected from the security continues to be reassessed. Any changes in the security specific allowance for credit losses are recorded as a provision for (or reversal of) credit loss expense in net investment gains (losses).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whether any amounts have become uncollectible. When all, or a portion, of a security is deemed uncollectible, the uncollectible portion is written-off with an adjustment to amortized cost and a corresponding reduction to the allowance for credit losses.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fixed maturity securities. An allowance for credit losses is not estimated on an accrued interest receivable, rather receivable balances 90-days past due are deemed uncollectible and are written off with a corresponding reduction to net investment income. The accrued interest receivable on fixed maturity securities totaled $696 million and $671 million at September 30, 2026 and December 31, 2025, respectively, and is included in accrued investment income.</w:t>
      </w:r>
    </w:p>
    <w:p>
      <w:pPr>
        <w:spacing w:after="0" w:line="74"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Fixed maturity securities are also evaluated to determine if they qualify as purchased financial assets with credit deterioration (“PCD”). To determine if the credit deterioration experienced since origination is more than insignificant, both (i) the extent of the credit deterioration and (ii) any rating agency downgrades are evaluated. For securities categorized as PCD assets, the present value of cash flows expected to be collected from the security are compared to the par value of the security. If the present value of cash flows expected to be collected is less than the par value, credit losses are embedded in the purchase price of the PCD asset. In this situation, both an allowance for credit losses and amortized cost gross-up is recorded, limited by the amount that the estimated fair value is less than the grossed-up amortized cost basis. Any difference between the purchase price and the present value of cash flows is amortized or accreted into net investment income over the life of the PCD asset. Any subsequent PCD asset allowance for credit losses is evaluated in a manner similar to the process described above for fixed maturity securities.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Current Period Evaluation</w:t>
      </w:r>
    </w:p>
    <w:p>
      <w:pPr>
        <w:spacing w:after="0" w:line="113"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Based on the Company’s current evaluation of its fixed maturity securities in an unrealized loss position and the current intent or requirement to sell, the Company recorded an allowance for credit losses of $66 million, relating to 23 securities, at September 30, 2026. Management concluded that for all other fixed maturity securities in an unrealized loss position, the unrealized loss was not due to issuer-specific credit-related factors and as a result was recognized in OCI. Where unrealized losses have not been recognized into income, it is primarily because the securities’ bond issuer(s) are of high credit quality, management does not intend to sell and it is likely that management will not be required to sell the securities prior to their anticipated recovery, and the decline in estimated fair value is largely due to changes in interest rates and non-issuer specific credit spreads. These issuers continued to make timely principal and interest payments and the estimated fair value is expected to recover as the securities approach maturity.</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28" w:name="page29"/>
    <w:bookmarkEnd w:id="28"/>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Rollforward of the Allowance for Credit Losses for Fixed Maturity Securities by Sector</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changes in the allowance for credit losses for fixed maturity securities by sector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U.S.</w:t>
            </w: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Foreign</w:t>
            </w:r>
          </w:p>
        </w:tc>
        <w:tc>
          <w:tcPr>
            <w:tcW w:w="180" w:type="dxa"/>
            <w:vAlign w:val="bottom"/>
          </w:tcPr>
          <w:p>
            <w:pPr>
              <w:spacing w:after="0"/>
              <w:rPr>
                <w:sz w:val="13"/>
                <w:szCs w:val="13"/>
                <w:color w:val="auto"/>
              </w:rPr>
            </w:pPr>
          </w:p>
        </w:tc>
        <w:tc>
          <w:tcPr>
            <w:tcW w:w="8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RMBS</w:t>
            </w:r>
          </w:p>
        </w:tc>
        <w:tc>
          <w:tcPr>
            <w:tcW w:w="180" w:type="dxa"/>
            <w:vAlign w:val="bottom"/>
          </w:tcPr>
          <w:p>
            <w:pPr>
              <w:spacing w:after="0"/>
              <w:rPr>
                <w:sz w:val="13"/>
                <w:szCs w:val="13"/>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CMBS</w:t>
            </w:r>
          </w:p>
        </w:tc>
        <w:tc>
          <w:tcPr>
            <w:tcW w:w="160" w:type="dxa"/>
            <w:vAlign w:val="bottom"/>
          </w:tcPr>
          <w:p>
            <w:pPr>
              <w:spacing w:after="0"/>
              <w:rPr>
                <w:sz w:val="13"/>
                <w:szCs w:val="13"/>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ABS</w:t>
            </w:r>
          </w:p>
        </w:tc>
        <w:tc>
          <w:tcPr>
            <w:tcW w:w="200" w:type="dxa"/>
            <w:vAlign w:val="bottom"/>
          </w:tcPr>
          <w:p>
            <w:pPr>
              <w:spacing w:after="0"/>
              <w:rPr>
                <w:sz w:val="13"/>
                <w:szCs w:val="13"/>
                <w:color w:val="auto"/>
              </w:rPr>
            </w:pPr>
          </w:p>
        </w:tc>
        <w:tc>
          <w:tcPr>
            <w:tcW w:w="68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Corporate</w:t>
            </w: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5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tcPr>
          <w:p>
            <w:pPr>
              <w:spacing w:after="0"/>
              <w:rPr>
                <w:sz w:val="24"/>
                <w:szCs w:val="24"/>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8"/>
        </w:trPr>
        <w:tc>
          <w:tcPr>
            <w:tcW w:w="5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5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Allowance on securities where credit losses were not previously recorded</w:t>
            </w:r>
          </w:p>
        </w:tc>
        <w:tc>
          <w:tcPr>
            <w:tcW w:w="1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Reductions for securities sold</w:t>
            </w: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allowance on securities with an allowance recorded in a previous period</w:t>
            </w:r>
          </w:p>
        </w:tc>
        <w:tc>
          <w:tcPr>
            <w:tcW w:w="120" w:type="dxa"/>
            <w:vAlign w:val="bottom"/>
          </w:tcPr>
          <w:p>
            <w:pPr>
              <w:spacing w:after="0"/>
              <w:rPr>
                <w:sz w:val="24"/>
                <w:szCs w:val="24"/>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Write-offs charged against allowance (1)</w:t>
            </w: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433"/>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55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record any write-offs for the nine months ended September 30, 2026. The Company recorded total write-offs of $33 million for the nine months ended September 30,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Mortgage loans are summarized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23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20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86"/>
        </w:trPr>
        <w:tc>
          <w:tcPr>
            <w:tcW w:w="6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6"/>
                <w:szCs w:val="16"/>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28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7"/>
        </w:trPr>
        <w:tc>
          <w:tcPr>
            <w:tcW w:w="6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0" w:type="dxa"/>
            <w:vAlign w:val="bottom"/>
            <w:tcBorders>
              <w:bottom w:val="single" w:sz="8" w:color="auto"/>
            </w:tcBorders>
            <w:gridSpan w:val="5"/>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6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11,699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52.3 %</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54.2 %</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20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24"/>
                <w:szCs w:val="24"/>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6,195</w:t>
            </w:r>
          </w:p>
        </w:tc>
        <w:tc>
          <w:tcPr>
            <w:tcW w:w="1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27.7</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430"/>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(1)</w:t>
            </w:r>
          </w:p>
        </w:tc>
        <w:tc>
          <w:tcPr>
            <w:tcW w:w="200" w:type="dxa"/>
            <w:vAlign w:val="bottom"/>
          </w:tcPr>
          <w:p>
            <w:pPr>
              <w:spacing w:after="0"/>
              <w:rPr>
                <w:sz w:val="24"/>
                <w:szCs w:val="24"/>
                <w:color w:val="auto"/>
              </w:rPr>
            </w:pP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22,615</w:t>
            </w:r>
          </w:p>
        </w:tc>
        <w:tc>
          <w:tcPr>
            <w:tcW w:w="10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101.1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00" w:type="dxa"/>
            <w:vAlign w:val="bottom"/>
          </w:tcPr>
          <w:p>
            <w:pPr>
              <w:spacing w:after="0"/>
              <w:rPr>
                <w:sz w:val="24"/>
                <w:szCs w:val="24"/>
                <w:color w:val="auto"/>
              </w:rPr>
            </w:pPr>
          </w:p>
        </w:tc>
        <w:tc>
          <w:tcPr>
            <w:tcW w:w="128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101.0</w:t>
            </w:r>
          </w:p>
        </w:tc>
        <w:tc>
          <w:tcPr>
            <w:tcW w:w="0" w:type="dxa"/>
            <w:vAlign w:val="bottom"/>
          </w:tcPr>
          <w:p>
            <w:pPr>
              <w:spacing w:after="0"/>
              <w:rPr>
                <w:sz w:val="1"/>
                <w:szCs w:val="1"/>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Allowance for credit losses</w:t>
            </w: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3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mortgage loans, net</w:t>
            </w: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22,361</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22,755</w:t>
            </w:r>
          </w:p>
        </w:tc>
        <w:tc>
          <w:tcPr>
            <w:tcW w:w="100" w:type="dxa"/>
            <w:vAlign w:val="bottom"/>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12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sectPr>
          <w:pgSz w:w="11900" w:h="16919" w:orient="portrait"/>
          <w:cols w:equalWidth="0" w:num="1">
            <w:col w:w="11240"/>
          </w:cols>
          <w:pgMar w:left="320" w:top="230" w:right="339" w:bottom="0" w:gutter="0" w:footer="0" w:header="0"/>
        </w:sectPr>
      </w:pPr>
    </w:p>
    <w:p>
      <w:pPr>
        <w:jc w:val="both"/>
        <w:ind w:left="320" w:hanging="314"/>
        <w:spacing w:after="0" w:line="274" w:lineRule="auto"/>
        <w:tabs>
          <w:tab w:leader="none" w:pos="31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mortgage loans from third parties were $169 million and $890 million for the three months and nine months ended September 30, 2026, respectively, and $250 million and $807 million for the three months and nine months ended September 30, 2025, respectively, and were primarily</w:t>
      </w:r>
    </w:p>
    <w:p>
      <w:pPr>
        <w:sectPr>
          <w:pgSz w:w="11900" w:h="16919" w:orient="portrait"/>
          <w:cols w:equalWidth="0" w:num="1">
            <w:col w:w="11240"/>
          </w:cols>
          <w:pgMar w:left="320" w:top="230" w:right="339"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t>comprised of residential mortgage loans.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wp:posOffset>
            </wp:positionH>
            <wp:positionV relativeFrom="paragraph">
              <wp:posOffset>69215</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819"/>
          </w:cols>
          <w:pgMar w:left="640" w:top="121" w:right="1440"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Allowance for Credit Losses for Mortgage Loans</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Evaluation and Measurement Methodologies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allowance for credit losses is a valuation account that is deducted from the mortgage loan’s amortized cost basis to present the net amount expected to be collected on the mortgage loan. The loan balance, or a portion of the loan balance, is written-off against the allowance when management believes this amount is uncollectible.</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Accrued interest receivables are presented separate from the amortized cost basis of mortgage loans. An allowance for credit losses is generally not estimated on an accrued interest receivable, rather when a loan is placed in nonaccrual status the associated accrued interest receivable balance is written off with a corresponding reduction to net investment income. The accrued interest receivable on mortgage loans is included in accrued investment income and totaled $134 million and $132 million at September 30, 2026 and December 31, 2025, respectively.</w:t>
      </w:r>
    </w:p>
    <w:p>
      <w:pPr>
        <w:spacing w:after="0" w:line="74"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allowance for credit losses is estimated using relevant available information, from internal and external sources, relating to past events, current conditions, and a reasonable and supportable forecast. Historical credit loss experience provides the basis for estimating expected credit losses. Adjustments to historical loss information are made for differences in current loan-specific risk characteristics and environmental conditions. A reasonable and supportable forecast period of two years is used with an input reversion period of one year.</w:t>
      </w:r>
    </w:p>
    <w:p>
      <w:pPr>
        <w:spacing w:after="0" w:line="74"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Mortgage loans are evaluated in each of the three portfolio segments to determine the allowance for credit losses. The loan-level loss rates are determined using individual loan terms and characteristics, risk pools/internal ratings, national economic forecasts, prepayment speeds, and estimated default and loss severity. The resulting loss rates are applied to the mortgage loan’s amortized cost to generate an allowance for credit losses. In certain situations, the allowance for credit losses is measured as the difference between the loan’s amortized cost and liquidation value of the collateral. These situations include collateral dependent loans, modifications, foreclosure probable loans, and loans with dissimilar risk characteristics.</w:t>
      </w:r>
    </w:p>
    <w:p>
      <w:pPr>
        <w:spacing w:after="0" w:line="79"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Mortgage loans are also evaluated to determine if they qualify as PCD assets. To determine if the credit deterioration experienced since origination is more than insignificant, the extent of credit deterioration is evaluated. All re-performing/modified loan (“RPL”) pools purchased after December 31, 2019 are determined to have been acquired with evidence of more than insignificant credit deterioration since origination and are classified as PCD assets. RPLs are pools of residential mortgage loans acquired at a discount or premium which have both credit and non-credit components.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PCD mortgage loans, the allowance for credit losses is determined using a similar methodology described above, except the loss-rate is determined at the pool level instead of the individual loan level. The initial allowance for credit losses, determined on a collective basis, is then allocated to the individual loans. The initial amortized cost of the loan is grossed-up to reflect the sum of the loan’s purchase price and allowance for credit losses. The difference between the grossed-up amortized cost basis and the par value of the loan is a non-credit discount or premium, which is accreted or amortized into net investment income over the remaining life of the loan. Any subsequent PCD mortgage loan allowance for credit losses is evaluated in a manner similar to the process described above for each of the three portfolio segments.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2" w:lineRule="exact"/>
        <w:rPr>
          <w:sz w:val="20"/>
          <w:szCs w:val="20"/>
          <w:color w:val="auto"/>
        </w:rPr>
      </w:pPr>
    </w:p>
    <w:p>
      <w:pPr>
        <w:jc w:val="right"/>
        <w:ind w:left="320" w:right="4580"/>
        <w:spacing w:after="0" w:line="436" w:lineRule="auto"/>
        <w:rPr>
          <w:sz w:val="20"/>
          <w:szCs w:val="20"/>
          <w:color w:val="auto"/>
        </w:rPr>
      </w:pPr>
      <w:r>
        <w:rPr>
          <w:rFonts w:ascii="Times New Roman" w:cs="Times New Roman" w:eastAsia="Times New Roman" w:hAnsi="Times New Roman"/>
          <w:sz w:val="17"/>
          <w:szCs w:val="17"/>
          <w:i w:val="1"/>
          <w:iCs w:val="1"/>
          <w:u w:val="single" w:color="auto"/>
          <w:color w:val="auto"/>
        </w:rPr>
        <w:t xml:space="preserve">Rollforward of the Allowance for Credit Losses for Mortgage Loans by Portfolio Segment </w:t>
      </w:r>
      <w:r>
        <w:rPr>
          <w:rFonts w:ascii="Times New Roman" w:cs="Times New Roman" w:eastAsia="Times New Roman" w:hAnsi="Times New Roman"/>
          <w:sz w:val="17"/>
          <w:szCs w:val="17"/>
          <w:color w:val="auto"/>
        </w:rPr>
        <w:t>The changes in the allowance for credit losses by portfolio segment were as follows: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16"/>
                <w:szCs w:val="16"/>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16"/>
                <w:szCs w:val="16"/>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60" w:type="dxa"/>
            <w:vAlign w:val="bottom"/>
          </w:tcPr>
          <w:p>
            <w:pPr>
              <w:spacing w:after="0"/>
              <w:rPr>
                <w:sz w:val="16"/>
                <w:szCs w:val="16"/>
                <w:color w:val="auto"/>
              </w:rPr>
            </w:pPr>
          </w:p>
        </w:tc>
        <w:tc>
          <w:tcPr>
            <w:tcW w:w="860" w:type="dxa"/>
            <w:vAlign w:val="bottom"/>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gridSpan w:val="5"/>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2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4"/>
                <w:szCs w:val="24"/>
                <w:color w:val="auto"/>
              </w:rPr>
            </w:pP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44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6"/>
                <w:szCs w:val="16"/>
                <w:color w:val="auto"/>
                <w:w w:val="96"/>
              </w:rPr>
              <w:t>(8)</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43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tcPr>
          <w:p>
            <w:pPr>
              <w:spacing w:after="0"/>
              <w:rPr>
                <w:sz w:val="24"/>
                <w:szCs w:val="24"/>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08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58"/>
        </w:trPr>
        <w:tc>
          <w:tcPr>
            <w:tcW w:w="6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435"/>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period provision</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ind w:left="760"/>
              <w:spacing w:after="0"/>
              <w:rPr>
                <w:sz w:val="20"/>
                <w:szCs w:val="20"/>
                <w:color w:val="auto"/>
              </w:rPr>
            </w:pPr>
            <w:r>
              <w:rPr>
                <w:rFonts w:ascii="Times New Roman" w:cs="Times New Roman" w:eastAsia="Times New Roman" w:hAnsi="Times New Roman"/>
                <w:sz w:val="16"/>
                <w:szCs w:val="16"/>
                <w:color w:val="auto"/>
                <w:w w:val="96"/>
              </w:rPr>
              <w:t>(1)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3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Charge-offs, net of recoveries</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433"/>
        </w:trPr>
        <w:tc>
          <w:tcPr>
            <w:tcW w:w="6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end of period</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Credit Quality of Mortgage Loans by Portfolio Segment</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by year of origination and credit quality indicator was as follows at:</w:t>
      </w:r>
    </w:p>
    <w:p>
      <w:pPr>
        <w:sectPr>
          <w:pgSz w:w="11900" w:h="16838" w:orient="portrait"/>
          <w:cols w:equalWidth="0" w:num="1">
            <w:col w:w="11240"/>
          </w:cols>
          <w:pgMar w:left="320" w:top="230" w:right="339" w:bottom="1440" w:gutter="0" w:footer="0" w:header="0"/>
        </w:sectPr>
      </w:pPr>
    </w:p>
    <w:bookmarkStart w:id="32" w:name="page33"/>
    <w:bookmarkEnd w:id="32"/>
    <w:p>
      <w:pPr>
        <w:ind w:left="3980"/>
        <w:spacing w:after="0"/>
        <w:tabs>
          <w:tab w:leader="none" w:pos="5060" w:val="left"/>
          <w:tab w:leader="none" w:pos="6160" w:val="left"/>
          <w:tab w:leader="none" w:pos="7260" w:val="left"/>
          <w:tab w:leader="none" w:pos="8360" w:val="left"/>
          <w:tab w:leader="none" w:pos="9440" w:val="left"/>
          <w:tab w:leader="none" w:pos="1056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Prior</w:t>
      </w:r>
      <w:r>
        <w:rPr>
          <w:sz w:val="20"/>
          <w:szCs w:val="20"/>
          <w:color w:val="auto"/>
        </w:rPr>
        <w:tab/>
      </w:r>
      <w:r>
        <w:rPr>
          <w:rFonts w:ascii="Times New Roman" w:cs="Times New Roman" w:eastAsia="Times New Roman" w:hAnsi="Times New Roman"/>
          <w:sz w:val="14"/>
          <w:szCs w:val="14"/>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2300605</wp:posOffset>
            </wp:positionH>
            <wp:positionV relativeFrom="paragraph">
              <wp:posOffset>31115</wp:posOffset>
            </wp:positionV>
            <wp:extent cx="48380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spacing w:after="0" w:line="25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277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34860" cy="2774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Loan-to-value ratios: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686</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4,150</w:t>
            </w:r>
          </w:p>
        </w:tc>
        <w:tc>
          <w:tcPr>
            <w:tcW w:w="12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6,031</w:t>
            </w:r>
          </w:p>
        </w:tc>
      </w:tr>
      <w:tr>
        <w:trPr>
          <w:trHeight w:val="4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2,609</w:t>
            </w: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894</w:t>
            </w:r>
          </w:p>
        </w:tc>
      </w:tr>
      <w:tr>
        <w:trPr>
          <w:trHeight w:val="437"/>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1,441</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2,165</w:t>
            </w:r>
          </w:p>
        </w:tc>
      </w:tr>
      <w:tr>
        <w:trPr>
          <w:trHeight w:val="430"/>
        </w:trPr>
        <w:tc>
          <w:tcPr>
            <w:tcW w:w="36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817</w:t>
            </w:r>
          </w:p>
        </w:tc>
        <w:tc>
          <w:tcPr>
            <w:tcW w:w="10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1,834</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7,585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11,699</w:t>
            </w:r>
          </w:p>
        </w:tc>
      </w:tr>
      <w:tr>
        <w:trPr>
          <w:trHeight w:val="4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w:t>
            </w: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4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33"/>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2,797</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4,721</w:t>
            </w:r>
          </w:p>
        </w:tc>
      </w:tr>
      <w:tr>
        <w:trPr>
          <w:trHeight w:val="41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w:t>
            </w:r>
          </w:p>
        </w:tc>
        <w:tc>
          <w:tcPr>
            <w:tcW w:w="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6,076</w:t>
            </w:r>
          </w:p>
        </w:tc>
      </w:tr>
      <w:tr>
        <w:trPr>
          <w:trHeight w:val="435"/>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r>
      <w:tr>
        <w:trPr>
          <w:trHeight w:val="431"/>
        </w:trPr>
        <w:tc>
          <w:tcPr>
            <w:tcW w:w="362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2,926</w:t>
            </w:r>
          </w:p>
        </w:tc>
        <w:tc>
          <w:tcPr>
            <w:tcW w:w="120" w:type="dxa"/>
            <w:vAlign w:val="bottom"/>
            <w:tcBorders>
              <w:top w:val="single" w:sz="8" w:color="CCEEFF"/>
            </w:tcBorders>
            <w:shd w:val="clear" w:color="auto" w:fill="CCEEFF"/>
          </w:tcPr>
          <w:p>
            <w:pPr>
              <w:spacing w:after="0"/>
              <w:rPr>
                <w:sz w:val="24"/>
                <w:szCs w:val="24"/>
                <w:color w:val="auto"/>
              </w:rPr>
            </w:pPr>
          </w:p>
        </w:tc>
        <w:tc>
          <w:tcPr>
            <w:tcW w:w="30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r>
      <w:tr>
        <w:trPr>
          <w:trHeight w:val="433"/>
        </w:trPr>
        <w:tc>
          <w:tcPr>
            <w:tcW w:w="3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2,052</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24"/>
                <w:szCs w:val="24"/>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3,555</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13,308</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22,615</w:t>
            </w:r>
          </w:p>
        </w:tc>
      </w:tr>
      <w:tr>
        <w:trPr>
          <w:trHeight w:val="20"/>
        </w:trPr>
        <w:tc>
          <w:tcPr>
            <w:tcW w:w="3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4000"/>
        <w:spacing w:after="0"/>
        <w:tabs>
          <w:tab w:leader="none" w:pos="5080" w:val="left"/>
          <w:tab w:leader="none" w:pos="6180" w:val="left"/>
          <w:tab w:leader="none" w:pos="7280" w:val="left"/>
          <w:tab w:leader="none" w:pos="8360" w:val="left"/>
          <w:tab w:leader="none" w:pos="9420" w:val="left"/>
          <w:tab w:leader="none" w:pos="105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r>
        <w:rPr>
          <w:sz w:val="20"/>
          <w:szCs w:val="20"/>
          <w:color w:val="auto"/>
        </w:rPr>
        <w:tab/>
      </w: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Prior</w:t>
      </w:r>
      <w:r>
        <w:rPr>
          <w:sz w:val="20"/>
          <w:szCs w:val="20"/>
          <w:color w:val="auto"/>
        </w:rPr>
        <w:tab/>
      </w:r>
      <w:r>
        <w:rPr>
          <w:rFonts w:ascii="Times New Roman" w:cs="Times New Roman" w:eastAsia="Times New Roman" w:hAnsi="Times New Roman"/>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2308860</wp:posOffset>
            </wp:positionH>
            <wp:positionV relativeFrom="paragraph">
              <wp:posOffset>31115</wp:posOffset>
            </wp:positionV>
            <wp:extent cx="48126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812665" cy="8255"/>
                    </a:xfrm>
                    <a:prstGeom prst="rect">
                      <a:avLst/>
                    </a:prstGeom>
                    <a:noFill/>
                  </pic:spPr>
                </pic:pic>
              </a:graphicData>
            </a:graphic>
          </wp:anchor>
        </w:drawing>
      </w:r>
    </w:p>
    <w:p>
      <w:pPr>
        <w:spacing w:after="0" w:line="256"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17715" cy="277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Commercial mortgage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19685</wp:posOffset>
            </wp:positionV>
            <wp:extent cx="7117715" cy="277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Loan-to-value ratios: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2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w:t>
            </w:r>
          </w:p>
        </w:tc>
        <w:tc>
          <w:tcPr>
            <w:tcW w:w="10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1,713</w:t>
            </w:r>
          </w:p>
        </w:tc>
        <w:tc>
          <w:tcPr>
            <w:tcW w:w="80" w:type="dxa"/>
            <w:vAlign w:val="bottom"/>
          </w:tcPr>
          <w:p>
            <w:pPr>
              <w:spacing w:after="0"/>
              <w:rPr>
                <w:sz w:val="18"/>
                <w:szCs w:val="18"/>
                <w:color w:val="auto"/>
              </w:rPr>
            </w:pP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2,905</w:t>
            </w:r>
          </w:p>
        </w:tc>
        <w:tc>
          <w:tcPr>
            <w:tcW w:w="100" w:type="dxa"/>
            <w:vAlign w:val="bottom"/>
          </w:tcPr>
          <w:p>
            <w:pPr>
              <w:spacing w:after="0"/>
              <w:rPr>
                <w:sz w:val="18"/>
                <w:szCs w:val="18"/>
                <w:color w:val="auto"/>
              </w:rPr>
            </w:pPr>
          </w:p>
        </w:tc>
        <w:tc>
          <w:tcPr>
            <w:tcW w:w="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6,349</w:t>
            </w:r>
          </w:p>
        </w:tc>
      </w:tr>
      <w:tr>
        <w:trPr>
          <w:trHeight w:val="4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651</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717</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2,393</w:t>
            </w: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1,107</w:t>
            </w:r>
          </w:p>
        </w:tc>
      </w:tr>
      <w:tr>
        <w:trPr>
          <w:trHeight w:val="43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661</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2,474</w:t>
            </w:r>
          </w:p>
        </w:tc>
      </w:tr>
      <w:tr>
        <w:trPr>
          <w:trHeight w:val="431"/>
        </w:trPr>
        <w:tc>
          <w:tcPr>
            <w:tcW w:w="3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commercial mortgage loans</w:t>
            </w: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730</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848</w:t>
            </w: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1,932</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2,895</w:t>
            </w:r>
          </w:p>
        </w:tc>
        <w:tc>
          <w:tcPr>
            <w:tcW w:w="8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12,323</w:t>
            </w:r>
          </w:p>
        </w:tc>
      </w:tr>
      <w:tr>
        <w:trPr>
          <w:trHeight w:val="42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Agricultural mortgage loans</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Loan-to-value ratios: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than 65%</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415</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1,048</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4,375</w:t>
            </w: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65% to 75%</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275</w:t>
            </w:r>
          </w:p>
        </w:tc>
      </w:tr>
      <w:tr>
        <w:trPr>
          <w:trHeight w:val="4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76% to 80%</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80%</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r>
      <w:tr>
        <w:trPr>
          <w:trHeight w:val="433"/>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agricultural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w:t>
            </w: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1,151</w:t>
            </w:r>
          </w:p>
        </w:tc>
        <w:tc>
          <w:tcPr>
            <w:tcW w:w="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4,656</w:t>
            </w:r>
          </w:p>
        </w:tc>
      </w:tr>
      <w:tr>
        <w:trPr>
          <w:trHeight w:val="41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Residential mortgage loans</w:t>
            </w: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Performing</w:t>
            </w: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1,505</w:t>
            </w:r>
          </w:p>
        </w:tc>
        <w:tc>
          <w:tcPr>
            <w:tcW w:w="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5,868</w:t>
            </w: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Nonperforming</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108</w:t>
            </w:r>
          </w:p>
        </w:tc>
      </w:tr>
      <w:tr>
        <w:trPr>
          <w:trHeight w:val="430"/>
        </w:trPr>
        <w:tc>
          <w:tcPr>
            <w:tcW w:w="36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residential mortgage loans</w:t>
            </w: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873</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Borders>
              <w:top w:val="single" w:sz="8" w:color="CCEEFF"/>
            </w:tcBorders>
            <w:shd w:val="clear" w:color="auto" w:fill="CCEEFF"/>
          </w:tcPr>
          <w:p>
            <w:pPr>
              <w:spacing w:after="0"/>
              <w:rPr>
                <w:sz w:val="24"/>
                <w:szCs w:val="24"/>
                <w:color w:val="auto"/>
              </w:rPr>
            </w:pPr>
          </w:p>
        </w:tc>
        <w:tc>
          <w:tcPr>
            <w:tcW w:w="400" w:type="dxa"/>
            <w:vAlign w:val="bottom"/>
            <w:tcBorders>
              <w:top w:val="single" w:sz="8" w:color="auto"/>
              <w:bottom w:val="single" w:sz="8" w:color="auto"/>
            </w:tcBorders>
            <w:shd w:val="clear" w:color="auto" w:fill="CCEEFF"/>
          </w:tcPr>
          <w:p>
            <w:pPr>
              <w:spacing w:after="0"/>
              <w:rPr>
                <w:sz w:val="24"/>
                <w:szCs w:val="24"/>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1,191</w:t>
            </w:r>
          </w:p>
        </w:tc>
        <w:tc>
          <w:tcPr>
            <w:tcW w:w="10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1,527</w:t>
            </w:r>
          </w:p>
        </w:tc>
        <w:tc>
          <w:tcPr>
            <w:tcW w:w="80" w:type="dxa"/>
            <w:vAlign w:val="bottom"/>
            <w:tcBorders>
              <w:top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auto"/>
            </w:tcBorders>
            <w:shd w:val="clear" w:color="auto" w:fill="CCEEFF"/>
          </w:tcPr>
          <w:p>
            <w:pPr>
              <w:spacing w:after="0"/>
              <w:rPr>
                <w:sz w:val="24"/>
                <w:szCs w:val="24"/>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Borders>
              <w:top w:val="single" w:sz="8" w:color="CCEEFF"/>
            </w:tcBorders>
            <w:shd w:val="clear" w:color="auto" w:fill="CCEEFF"/>
          </w:tcPr>
          <w:p>
            <w:pPr>
              <w:spacing w:after="0"/>
              <w:rPr>
                <w:sz w:val="24"/>
                <w:szCs w:val="24"/>
                <w:color w:val="auto"/>
              </w:rPr>
            </w:pPr>
          </w:p>
        </w:tc>
        <w:tc>
          <w:tcPr>
            <w:tcW w:w="320" w:type="dxa"/>
            <w:vAlign w:val="bottom"/>
            <w:tcBorders>
              <w:top w:val="single" w:sz="8" w:color="auto"/>
              <w:bottom w:val="single" w:sz="8" w:color="auto"/>
            </w:tcBorders>
            <w:shd w:val="clear" w:color="auto" w:fill="CCEEFF"/>
          </w:tcPr>
          <w:p>
            <w:pPr>
              <w:spacing w:after="0"/>
              <w:rPr>
                <w:sz w:val="24"/>
                <w:szCs w:val="24"/>
                <w:color w:val="auto"/>
              </w:rPr>
            </w:pPr>
          </w:p>
        </w:tc>
        <w:tc>
          <w:tcPr>
            <w:tcW w:w="70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5,976</w:t>
            </w:r>
          </w:p>
        </w:tc>
      </w:tr>
      <w:tr>
        <w:trPr>
          <w:trHeight w:val="433"/>
        </w:trPr>
        <w:tc>
          <w:tcPr>
            <w:tcW w:w="3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2,061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1,813</w:t>
            </w:r>
          </w:p>
        </w:tc>
        <w:tc>
          <w:tcPr>
            <w:tcW w:w="120" w:type="dxa"/>
            <w:vAlign w:val="bottom"/>
          </w:tcPr>
          <w:p>
            <w:pPr>
              <w:spacing w:after="0"/>
              <w:rPr>
                <w:sz w:val="24"/>
                <w:szCs w:val="24"/>
                <w:color w:val="auto"/>
              </w:rPr>
            </w:pPr>
          </w:p>
        </w:tc>
        <w:tc>
          <w:tcPr>
            <w:tcW w:w="40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3,778</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5,573</w:t>
            </w:r>
          </w:p>
        </w:tc>
        <w:tc>
          <w:tcPr>
            <w:tcW w:w="80" w:type="dxa"/>
            <w:vAlign w:val="bottom"/>
          </w:tcPr>
          <w:p>
            <w:pPr>
              <w:spacing w:after="0"/>
              <w:rPr>
                <w:sz w:val="24"/>
                <w:szCs w:val="24"/>
                <w:color w:val="auto"/>
              </w:rPr>
            </w:pPr>
          </w:p>
        </w:tc>
        <w:tc>
          <w:tcPr>
            <w:tcW w:w="340" w:type="dxa"/>
            <w:vAlign w:val="bottom"/>
            <w:tcBorders>
              <w:bottom w:val="single" w:sz="8" w:color="auto"/>
            </w:tcBorders>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9,197</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22,955</w:t>
            </w:r>
          </w:p>
        </w:tc>
      </w:tr>
      <w:tr>
        <w:trPr>
          <w:trHeight w:val="20"/>
        </w:trPr>
        <w:tc>
          <w:tcPr>
            <w:tcW w:w="3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loan-to-value ratio is a measure commonly used to assess the quality of commercial and agricultural mortgage loans. The loan-to-value ratio compares the amount of the loan to the estimated fair value of the underlying property collateralizing the loan and is commonly expressed as a percentage. A loan-to-value ratio less than 100% indicates an excess of collateral value over the loan amount. Loan-to-value ratios greater than 100% indicate that the loan amount exceeds the collateral value. Performing status is a measure commonly used to assess the quality of residential mortgage loans. A loan is considered performing when the borrower makes consistent and timely payments.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amortized cost of commercial mortgage loans by debt-service coverage ratio was as follows at:</w:t>
      </w:r>
    </w:p>
    <w:p>
      <w:pPr>
        <w:sectPr>
          <w:pgSz w:w="11900" w:h="16838" w:orient="portrait"/>
          <w:cols w:equalWidth="0" w:num="1">
            <w:col w:w="11240"/>
          </w:cols>
          <w:pgMar w:left="320" w:top="230"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580" w:type="dxa"/>
            <w:vAlign w:val="bottom"/>
          </w:tcPr>
          <w:p>
            <w:pPr>
              <w:spacing w:after="0"/>
              <w:rPr>
                <w:sz w:val="16"/>
                <w:szCs w:val="16"/>
                <w:color w:val="auto"/>
              </w:rPr>
            </w:pPr>
          </w:p>
        </w:tc>
        <w:tc>
          <w:tcPr>
            <w:tcW w:w="192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6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6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20" w:type="dxa"/>
            <w:vAlign w:val="bottom"/>
          </w:tcPr>
          <w:p>
            <w:pPr>
              <w:spacing w:after="0"/>
              <w:rPr>
                <w:sz w:val="16"/>
                <w:szCs w:val="16"/>
                <w:color w:val="auto"/>
              </w:rPr>
            </w:pPr>
          </w:p>
        </w:tc>
        <w:tc>
          <w:tcPr>
            <w:tcW w:w="12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2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940" w:type="dxa"/>
            <w:vAlign w:val="bottom"/>
            <w:tcBorders>
              <w:bottom w:val="single" w:sz="8" w:color="auto"/>
            </w:tcBorders>
            <w:gridSpan w:val="3"/>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93"/>
        </w:trPr>
        <w:tc>
          <w:tcPr>
            <w:tcW w:w="6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
        </w:trPr>
        <w:tc>
          <w:tcPr>
            <w:tcW w:w="6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Debt-service coverage ratios:</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Greater than 1.20x</w:t>
            </w:r>
          </w:p>
        </w:tc>
        <w:tc>
          <w:tcPr>
            <w:tcW w:w="380" w:type="dxa"/>
            <w:vAlign w:val="bottom"/>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10,403</w:t>
            </w: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88.9 %</w:t>
            </w:r>
          </w:p>
        </w:tc>
        <w:tc>
          <w:tcPr>
            <w:tcW w:w="100" w:type="dxa"/>
            <w:vAlign w:val="bottom"/>
          </w:tcPr>
          <w:p>
            <w:pPr>
              <w:spacing w:after="0"/>
              <w:rPr>
                <w:sz w:val="24"/>
                <w:szCs w:val="24"/>
                <w:color w:val="auto"/>
              </w:rPr>
            </w:pPr>
          </w:p>
        </w:tc>
        <w:tc>
          <w:tcPr>
            <w:tcW w:w="580" w:type="dxa"/>
            <w:vAlign w:val="bottom"/>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11,157</w:t>
            </w:r>
          </w:p>
        </w:tc>
        <w:tc>
          <w:tcPr>
            <w:tcW w:w="1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90.5 %</w:t>
            </w: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1.00x - 1.20x</w:t>
            </w: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6.0</w:t>
            </w:r>
          </w:p>
        </w:tc>
      </w:tr>
      <w:tr>
        <w:trPr>
          <w:trHeight w:val="43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than 1.00x</w:t>
            </w: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614</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Borders>
              <w:bottom w:val="single" w:sz="8" w:color="CCEEFF"/>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3.5</w:t>
            </w:r>
          </w:p>
        </w:tc>
      </w:tr>
      <w:tr>
        <w:trPr>
          <w:trHeight w:val="458"/>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8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403"/>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debt-service coverage ratio compares a property’s net operating income to its debt-service payments. Debt-service coverage ratios less than 1.00 times indicate that property operations do not generate enough income to cover the loan’s current debt payments. A debt-service coverage ratio greater than 1.00 times indicates an excess of net operating income over the debt-service payments.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Past Due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has a high-quality, well-performing mortgage loan portfolio, with 99% of all mortgage loans classified as performing at both September 30, 2026 and December 31, 2025. Delinquency is defined consistent with industry practice, when mortgage loans are past due as follows: commercial and residential mortgage loans — 60 days; and agricultural mortgage loans — 90 days.</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aging of the amortized cost of past due mortgage loans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0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4"/>
        </w:trPr>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93"/>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24"/>
                <w:szCs w:val="24"/>
                <w:color w:val="auto"/>
              </w:rPr>
            </w:pPr>
          </w:p>
        </w:tc>
        <w:tc>
          <w:tcPr>
            <w:tcW w:w="10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140" w:type="dxa"/>
            <w:vAlign w:val="bottom"/>
          </w:tcPr>
          <w:p>
            <w:pPr>
              <w:spacing w:after="0"/>
              <w:rPr>
                <w:sz w:val="24"/>
                <w:szCs w:val="24"/>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160" w:type="dxa"/>
            <w:vAlign w:val="bottom"/>
          </w:tcPr>
          <w:p>
            <w:pPr>
              <w:spacing w:after="0"/>
              <w:rPr>
                <w:sz w:val="24"/>
                <w:szCs w:val="24"/>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Residential</w:t>
            </w:r>
          </w:p>
        </w:tc>
        <w:tc>
          <w:tcPr>
            <w:tcW w:w="200" w:type="dxa"/>
            <w:vAlign w:val="bottom"/>
          </w:tcPr>
          <w:p>
            <w:pPr>
              <w:spacing w:after="0"/>
              <w:rPr>
                <w:sz w:val="24"/>
                <w:szCs w:val="24"/>
                <w:color w:val="auto"/>
              </w:rPr>
            </w:pPr>
          </w:p>
        </w:tc>
        <w:tc>
          <w:tcPr>
            <w:tcW w:w="68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22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393"/>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4"/>
        </w:trPr>
        <w:tc>
          <w:tcPr>
            <w:tcW w:w="2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43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11,573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4,700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22,254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22,729</w:t>
            </w:r>
          </w:p>
        </w:tc>
      </w:tr>
      <w:tr>
        <w:trPr>
          <w:trHeight w:val="435"/>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30-59 days past due</w:t>
            </w: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440"/>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60-89 days past due</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435"/>
        </w:trPr>
        <w:tc>
          <w:tcPr>
            <w:tcW w:w="2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90-179 days past due</w:t>
            </w: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437"/>
        </w:trPr>
        <w:tc>
          <w:tcPr>
            <w:tcW w:w="2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180+ days past due</w:t>
            </w:r>
          </w:p>
        </w:tc>
        <w:tc>
          <w:tcPr>
            <w:tcW w:w="12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r>
      <w:tr>
        <w:trPr>
          <w:trHeight w:val="433"/>
        </w:trPr>
        <w:tc>
          <w:tcPr>
            <w:tcW w:w="22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11,699</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4,721</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22,615</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r>
      <w:tr>
        <w:trPr>
          <w:trHeight w:val="20"/>
        </w:trPr>
        <w:tc>
          <w:tcPr>
            <w:tcW w:w="2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Loans in Nonaccrual Status by Portfolio Segment</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Mortgage loans are placed in a nonaccrual status if there are concerns regarding collectability of future payments or the loan is past due, unless the past due loan is well collateralized.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amortized cost of mortgage loans in a nonaccrual status by portfolio segment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Commercial</w:t>
            </w:r>
          </w:p>
        </w:tc>
        <w:tc>
          <w:tcPr>
            <w:tcW w:w="280" w:type="dxa"/>
            <w:vAlign w:val="bottom"/>
          </w:tcPr>
          <w:p>
            <w:pPr>
              <w:spacing w:after="0"/>
              <w:rPr>
                <w:sz w:val="16"/>
                <w:szCs w:val="16"/>
                <w:color w:val="auto"/>
              </w:rPr>
            </w:pPr>
          </w:p>
        </w:tc>
        <w:tc>
          <w:tcPr>
            <w:tcW w:w="1220" w:type="dxa"/>
            <w:vAlign w:val="bottom"/>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Agricultural</w:t>
            </w:r>
          </w:p>
        </w:tc>
        <w:tc>
          <w:tcPr>
            <w:tcW w:w="260" w:type="dxa"/>
            <w:vAlign w:val="bottom"/>
          </w:tcPr>
          <w:p>
            <w:pPr>
              <w:spacing w:after="0"/>
              <w:rPr>
                <w:sz w:val="16"/>
                <w:szCs w:val="16"/>
                <w:color w:val="auto"/>
              </w:rPr>
            </w:pPr>
          </w:p>
        </w:tc>
        <w:tc>
          <w:tcPr>
            <w:tcW w:w="124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Residential (1)</w:t>
            </w:r>
          </w:p>
        </w:tc>
        <w:tc>
          <w:tcPr>
            <w:tcW w:w="400" w:type="dxa"/>
            <w:vAlign w:val="bottom"/>
          </w:tcPr>
          <w:p>
            <w:pPr>
              <w:spacing w:after="0"/>
              <w:rPr>
                <w:sz w:val="16"/>
                <w:szCs w:val="16"/>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5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93"/>
        </w:trPr>
        <w:tc>
          <w:tcPr>
            <w:tcW w:w="5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3"/>
          </w:tcPr>
          <w:p>
            <w:pPr>
              <w:jc w:val="right"/>
              <w:ind w:right="102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4"/>
        </w:trPr>
        <w:tc>
          <w:tcPr>
            <w:tcW w:w="5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437"/>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September 30, 2026</w:t>
            </w: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238</w:t>
            </w:r>
          </w:p>
        </w:tc>
        <w:tc>
          <w:tcPr>
            <w:tcW w:w="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119</w:t>
            </w:r>
          </w:p>
        </w:tc>
        <w:tc>
          <w:tcPr>
            <w:tcW w:w="4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w:t>
            </w:r>
          </w:p>
        </w:tc>
      </w:tr>
      <w:tr>
        <w:trPr>
          <w:trHeight w:val="432"/>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December 31, 2025</w:t>
            </w: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220</w:t>
            </w:r>
          </w:p>
        </w:tc>
        <w:tc>
          <w:tcPr>
            <w:tcW w:w="2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25"/>
              <w:spacing w:after="0"/>
              <w:rPr>
                <w:sz w:val="20"/>
                <w:szCs w:val="20"/>
                <w:color w:val="auto"/>
              </w:rPr>
            </w:pPr>
            <w:r>
              <w:rPr>
                <w:rFonts w:ascii="Times New Roman" w:cs="Times New Roman" w:eastAsia="Times New Roman" w:hAnsi="Times New Roman"/>
                <w:sz w:val="16"/>
                <w:szCs w:val="16"/>
                <w:color w:val="auto"/>
              </w:rPr>
              <w:t>5</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108</w:t>
            </w:r>
          </w:p>
        </w:tc>
        <w:tc>
          <w:tcPr>
            <w:tcW w:w="4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46"/>
        </w:trPr>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r>
    </w:tbl>
    <w:p>
      <w:pPr>
        <w:spacing w:after="0" w:line="99" w:lineRule="exact"/>
        <w:rPr>
          <w:sz w:val="20"/>
          <w:szCs w:val="20"/>
          <w:color w:val="auto"/>
        </w:rPr>
      </w:pPr>
    </w:p>
    <w:p>
      <w:pPr>
        <w:ind w:left="320" w:right="20" w:hanging="314"/>
        <w:spacing w:after="0" w:line="274" w:lineRule="auto"/>
        <w:tabs>
          <w:tab w:leader="none" w:pos="27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$50 million and $54 million of mortgage loans in nonaccrual status for which there was no related allowance for credit losses at September 30, 2026 and December 31, 2025, respectively.</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Current period investment income on mortgage loans in nonaccrual status was $5 million and $6 million for the nine months ended September 30, 2026 and 2025,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Modified Mortgage Loans by Portfolio Segment</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circumstances, modifications are granted to mortgage loans. Generally, the types of concessions may include interest rate reduction, term extension, principal forgiveness, or a combination of all three. The Company did not have a significant amount of mortgage loans modified during both the nine months ended September 30, 2026 and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Over 85% of other invested assets is comprised of freestanding derivatives with positive estimated fair values. See Note 8 for information about freestanding derivatives with positive estimated fair values. Other invested assets also includes the Company’s investment in company-owned life insurance, Federal Home Loan Bank (“FHLB”) stock, leveraged leases and tax credit and renewable energy partnerships.</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Unrealized Investment Gains (Losses)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Unrealized investment gains (losses) on fixed maturity securities, and the effect on future policy benefits that would result from the realization of the unrealized gains (losses), are included in net unrealized investment gains (losses) in accumulated other comprehensive income (loss) (“AOCI”).</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unrealized investment gains (losses), included in AOCI,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(4,968)</w:t>
            </w: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30"/>
        </w:trPr>
        <w:tc>
          <w:tcPr>
            <w:tcW w:w="78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Subtotal</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w:t>
            </w:r>
          </w:p>
        </w:tc>
      </w:tr>
      <w:tr>
        <w:trPr>
          <w:trHeight w:val="42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Amounts allocated from:</w:t>
            </w: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Future policy benefits</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w:t>
            </w: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1,753</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w:t>
            </w:r>
          </w:p>
        </w:tc>
      </w:tr>
      <w:tr>
        <w:trPr>
          <w:trHeight w:val="433"/>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investment gains (losses)</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(6,595)</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(3,340)</w:t>
            </w: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changes in net unrealized investment gains (losses) were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tcPr>
          <w:p>
            <w:pPr>
              <w:jc w:val="center"/>
              <w:ind w:right="16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9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399"/>
        </w:trPr>
        <w:tc>
          <w:tcPr>
            <w:tcW w:w="9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jc w:val="center"/>
              <w:ind w:right="14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437"/>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(3,340)</w:t>
            </w:r>
          </w:p>
        </w:tc>
      </w:tr>
      <w:tr>
        <w:trPr>
          <w:trHeight w:val="435"/>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during the period</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(3,978)</w:t>
            </w:r>
          </w:p>
        </w:tc>
      </w:tr>
      <w:tr>
        <w:trPr>
          <w:trHeight w:val="440"/>
        </w:trPr>
        <w:tc>
          <w:tcPr>
            <w:tcW w:w="9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investment gains (losses) relating to:</w:t>
            </w:r>
          </w:p>
        </w:tc>
        <w:tc>
          <w:tcPr>
            <w:tcW w:w="240" w:type="dxa"/>
            <w:vAlign w:val="bottom"/>
            <w:shd w:val="clear" w:color="auto" w:fill="CCEEFF"/>
          </w:tcPr>
          <w:p>
            <w:pPr>
              <w:spacing w:after="0"/>
              <w:rPr>
                <w:sz w:val="24"/>
                <w:szCs w:val="24"/>
                <w:color w:val="auto"/>
              </w:rPr>
            </w:pPr>
          </w:p>
        </w:tc>
        <w:tc>
          <w:tcPr>
            <w:tcW w:w="1680" w:type="dxa"/>
            <w:vAlign w:val="bottom"/>
            <w:shd w:val="clear" w:color="auto" w:fill="CCEEFF"/>
          </w:tcPr>
          <w:p>
            <w:pPr>
              <w:spacing w:after="0"/>
              <w:rPr>
                <w:sz w:val="24"/>
                <w:szCs w:val="24"/>
                <w:color w:val="auto"/>
              </w:rPr>
            </w:pPr>
          </w:p>
        </w:tc>
      </w:tr>
      <w:tr>
        <w:trPr>
          <w:trHeight w:val="435"/>
        </w:trPr>
        <w:tc>
          <w:tcPr>
            <w:tcW w:w="9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Future policy benefits</w:t>
            </w:r>
          </w:p>
        </w:tc>
        <w:tc>
          <w:tcPr>
            <w:tcW w:w="24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437"/>
        </w:trPr>
        <w:tc>
          <w:tcPr>
            <w:tcW w:w="9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 benefit (expense)</w:t>
            </w:r>
          </w:p>
        </w:tc>
        <w:tc>
          <w:tcPr>
            <w:tcW w:w="240" w:type="dxa"/>
            <w:vAlign w:val="bottom"/>
            <w:tcBorders>
              <w:bottom w:val="single" w:sz="8" w:color="auto"/>
            </w:tcBorders>
            <w:shd w:val="clear" w:color="auto" w:fill="CCEEFF"/>
          </w:tcPr>
          <w:p>
            <w:pPr>
              <w:spacing w:after="0"/>
              <w:rPr>
                <w:sz w:val="24"/>
                <w:szCs w:val="24"/>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865</w:t>
            </w:r>
          </w:p>
        </w:tc>
      </w:tr>
      <w:tr>
        <w:trPr>
          <w:trHeight w:val="433"/>
        </w:trPr>
        <w:tc>
          <w:tcPr>
            <w:tcW w:w="9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2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(6,595)</w:t>
            </w:r>
          </w:p>
        </w:tc>
      </w:tr>
      <w:tr>
        <w:trPr>
          <w:trHeight w:val="20"/>
        </w:trPr>
        <w:tc>
          <w:tcPr>
            <w:tcW w:w="93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455"/>
        </w:trPr>
        <w:tc>
          <w:tcPr>
            <w:tcW w:w="9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unrealized investment gains (losses)</w:t>
            </w: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(3,255)</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no investments in any counterparty that were greater than 10% of the Company’s equity, other than the U.S. government and its agencies, at both September 30, 2026 and December 31,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Elements of the securities lending program are presented below at:</w:t>
      </w:r>
    </w:p>
    <w:p>
      <w:pPr>
        <w:sectPr>
          <w:pgSz w:w="11900" w:h="16838" w:orient="portrait"/>
          <w:cols w:equalWidth="0" w:num="1">
            <w:col w:w="11240"/>
          </w:cols>
          <w:pgMar w:left="320" w:top="230"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3"/>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Securities on loan: (1)</w:t>
            </w:r>
          </w:p>
        </w:tc>
        <w:tc>
          <w:tcPr>
            <w:tcW w:w="180" w:type="dxa"/>
            <w:vAlign w:val="bottom"/>
            <w:shd w:val="clear" w:color="auto" w:fill="CCEEFF"/>
          </w:tcPr>
          <w:p>
            <w:pPr>
              <w:spacing w:after="0"/>
              <w:rPr>
                <w:sz w:val="24"/>
                <w:szCs w:val="24"/>
                <w:color w:val="auto"/>
              </w:rPr>
            </w:pPr>
          </w:p>
        </w:tc>
        <w:tc>
          <w:tcPr>
            <w:tcW w:w="15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435"/>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Amortized cost</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3,869</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3,550</w:t>
            </w:r>
          </w:p>
        </w:tc>
      </w:tr>
      <w:tr>
        <w:trPr>
          <w:trHeight w:val="440"/>
        </w:trPr>
        <w:tc>
          <w:tcPr>
            <w:tcW w:w="78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Estimated fair value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3,206</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3,141</w:t>
            </w: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collateral received from counterparties (2)</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3,310</w:t>
            </w:r>
          </w:p>
        </w:tc>
        <w:tc>
          <w:tcPr>
            <w:tcW w:w="2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3,225</w:t>
            </w:r>
          </w:p>
        </w:tc>
      </w:tr>
      <w:tr>
        <w:trPr>
          <w:trHeight w:val="440"/>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Reinvestment portfolio — estimated fair value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3,397</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3,352</w:t>
            </w:r>
          </w:p>
        </w:tc>
      </w:tr>
      <w:tr>
        <w:trPr>
          <w:trHeight w:val="254"/>
        </w:trPr>
        <w:tc>
          <w:tcPr>
            <w:tcW w:w="78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80" w:type="dxa"/>
            <w:vAlign w:val="bottom"/>
          </w:tcPr>
          <w:p>
            <w:pPr>
              <w:spacing w:after="0"/>
              <w:rPr>
                <w:sz w:val="22"/>
                <w:szCs w:val="22"/>
                <w:color w:val="auto"/>
              </w:rPr>
            </w:pPr>
          </w:p>
        </w:tc>
      </w:tr>
    </w:tbl>
    <w:p>
      <w:pPr>
        <w:spacing w:after="0" w:line="85" w:lineRule="exact"/>
        <w:rPr>
          <w:sz w:val="20"/>
          <w:szCs w:val="20"/>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fixed maturity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payables for collateral under securities loaned and other transactions.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cash collateral liability by loaned security type and remaining tenor of the agreements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8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60" w:type="dxa"/>
            <w:vAlign w:val="bottom"/>
          </w:tcPr>
          <w:p>
            <w:pPr>
              <w:spacing w:after="0"/>
              <w:rPr>
                <w:sz w:val="24"/>
                <w:szCs w:val="24"/>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24"/>
                <w:szCs w:val="24"/>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Open (1)</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 Month or</w:t>
            </w:r>
          </w:p>
        </w:tc>
        <w:tc>
          <w:tcPr>
            <w:tcW w:w="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 to 6 Months</w:t>
            </w:r>
          </w:p>
        </w:tc>
        <w:tc>
          <w:tcPr>
            <w:tcW w:w="180" w:type="dxa"/>
            <w:vAlign w:val="bottom"/>
          </w:tcPr>
          <w:p>
            <w:pPr>
              <w:spacing w:after="0"/>
              <w:rPr>
                <w:sz w:val="24"/>
                <w:szCs w:val="24"/>
                <w:color w:val="auto"/>
              </w:rPr>
            </w:pPr>
          </w:p>
        </w:tc>
        <w:tc>
          <w:tcPr>
            <w:tcW w:w="62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3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Less</w:t>
            </w:r>
          </w:p>
        </w:tc>
        <w:tc>
          <w:tcPr>
            <w:tcW w:w="980" w:type="dxa"/>
            <w:vAlign w:val="bottom"/>
            <w:tcBorders>
              <w:bottom w:val="single" w:sz="8" w:color="auto"/>
            </w:tcBorders>
            <w:gridSpan w:val="3"/>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Less</w:t>
            </w:r>
          </w:p>
        </w:tc>
        <w:tc>
          <w:tcPr>
            <w:tcW w:w="980" w:type="dxa"/>
            <w:vAlign w:val="bottom"/>
            <w:tcBorders>
              <w:bottom w:val="single" w:sz="8" w:color="auto"/>
            </w:tcBorders>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3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2,935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0" w:type="dxa"/>
            <w:vAlign w:val="bottom"/>
          </w:tcPr>
          <w:p>
            <w:pPr>
              <w:spacing w:after="0"/>
              <w:rPr>
                <w:sz w:val="1"/>
                <w:szCs w:val="1"/>
                <w:color w:val="auto"/>
              </w:rPr>
            </w:pP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440"/>
        </w:trPr>
        <w:tc>
          <w:tcPr>
            <w:tcW w:w="3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435"/>
        </w:trPr>
        <w:tc>
          <w:tcPr>
            <w:tcW w:w="3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58"/>
        </w:trPr>
        <w:tc>
          <w:tcPr>
            <w:tcW w:w="3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1,359</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3,310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3,225</w:t>
            </w:r>
          </w:p>
        </w:tc>
        <w:tc>
          <w:tcPr>
            <w:tcW w:w="0" w:type="dxa"/>
            <w:vAlign w:val="bottom"/>
          </w:tcPr>
          <w:p>
            <w:pPr>
              <w:spacing w:after="0"/>
              <w:rPr>
                <w:sz w:val="1"/>
                <w:szCs w:val="1"/>
                <w:color w:val="auto"/>
              </w:rPr>
            </w:pPr>
          </w:p>
        </w:tc>
      </w:tr>
      <w:tr>
        <w:trPr>
          <w:trHeight w:val="20"/>
        </w:trPr>
        <w:tc>
          <w:tcPr>
            <w:tcW w:w="36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6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related loaned security could be returned to the Company on the next business day which would require the Company to immediately return the cash collateral.</w:t>
      </w:r>
    </w:p>
    <w:p>
      <w:pPr>
        <w:spacing w:after="0" w:line="5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If the Company is required to return significant amounts of cash collateral on short notice and is forced to sell securities to meet the return obligation, it may have difficulty selling such collateral that is invested in securities in a timely manner, be forced to sell securities in a volatile or illiquid market for less than what otherwise would have been realized in normal market conditions, or both. The estimated fair value of the securities on loan related to the cash collateral on open at September 30, 2026 was $588 million, primarily comprised of U.S. government and agency securities which, if put back to the Company, could be immediately sold to satisfy the cash requirement.</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reinvestment portfolio acquired with the cash collateral consisted principally of fixed maturity securities (including agency RMBS, ABS, U.S. government and agency securities, U.S. and foreign corporate securities, non-agency RMBS, and CMBS) with 51% invested in agency RMBS, U.S. government and agency securities and cash and cash equivalents at September 30, 2026. If the securities on loan or the reinvestment portfolio become less liquid, the Company has the liquidity resources of most of its general account available to meet any potential cash demands when securities on loan are put back to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Invested Assets on Deposit, Held in Trust and Pledged as Collateral</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Invested assets on deposit, held in trust and pledged as collateral at estimated fair value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on deposit (regulatory deposits) (1)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6,574</w:t>
            </w:r>
          </w:p>
        </w:tc>
        <w:tc>
          <w:tcPr>
            <w:tcW w:w="0" w:type="dxa"/>
            <w:vAlign w:val="bottom"/>
          </w:tcPr>
          <w:p>
            <w:pPr>
              <w:spacing w:after="0"/>
              <w:rPr>
                <w:sz w:val="1"/>
                <w:szCs w:val="1"/>
                <w:color w:val="auto"/>
              </w:rPr>
            </w:pP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Invested assets held in trust (reinsurance agreements) (2)</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7,327</w:t>
            </w:r>
          </w:p>
        </w:tc>
        <w:tc>
          <w:tcPr>
            <w:tcW w:w="0" w:type="dxa"/>
            <w:vAlign w:val="bottom"/>
          </w:tcPr>
          <w:p>
            <w:pPr>
              <w:spacing w:after="0"/>
              <w:rPr>
                <w:sz w:val="1"/>
                <w:szCs w:val="1"/>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Invested assets pledged as collateral (3)</w:t>
            </w: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13,925</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10,794</w:t>
            </w:r>
          </w:p>
        </w:tc>
        <w:tc>
          <w:tcPr>
            <w:tcW w:w="0" w:type="dxa"/>
            <w:vAlign w:val="bottom"/>
          </w:tcPr>
          <w:p>
            <w:pPr>
              <w:spacing w:after="0"/>
              <w:rPr>
                <w:sz w:val="1"/>
                <w:szCs w:val="1"/>
                <w:color w:val="auto"/>
              </w:rPr>
            </w:pPr>
          </w:p>
        </w:tc>
      </w:tr>
      <w:tr>
        <w:trPr>
          <w:trHeight w:val="433"/>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invested assets on deposit, held in trust and pledged as collateral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26,341</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24,695</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78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both"/>
        <w:ind w:left="320" w:hanging="314"/>
        <w:spacing w:after="0" w:line="259"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on deposit with governmental authorities relating to certain policyholder liabilities, of which $133 million and $126 million of the assets on deposit represents restricted cash and cash equivalents at September 30, 2026 and December 31, 2025, respectively.</w:t>
      </w:r>
    </w:p>
    <w:p>
      <w:pPr>
        <w:spacing w:after="0" w:line="7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assets, primarily fixed maturity securities, held in trust relating to certain reinsurance transactions, of which $121 million and $331 million of the assets held in trust balance represents restricted cash and cash equivalents at September 30, 2026 and December 31, 2025, respectively.</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pledged invested assets in connection with various agreements and transactions, including funding agreements (see Note 3 of the Notes to the Consolidated Financial Statements included in the 2025 Annual Report) and derivative transactions (see Note 8).</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 Securities Lending” for information regarding securities on loan. In addition, the Company’s investment in FHLB common stock, which is considered restricted until redeemed by the issuer, was $227 million and $218 million at redemption value at September 30, 2026 and December 31, 2025, respectively.</w:t>
      </w:r>
    </w:p>
    <w:p>
      <w:pPr>
        <w:sectPr>
          <w:pgSz w:w="11900" w:h="16838" w:orient="portrait"/>
          <w:cols w:equalWidth="0" w:num="1">
            <w:col w:w="11240"/>
          </w:cols>
          <w:pgMar w:left="320" w:top="230"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Variable Interest Entities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variable interest entity (“VIE”) is a legal entity that does not have sufficient equity at risk to finance its activities or is structured such that equity investors lack the ability to make significant decisions relating to the entity’s operations through voting rights or do not substantively participate in the gains and losses of the entity.</w:t>
      </w:r>
    </w:p>
    <w:p>
      <w:pPr>
        <w:spacing w:after="0" w:line="7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enters into various arrangements with VIEs in the normal course of business and has invested in legal entities that are VIEs. VIEs are consolidated when it is determined that the Company is the primary beneficiary. A primary beneficiary is the variable interest holder in a VIE with both (i) the power to direct the activities of the VIE that most significantly impact the economic performance of the VIE and (ii) the obligation to absorb losses or the right to receive benefits that could potentially be significant to the VIE. In addition, the evaluation of whether a legal entity is a VIE and if the Company is a primary beneficiary includes a review of the capital structure of the VIE, the related contractual relationships and terms, the nature of the operations and purpose of the VIE, the nature of the VIE interests issued and the Company’s involvement with the entity.</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VIEs for which the Company has concluded that it is the primary beneficiary at either September 30, 2026 or December 31, 2025.</w:t>
      </w:r>
    </w:p>
    <w:p>
      <w:pPr>
        <w:spacing w:after="0" w:line="12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amount and maximum exposure to loss related to the VIEs for which the Company has concluded that it holds a variable interest, but is not the primary beneficiary,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460" w:type="dxa"/>
            <w:vAlign w:val="bottom"/>
          </w:tcPr>
          <w:p>
            <w:pPr>
              <w:spacing w:after="0"/>
              <w:rPr>
                <w:sz w:val="16"/>
                <w:szCs w:val="16"/>
                <w:color w:val="auto"/>
              </w:rPr>
            </w:pPr>
          </w:p>
        </w:tc>
        <w:tc>
          <w:tcPr>
            <w:tcW w:w="1940" w:type="dxa"/>
            <w:vAlign w:val="bottom"/>
            <w:gridSpan w:val="4"/>
          </w:tcPr>
          <w:p>
            <w:pPr>
              <w:jc w:val="right"/>
              <w:ind w:right="56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6320" w:type="dxa"/>
            <w:vAlign w:val="bottom"/>
          </w:tcPr>
          <w:p>
            <w:pPr>
              <w:spacing w:after="0"/>
              <w:rPr>
                <w:sz w:val="24"/>
                <w:szCs w:val="24"/>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180" w:type="dxa"/>
            <w:vAlign w:val="bottom"/>
          </w:tcPr>
          <w:p>
            <w:pPr>
              <w:spacing w:after="0"/>
              <w:rPr>
                <w:sz w:val="24"/>
                <w:szCs w:val="24"/>
                <w:color w:val="auto"/>
              </w:rPr>
            </w:pPr>
          </w:p>
        </w:tc>
        <w:tc>
          <w:tcPr>
            <w:tcW w:w="10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Maximum</w:t>
            </w: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200" w:type="dxa"/>
            <w:vAlign w:val="bottom"/>
          </w:tcPr>
          <w:p>
            <w:pPr>
              <w:spacing w:after="0"/>
              <w:rPr>
                <w:sz w:val="24"/>
                <w:szCs w:val="24"/>
                <w:color w:val="auto"/>
              </w:rPr>
            </w:pPr>
          </w:p>
        </w:tc>
        <w:tc>
          <w:tcPr>
            <w:tcW w:w="96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126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Exposure to Loss</w:t>
            </w:r>
          </w:p>
        </w:tc>
        <w:tc>
          <w:tcPr>
            <w:tcW w:w="1240" w:type="dxa"/>
            <w:vAlign w:val="bottom"/>
            <w:tcBorders>
              <w:bottom w:val="single" w:sz="8" w:color="auto"/>
            </w:tcBorders>
            <w:gridSpan w:val="3"/>
            <w:vMerge w:val="continue"/>
          </w:tcPr>
          <w:p>
            <w:pPr>
              <w:spacing w:after="0"/>
              <w:rPr>
                <w:sz w:val="16"/>
                <w:szCs w:val="16"/>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Exposure to Loss</w:t>
            </w:r>
          </w:p>
        </w:tc>
        <w:tc>
          <w:tcPr>
            <w:tcW w:w="0" w:type="dxa"/>
            <w:vAlign w:val="bottom"/>
          </w:tcPr>
          <w:p>
            <w:pPr>
              <w:spacing w:after="0"/>
              <w:rPr>
                <w:sz w:val="1"/>
                <w:szCs w:val="1"/>
                <w:color w:val="auto"/>
              </w:rPr>
            </w:pPr>
          </w:p>
        </w:tc>
      </w:tr>
      <w:tr>
        <w:trPr>
          <w:trHeight w:val="399"/>
        </w:trPr>
        <w:tc>
          <w:tcPr>
            <w:tcW w:w="6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13,046</w:t>
            </w: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13,780</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5,152</w:t>
            </w:r>
          </w:p>
        </w:tc>
        <w:tc>
          <w:tcPr>
            <w:tcW w:w="12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5,244</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16,251</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18,198</w:t>
            </w:r>
          </w:p>
        </w:tc>
        <w:tc>
          <w:tcPr>
            <w:tcW w:w="12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17,462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investments in unconsolidated VIEs are described below.</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Company invests in U.S. corporate bonds, foreign corporate bonds and Structured Securities issued by VIEs. The Company is not obligated to provide any financial or other support to these VIEs, other than the original investment. The Company’s involvement with these entities is limited to that of a passive investor. The Company has no unilateral right to appoint or remove the servicer, special servicer, or investment manager, which are generally viewed as having the power to direct the activities that most significantly impact the economic performance of the VIE, nor does the Company function in any of these roles. The Company does not have the obligation to absorb losses or the right to receive benefits from the entity that could potentially be significant to the entity; as a result, the Company has determined it is not the primary beneficiary, or consolidator, of the VIE. The Company’s maximum exposure to loss on these fixed maturity securities is limited to the amortized cost of these investments. See “— Fixed Maturity Securities Available-For-Sale” for information on these securities.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Limited Partnerships and LLCs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holds investments in certain limited partnerships and LLCs which are VIEs. These ventures include limited partnerships, LLCs, private equity funds, and, to a lesser extent, tax credit and renewable energy partnerships. The Company is not considered the primary beneficiary, or consolidator, when its involvement takes the form of a limited partner interest and is restricted to a role of a passive investor, as a limited partner’s interest does not provide the Company with any substantive kick-out or participating rights, nor does it provide the Company with the power to direct the activities of the fund. The Company’s maximum exposure to loss on these investments is limited to: (i) the amount invested in debt or equity of the VIE and (ii) commitments to the VIE, as described in Note 13.</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Income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net investment income were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1980" w:type="dxa"/>
            <w:vAlign w:val="bottom"/>
            <w:gridSpan w:val="4"/>
            <w:vMerge w:val="restart"/>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980" w:type="dxa"/>
            <w:vAlign w:val="bottom"/>
            <w:gridSpan w:val="4"/>
            <w:vMerge w:val="continue"/>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6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20" w:type="dxa"/>
            <w:vAlign w:val="bottom"/>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w:t>
            </w:r>
          </w:p>
        </w:tc>
        <w:tc>
          <w:tcPr>
            <w:tcW w:w="120" w:type="dxa"/>
            <w:vAlign w:val="bottom"/>
          </w:tcPr>
          <w:p>
            <w:pPr>
              <w:spacing w:after="0"/>
              <w:rPr>
                <w:sz w:val="24"/>
                <w:szCs w:val="24"/>
                <w:color w:val="auto"/>
              </w:rPr>
            </w:pP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20" w:type="dxa"/>
            <w:vAlign w:val="bottom"/>
          </w:tcPr>
          <w:p>
            <w:pPr>
              <w:spacing w:after="0"/>
              <w:rPr>
                <w:sz w:val="24"/>
                <w:szCs w:val="24"/>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2,784</w:t>
            </w:r>
          </w:p>
        </w:tc>
        <w:tc>
          <w:tcPr>
            <w:tcW w:w="10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Trading securities (1)</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 (2)</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short-term investments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0" w:type="dxa"/>
            <w:vAlign w:val="bottom"/>
          </w:tcPr>
          <w:p>
            <w:pPr>
              <w:spacing w:after="0"/>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3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investment income</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1,363</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1,418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4,164</w:t>
            </w:r>
          </w:p>
        </w:tc>
        <w:tc>
          <w:tcPr>
            <w:tcW w:w="0" w:type="dxa"/>
            <w:vAlign w:val="bottom"/>
          </w:tcPr>
          <w:p>
            <w:pPr>
              <w:spacing w:after="0"/>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expenses</w:t>
            </w: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43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1,257</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632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related to trading securities still held were ($55) million and ($63) million for the three months and nine months ended September 30, 2026, respectively, and $7 million for both the three months and nine months ended September 30, 2025.</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investment income pertaining to other limited partnership interests of $98 million and $167 million for the three months and nine months ended September 30, 2026, respectively, and $102 million and $221 million for the three months and nine months ended September 30,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Gains (Losses)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Components of Net Investment Gains (Losses)</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components of net investment gains (losses) were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2020" w:type="dxa"/>
            <w:vAlign w:val="bottom"/>
            <w:gridSpan w:val="4"/>
            <w:vMerge w:val="restart"/>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6320" w:type="dxa"/>
            <w:vAlign w:val="bottom"/>
          </w:tcPr>
          <w:p>
            <w:pPr>
              <w:spacing w:after="0"/>
              <w:rPr>
                <w:sz w:val="2"/>
                <w:szCs w:val="2"/>
                <w:color w:val="auto"/>
              </w:rPr>
            </w:pPr>
          </w:p>
        </w:tc>
        <w:tc>
          <w:tcPr>
            <w:tcW w:w="2020" w:type="dxa"/>
            <w:vAlign w:val="bottom"/>
            <w:gridSpan w:val="4"/>
            <w:vMerge w:val="continue"/>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00" w:type="dxa"/>
            <w:vAlign w:val="bottom"/>
            <w:gridSpan w:val="3"/>
            <w:vMerge w:val="restart"/>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6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gridSpan w:val="3"/>
          </w:tcPr>
          <w:p>
            <w:pPr>
              <w:jc w:val="right"/>
              <w:ind w:right="36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74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Limited partnerships and LLCs</w:t>
            </w:r>
          </w:p>
        </w:tc>
        <w:tc>
          <w:tcPr>
            <w:tcW w:w="740" w:type="dxa"/>
            <w:vAlign w:val="bottom"/>
          </w:tcPr>
          <w:p>
            <w:pPr>
              <w:spacing w:after="0"/>
              <w:rPr>
                <w:sz w:val="24"/>
                <w:szCs w:val="24"/>
                <w:color w:val="auto"/>
              </w:rPr>
            </w:pPr>
          </w:p>
        </w:tc>
        <w:tc>
          <w:tcPr>
            <w:tcW w:w="52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(1)</w:t>
            </w: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433"/>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net investment gains (losses) (2)</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4"/>
                <w:szCs w:val="24"/>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4"/>
                <w:szCs w:val="24"/>
                <w:color w:val="auto"/>
              </w:rPr>
            </w:pPr>
          </w:p>
        </w:tc>
        <w:tc>
          <w:tcPr>
            <w:tcW w:w="80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ectPr>
          <w:pgSz w:w="11900" w:h="16838" w:orient="portrait"/>
          <w:cols w:equalWidth="0" w:num="1">
            <w:col w:w="11240"/>
          </w:cols>
          <w:pgMar w:left="320" w:top="230" w:right="339" w:bottom="0" w:gutter="0" w:footer="0" w:header="0"/>
        </w:sectPr>
      </w:pPr>
    </w:p>
    <w:p>
      <w:pPr>
        <w:spacing w:after="0"/>
        <w:rPr>
          <w:sz w:val="20"/>
          <w:szCs w:val="20"/>
          <w:color w:val="auto"/>
        </w:rPr>
      </w:pPr>
      <w:r>
        <w:rPr>
          <w:rFonts w:ascii="Times New Roman" w:cs="Times New Roman" w:eastAsia="Times New Roman" w:hAnsi="Times New Roman"/>
          <w:sz w:val="14"/>
          <w:szCs w:val="14"/>
          <w:color w:val="auto"/>
        </w:rPr>
        <w:t>_______________</w:t>
      </w:r>
    </w:p>
    <w:p>
      <w:pPr>
        <w:sectPr>
          <w:pgSz w:w="11900" w:h="16838" w:orient="portrait"/>
          <w:cols w:equalWidth="0" w:num="1">
            <w:col w:w="11240"/>
          </w:cols>
          <w:pgMar w:left="320" w:top="230" w:right="339" w:bottom="0" w:gutter="0" w:footer="0" w:header="0"/>
          <w:type w:val="continuous"/>
        </w:sectPr>
      </w:pPr>
    </w:p>
    <w:bookmarkStart w:id="41" w:name="page42"/>
    <w:bookmarkEnd w:id="41"/>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2025, the Company sold a subsidiary which owned certain mineral rights across the U.S. and recognized a gain of $66 million for the three months and nine months ended September 30, 2025.</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(losses) from foreign currency transactions included within net investment gains (losses) were not significant for the three months and nine months ended September 30, 2026 and 2025.</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Investments (continued)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Sales or Disposals of Fixed Maturity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Investment gains and losses on sales of securities are determined on a specific identification basis. Proceeds from sales or disposals of fixed maturity securities and the components of fixed maturity securities net investment gains (losses)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398"/>
        </w:trPr>
        <w:tc>
          <w:tcPr>
            <w:tcW w:w="6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62"/>
        </w:trPr>
        <w:tc>
          <w:tcPr>
            <w:tcW w:w="6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w:t>
            </w: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357</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1,330</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r>
        <w:trPr>
          <w:trHeight w:val="408"/>
        </w:trPr>
        <w:tc>
          <w:tcPr>
            <w:tcW w:w="6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investment gains</w:t>
            </w: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780" w:type="dxa"/>
            <w:vAlign w:val="bottom"/>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24"/>
                <w:szCs w:val="24"/>
                <w:color w:val="auto"/>
              </w:rPr>
            </w:pPr>
          </w:p>
        </w:tc>
        <w:tc>
          <w:tcPr>
            <w:tcW w:w="38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37"/>
        </w:trPr>
        <w:tc>
          <w:tcPr>
            <w:tcW w:w="6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investment losses</w:t>
            </w: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433"/>
        </w:trPr>
        <w:tc>
          <w:tcPr>
            <w:tcW w:w="63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40" w:type="dxa"/>
            <w:vAlign w:val="bottom"/>
            <w:tcBorders>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24"/>
                <w:szCs w:val="24"/>
                <w:color w:val="auto"/>
              </w:rPr>
            </w:pPr>
          </w:p>
        </w:tc>
        <w:tc>
          <w:tcPr>
            <w:tcW w:w="780" w:type="dxa"/>
            <w:vAlign w:val="bottom"/>
            <w:tcBorders>
              <w:bottom w:val="single" w:sz="8" w:color="auto"/>
            </w:tcBorders>
          </w:tcPr>
          <w:p>
            <w:pPr>
              <w:jc w:val="right"/>
              <w:ind w:right="60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0"/>
        </w:trPr>
        <w:tc>
          <w:tcPr>
            <w:tcW w:w="63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Derivatives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See Notes 1 and 10 of the Notes to the Consolidated Financial Statements included in the 2025 Annual Report for a description of the Company’s accounting policies for derivatives and the fair value hierarchy for derivatives and the related valuation methodologies.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Types of Derivative Instruments and Derivative Strategies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 maintains an overall risk management strategy that incorporates the use of derivative instruments to minimize its exposure to various market risks. Derivatives are financial instruments with values derived from interest rates, foreign currency exchange rates, credit spreads and/or other financial indices. Derivatives may be exchange-traded or contracted in the over-the-counter (“OTC”) market. Certain of the Company’s OTC derivatives are cleared and settled through central clearing counterparties (“OTC-cleared”), while others are bilateral contracts between two counterparties (“OTC-bilateral”). Commonly used derivative instruments include, but are not necessarily limited to:</w:t>
      </w:r>
    </w:p>
    <w:p>
      <w:pPr>
        <w:spacing w:after="0" w:line="79"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derivatives: swaps, floors, caps, futures, options and forwards;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derivatives: forwards and swaps;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market derivatives: futures, options and total return swaps;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derivatives: index reference credit default swaps.</w:t>
      </w:r>
    </w:p>
    <w:p>
      <w:pPr>
        <w:spacing w:after="0" w:line="11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For detailed information on these contracts and the related strategies, see Note 9 of the Notes to the Consolidated Financial Statements included in the 2025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Primary Risks Managed by Derivatives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primary underlying risk exposure, gross notional amount and estimated fair value of derivatives, excluding embedded derivatives, held were as follows at:</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391"/>
        </w:trPr>
        <w:tc>
          <w:tcPr>
            <w:tcW w:w="2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gridSpan w:val="5"/>
          </w:tcPr>
          <w:p>
            <w:pPr>
              <w:ind w:left="18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gridSpan w:val="5"/>
          </w:tcPr>
          <w:p>
            <w:pPr>
              <w:jc w:val="right"/>
              <w:ind w:right="250"/>
              <w:spacing w:after="0"/>
              <w:rPr>
                <w:sz w:val="20"/>
                <w:szCs w:val="20"/>
                <w:color w:val="auto"/>
              </w:rPr>
            </w:pPr>
            <w:r>
              <w:rPr>
                <w:rFonts w:ascii="Times New Roman" w:cs="Times New Roman" w:eastAsia="Times New Roman" w:hAnsi="Times New Roman"/>
                <w:sz w:val="12"/>
                <w:szCs w:val="12"/>
                <w:b w:val="1"/>
                <w:bCs w:val="1"/>
                <w:color w:val="auto"/>
              </w:rPr>
              <w:t>Estimated Fair Value</w:t>
            </w:r>
          </w:p>
        </w:tc>
      </w:tr>
      <w:tr>
        <w:trPr>
          <w:trHeight w:val="212"/>
        </w:trPr>
        <w:tc>
          <w:tcPr>
            <w:tcW w:w="29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Gross Notional</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r>
      <w:tr>
        <w:trPr>
          <w:trHeight w:val="179"/>
        </w:trPr>
        <w:tc>
          <w:tcPr>
            <w:tcW w:w="2940" w:type="dxa"/>
            <w:vAlign w:val="bottom"/>
          </w:tcPr>
          <w:p>
            <w:pPr>
              <w:spacing w:after="0"/>
              <w:rPr>
                <w:sz w:val="15"/>
                <w:szCs w:val="15"/>
                <w:color w:val="auto"/>
              </w:rPr>
            </w:pPr>
          </w:p>
        </w:tc>
        <w:tc>
          <w:tcPr>
            <w:tcW w:w="2600" w:type="dxa"/>
            <w:vAlign w:val="bottom"/>
            <w:gridSpan w:val="2"/>
          </w:tcPr>
          <w:p>
            <w:pPr>
              <w:ind w:left="300"/>
              <w:spacing w:after="0"/>
              <w:rPr>
                <w:sz w:val="20"/>
                <w:szCs w:val="20"/>
                <w:color w:val="auto"/>
              </w:rPr>
            </w:pPr>
            <w:r>
              <w:rPr>
                <w:rFonts w:ascii="Times New Roman" w:cs="Times New Roman" w:eastAsia="Times New Roman" w:hAnsi="Times New Roman"/>
                <w:sz w:val="12"/>
                <w:szCs w:val="12"/>
                <w:b w:val="1"/>
                <w:bCs w:val="1"/>
                <w:color w:val="auto"/>
              </w:rPr>
              <w:t>Primary Underlying Risk Exposure</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40" w:type="dxa"/>
            <w:vAlign w:val="bottom"/>
          </w:tcPr>
          <w:p>
            <w:pPr>
              <w:spacing w:after="0"/>
              <w:rPr>
                <w:sz w:val="15"/>
                <w:szCs w:val="15"/>
                <w:color w:val="auto"/>
              </w:rPr>
            </w:pP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Liabilities</w:t>
            </w:r>
          </w:p>
        </w:tc>
        <w:tc>
          <w:tcPr>
            <w:tcW w:w="160" w:type="dxa"/>
            <w:vAlign w:val="bottom"/>
          </w:tcPr>
          <w:p>
            <w:pPr>
              <w:spacing w:after="0"/>
              <w:rPr>
                <w:sz w:val="15"/>
                <w:szCs w:val="15"/>
                <w:color w:val="auto"/>
              </w:rPr>
            </w:pPr>
          </w:p>
        </w:tc>
        <w:tc>
          <w:tcPr>
            <w:tcW w:w="720" w:type="dxa"/>
            <w:vAlign w:val="bottom"/>
          </w:tcPr>
          <w:p>
            <w:pPr>
              <w:jc w:val="right"/>
              <w:ind w:right="15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3"/>
          </w:tcPr>
          <w:p>
            <w:pPr>
              <w:jc w:val="center"/>
              <w:ind w:right="300"/>
              <w:spacing w:after="0"/>
              <w:rPr>
                <w:sz w:val="20"/>
                <w:szCs w:val="20"/>
                <w:color w:val="auto"/>
              </w:rPr>
            </w:pPr>
            <w:r>
              <w:rPr>
                <w:rFonts w:ascii="Times New Roman" w:cs="Times New Roman" w:eastAsia="Times New Roman" w:hAnsi="Times New Roman"/>
                <w:sz w:val="12"/>
                <w:szCs w:val="12"/>
                <w:b w:val="1"/>
                <w:bCs w:val="1"/>
                <w:color w:val="auto"/>
                <w:w w:val="99"/>
              </w:rPr>
              <w:t>Assets</w:t>
            </w:r>
          </w:p>
        </w:tc>
        <w:tc>
          <w:tcPr>
            <w:tcW w:w="120" w:type="dxa"/>
            <w:vAlign w:val="bottom"/>
          </w:tcPr>
          <w:p>
            <w:pPr>
              <w:spacing w:after="0"/>
              <w:rPr>
                <w:sz w:val="15"/>
                <w:szCs w:val="15"/>
                <w:color w:val="auto"/>
              </w:rPr>
            </w:pP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2"/>
                <w:szCs w:val="12"/>
                <w:b w:val="1"/>
                <w:bCs w:val="1"/>
                <w:color w:val="auto"/>
              </w:rPr>
              <w:t>Liabilities</w:t>
            </w:r>
          </w:p>
        </w:tc>
      </w:tr>
      <w:tr>
        <w:trPr>
          <w:trHeight w:val="389"/>
        </w:trPr>
        <w:tc>
          <w:tcPr>
            <w:tcW w:w="2940" w:type="dxa"/>
            <w:vAlign w:val="bottom"/>
          </w:tcPr>
          <w:p>
            <w:pPr>
              <w:spacing w:after="0"/>
              <w:rPr>
                <w:sz w:val="24"/>
                <w:szCs w:val="24"/>
                <w:color w:val="auto"/>
              </w:rPr>
            </w:pPr>
          </w:p>
        </w:tc>
        <w:tc>
          <w:tcPr>
            <w:tcW w:w="25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720" w:type="dxa"/>
            <w:vAlign w:val="bottom"/>
            <w:tcBorders>
              <w:top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413"/>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Designated as Hedging Instruments: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flow hedges:</w:t>
            </w: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24"/>
        </w:trPr>
        <w:tc>
          <w:tcPr>
            <w:tcW w:w="29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17"/>
        </w:trPr>
        <w:tc>
          <w:tcPr>
            <w:tcW w:w="2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qualifying hedges</w:t>
            </w:r>
          </w:p>
        </w:tc>
        <w:tc>
          <w:tcPr>
            <w:tcW w:w="2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r>
      <w:tr>
        <w:trPr>
          <w:trHeight w:val="380"/>
        </w:trPr>
        <w:tc>
          <w:tcPr>
            <w:tcW w:w="55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or Not Qualifying as Hedging Instruments:</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21,839</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floors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caps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5,600</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rate options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48,600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26,800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444</w:t>
            </w: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forwards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23,598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1,317</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forwards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exchange rate</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Credit default swaps — written</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Credit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0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futures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1,414</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400"/>
        </w:trPr>
        <w:tc>
          <w:tcPr>
            <w:tcW w:w="2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index options</w:t>
            </w:r>
          </w:p>
        </w:tc>
        <w:tc>
          <w:tcPr>
            <w:tcW w:w="26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92,496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8,561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4,530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1,362</w:t>
            </w:r>
          </w:p>
        </w:tc>
      </w:tr>
      <w:tr>
        <w:trPr>
          <w:trHeight w:val="24"/>
        </w:trPr>
        <w:tc>
          <w:tcPr>
            <w:tcW w:w="2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24"/>
        </w:trPr>
        <w:tc>
          <w:tcPr>
            <w:tcW w:w="2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total return swaps</w:t>
            </w:r>
          </w:p>
        </w:tc>
        <w:tc>
          <w:tcPr>
            <w:tcW w:w="2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Equity market</w:t>
            </w: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151,947</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145,209</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1,585</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w:t>
            </w:r>
          </w:p>
        </w:tc>
      </w:tr>
      <w:tr>
        <w:trPr>
          <w:trHeight w:val="393"/>
        </w:trPr>
        <w:tc>
          <w:tcPr>
            <w:tcW w:w="5540" w:type="dxa"/>
            <w:vAlign w:val="bottom"/>
            <w:gridSpan w:val="3"/>
          </w:tcPr>
          <w:p>
            <w:pPr>
              <w:ind w:left="180"/>
              <w:spacing w:after="0"/>
              <w:rPr>
                <w:sz w:val="20"/>
                <w:szCs w:val="20"/>
                <w:color w:val="auto"/>
              </w:rPr>
            </w:pPr>
            <w:r>
              <w:rPr>
                <w:rFonts w:ascii="Times New Roman" w:cs="Times New Roman" w:eastAsia="Times New Roman" w:hAnsi="Times New Roman"/>
                <w:sz w:val="14"/>
                <w:szCs w:val="14"/>
                <w:color w:val="auto"/>
              </w:rPr>
              <w:t>Total non-designated or non-qualifying derivatives</w:t>
            </w: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351,114</w:t>
            </w: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10,558</w:t>
            </w: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7,317</w:t>
            </w: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300,459</w:t>
            </w: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6,507</w:t>
            </w:r>
          </w:p>
        </w:tc>
        <w:tc>
          <w:tcPr>
            <w:tcW w:w="12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5,146</w:t>
            </w:r>
          </w:p>
        </w:tc>
      </w:tr>
      <w:tr>
        <w:trPr>
          <w:trHeight w:val="24"/>
        </w:trPr>
        <w:tc>
          <w:tcPr>
            <w:tcW w:w="294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437"/>
        </w:trPr>
        <w:tc>
          <w:tcPr>
            <w:tcW w:w="2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2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355,333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10,798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304,733</w:t>
            </w:r>
          </w:p>
        </w:tc>
        <w:tc>
          <w:tcPr>
            <w:tcW w:w="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6,779</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w:t>
            </w: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amount and location of gains (losses), including earned income, recognized for derivatives and gains (losses) pertaining to hedged items reported in net derivative gains (losses) were as follows:</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4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Net Derivative Gains</w:t>
            </w:r>
          </w:p>
        </w:tc>
        <w:tc>
          <w:tcPr>
            <w:tcW w:w="16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Policyholder Benefits</w:t>
            </w:r>
          </w:p>
        </w:tc>
        <w:tc>
          <w:tcPr>
            <w:tcW w:w="120" w:type="dxa"/>
            <w:vAlign w:val="bottom"/>
          </w:tcPr>
          <w:p>
            <w:pPr>
              <w:spacing w:after="0"/>
              <w:rPr>
                <w:sz w:val="13"/>
                <w:szCs w:val="13"/>
                <w:color w:val="auto"/>
              </w:rPr>
            </w:pPr>
          </w:p>
        </w:tc>
        <w:tc>
          <w:tcPr>
            <w:tcW w:w="11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Amount of Gains</w:t>
            </w:r>
          </w:p>
        </w:tc>
        <w:tc>
          <w:tcPr>
            <w:tcW w:w="0" w:type="dxa"/>
            <w:vAlign w:val="bottom"/>
          </w:tcPr>
          <w:p>
            <w:pPr>
              <w:spacing w:after="0"/>
              <w:rPr>
                <w:sz w:val="1"/>
                <w:szCs w:val="1"/>
                <w:color w:val="auto"/>
              </w:rPr>
            </w:pPr>
          </w:p>
        </w:tc>
      </w:tr>
      <w:tr>
        <w:trPr>
          <w:trHeight w:val="144"/>
        </w:trPr>
        <w:tc>
          <w:tcPr>
            <w:tcW w:w="4200" w:type="dxa"/>
            <w:vAlign w:val="bottom"/>
          </w:tcPr>
          <w:p>
            <w:pPr>
              <w:spacing w:after="0"/>
              <w:rPr>
                <w:sz w:val="12"/>
                <w:szCs w:val="12"/>
                <w:color w:val="auto"/>
              </w:rPr>
            </w:pPr>
          </w:p>
        </w:tc>
        <w:tc>
          <w:tcPr>
            <w:tcW w:w="1420" w:type="dxa"/>
            <w:vAlign w:val="bottom"/>
            <w:gridSpan w:val="3"/>
          </w:tcPr>
          <w:p>
            <w:pPr>
              <w:jc w:val="center"/>
              <w:ind w:right="12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400" w:type="dxa"/>
            <w:vAlign w:val="bottom"/>
            <w:gridSpan w:val="3"/>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(Losses) Recognized</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300" w:type="dxa"/>
            <w:vAlign w:val="bottom"/>
            <w:gridSpan w:val="2"/>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 Derivatives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 Hedged Items</w:t>
            </w: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and Claims</w:t>
            </w: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398"/>
        </w:trPr>
        <w:tc>
          <w:tcPr>
            <w:tcW w:w="4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2026</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43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43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1,001</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3"/>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(1,127)</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0"/>
        </w:trPr>
        <w:tc>
          <w:tcPr>
            <w:tcW w:w="4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2025</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3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430"/>
        </w:trPr>
        <w:tc>
          <w:tcPr>
            <w:tcW w:w="42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55"/>
        </w:trPr>
        <w:tc>
          <w:tcPr>
            <w:tcW w:w="420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4"/>
                <w:szCs w:val="24"/>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0"/>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3"/>
        </w:trPr>
        <w:tc>
          <w:tcPr>
            <w:tcW w:w="42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24"/>
                <w:szCs w:val="24"/>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230" w:right="339" w:bottom="181"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46" w:name="page47"/>
    <w:bookmarkEnd w:id="46"/>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Net Derivative</w:t>
            </w:r>
          </w:p>
        </w:tc>
        <w:tc>
          <w:tcPr>
            <w:tcW w:w="16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Derivative</w:t>
            </w:r>
          </w:p>
        </w:tc>
        <w:tc>
          <w:tcPr>
            <w:tcW w:w="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9"/>
              </w:rPr>
              <w:t>Amount of Gains</w:t>
            </w:r>
          </w:p>
        </w:tc>
        <w:tc>
          <w:tcPr>
            <w:tcW w:w="0" w:type="dxa"/>
            <w:vAlign w:val="bottom"/>
          </w:tcPr>
          <w:p>
            <w:pPr>
              <w:spacing w:after="0"/>
              <w:rPr>
                <w:sz w:val="1"/>
                <w:szCs w:val="1"/>
                <w:color w:val="auto"/>
              </w:rPr>
            </w:pPr>
          </w:p>
        </w:tc>
      </w:tr>
      <w:tr>
        <w:trPr>
          <w:trHeight w:val="144"/>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Gains (Losses)</w:t>
            </w:r>
          </w:p>
        </w:tc>
        <w:tc>
          <w:tcPr>
            <w:tcW w:w="160" w:type="dxa"/>
            <w:vAlign w:val="bottom"/>
          </w:tcPr>
          <w:p>
            <w:pPr>
              <w:spacing w:after="0"/>
              <w:rPr>
                <w:sz w:val="12"/>
                <w:szCs w:val="12"/>
                <w:color w:val="auto"/>
              </w:rPr>
            </w:pPr>
          </w:p>
        </w:tc>
        <w:tc>
          <w:tcPr>
            <w:tcW w:w="1220" w:type="dxa"/>
            <w:vAlign w:val="bottom"/>
            <w:gridSpan w:val="2"/>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Pr>
          <w:p>
            <w:pPr>
              <w:spacing w:after="0"/>
              <w:rPr>
                <w:sz w:val="12"/>
                <w:szCs w:val="12"/>
                <w:color w:val="auto"/>
              </w:rPr>
            </w:pPr>
          </w:p>
        </w:tc>
        <w:tc>
          <w:tcPr>
            <w:tcW w:w="12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Investment</w:t>
            </w:r>
          </w:p>
        </w:tc>
        <w:tc>
          <w:tcPr>
            <w:tcW w:w="180" w:type="dxa"/>
            <w:vAlign w:val="bottom"/>
          </w:tcPr>
          <w:p>
            <w:pPr>
              <w:spacing w:after="0"/>
              <w:rPr>
                <w:sz w:val="12"/>
                <w:szCs w:val="12"/>
                <w:color w:val="auto"/>
              </w:rPr>
            </w:pP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Policyholder</w:t>
            </w: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60" w:type="dxa"/>
            <w:vAlign w:val="bottom"/>
          </w:tcPr>
          <w:p>
            <w:pPr>
              <w:spacing w:after="0"/>
              <w:rPr>
                <w:sz w:val="12"/>
                <w:szCs w:val="12"/>
                <w:color w:val="auto"/>
              </w:rPr>
            </w:pPr>
          </w:p>
        </w:tc>
        <w:tc>
          <w:tcPr>
            <w:tcW w:w="122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Recognized for</w:t>
            </w:r>
          </w:p>
        </w:tc>
        <w:tc>
          <w:tcPr>
            <w:tcW w:w="14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2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(Losses) Deferred in</w:t>
            </w:r>
          </w:p>
        </w:tc>
        <w:tc>
          <w:tcPr>
            <w:tcW w:w="0" w:type="dxa"/>
            <w:vAlign w:val="bottom"/>
          </w:tcPr>
          <w:p>
            <w:pPr>
              <w:spacing w:after="0"/>
              <w:rPr>
                <w:sz w:val="1"/>
                <w:szCs w:val="1"/>
                <w:color w:val="auto"/>
              </w:rPr>
            </w:pPr>
          </w:p>
        </w:tc>
      </w:tr>
      <w:tr>
        <w:trPr>
          <w:trHeight w:val="193"/>
        </w:trPr>
        <w:tc>
          <w:tcPr>
            <w:tcW w:w="4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Hedged Items</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Income</w:t>
            </w:r>
          </w:p>
        </w:tc>
        <w:tc>
          <w:tcPr>
            <w:tcW w:w="138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Benefits and Claims</w:t>
            </w: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AOCI</w:t>
            </w:r>
          </w:p>
        </w:tc>
        <w:tc>
          <w:tcPr>
            <w:tcW w:w="0" w:type="dxa"/>
            <w:vAlign w:val="bottom"/>
          </w:tcPr>
          <w:p>
            <w:pPr>
              <w:spacing w:after="0"/>
              <w:rPr>
                <w:sz w:val="1"/>
                <w:szCs w:val="1"/>
                <w:color w:val="auto"/>
              </w:rPr>
            </w:pPr>
          </w:p>
        </w:tc>
      </w:tr>
      <w:tr>
        <w:trPr>
          <w:trHeight w:val="398"/>
        </w:trPr>
        <w:tc>
          <w:tcPr>
            <w:tcW w:w="4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2026</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4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431"/>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(2,980)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0"/>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(2,107)</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4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Designated as Hedging Instruments:</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hedges: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2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43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431"/>
        </w:trPr>
        <w:tc>
          <w:tcPr>
            <w:tcW w:w="4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cash flow hedges</w:t>
            </w:r>
          </w:p>
        </w:tc>
        <w:tc>
          <w:tcPr>
            <w:tcW w:w="14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155"/>
        </w:trPr>
        <w:tc>
          <w:tcPr>
            <w:tcW w:w="4440" w:type="dxa"/>
            <w:vAlign w:val="bottom"/>
            <w:shd w:val="clear" w:color="auto" w:fill="CCEEFF"/>
          </w:tcPr>
          <w:p>
            <w:pPr>
              <w:ind w:left="20"/>
              <w:spacing w:after="0" w:line="155" w:lineRule="exact"/>
              <w:rPr>
                <w:sz w:val="20"/>
                <w:szCs w:val="20"/>
                <w:color w:val="auto"/>
              </w:rPr>
            </w:pPr>
            <w:r>
              <w:rPr>
                <w:rFonts w:ascii="Times New Roman" w:cs="Times New Roman" w:eastAsia="Times New Roman" w:hAnsi="Times New Roman"/>
                <w:sz w:val="16"/>
                <w:szCs w:val="16"/>
                <w:b w:val="1"/>
                <w:bCs w:val="1"/>
                <w:color w:val="auto"/>
              </w:rPr>
              <w:t>Derivatives Not Designated or Not Qualifying as Hedging</w:t>
            </w:r>
          </w:p>
        </w:tc>
        <w:tc>
          <w:tcPr>
            <w:tcW w:w="14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44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1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4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(2,740)</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1"/>
        </w:trPr>
        <w:tc>
          <w:tcPr>
            <w:tcW w:w="4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non-qualifying hedges</w:t>
            </w: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3"/>
        </w:trPr>
        <w:tc>
          <w:tcPr>
            <w:tcW w:w="44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(1,346)</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1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At September 30, 2026 and December 31, 2025, the Company held no qualified derivatives hedging exposure to future cash flows for forecasted asset purchases.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At September 30, 2026 and December 31, 2025, the balance in AOCI associated with cash flow hedges was $207 million and $224 million, respectively.</w:t>
      </w:r>
    </w:p>
    <w:p>
      <w:pPr>
        <w:sectPr>
          <w:pgSz w:w="11900" w:h="16868" w:orient="portrait"/>
          <w:cols w:equalWidth="0" w:num="1">
            <w:col w:w="11240"/>
          </w:cols>
          <w:pgMar w:left="320" w:top="230" w:right="339"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connection with synthetically created credit investment transactions, the Company writes credit default swaps for which it receives a premium to insure credit risk. If a credit event occurs, as defined by the contract, the contract may be cash settled or it may be settled gross by the Company paying the counterparty the specified swap notional amount in exchange for the delivery of par quantities of the referenced credit obligation.</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estimated fair value, maximum amount of future payments and weighted average years to maturity of written credit default swaps were as follows at:</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48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Maximum Amount of</w:t>
            </w:r>
          </w:p>
        </w:tc>
        <w:tc>
          <w:tcPr>
            <w:tcW w:w="120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4"/>
        </w:trPr>
        <w:tc>
          <w:tcPr>
            <w:tcW w:w="3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Rating Agency Designation of Referenced Credit</w:t>
            </w:r>
          </w:p>
        </w:tc>
        <w:tc>
          <w:tcPr>
            <w:tcW w:w="160" w:type="dxa"/>
            <w:vAlign w:val="bottom"/>
          </w:tcPr>
          <w:p>
            <w:pPr>
              <w:spacing w:after="0"/>
              <w:rPr>
                <w:sz w:val="12"/>
                <w:szCs w:val="12"/>
                <w:color w:val="auto"/>
              </w:rPr>
            </w:pPr>
          </w:p>
        </w:tc>
        <w:tc>
          <w:tcPr>
            <w:tcW w:w="8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80" w:type="dxa"/>
            <w:vAlign w:val="bottom"/>
            <w:gridSpan w:val="2"/>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720" w:type="dxa"/>
            <w:vAlign w:val="bottom"/>
          </w:tcPr>
          <w:p>
            <w:pPr>
              <w:ind w:left="220"/>
              <w:spacing w:after="0" w:line="144" w:lineRule="exact"/>
              <w:rPr>
                <w:sz w:val="20"/>
                <w:szCs w:val="20"/>
                <w:color w:val="auto"/>
              </w:rPr>
            </w:pPr>
            <w:r>
              <w:rPr>
                <w:rFonts w:ascii="Times New Roman" w:cs="Times New Roman" w:eastAsia="Times New Roman" w:hAnsi="Times New Roman"/>
                <w:sz w:val="14"/>
                <w:szCs w:val="14"/>
                <w:b w:val="1"/>
                <w:bCs w:val="1"/>
                <w:color w:val="auto"/>
                <w:w w:val="95"/>
              </w:rPr>
              <w:t>Value of</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00" w:type="dxa"/>
            <w:vAlign w:val="bottom"/>
            <w:gridSpan w:val="2"/>
            <w:vMerge w:val="continue"/>
          </w:tcPr>
          <w:p>
            <w:pPr>
              <w:spacing w:after="0"/>
              <w:rPr>
                <w:sz w:val="12"/>
                <w:szCs w:val="12"/>
                <w:color w:val="auto"/>
              </w:rPr>
            </w:pP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20"/>
              <w:spacing w:after="0" w:line="146" w:lineRule="exact"/>
              <w:rPr>
                <w:sz w:val="20"/>
                <w:szCs w:val="20"/>
                <w:color w:val="auto"/>
              </w:rPr>
            </w:pPr>
            <w:r>
              <w:rPr>
                <w:rFonts w:ascii="Times New Roman" w:cs="Times New Roman" w:eastAsia="Times New Roman" w:hAnsi="Times New Roman"/>
                <w:sz w:val="14"/>
                <w:szCs w:val="14"/>
                <w:b w:val="1"/>
                <w:bCs w:val="1"/>
                <w:color w:val="auto"/>
              </w:rPr>
              <w:t>Future Payments under</w:t>
            </w:r>
          </w:p>
        </w:tc>
        <w:tc>
          <w:tcPr>
            <w:tcW w:w="130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8"/>
              </w:rPr>
              <w:t>Average Years to</w:t>
            </w:r>
          </w:p>
        </w:tc>
        <w:tc>
          <w:tcPr>
            <w:tcW w:w="1040" w:type="dxa"/>
            <w:vAlign w:val="bottom"/>
            <w:gridSpan w:val="3"/>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Credit Default</w:t>
            </w:r>
          </w:p>
        </w:tc>
        <w:tc>
          <w:tcPr>
            <w:tcW w:w="1480" w:type="dxa"/>
            <w:vAlign w:val="bottom"/>
            <w:gridSpan w:val="2"/>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Future Payments under</w:t>
            </w:r>
          </w:p>
        </w:tc>
        <w:tc>
          <w:tcPr>
            <w:tcW w:w="1200" w:type="dxa"/>
            <w:vAlign w:val="bottom"/>
          </w:tcPr>
          <w:p>
            <w:pPr>
              <w:jc w:val="center"/>
              <w:ind w:left="44"/>
              <w:spacing w:after="0" w:line="146" w:lineRule="exact"/>
              <w:rPr>
                <w:sz w:val="20"/>
                <w:szCs w:val="20"/>
                <w:color w:val="auto"/>
              </w:rPr>
            </w:pPr>
            <w:r>
              <w:rPr>
                <w:rFonts w:ascii="Times New Roman" w:cs="Times New Roman" w:eastAsia="Times New Roman" w:hAnsi="Times New Roman"/>
                <w:sz w:val="14"/>
                <w:szCs w:val="14"/>
                <w:b w:val="1"/>
                <w:bCs w:val="1"/>
                <w:color w:val="auto"/>
                <w:w w:val="96"/>
              </w:rPr>
              <w:t>Average Years to</w:t>
            </w:r>
          </w:p>
        </w:tc>
        <w:tc>
          <w:tcPr>
            <w:tcW w:w="0" w:type="dxa"/>
            <w:vAlign w:val="bottom"/>
          </w:tcPr>
          <w:p>
            <w:pPr>
              <w:spacing w:after="0"/>
              <w:rPr>
                <w:sz w:val="1"/>
                <w:szCs w:val="1"/>
                <w:color w:val="auto"/>
              </w:rPr>
            </w:pPr>
          </w:p>
        </w:tc>
      </w:tr>
      <w:tr>
        <w:trPr>
          <w:trHeight w:val="193"/>
        </w:trPr>
        <w:tc>
          <w:tcPr>
            <w:tcW w:w="3700" w:type="dxa"/>
            <w:vAlign w:val="bottom"/>
            <w:gridSpan w:val="2"/>
          </w:tcPr>
          <w:p>
            <w:pPr>
              <w:ind w:left="1360"/>
              <w:spacing w:after="0"/>
              <w:rPr>
                <w:sz w:val="20"/>
                <w:szCs w:val="20"/>
                <w:color w:val="auto"/>
              </w:rPr>
            </w:pPr>
            <w:r>
              <w:rPr>
                <w:rFonts w:ascii="Times New Roman" w:cs="Times New Roman" w:eastAsia="Times New Roman" w:hAnsi="Times New Roman"/>
                <w:sz w:val="14"/>
                <w:szCs w:val="14"/>
                <w:b w:val="1"/>
                <w:bCs w:val="1"/>
                <w:color w:val="auto"/>
              </w:rPr>
              <w:t>Obligations (1)</w:t>
            </w:r>
          </w:p>
        </w:tc>
        <w:tc>
          <w:tcPr>
            <w:tcW w:w="16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Swaps</w:t>
            </w:r>
          </w:p>
        </w:tc>
        <w:tc>
          <w:tcPr>
            <w:tcW w:w="14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3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Maturity (2)</w:t>
            </w:r>
          </w:p>
        </w:tc>
        <w:tc>
          <w:tcPr>
            <w:tcW w:w="7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Swaps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2"/>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Credit Default Swaps</w:t>
            </w:r>
          </w:p>
        </w:tc>
        <w:tc>
          <w:tcPr>
            <w:tcW w:w="1200" w:type="dxa"/>
            <w:vAlign w:val="bottom"/>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Maturity (2)</w:t>
            </w:r>
          </w:p>
        </w:tc>
        <w:tc>
          <w:tcPr>
            <w:tcW w:w="0" w:type="dxa"/>
            <w:vAlign w:val="bottom"/>
          </w:tcPr>
          <w:p>
            <w:pPr>
              <w:spacing w:after="0"/>
              <w:rPr>
                <w:sz w:val="1"/>
                <w:szCs w:val="1"/>
                <w:color w:val="auto"/>
              </w:rPr>
            </w:pPr>
          </w:p>
        </w:tc>
      </w:tr>
      <w:tr>
        <w:trPr>
          <w:trHeight w:val="398"/>
        </w:trPr>
        <w:tc>
          <w:tcPr>
            <w:tcW w:w="3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Aaa/Aa/A</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435"/>
        </w:trPr>
        <w:tc>
          <w:tcPr>
            <w:tcW w:w="37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Baa</w:t>
            </w:r>
          </w:p>
        </w:tc>
        <w:tc>
          <w:tcPr>
            <w:tcW w:w="1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437"/>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w:t>
            </w:r>
          </w:p>
        </w:tc>
        <w:tc>
          <w:tcPr>
            <w:tcW w:w="16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433"/>
        </w:trPr>
        <w:tc>
          <w:tcPr>
            <w:tcW w:w="3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w:t>
            </w:r>
          </w:p>
        </w:tc>
        <w:tc>
          <w:tcPr>
            <w:tcW w:w="100" w:type="dxa"/>
            <w:vAlign w:val="bottom"/>
          </w:tcPr>
          <w:p>
            <w:pPr>
              <w:spacing w:after="0"/>
              <w:rPr>
                <w:sz w:val="24"/>
                <w:szCs w:val="2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87"/>
              </w:rPr>
              <w:t>11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36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written credit protection on index references. The rating agency designations are based on availability and the midpoint of the applicable ratings among Moody’s, S&amp;P and Fitch. If no rating is available from a rating agency, then an internally developed rating is used.</w:t>
      </w:r>
    </w:p>
    <w:p>
      <w:pPr>
        <w:spacing w:after="0" w:line="5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years to maturity of the credit default swaps is calculated based on weighted average gross notional amounts.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may be exposed to credit-related losses in the event of counterparty nonperformance on derivative instruments. Generally, the credit exposure is the fair value at the reporting date less any collateral received from the counterparty.</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manages its credit risk by: (i) entering into derivative transactions with creditworthy counterparties governed by master netting agreements;</w:t>
      </w:r>
    </w:p>
    <w:p>
      <w:pPr>
        <w:spacing w:after="0" w:line="36" w:lineRule="exact"/>
        <w:rPr>
          <w:sz w:val="20"/>
          <w:szCs w:val="20"/>
          <w:color w:val="auto"/>
        </w:rPr>
      </w:pPr>
    </w:p>
    <w:p>
      <w:pPr>
        <w:ind w:firstLine="6"/>
        <w:spacing w:after="0" w:line="251" w:lineRule="auto"/>
        <w:tabs>
          <w:tab w:leader="none" w:pos="27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through regulated exchanges and central clearing counterparties; (iii) obtaining collateral, such as cash and securities, when appropriate; and (iv) setting limits on single party credit exposures which are subject to periodic management review.</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9 for a description of the impact of credit risk on the valuation of derivatives.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 (continued)</w:t>
      </w:r>
    </w:p>
    <w:p>
      <w:pPr>
        <w:spacing w:after="0" w:line="200" w:lineRule="exact"/>
        <w:rPr>
          <w:sz w:val="20"/>
          <w:szCs w:val="20"/>
          <w:color w:val="auto"/>
        </w:rPr>
      </w:pPr>
    </w:p>
    <w:p>
      <w:pPr>
        <w:spacing w:after="0" w:line="364"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estimated fair values of net derivative assets and net derivative liabilities after the application of master netting agreements and collateral were as follows at:</w:t>
      </w:r>
    </w:p>
    <w:p>
      <w:pPr>
        <w:spacing w:after="0" w:line="200" w:lineRule="exact"/>
        <w:rPr>
          <w:sz w:val="20"/>
          <w:szCs w:val="20"/>
          <w:color w:val="auto"/>
        </w:rPr>
      </w:pPr>
    </w:p>
    <w:p>
      <w:pPr>
        <w:spacing w:after="0" w:line="222"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Gross Amounts Not Offset on the Consolidated</w:t>
      </w:r>
    </w:p>
    <w:p>
      <w:pPr>
        <w:spacing w:after="0" w:line="3" w:lineRule="exact"/>
        <w:rPr>
          <w:sz w:val="20"/>
          <w:szCs w:val="20"/>
          <w:color w:val="auto"/>
        </w:rPr>
      </w:pPr>
    </w:p>
    <w:p>
      <w:pPr>
        <w:jc w:val="center"/>
        <w:ind w:right="940"/>
        <w:spacing w:after="0"/>
        <w:rPr>
          <w:sz w:val="20"/>
          <w:szCs w:val="20"/>
          <w:color w:val="auto"/>
        </w:rPr>
      </w:pPr>
      <w:r>
        <w:rPr>
          <w:rFonts w:ascii="Times New Roman" w:cs="Times New Roman" w:eastAsia="Times New Roman" w:hAnsi="Times New Roman"/>
          <w:sz w:val="14"/>
          <w:szCs w:val="14"/>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2326005</wp:posOffset>
            </wp:positionH>
            <wp:positionV relativeFrom="paragraph">
              <wp:posOffset>11430</wp:posOffset>
            </wp:positionV>
            <wp:extent cx="18846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8468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Gross Amount</w:t>
            </w:r>
          </w:p>
        </w:tc>
        <w:tc>
          <w:tcPr>
            <w:tcW w:w="1560" w:type="dxa"/>
            <w:vAlign w:val="bottom"/>
            <w:gridSpan w:val="2"/>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Financial Instruments</w:t>
            </w:r>
          </w:p>
        </w:tc>
        <w:tc>
          <w:tcPr>
            <w:tcW w:w="300" w:type="dxa"/>
            <w:vAlign w:val="bottom"/>
          </w:tcPr>
          <w:p>
            <w:pPr>
              <w:spacing w:after="0"/>
              <w:rPr>
                <w:sz w:val="13"/>
                <w:szCs w:val="13"/>
                <w:color w:val="auto"/>
              </w:rPr>
            </w:pPr>
          </w:p>
        </w:tc>
        <w:tc>
          <w:tcPr>
            <w:tcW w:w="1220" w:type="dxa"/>
            <w:vAlign w:val="bottom"/>
          </w:tcPr>
          <w:p>
            <w:pPr>
              <w:jc w:val="center"/>
              <w:ind w:right="223"/>
              <w:spacing w:after="0"/>
              <w:rPr>
                <w:sz w:val="20"/>
                <w:szCs w:val="20"/>
                <w:color w:val="auto"/>
              </w:rPr>
            </w:pPr>
            <w:r>
              <w:rPr>
                <w:rFonts w:ascii="Times New Roman" w:cs="Times New Roman" w:eastAsia="Times New Roman" w:hAnsi="Times New Roman"/>
                <w:sz w:val="14"/>
                <w:szCs w:val="14"/>
                <w:b w:val="1"/>
                <w:bCs w:val="1"/>
                <w:color w:val="auto"/>
              </w:rPr>
              <w:t>Collateral</w:t>
            </w:r>
          </w:p>
        </w:tc>
        <w:tc>
          <w:tcPr>
            <w:tcW w:w="380" w:type="dxa"/>
            <w:vAlign w:val="bottom"/>
          </w:tcPr>
          <w:p>
            <w:pPr>
              <w:spacing w:after="0"/>
              <w:rPr>
                <w:sz w:val="13"/>
                <w:szCs w:val="13"/>
                <w:color w:val="auto"/>
              </w:rPr>
            </w:pPr>
          </w:p>
        </w:tc>
        <w:tc>
          <w:tcPr>
            <w:tcW w:w="1140" w:type="dxa"/>
            <w:vAlign w:val="bottom"/>
            <w:vMerge w:val="restart"/>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540" w:type="dxa"/>
            <w:vAlign w:val="bottom"/>
            <w:gridSpan w:val="2"/>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160" w:type="dxa"/>
            <w:vAlign w:val="bottom"/>
          </w:tcPr>
          <w:p>
            <w:pPr>
              <w:spacing w:after="0"/>
              <w:rPr>
                <w:sz w:val="13"/>
                <w:szCs w:val="13"/>
                <w:color w:val="auto"/>
              </w:rPr>
            </w:pPr>
          </w:p>
        </w:tc>
        <w:tc>
          <w:tcPr>
            <w:tcW w:w="134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Net Amount After</w:t>
            </w:r>
          </w:p>
        </w:tc>
        <w:tc>
          <w:tcPr>
            <w:tcW w:w="0" w:type="dxa"/>
            <w:vAlign w:val="bottom"/>
          </w:tcPr>
          <w:p>
            <w:pPr>
              <w:spacing w:after="0"/>
              <w:rPr>
                <w:sz w:val="1"/>
                <w:szCs w:val="1"/>
                <w:color w:val="auto"/>
              </w:rPr>
            </w:pPr>
          </w:p>
        </w:tc>
      </w:tr>
      <w:tr>
        <w:trPr>
          <w:trHeight w:val="191"/>
        </w:trPr>
        <w:tc>
          <w:tcPr>
            <w:tcW w:w="2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Recognized</w:t>
            </w:r>
          </w:p>
        </w:tc>
        <w:tc>
          <w:tcPr>
            <w:tcW w:w="4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(1)</w:t>
            </w:r>
          </w:p>
        </w:tc>
        <w:tc>
          <w:tcPr>
            <w:tcW w:w="15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Received/Pledged (2)</w:t>
            </w: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540" w:type="dxa"/>
            <w:vAlign w:val="bottom"/>
            <w:tcBorders>
              <w:bottom w:val="single" w:sz="8" w:color="auto"/>
            </w:tcBorders>
            <w:gridSpan w:val="2"/>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Received/Pledged (3)</w:t>
            </w: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Securities Collateral</w:t>
            </w:r>
          </w:p>
        </w:tc>
        <w:tc>
          <w:tcPr>
            <w:tcW w:w="0" w:type="dxa"/>
            <w:vAlign w:val="bottom"/>
          </w:tcPr>
          <w:p>
            <w:pPr>
              <w:spacing w:after="0"/>
              <w:rPr>
                <w:sz w:val="1"/>
                <w:szCs w:val="1"/>
                <w:color w:val="auto"/>
              </w:rPr>
            </w:pPr>
          </w:p>
        </w:tc>
      </w:tr>
      <w:tr>
        <w:trPr>
          <w:trHeight w:val="398"/>
        </w:trPr>
        <w:tc>
          <w:tcPr>
            <w:tcW w:w="2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10,653</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(5,264)</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(3,909)</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1,480</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(1,448)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4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7,271</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(5,264)</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2,007</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(2,006)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35"/>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2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6,576</w:t>
            </w:r>
          </w:p>
        </w:tc>
        <w:tc>
          <w:tcPr>
            <w:tcW w:w="44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(1,382)</w:t>
            </w:r>
          </w:p>
        </w:tc>
        <w:tc>
          <w:tcPr>
            <w:tcW w:w="38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1,333</w:t>
            </w:r>
          </w:p>
        </w:tc>
        <w:tc>
          <w:tcPr>
            <w:tcW w:w="600" w:type="dxa"/>
            <w:vAlign w:val="bottom"/>
            <w:shd w:val="clear" w:color="auto" w:fill="CCEEFF"/>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(1,331)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432"/>
        </w:trPr>
        <w:tc>
          <w:tcPr>
            <w:tcW w:w="2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5,099</w:t>
            </w:r>
          </w:p>
        </w:tc>
        <w:tc>
          <w:tcPr>
            <w:tcW w:w="44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(3,861)</w:t>
            </w:r>
          </w:p>
        </w:tc>
        <w:tc>
          <w:tcPr>
            <w:tcW w:w="3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ind w:left="9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1,238</w:t>
            </w:r>
          </w:p>
        </w:tc>
        <w:tc>
          <w:tcPr>
            <w:tcW w:w="600" w:type="dxa"/>
            <w:vAlign w:val="bottom"/>
          </w:tcPr>
          <w:p>
            <w:pPr>
              <w:jc w:val="right"/>
              <w:ind w:right="343"/>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(1,238)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9"/>
        </w:trPr>
        <w:tc>
          <w:tcPr>
            <w:tcW w:w="212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subject to an enforceable master netting agreement or similar agreement.</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collateral offset in the table above is limited to the net estimated fair value of derivatives after application of netting agreement.</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collateral received from counterparties is not reported on the consolidated balance sheets and may not be sold unless the counterparty is in default. Amounts do not include excess of collateral pledged or received.</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does not offset recognized derivative assets and liabilities subject to master netting agreements on the consolidated balance sheets except for derivative instruments executed with the same counterparty but under different credit support annexes. As of September 30, 2026, $2.6 billion of recognized derivative assets were offset by $2.6 billion of recognized derivative liabilities on the consolidated balance sheets.</w:t>
      </w:r>
    </w:p>
    <w:p>
      <w:pPr>
        <w:spacing w:after="0" w:line="7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Company’s collateral arrangements generally require the counterparty in a net liability position, after considering the effect of netting agreements, to pledge collateral when the amount owed by that counterparty reaches a minimum transfer amount. Certain of these arrangements also include credit-contingent provisions which permit the party with positive fair value to terminate the derivative at the current fair value or demand immediate full collateralization from the party in a net liability position, in the event that the financial strength or credit rating of the party in a net liability position falls below a certain level.</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aggregate estimated fair values of derivatives in a net liability position containing such credit-contingent provisions and the aggregate estimated fair value of assets posted as collateral for such instruments were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20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1480" w:type="dxa"/>
            <w:vAlign w:val="bottom"/>
          </w:tcPr>
          <w:p>
            <w:pPr>
              <w:jc w:val="right"/>
              <w:ind w:right="18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3"/>
          </w:tcPr>
          <w:p>
            <w:pPr>
              <w:spacing w:after="0"/>
              <w:rPr>
                <w:sz w:val="2"/>
                <w:szCs w:val="2"/>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3"/>
          </w:tcPr>
          <w:p>
            <w:pPr>
              <w:jc w:val="right"/>
              <w:ind w:right="126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fair value of derivatives in a net liability position (1)</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2,007</w:t>
            </w:r>
          </w:p>
        </w:tc>
        <w:tc>
          <w:tcPr>
            <w:tcW w:w="2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fair value of collateral provided (2):</w:t>
            </w:r>
          </w:p>
        </w:tc>
        <w:tc>
          <w:tcPr>
            <w:tcW w:w="3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440"/>
        </w:trPr>
        <w:tc>
          <w:tcPr>
            <w:tcW w:w="5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3080" w:type="dxa"/>
            <w:vAlign w:val="bottom"/>
            <w:shd w:val="clear" w:color="auto" w:fill="CCEEFF"/>
          </w:tcPr>
          <w:p>
            <w:pPr>
              <w:jc w:val="right"/>
              <w:ind w:right="50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5,076</w:t>
            </w:r>
          </w:p>
        </w:tc>
        <w:tc>
          <w:tcPr>
            <w:tcW w:w="740" w:type="dxa"/>
            <w:vAlign w:val="bottom"/>
            <w:shd w:val="clear" w:color="auto" w:fill="CCEEFF"/>
          </w:tcPr>
          <w:p>
            <w:pPr>
              <w:jc w:val="right"/>
              <w:ind w:right="481"/>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3,685</w:t>
            </w:r>
          </w:p>
        </w:tc>
      </w:tr>
      <w:tr>
        <w:trPr>
          <w:trHeight w:val="254"/>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3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0" w:type="dxa"/>
            <w:vAlign w:val="bottom"/>
          </w:tcPr>
          <w:p>
            <w:pPr>
              <w:spacing w:after="0"/>
              <w:rPr>
                <w:sz w:val="22"/>
                <w:szCs w:val="22"/>
                <w:color w:val="auto"/>
              </w:rPr>
            </w:pPr>
          </w:p>
        </w:tc>
      </w:tr>
    </w:tbl>
    <w:p>
      <w:pPr>
        <w:spacing w:after="0" w:line="99" w:lineRule="exact"/>
        <w:rPr>
          <w:sz w:val="20"/>
          <w:szCs w:val="20"/>
          <w:color w:val="auto"/>
        </w:rPr>
      </w:pPr>
    </w:p>
    <w:p>
      <w:pPr>
        <w:ind w:left="320" w:hanging="314"/>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taking into consideration the existence of netting agreements.</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the Company’s collateral arrangements provide for daily posting of collateral for the full value of the derivative contract. As a result, if the credit-contingent provisions of derivative contracts in a net liability position were triggered, minimal additional assets would be required to be posted as collateral or needed to settle the instruments immediately. Additionally, the Company is required to pledge initial margin for certain new OTC-bilateral derivative transactions to third-party custodians.</w:t>
      </w:r>
    </w:p>
    <w:p>
      <w:pPr>
        <w:sectPr>
          <w:pgSz w:w="11900" w:h="16838" w:orient="portrait"/>
          <w:cols w:equalWidth="0" w:num="1">
            <w:col w:w="11240"/>
          </w:cols>
          <w:pgMar w:left="320" w:top="230" w:right="339" w:bottom="7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747"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Considerable judgment is often required in interpreting market data to develop estimates of fair value, and the use of different assumptions or valuation methodologies may have a material effect on the estimated fair value amounts.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assets and liabilities measured at estimated fair value on a recurring basis and their corresponding placement in the fair value hierarchy are presented in the tables below. Investments that do not have a readily determinable fair value and are measured at net asset value (or equivalent) as a practical expedient to estimated fair value are excluded from the fair value hierarchy.</w:t>
      </w:r>
    </w:p>
    <w:p>
      <w:pPr>
        <w:sectPr>
          <w:pgSz w:w="11900" w:h="16838" w:orient="portrait"/>
          <w:cols w:equalWidth="0" w:num="1">
            <w:col w:w="11240"/>
          </w:cols>
          <w:pgMar w:left="320" w:top="230"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Total Estimated</w:t>
            </w:r>
          </w:p>
        </w:tc>
        <w:tc>
          <w:tcPr>
            <w:tcW w:w="0" w:type="dxa"/>
            <w:vAlign w:val="bottom"/>
          </w:tcPr>
          <w:p>
            <w:pPr>
              <w:spacing w:after="0"/>
              <w:rPr>
                <w:sz w:val="1"/>
                <w:szCs w:val="1"/>
                <w:color w:val="auto"/>
              </w:rPr>
            </w:pPr>
          </w:p>
        </w:tc>
      </w:tr>
      <w:tr>
        <w:trPr>
          <w:trHeight w:val="220"/>
        </w:trPr>
        <w:tc>
          <w:tcPr>
            <w:tcW w:w="55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9"/>
                <w:szCs w:val="19"/>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98"/>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36,054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36,656</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10,054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8,591</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2,700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3,983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5,412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5,622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430"/>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2,700</w:t>
            </w: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73,535</w:t>
            </w: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1,098</w:t>
            </w:r>
          </w:p>
        </w:tc>
        <w:tc>
          <w:tcPr>
            <w:tcW w:w="100" w:type="dxa"/>
            <w:vAlign w:val="bottom"/>
            <w:tcBorders>
              <w:top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spacing w:after="0"/>
              <w:rPr>
                <w:sz w:val="24"/>
                <w:szCs w:val="24"/>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77,333</w:t>
            </w:r>
          </w:p>
        </w:tc>
        <w:tc>
          <w:tcPr>
            <w:tcW w:w="0" w:type="dxa"/>
            <w:vAlign w:val="bottom"/>
          </w:tcPr>
          <w:p>
            <w:pPr>
              <w:spacing w:after="0"/>
              <w:rPr>
                <w:sz w:val="1"/>
                <w:szCs w:val="1"/>
                <w:color w:val="auto"/>
              </w:rPr>
            </w:pPr>
          </w:p>
        </w:tc>
      </w:tr>
      <w:tr>
        <w:trPr>
          <w:trHeight w:val="43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10,142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10,147</w:t>
            </w:r>
          </w:p>
        </w:tc>
        <w:tc>
          <w:tcPr>
            <w:tcW w:w="0" w:type="dxa"/>
            <w:vAlign w:val="bottom"/>
          </w:tcPr>
          <w:p>
            <w:pPr>
              <w:spacing w:after="0"/>
              <w:rPr>
                <w:sz w:val="1"/>
                <w:szCs w:val="1"/>
                <w:color w:val="auto"/>
              </w:rPr>
            </w:pPr>
          </w:p>
        </w:tc>
      </w:tr>
      <w:tr>
        <w:trPr>
          <w:trHeight w:val="430"/>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10,788</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0" w:type="dxa"/>
            <w:vAlign w:val="bottom"/>
          </w:tcPr>
          <w:p>
            <w:pPr>
              <w:spacing w:after="0"/>
              <w:rPr>
                <w:sz w:val="1"/>
                <w:szCs w:val="1"/>
                <w:color w:val="auto"/>
              </w:rPr>
            </w:pPr>
          </w:p>
        </w:tc>
      </w:tr>
      <w:tr>
        <w:trPr>
          <w:trHeight w:val="4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0" w:type="dxa"/>
            <w:vAlign w:val="bottom"/>
          </w:tcPr>
          <w:p>
            <w:pPr>
              <w:spacing w:after="0"/>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81,634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81,648</w:t>
            </w:r>
          </w:p>
        </w:tc>
        <w:tc>
          <w:tcPr>
            <w:tcW w:w="0" w:type="dxa"/>
            <w:vAlign w:val="bottom"/>
          </w:tcPr>
          <w:p>
            <w:pPr>
              <w:spacing w:after="0"/>
              <w:rPr>
                <w:sz w:val="1"/>
                <w:szCs w:val="1"/>
                <w:color w:val="auto"/>
              </w:rPr>
            </w:pPr>
          </w:p>
        </w:tc>
      </w:tr>
      <w:tr>
        <w:trPr>
          <w:trHeight w:val="4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3,245</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166,686</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2,281</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172,212</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6,486</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3,331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3,331</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43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3,981</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3,985</w:t>
            </w:r>
          </w:p>
        </w:tc>
        <w:tc>
          <w:tcPr>
            <w:tcW w:w="0" w:type="dxa"/>
            <w:vAlign w:val="bottom"/>
          </w:tcPr>
          <w:p>
            <w:pPr>
              <w:spacing w:after="0"/>
              <w:rPr>
                <w:sz w:val="1"/>
                <w:szCs w:val="1"/>
                <w:color w:val="auto"/>
              </w:rPr>
            </w:pPr>
          </w:p>
        </w:tc>
      </w:tr>
      <w:tr>
        <w:trPr>
          <w:trHeight w:val="431"/>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7,380</w:t>
            </w:r>
          </w:p>
        </w:tc>
        <w:tc>
          <w:tcPr>
            <w:tcW w:w="0" w:type="dxa"/>
            <w:vAlign w:val="bottom"/>
          </w:tcPr>
          <w:p>
            <w:pPr>
              <w:spacing w:after="0"/>
              <w:rPr>
                <w:sz w:val="1"/>
                <w:szCs w:val="1"/>
                <w:color w:val="auto"/>
              </w:rPr>
            </w:pPr>
          </w:p>
        </w:tc>
      </w:tr>
      <w:tr>
        <w:trPr>
          <w:trHeight w:val="43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12,302</w:t>
            </w:r>
          </w:p>
        </w:tc>
        <w:tc>
          <w:tcPr>
            <w:tcW w:w="0" w:type="dxa"/>
            <w:vAlign w:val="bottom"/>
          </w:tcPr>
          <w:p>
            <w:pPr>
              <w:spacing w:after="0"/>
              <w:rPr>
                <w:sz w:val="1"/>
                <w:szCs w:val="1"/>
                <w:color w:val="auto"/>
              </w:rPr>
            </w:pPr>
          </w:p>
        </w:tc>
      </w:tr>
      <w:tr>
        <w:trPr>
          <w:trHeight w:val="458"/>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18,788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26,168</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80" w:right="339"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757"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Notes to the Interim Condensed Consolidated Financial Statements (Unaudited) (continued)</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ectPr>
          <w:pgSz w:w="11900" w:h="16838" w:orient="portrait"/>
          <w:cols w:equalWidth="0" w:num="1">
            <w:col w:w="10139"/>
          </w:cols>
          <w:pgMar w:left="320" w:top="283" w:right="1440"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86"/>
        </w:trPr>
        <w:tc>
          <w:tcPr>
            <w:tcW w:w="5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w w:val="98"/>
              </w:rPr>
              <w:t>Total Estimated Fair</w:t>
            </w:r>
          </w:p>
        </w:tc>
        <w:tc>
          <w:tcPr>
            <w:tcW w:w="0" w:type="dxa"/>
            <w:vAlign w:val="bottom"/>
          </w:tcPr>
          <w:p>
            <w:pPr>
              <w:spacing w:after="0"/>
              <w:rPr>
                <w:sz w:val="1"/>
                <w:szCs w:val="1"/>
                <w:color w:val="auto"/>
              </w:rPr>
            </w:pPr>
          </w:p>
        </w:tc>
      </w:tr>
      <w:tr>
        <w:trPr>
          <w:trHeight w:val="220"/>
        </w:trPr>
        <w:tc>
          <w:tcPr>
            <w:tcW w:w="550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9"/>
                <w:szCs w:val="19"/>
                <w:color w:val="auto"/>
              </w:rPr>
            </w:pPr>
          </w:p>
        </w:tc>
        <w:tc>
          <w:tcPr>
            <w:tcW w:w="10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550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398"/>
        </w:trPr>
        <w:tc>
          <w:tcPr>
            <w:tcW w:w="5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Fixed maturity securities:</w:t>
            </w: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860" w:type="dxa"/>
            <w:vAlign w:val="bottom"/>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38,267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38,909</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11,339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8,508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2,450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4,261</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5,814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5,870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3,494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430"/>
        </w:trPr>
        <w:tc>
          <w:tcPr>
            <w:tcW w:w="55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860" w:type="dxa"/>
            <w:vAlign w:val="bottom"/>
            <w:tcBorders>
              <w:top w:val="single" w:sz="8" w:color="auto"/>
              <w:bottom w:val="single" w:sz="8" w:color="auto"/>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2,450</w:t>
            </w:r>
          </w:p>
        </w:tc>
        <w:tc>
          <w:tcPr>
            <w:tcW w:w="120" w:type="dxa"/>
            <w:vAlign w:val="bottom"/>
            <w:tcBorders>
              <w:top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spacing w:after="0"/>
              <w:rPr>
                <w:sz w:val="24"/>
                <w:szCs w:val="24"/>
                <w:color w:val="auto"/>
              </w:rPr>
            </w:pP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78,471</w:t>
            </w:r>
          </w:p>
        </w:tc>
        <w:tc>
          <w:tcPr>
            <w:tcW w:w="100" w:type="dxa"/>
            <w:vAlign w:val="bottom"/>
            <w:tcBorders>
              <w:top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spacing w:after="0"/>
              <w:rPr>
                <w:sz w:val="24"/>
                <w:szCs w:val="24"/>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w:t>
            </w:r>
          </w:p>
        </w:tc>
        <w:tc>
          <w:tcPr>
            <w:tcW w:w="100" w:type="dxa"/>
            <w:vAlign w:val="bottom"/>
            <w:tcBorders>
              <w:top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spacing w:after="0"/>
              <w:rPr>
                <w:sz w:val="24"/>
                <w:szCs w:val="24"/>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82,014</w:t>
            </w:r>
          </w:p>
        </w:tc>
        <w:tc>
          <w:tcPr>
            <w:tcW w:w="0" w:type="dxa"/>
            <w:vAlign w:val="bottom"/>
          </w:tcPr>
          <w:p>
            <w:pPr>
              <w:spacing w:after="0"/>
              <w:rPr>
                <w:sz w:val="1"/>
                <w:szCs w:val="1"/>
                <w:color w:val="auto"/>
              </w:rPr>
            </w:pPr>
          </w:p>
        </w:tc>
      </w:tr>
      <w:tr>
        <w:trPr>
          <w:trHeight w:val="43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Trading securities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securities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investments</w:t>
            </w:r>
          </w:p>
        </w:tc>
        <w:tc>
          <w:tcPr>
            <w:tcW w:w="86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273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assets: (1)</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297</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6,115</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6,121</w:t>
            </w:r>
          </w:p>
        </w:tc>
        <w:tc>
          <w:tcPr>
            <w:tcW w:w="0" w:type="dxa"/>
            <w:vAlign w:val="bottom"/>
          </w:tcPr>
          <w:p>
            <w:pPr>
              <w:spacing w:after="0"/>
              <w:rPr>
                <w:sz w:val="1"/>
                <w:szCs w:val="1"/>
                <w:color w:val="auto"/>
              </w:rPr>
            </w:pPr>
          </w:p>
        </w:tc>
      </w:tr>
      <w:tr>
        <w:trPr>
          <w:trHeight w:val="430"/>
        </w:trPr>
        <w:tc>
          <w:tcPr>
            <w:tcW w:w="55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derivative assets</w:t>
            </w:r>
          </w:p>
        </w:tc>
        <w:tc>
          <w:tcPr>
            <w:tcW w:w="860" w:type="dxa"/>
            <w:vAlign w:val="bottom"/>
            <w:tcBorders>
              <w:top w:val="single" w:sz="8" w:color="auto"/>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6,767</w:t>
            </w:r>
          </w:p>
        </w:tc>
        <w:tc>
          <w:tcPr>
            <w:tcW w:w="100" w:type="dxa"/>
            <w:vAlign w:val="bottom"/>
            <w:tcBorders>
              <w:bottom w:val="single" w:sz="8" w:color="CCEEFF"/>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0" w:type="dxa"/>
            <w:vAlign w:val="bottom"/>
          </w:tcPr>
          <w:p>
            <w:pPr>
              <w:spacing w:after="0"/>
              <w:rPr>
                <w:sz w:val="1"/>
                <w:szCs w:val="1"/>
                <w:color w:val="auto"/>
              </w:rPr>
            </w:pPr>
          </w:p>
        </w:tc>
      </w:tr>
      <w:tr>
        <w:trPr>
          <w:trHeight w:val="433"/>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assets</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1,060</w:t>
            </w:r>
          </w:p>
        </w:tc>
        <w:tc>
          <w:tcPr>
            <w:tcW w:w="0" w:type="dxa"/>
            <w:vAlign w:val="bottom"/>
          </w:tcPr>
          <w:p>
            <w:pPr>
              <w:spacing w:after="0"/>
              <w:rPr>
                <w:sz w:val="1"/>
                <w:szCs w:val="1"/>
                <w:color w:val="auto"/>
              </w:rPr>
            </w:pPr>
          </w:p>
        </w:tc>
      </w:tr>
      <w:tr>
        <w:trPr>
          <w:trHeight w:val="437"/>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assets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85,518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85,528</w:t>
            </w:r>
          </w:p>
        </w:tc>
        <w:tc>
          <w:tcPr>
            <w:tcW w:w="0" w:type="dxa"/>
            <w:vAlign w:val="bottom"/>
          </w:tcPr>
          <w:p>
            <w:pPr>
              <w:spacing w:after="0"/>
              <w:rPr>
                <w:sz w:val="1"/>
                <w:szCs w:val="1"/>
                <w:color w:val="auto"/>
              </w:rPr>
            </w:pPr>
          </w:p>
        </w:tc>
      </w:tr>
      <w:tr>
        <w:trPr>
          <w:trHeight w:val="433"/>
        </w:trPr>
        <w:tc>
          <w:tcPr>
            <w:tcW w:w="5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860" w:type="dxa"/>
            <w:vAlign w:val="bottom"/>
            <w:tcBorders>
              <w:top w:val="single" w:sz="8" w:color="auto"/>
              <w:bottom w:val="single" w:sz="8" w:color="auto"/>
            </w:tcBorders>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3,539</w:t>
            </w:r>
          </w:p>
        </w:tc>
        <w:tc>
          <w:tcPr>
            <w:tcW w:w="120" w:type="dxa"/>
            <w:vAlign w:val="bottom"/>
          </w:tcPr>
          <w:p>
            <w:pPr>
              <w:spacing w:after="0"/>
              <w:rPr>
                <w:sz w:val="24"/>
                <w:szCs w:val="24"/>
                <w:color w:val="auto"/>
              </w:rPr>
            </w:pPr>
          </w:p>
        </w:tc>
        <w:tc>
          <w:tcPr>
            <w:tcW w:w="280" w:type="dxa"/>
            <w:vAlign w:val="bottom"/>
            <w:tcBorders>
              <w:top w:val="single" w:sz="8" w:color="auto"/>
              <w:bottom w:val="single" w:sz="8" w:color="auto"/>
            </w:tcBorders>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171,453</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00" w:type="dxa"/>
            <w:vAlign w:val="bottom"/>
          </w:tcPr>
          <w:p>
            <w:pPr>
              <w:spacing w:after="0"/>
              <w:rPr>
                <w:sz w:val="24"/>
                <w:szCs w:val="2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177,242</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Market risk benefit liabilities</w:t>
            </w:r>
          </w:p>
        </w:tc>
        <w:tc>
          <w:tcPr>
            <w:tcW w:w="860" w:type="dxa"/>
            <w:vAlign w:val="bottom"/>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8,063</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Derivative liabilities: (1)</w:t>
            </w:r>
          </w:p>
        </w:tc>
        <w:tc>
          <w:tcPr>
            <w:tcW w:w="86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rate</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2,082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w:t>
            </w:r>
          </w:p>
        </w:tc>
        <w:tc>
          <w:tcPr>
            <w:tcW w:w="0" w:type="dxa"/>
            <w:vAlign w:val="bottom"/>
          </w:tcPr>
          <w:p>
            <w:pPr>
              <w:spacing w:after="0"/>
              <w:rPr>
                <w:sz w:val="1"/>
                <w:szCs w:val="1"/>
                <w:color w:val="auto"/>
              </w:rPr>
            </w:pPr>
          </w:p>
        </w:tc>
      </w:tr>
      <w:tr>
        <w:trPr>
          <w:trHeight w:val="440"/>
        </w:trPr>
        <w:tc>
          <w:tcPr>
            <w:tcW w:w="5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exchange rate</w:t>
            </w:r>
          </w:p>
        </w:tc>
        <w:tc>
          <w:tcPr>
            <w:tcW w:w="860" w:type="dxa"/>
            <w:vAlign w:val="bottom"/>
            <w:shd w:val="clear" w:color="auto" w:fill="CCEEFF"/>
          </w:tcPr>
          <w:p>
            <w:pPr>
              <w:spacing w:after="0"/>
              <w:rPr>
                <w:sz w:val="24"/>
                <w:szCs w:val="24"/>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435"/>
        </w:trPr>
        <w:tc>
          <w:tcPr>
            <w:tcW w:w="5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Equity market</w:t>
            </w:r>
          </w:p>
        </w:tc>
        <w:tc>
          <w:tcPr>
            <w:tcW w:w="8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3,060</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3,064</w:t>
            </w:r>
          </w:p>
        </w:tc>
        <w:tc>
          <w:tcPr>
            <w:tcW w:w="0" w:type="dxa"/>
            <w:vAlign w:val="bottom"/>
          </w:tcPr>
          <w:p>
            <w:pPr>
              <w:spacing w:after="0"/>
              <w:rPr>
                <w:sz w:val="1"/>
                <w:szCs w:val="1"/>
                <w:color w:val="auto"/>
              </w:rPr>
            </w:pPr>
          </w:p>
        </w:tc>
      </w:tr>
      <w:tr>
        <w:trPr>
          <w:trHeight w:val="430"/>
        </w:trPr>
        <w:tc>
          <w:tcPr>
            <w:tcW w:w="5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derivative liabilities</w:t>
            </w:r>
          </w:p>
        </w:tc>
        <w:tc>
          <w:tcPr>
            <w:tcW w:w="86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spacing w:after="0"/>
              <w:rPr>
                <w:sz w:val="24"/>
                <w:szCs w:val="2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0" w:type="dxa"/>
            <w:vAlign w:val="bottom"/>
          </w:tcPr>
          <w:p>
            <w:pPr>
              <w:spacing w:after="0"/>
              <w:rPr>
                <w:sz w:val="1"/>
                <w:szCs w:val="1"/>
                <w:color w:val="auto"/>
              </w:rPr>
            </w:pPr>
          </w:p>
        </w:tc>
      </w:tr>
      <w:tr>
        <w:trPr>
          <w:trHeight w:val="430"/>
        </w:trPr>
        <w:tc>
          <w:tcPr>
            <w:tcW w:w="5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Embedded derivatives on index-linked annuities (2)</w:t>
            </w:r>
          </w:p>
        </w:tc>
        <w:tc>
          <w:tcPr>
            <w:tcW w:w="86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24"/>
                <w:szCs w:val="24"/>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12,406</w:t>
            </w:r>
          </w:p>
        </w:tc>
        <w:tc>
          <w:tcPr>
            <w:tcW w:w="0" w:type="dxa"/>
            <w:vAlign w:val="bottom"/>
          </w:tcPr>
          <w:p>
            <w:pPr>
              <w:spacing w:after="0"/>
              <w:rPr>
                <w:sz w:val="1"/>
                <w:szCs w:val="1"/>
                <w:color w:val="auto"/>
              </w:rPr>
            </w:pPr>
          </w:p>
        </w:tc>
      </w:tr>
      <w:tr>
        <w:trPr>
          <w:trHeight w:val="458"/>
        </w:trPr>
        <w:tc>
          <w:tcPr>
            <w:tcW w:w="5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860" w:type="dxa"/>
            <w:vAlign w:val="bottom"/>
            <w:tcBorders>
              <w:top w:val="single" w:sz="8" w:color="auto"/>
              <w:bottom w:val="single" w:sz="8" w:color="auto"/>
            </w:tcBorders>
            <w:shd w:val="clear" w:color="auto" w:fill="CCEEFF"/>
          </w:tcPr>
          <w:p>
            <w:pPr>
              <w:jc w:val="right"/>
              <w:ind w:right="66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80" w:type="dxa"/>
            <w:vAlign w:val="bottom"/>
            <w:tcBorders>
              <w:top w:val="single" w:sz="8" w:color="auto"/>
              <w:bottom w:val="single" w:sz="8" w:color="auto"/>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5,230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420" w:type="dxa"/>
            <w:vAlign w:val="bottom"/>
            <w:tcBorders>
              <w:top w:val="single" w:sz="8" w:color="auto"/>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20,469</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380" w:right="339" w:bottom="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21" w:lineRule="exact"/>
        <w:rPr>
          <w:sz w:val="20"/>
          <w:szCs w:val="20"/>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assets are reported in other invested assets and derivative liabilities are reported in other liabilities. The amounts are presented gross in the tables above to reflect the presentation on the consolidated balance sheets.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Embedded derivative assets on index-linked annuities relate to reinsurance and are reported in premiums and other receivables. Embedded derivative liabilities on index-linked annuities are reported in policyholder account balances.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Valuation Controls and Procedures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The Company monitors and provides oversight of valuation controls and policies for securities, mortgage loans and derivatives, which are primarily executed by its valuation service providers. The valuation methodologies used to determine fair values prioritize the use of observable market prices and market-based parameters and determines that judgmental valuation adjustments, when applied, are based upon established policies and are applied consistently over time. The valuation methodologies for securities, mortgage loans and derivatives are reviewed on an ongoing basis and revised when necessary. In addition, the Chief Accounting Officer periodically reports to the Audit Committee of BHF’s Board of Directors regarding compliance with fair value accounting standards.</w:t>
      </w:r>
    </w:p>
    <w:p>
      <w:pPr>
        <w:spacing w:after="0" w:line="79"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The fair value of financial assets and financial liabilities is based on quoted market prices, where available. Prices received are assessed to determine if they represent a reasonable estimate of fair value. Several controls are performed, including certain monthly controls, which include, but are not limited to, analysis of portfolio returns to corresponding benchmark returns, comparing a sample of executed prices of securities sold to the fair value estimates, reviewing the bid/ask spreads to assess activity, comparing prices from multiple independent pricing services and ongoing due diligence to confirm that independent pricing services use market-based parameters. The process includes a determination of the observability of inputs used in estimated fair values received from independent pricing services or brokers by assessing whether these inputs can be corroborated by observable market data. Independent non-binding broker quotes, also referred to herein as “consensus pricing,” are used for a non-significant portion of the portfolio. Prices received from independent brokers are assessed to determine if they represent a reasonable estimate of fair value by considering such pricing relative to the current market dynamics and current pricing for similar financial instruments.</w:t>
      </w:r>
    </w:p>
    <w:p>
      <w:pPr>
        <w:spacing w:after="0" w:line="8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 formal process is also applied to challenge any prices received from independent pricing services that are not considered representative of estimated fair value. If prices received from independent pricing services are not considered reflective of market activity or representative of estimated fair value, independent non-binding broker quotations are obtained. If obtaining an independent non-binding broker quotation is unsuccessful, the last available price will be used.</w:t>
      </w:r>
    </w:p>
    <w:p>
      <w:pPr>
        <w:spacing w:after="0" w:line="74"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Additional controls are performed, such as balance sheet analytics to assess reasonableness of period-to-period pricing changes, including any price adjustments. Price adjustments are applied if prices or quotes received from independent pricing services or brokers are not considered reflective of market activity or representative of estimated fair value. The Company did not have significant price adjustments during the nine months ended September 30, 2026.</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Determination of Fair Value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Fixed Maturity Securities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values for actively traded marketable bonds designated as available-for-sale or trading securities, primarily U.S. government and agency securities, are determined using the quoted market prices and are classified as Level 1 assets. For securities classified as Level 2 assets, fair values are determined using either a market or income approach and are valued based on a variety of observable inputs as described below.</w:t>
      </w:r>
    </w:p>
    <w:p>
      <w:pPr>
        <w:spacing w:after="0" w:line="123"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U.S. corporate and foreign corporate securities: </w:t>
      </w:r>
      <w:r>
        <w:rPr>
          <w:rFonts w:ascii="Times New Roman" w:cs="Times New Roman" w:eastAsia="Times New Roman" w:hAnsi="Times New Roman"/>
          <w:sz w:val="18"/>
          <w:szCs w:val="18"/>
          <w:color w:val="auto"/>
        </w:rPr>
        <w:t>Fair value is determined using third-party commercial pricing services, with the primary inputs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quoted prices in markets that are not active, benchmark yields, spreads off benchmark yields, new issuances, issuer rating, trades of identical or comparable securities, or duration. Privately-placed securities are valued using the additional key inputs: market yield curve, call provisions, observable prices and spreads for similar public or private securities that incorporate the credit quality and industry sector of the issuer, and delta spread adjustments to reflect specific credit-related issues.</w:t>
      </w:r>
    </w:p>
    <w:p>
      <w:pPr>
        <w:spacing w:after="0" w:line="128" w:lineRule="exact"/>
        <w:rPr>
          <w:sz w:val="20"/>
          <w:szCs w:val="20"/>
          <w:color w:val="auto"/>
        </w:rPr>
      </w:pPr>
    </w:p>
    <w:p>
      <w:pPr>
        <w:jc w:val="both"/>
        <w:ind w:left="320"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U.S. government and agency, state and political subdivision and foreign government securities: </w:t>
      </w:r>
      <w:r>
        <w:rPr>
          <w:rFonts w:ascii="Times New Roman" w:cs="Times New Roman" w:eastAsia="Times New Roman" w:hAnsi="Times New Roman"/>
          <w:sz w:val="18"/>
          <w:szCs w:val="18"/>
          <w:color w:val="auto"/>
        </w:rPr>
        <w:t>Fair value is determined using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pricing services, with the primary inputs being quoted prices in markets that are not active, benchmark U.S. Treasury yield or other yields, spread off the U.S. Treasury yield curve for the identical security, issuer ratings and issuer spreads, broker-dealer quotes, and comparable securities that are actively traded.</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ind w:left="32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Structured Securities: </w:t>
      </w:r>
      <w:r>
        <w:rPr>
          <w:rFonts w:ascii="Times New Roman" w:cs="Times New Roman" w:eastAsia="Times New Roman" w:hAnsi="Times New Roman"/>
          <w:sz w:val="18"/>
          <w:szCs w:val="18"/>
          <w:color w:val="auto"/>
        </w:rPr>
        <w:t>Fair value is determined using third-party commercial pricing services, with the primary inputs being quoted prices in markets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not active, spreads for actively traded securities, spreads off benchmark yields, expected prepayment speeds and volumes, current and forecasted loss severity, ratings, geographic region, weighted average coupon and weighted average maturity, average delinquency rates and debt-service coverage ratios. Other issuance-specific information is also used, including, but not limited to, collateral type, structure of the security, vintage of the loans, payment terms of the underlying asset, payment priority within tranche, and deal performance.</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Equity Securities and Short-term Investments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fair value for actively traded equity securities and short-term investments are determined using quoted market prices and are classified as Level 1 assets. For financial instruments classified as Level 2 assets, fair values are determined using a market approach and are valued based on a variety of observable inputs as described below.</w:t>
      </w:r>
    </w:p>
    <w:p>
      <w:pPr>
        <w:spacing w:after="0" w:line="123" w:lineRule="exact"/>
        <w:rPr>
          <w:sz w:val="20"/>
          <w:szCs w:val="20"/>
          <w:color w:val="auto"/>
        </w:rPr>
      </w:pPr>
    </w:p>
    <w:p>
      <w:pPr>
        <w:jc w:val="both"/>
        <w:ind w:left="3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Equity securities and short-term investments: </w:t>
      </w:r>
      <w:r>
        <w:rPr>
          <w:rFonts w:ascii="Times New Roman" w:cs="Times New Roman" w:eastAsia="Times New Roman" w:hAnsi="Times New Roman"/>
          <w:sz w:val="18"/>
          <w:szCs w:val="18"/>
          <w:color w:val="auto"/>
        </w:rPr>
        <w:t>Fair value is determined using third-party commercial pricing services, with the primary input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quoted prices in markets that are not active.</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Derivatives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fair values for exchange-traded derivatives are determined using the quoted market prices and are classified as Level 1 assets or liabilities. For OTC-bilateral derivatives and OTC-cleared derivatives classified as Level 2 assets or liabilities, fair values are determined using the income approach. Valuations of non-option-based derivatives utilize present value techniques, whereas valuations of option-based derivatives utilize option pricing models which are based on market standard valuation methodologies and a variety of observable inputs.</w:t>
      </w:r>
    </w:p>
    <w:p>
      <w:pPr>
        <w:spacing w:after="0" w:line="74"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The significant inputs to the pricing models for most OTC-bilateral and OTC-cleared derivatives are inputs that are observable in the market or can be derived principally from, or corroborated by, observable market data. Certain OTC-bilateral and OTC-cleared derivatives may rely on inputs that are significant to the estimated fair value that are not observable in the market or cannot be derived principally from, or corroborated by, observable market data. These unobservable inputs may involve significant management judgment or estimation. Even though unobservable, these inputs are based on assumptions deemed appropriate given the circumstances and management believes they are consistent with what other market participants would use when pricing such instruments.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Most inputs for OTC-bilateral and OTC-cleared derivatives are mid-market inputs but, in certain cases, liquidity adjustments are made when they are deemed more representative of exit value. Market liquidity, as well as the use of different methodologies, assumptions and inputs, may have a material effect on the estimated fair values of the Company’s derivatives and could materially affect net income.</w:t>
      </w:r>
    </w:p>
    <w:p>
      <w:pPr>
        <w:spacing w:after="0" w:line="72"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credit risk of both the counterparty and the Company are considered in determining the estimated fair value for all OTC-bilateral and OTC-cleared derivatives, and any potential credit adjustment is based on the net exposure by counterparty after taking into account the effects of netting agreements and collateral arrangements. The Company values its OTC-bilateral and OTC-cleared derivatives using standard swap curves which may include a spread to the risk-free rate, depending upon specific collateral arrangements. This credit spread is appropriate for those parties that execute trades at pricing levels consistent with similar collateral arrangements. As the Company and its significant derivative counterparties generally execute trades at such pricing levels and hold sufficient collateral, additional credit risk adjustments are not currently required in the valuation process. The Company’s ability to consistently execute at such pricing levels is in part due to the netting agreements and collateral arrangements that are in place with all of its significant derivative counterparties. An evaluation of the requirement to make additional credit risk adjustments is performed by the Company each reporting period.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Market Risk Benefits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MRBs principally include guaranteed minimum benefits on variable annuity contracts including benefits reinsured related to these guarantees.</w:t>
      </w:r>
    </w:p>
    <w:p>
      <w:pPr>
        <w:spacing w:after="0" w:line="111"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The estimated fair value of variable annuity guarantees accounted for as MRBs is determined based on the present value of projected future benefits less the present value of projected future fees attributable to the guarantees. At policy inception, the Company determines an attributed fee ratio by solving for a percentage of projected future rider fees to be collected from the policyholder equal to the present value of projected future guaranteed benefits. To the extent the rider fees are insufficient, the Company may also include fees related to mortality and expense charges in the attributed fee ratio, provided the total fees included in the calculation do not exceed total contract fees and assessments collected from the contract holder. Any additional fees not included in the attributed fee ratio are considered revenue and reported in universal life and investment-type product policy fees. The attributed fee ratio is not updated in subsequent periods.</w:t>
      </w:r>
    </w:p>
    <w:p>
      <w:pPr>
        <w:spacing w:after="0" w:line="81"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Company updates the estimated fair value of variable annuity guarantees in subsequent periods by projecting future benefits using capital markets inputs and actuarial assumptions including expectations of policyholder behavior. A risk neutral valuation methodology is used to project the cash flows from the guarantees under multiple capital markets scenarios. The reported estimated fair value is then determined by taking the present value of these cash flows using a discount rate that incorporates a spread over the risk-free rate to reflect the Company’s nonperformance risk and adding a risk margin.</w:t>
      </w:r>
    </w:p>
    <w:p>
      <w:pPr>
        <w:spacing w:after="0" w:line="79"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valuation of MRBs includes an adjustment for the risk that the Company fails to satisfy its obligations, which is referred to as nonperformance risk. The nonperformance risk adjustment is captured as an additional spread applied to the risk-free rate in determining the rate to discount the cash flows of the liability. The spread over the risk-free rate is based on the Company’s creditworthiness taking into consideration publicly available information relating to spreads in the secondary market for Brighthouse Financial’s debt. These observable spreads are then adjusted, as necessary, to reflect the financial strength ratings of the issuing insurance subsidiaries as compared to the credit rating of Brighthouse Financial.</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Risk margins are established to capture the non-capital markets risks of the instrument which represent the additional compensation a market participant would require to assume the risks related to the uncertainties in certain actuarial assumptions. The establishment of risk margins requires the use of significant actuarial judgment, including assumptions of the amount needed to cover the guarantees.</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are reviewed at least annually, and if they change significantly, the estimated fair value is adjusted through net income. Capital market inputs used in the measurement of variable annuity guarantees are updated quarterly through net income, except for the change attributable to the Company’s nonperformance risk, which is reported in OCI.</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Embedded Derivatives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Embedded derivatives include crediting rates associated with index-linked annuity contracts. Embedded derivatives are recorded at estimated fair value with changes in estimated fair value reported in net income.</w:t>
      </w:r>
    </w:p>
    <w:p>
      <w:pPr>
        <w:spacing w:after="0" w:line="57"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The crediting rates associated with these features are embedded derivatives which are measured at estimated fair value separately from the host fixed annuity contract. These embedded derivatives are classified within policyholder account balances on the consolidated balance sheets.</w:t>
      </w:r>
    </w:p>
    <w:p>
      <w:pPr>
        <w:spacing w:after="0" w:line="57"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crediting rates associated with index-linked annuities is determined using a combination of an option pricing model and an option-budget approach. The valuation of these embedded derivatives also includes the establishment of a risk margin, as well as changes in nonperformance risk.</w:t>
      </w:r>
    </w:p>
    <w:p>
      <w:pPr>
        <w:spacing w:after="0" w:line="72"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Actuarial assumptions including policyholder behavior and expectations for renewals at the end of the term period are reviewed at least annually, and if they change significantly, the estimated fair value is adjusted through net income. Capital market inputs used in the measurement of crediting rate embedded derivatives are updated quarterly through net income.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Transfers Into or Out of Level 3:</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Assets and liabilities are transferred into Level 3 when a significant input cannot be corroborated with market observable data. This occurs when market activity decreases significantly and underlying inputs cannot be observed, current prices are not available, and/or when there are significant variances in quoted prices, thereby affecting transparency. Assets and liabilities are transferred out of Level 3 when circumstances change such that a significant input can be corroborated with market observable data. This may be due to a significant increase in market activity, a specific event, or one or more significant input(s) becoming observable.</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Assets and Liabilities Measured at Fair Value Using Significant Unobservable Inputs (Level 3)</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Certain quantitative information about the significant unobservable inputs used in the fair value measurement, and the sensitivity of the estimated fair value to changes in those inputs, for the more significant asset and liability classes measured at fair value on a recurring basis using significant unobservable inputs (Level 3) were as follows at:</w:t>
      </w:r>
    </w:p>
    <w:p>
      <w:pPr>
        <w:spacing w:after="0" w:line="200" w:lineRule="exact"/>
        <w:rPr>
          <w:sz w:val="20"/>
          <w:szCs w:val="20"/>
          <w:color w:val="auto"/>
        </w:rPr>
      </w:pPr>
    </w:p>
    <w:p>
      <w:pPr>
        <w:spacing w:after="0" w:line="241" w:lineRule="exact"/>
        <w:rPr>
          <w:sz w:val="20"/>
          <w:szCs w:val="20"/>
          <w:color w:val="auto"/>
        </w:rPr>
      </w:pPr>
    </w:p>
    <w:tbl>
      <w:tblPr>
        <w:tblLayout w:type="fixed"/>
        <w:tblInd w:w="2540" w:type="dxa"/>
        <w:tblCellMar>
          <w:top w:w="0" w:type="dxa"/>
          <w:left w:w="0" w:type="dxa"/>
          <w:bottom w:w="0" w:type="dxa"/>
          <w:right w:w="0" w:type="dxa"/>
        </w:tblCellMar>
      </w:tblPr>
      <w:tr>
        <w:trPr>
          <w:trHeight w:val="172"/>
        </w:trPr>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September 30, 2026</w:t>
            </w:r>
          </w:p>
        </w:tc>
        <w:tc>
          <w:tcPr>
            <w:tcW w:w="18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December 31, 2025</w:t>
            </w:r>
          </w:p>
        </w:tc>
        <w:tc>
          <w:tcPr>
            <w:tcW w:w="10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Impact of</w:t>
            </w:r>
          </w:p>
        </w:tc>
        <w:tc>
          <w:tcPr>
            <w:tcW w:w="0" w:type="dxa"/>
            <w:vAlign w:val="bottom"/>
          </w:tcPr>
          <w:p>
            <w:pPr>
              <w:spacing w:after="0"/>
              <w:rPr>
                <w:sz w:val="1"/>
                <w:szCs w:val="1"/>
                <w:color w:val="auto"/>
              </w:rPr>
            </w:pPr>
          </w:p>
        </w:tc>
      </w:tr>
      <w:tr>
        <w:trPr>
          <w:trHeight w:val="93"/>
        </w:trPr>
        <w:tc>
          <w:tcPr>
            <w:tcW w:w="1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7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2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Increase in Input on</w:t>
            </w:r>
          </w:p>
        </w:tc>
        <w:tc>
          <w:tcPr>
            <w:tcW w:w="0" w:type="dxa"/>
            <w:vAlign w:val="bottom"/>
          </w:tcPr>
          <w:p>
            <w:pPr>
              <w:spacing w:after="0"/>
              <w:rPr>
                <w:sz w:val="1"/>
                <w:szCs w:val="1"/>
                <w:color w:val="auto"/>
              </w:rPr>
            </w:pPr>
          </w:p>
        </w:tc>
      </w:tr>
      <w:tr>
        <w:trPr>
          <w:trHeight w:val="172"/>
        </w:trPr>
        <w:tc>
          <w:tcPr>
            <w:tcW w:w="14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2"/>
                <w:szCs w:val="12"/>
                <w:b w:val="1"/>
                <w:bCs w:val="1"/>
                <w:color w:val="auto"/>
              </w:rPr>
              <w:t>Valuation Techniques</w:t>
            </w:r>
          </w:p>
        </w:tc>
        <w:tc>
          <w:tcPr>
            <w:tcW w:w="100" w:type="dxa"/>
            <w:vAlign w:val="bottom"/>
          </w:tcPr>
          <w:p>
            <w:pPr>
              <w:spacing w:after="0"/>
              <w:rPr>
                <w:sz w:val="14"/>
                <w:szCs w:val="14"/>
                <w:color w:val="auto"/>
              </w:rPr>
            </w:pPr>
          </w:p>
        </w:tc>
        <w:tc>
          <w:tcPr>
            <w:tcW w:w="1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Significant Unobservable Inputs</w:t>
            </w:r>
          </w:p>
        </w:tc>
        <w:tc>
          <w:tcPr>
            <w:tcW w:w="120" w:type="dxa"/>
            <w:vAlign w:val="bottom"/>
          </w:tcPr>
          <w:p>
            <w:pPr>
              <w:spacing w:after="0"/>
              <w:rPr>
                <w:sz w:val="14"/>
                <w:szCs w:val="1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100" w:type="dxa"/>
            <w:vAlign w:val="bottom"/>
          </w:tcPr>
          <w:p>
            <w:pPr>
              <w:spacing w:after="0"/>
              <w:rPr>
                <w:sz w:val="14"/>
                <w:szCs w:val="14"/>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Range</w:t>
            </w:r>
          </w:p>
        </w:tc>
        <w:tc>
          <w:tcPr>
            <w:tcW w:w="100" w:type="dxa"/>
            <w:vAlign w:val="bottom"/>
          </w:tcPr>
          <w:p>
            <w:pPr>
              <w:spacing w:after="0"/>
              <w:rPr>
                <w:sz w:val="14"/>
                <w:szCs w:val="14"/>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Estimated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-7620</wp:posOffset>
            </wp:positionV>
            <wp:extent cx="7134860" cy="269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Market Risk Benefits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500" w:type="dxa"/>
            <w:vAlign w:val="bottom"/>
          </w:tcPr>
          <w:p>
            <w:pPr>
              <w:spacing w:after="0"/>
              <w:rPr>
                <w:sz w:val="13"/>
                <w:szCs w:val="13"/>
                <w:color w:val="auto"/>
              </w:rPr>
            </w:pPr>
          </w:p>
        </w:tc>
        <w:tc>
          <w:tcPr>
            <w:tcW w:w="15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tcPr>
          <w:p>
            <w:pPr>
              <w:spacing w:after="0"/>
              <w:rPr>
                <w:sz w:val="13"/>
                <w:szCs w:val="13"/>
                <w:color w:val="auto"/>
              </w:rPr>
            </w:pPr>
          </w:p>
        </w:tc>
      </w:tr>
      <w:tr>
        <w:trPr>
          <w:trHeight w:val="221"/>
        </w:trPr>
        <w:tc>
          <w:tcPr>
            <w:tcW w:w="25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Variable annuity guaranteed minimum benefits</w:t>
            </w:r>
          </w:p>
        </w:tc>
        <w:tc>
          <w:tcPr>
            <w:tcW w:w="150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Discounted cash flows</w:t>
            </w:r>
          </w:p>
        </w:tc>
        <w:tc>
          <w:tcPr>
            <w:tcW w:w="2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7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0.04%</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12.90%</w:t>
            </w:r>
          </w:p>
        </w:tc>
        <w:tc>
          <w:tcPr>
            <w:tcW w:w="7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0.04%</w:t>
            </w:r>
          </w:p>
        </w:tc>
        <w:tc>
          <w:tcPr>
            <w:tcW w:w="3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rPr>
              <w:t>12.90%</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(1)</w:t>
            </w:r>
          </w:p>
        </w:tc>
      </w:tr>
      <w:tr>
        <w:trPr>
          <w:trHeight w:val="177"/>
        </w:trPr>
        <w:tc>
          <w:tcPr>
            <w:tcW w:w="2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74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1.00%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2"/>
                <w:szCs w:val="12"/>
                <w:color w:val="auto"/>
              </w:rPr>
              <w:t>16.71%</w:t>
            </w:r>
          </w:p>
        </w:tc>
        <w:tc>
          <w:tcPr>
            <w:tcW w:w="78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1.00%</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center"/>
              <w:ind w:right="138"/>
              <w:spacing w:after="0"/>
              <w:rPr>
                <w:sz w:val="20"/>
                <w:szCs w:val="20"/>
                <w:color w:val="auto"/>
              </w:rPr>
            </w:pPr>
            <w:r>
              <w:rPr>
                <w:rFonts w:ascii="Times New Roman" w:cs="Times New Roman" w:eastAsia="Times New Roman" w:hAnsi="Times New Roman"/>
                <w:sz w:val="12"/>
                <w:szCs w:val="12"/>
                <w:color w:val="auto"/>
              </w:rPr>
              <w:t>15.90%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(2)</w:t>
            </w:r>
          </w:p>
        </w:tc>
      </w:tr>
      <w:tr>
        <w:trPr>
          <w:trHeight w:val="168"/>
        </w:trPr>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Utilization rates</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0"/>
        </w:trPr>
        <w:tc>
          <w:tcPr>
            <w:tcW w:w="2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7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rPr>
              <w:t>0.80%</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25.00%</w:t>
            </w:r>
          </w:p>
        </w:tc>
        <w:tc>
          <w:tcPr>
            <w:tcW w:w="780" w:type="dxa"/>
            <w:vAlign w:val="bottom"/>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3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rPr>
              <w:t>25.00%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(3)</w:t>
            </w:r>
          </w:p>
        </w:tc>
      </w:tr>
      <w:tr>
        <w:trPr>
          <w:trHeight w:val="177"/>
        </w:trPr>
        <w:tc>
          <w:tcPr>
            <w:tcW w:w="2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0.00%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2"/>
                <w:szCs w:val="12"/>
                <w:color w:val="auto"/>
              </w:rPr>
              <w:t>10.00%</w:t>
            </w:r>
          </w:p>
        </w:tc>
        <w:tc>
          <w:tcPr>
            <w:tcW w:w="78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0.00%</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center"/>
              <w:ind w:right="138"/>
              <w:spacing w:after="0"/>
              <w:rPr>
                <w:sz w:val="20"/>
                <w:szCs w:val="20"/>
                <w:color w:val="auto"/>
              </w:rPr>
            </w:pPr>
            <w:r>
              <w:rPr>
                <w:rFonts w:ascii="Times New Roman" w:cs="Times New Roman" w:eastAsia="Times New Roman" w:hAnsi="Times New Roman"/>
                <w:sz w:val="12"/>
                <w:szCs w:val="12"/>
                <w:color w:val="auto"/>
              </w:rPr>
              <w:t>10.00%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w:t>
            </w:r>
          </w:p>
        </w:tc>
      </w:tr>
      <w:tr>
        <w:trPr>
          <w:trHeight w:val="168"/>
        </w:trPr>
        <w:tc>
          <w:tcPr>
            <w:tcW w:w="25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1"/>
        </w:trPr>
        <w:tc>
          <w:tcPr>
            <w:tcW w:w="25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Long-term equity volatilities</w:t>
            </w:r>
          </w:p>
        </w:tc>
        <w:tc>
          <w:tcPr>
            <w:tcW w:w="740" w:type="dxa"/>
            <w:vAlign w:val="bottom"/>
          </w:tcPr>
          <w:p>
            <w:pPr>
              <w:jc w:val="center"/>
              <w:ind w:left="38"/>
              <w:spacing w:after="0"/>
              <w:rPr>
                <w:sz w:val="20"/>
                <w:szCs w:val="20"/>
                <w:color w:val="auto"/>
              </w:rPr>
            </w:pPr>
            <w:r>
              <w:rPr>
                <w:rFonts w:ascii="Times New Roman" w:cs="Times New Roman" w:eastAsia="Times New Roman" w:hAnsi="Times New Roman"/>
                <w:sz w:val="12"/>
                <w:szCs w:val="12"/>
                <w:color w:val="auto"/>
                <w:w w:val="97"/>
              </w:rPr>
              <w:t>11.33%</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jc w:val="center"/>
              <w:ind w:right="58"/>
              <w:spacing w:after="0"/>
              <w:rPr>
                <w:sz w:val="20"/>
                <w:szCs w:val="20"/>
                <w:color w:val="auto"/>
              </w:rPr>
            </w:pPr>
            <w:r>
              <w:rPr>
                <w:rFonts w:ascii="Times New Roman" w:cs="Times New Roman" w:eastAsia="Times New Roman" w:hAnsi="Times New Roman"/>
                <w:sz w:val="12"/>
                <w:szCs w:val="12"/>
                <w:color w:val="auto"/>
              </w:rPr>
              <w:t>34.43%</w:t>
            </w:r>
          </w:p>
        </w:tc>
        <w:tc>
          <w:tcPr>
            <w:tcW w:w="780" w:type="dxa"/>
            <w:vAlign w:val="bottom"/>
          </w:tcPr>
          <w:p>
            <w:pPr>
              <w:jc w:val="center"/>
              <w:ind w:left="58"/>
              <w:spacing w:after="0"/>
              <w:rPr>
                <w:sz w:val="20"/>
                <w:szCs w:val="20"/>
                <w:color w:val="auto"/>
              </w:rPr>
            </w:pPr>
            <w:r>
              <w:rPr>
                <w:rFonts w:ascii="Times New Roman" w:cs="Times New Roman" w:eastAsia="Times New Roman" w:hAnsi="Times New Roman"/>
                <w:sz w:val="12"/>
                <w:szCs w:val="12"/>
                <w:color w:val="auto"/>
              </w:rPr>
              <w:t>11.56%</w:t>
            </w:r>
          </w:p>
        </w:tc>
        <w:tc>
          <w:tcPr>
            <w:tcW w:w="32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rPr>
              <w:t>33.62%</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Increase (5)</w:t>
            </w:r>
          </w:p>
        </w:tc>
      </w:tr>
      <w:tr>
        <w:trPr>
          <w:trHeight w:val="177"/>
        </w:trPr>
        <w:tc>
          <w:tcPr>
            <w:tcW w:w="250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25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38"/>
              <w:spacing w:after="0"/>
              <w:rPr>
                <w:sz w:val="20"/>
                <w:szCs w:val="20"/>
                <w:color w:val="auto"/>
              </w:rPr>
            </w:pPr>
            <w:r>
              <w:rPr>
                <w:rFonts w:ascii="Times New Roman" w:cs="Times New Roman" w:eastAsia="Times New Roman" w:hAnsi="Times New Roman"/>
                <w:sz w:val="12"/>
                <w:szCs w:val="12"/>
                <w:color w:val="auto"/>
              </w:rPr>
              <w:t>0.43%</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jc w:val="center"/>
              <w:ind w:right="58"/>
              <w:spacing w:after="0"/>
              <w:rPr>
                <w:sz w:val="20"/>
                <w:szCs w:val="20"/>
                <w:color w:val="auto"/>
              </w:rPr>
            </w:pPr>
            <w:r>
              <w:rPr>
                <w:rFonts w:ascii="Times New Roman" w:cs="Times New Roman" w:eastAsia="Times New Roman" w:hAnsi="Times New Roman"/>
                <w:sz w:val="12"/>
                <w:szCs w:val="12"/>
                <w:color w:val="auto"/>
              </w:rPr>
              <w:t>1.63%</w:t>
            </w:r>
          </w:p>
        </w:tc>
        <w:tc>
          <w:tcPr>
            <w:tcW w:w="780" w:type="dxa"/>
            <w:vAlign w:val="bottom"/>
            <w:shd w:val="clear" w:color="auto" w:fill="CCEEFF"/>
          </w:tcPr>
          <w:p>
            <w:pPr>
              <w:jc w:val="center"/>
              <w:ind w:left="78"/>
              <w:spacing w:after="0"/>
              <w:rPr>
                <w:sz w:val="20"/>
                <w:szCs w:val="20"/>
                <w:color w:val="auto"/>
              </w:rPr>
            </w:pPr>
            <w:r>
              <w:rPr>
                <w:rFonts w:ascii="Times New Roman" w:cs="Times New Roman" w:eastAsia="Times New Roman" w:hAnsi="Times New Roman"/>
                <w:sz w:val="12"/>
                <w:szCs w:val="12"/>
                <w:color w:val="auto"/>
              </w:rPr>
              <w:t>0.45%</w:t>
            </w:r>
          </w:p>
        </w:tc>
        <w:tc>
          <w:tcPr>
            <w:tcW w:w="32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center"/>
              <w:ind w:right="158"/>
              <w:spacing w:after="0"/>
              <w:rPr>
                <w:sz w:val="20"/>
                <w:szCs w:val="20"/>
                <w:color w:val="auto"/>
              </w:rPr>
            </w:pPr>
            <w:r>
              <w:rPr>
                <w:rFonts w:ascii="Times New Roman" w:cs="Times New Roman" w:eastAsia="Times New Roman" w:hAnsi="Times New Roman"/>
                <w:sz w:val="12"/>
                <w:szCs w:val="12"/>
                <w:color w:val="auto"/>
              </w:rPr>
              <w:t>1.02%</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(6)</w:t>
            </w:r>
          </w:p>
        </w:tc>
      </w:tr>
    </w:tbl>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Embedded Derivatives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660" w:type="dxa"/>
            <w:vAlign w:val="bottom"/>
            <w:shd w:val="clear" w:color="auto" w:fill="CCEEFF"/>
          </w:tcPr>
          <w:p>
            <w:pPr>
              <w:ind w:left="2560"/>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Option pricing</w:t>
            </w:r>
          </w:p>
        </w:tc>
        <w:tc>
          <w:tcPr>
            <w:tcW w:w="4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185"/>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Registered index-linked annuity crediting rates</w:t>
            </w:r>
          </w:p>
        </w:tc>
        <w:tc>
          <w:tcPr>
            <w:tcW w:w="1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techniques</w:t>
            </w: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Mortality rates</w:t>
            </w: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0.03%</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7.86%</w:t>
            </w: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0.03%</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center"/>
              <w:ind w:right="158"/>
              <w:spacing w:after="0"/>
              <w:rPr>
                <w:sz w:val="20"/>
                <w:szCs w:val="20"/>
                <w:color w:val="auto"/>
              </w:rPr>
            </w:pPr>
            <w:r>
              <w:rPr>
                <w:rFonts w:ascii="Times New Roman" w:cs="Times New Roman" w:eastAsia="Times New Roman" w:hAnsi="Times New Roman"/>
                <w:sz w:val="12"/>
                <w:szCs w:val="12"/>
                <w:color w:val="auto"/>
              </w:rPr>
              <w:t>7.86%</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Decrease (1)</w:t>
            </w:r>
          </w:p>
        </w:tc>
      </w:tr>
      <w:tr>
        <w:trPr>
          <w:trHeight w:val="168"/>
        </w:trPr>
        <w:tc>
          <w:tcPr>
            <w:tcW w:w="2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21"/>
        </w:trPr>
        <w:tc>
          <w:tcPr>
            <w:tcW w:w="2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Lapse rates</w:t>
            </w: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0.40%</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75.00%</w:t>
            </w: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0.40%</w:t>
            </w:r>
          </w:p>
        </w:tc>
        <w:tc>
          <w:tcPr>
            <w:tcW w:w="3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center"/>
              <w:ind w:right="138"/>
              <w:spacing w:after="0"/>
              <w:rPr>
                <w:sz w:val="20"/>
                <w:szCs w:val="20"/>
                <w:color w:val="auto"/>
              </w:rPr>
            </w:pPr>
            <w:r>
              <w:rPr>
                <w:rFonts w:ascii="Times New Roman" w:cs="Times New Roman" w:eastAsia="Times New Roman" w:hAnsi="Times New Roman"/>
                <w:sz w:val="12"/>
                <w:szCs w:val="12"/>
                <w:color w:val="auto"/>
              </w:rPr>
              <w:t>75.00%</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(2)</w:t>
            </w:r>
          </w:p>
        </w:tc>
      </w:tr>
      <w:tr>
        <w:trPr>
          <w:trHeight w:val="177"/>
        </w:trPr>
        <w:tc>
          <w:tcPr>
            <w:tcW w:w="26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Withdrawal rates</w:t>
            </w:r>
          </w:p>
        </w:tc>
        <w:tc>
          <w:tcPr>
            <w:tcW w:w="7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229"/>
        </w:trPr>
        <w:tc>
          <w:tcPr>
            <w:tcW w:w="26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98"/>
              <w:spacing w:after="0"/>
              <w:rPr>
                <w:sz w:val="20"/>
                <w:szCs w:val="20"/>
                <w:color w:val="auto"/>
              </w:rPr>
            </w:pPr>
            <w:r>
              <w:rPr>
                <w:rFonts w:ascii="Times New Roman" w:cs="Times New Roman" w:eastAsia="Times New Roman" w:hAnsi="Times New Roman"/>
                <w:sz w:val="12"/>
                <w:szCs w:val="12"/>
                <w:color w:val="auto"/>
              </w:rPr>
              <w:t>0.50%</w:t>
            </w:r>
          </w:p>
        </w:tc>
        <w:tc>
          <w:tcPr>
            <w:tcW w:w="320" w:type="dxa"/>
            <w:vAlign w:val="bottom"/>
            <w:shd w:val="clear" w:color="auto" w:fill="CCEEFF"/>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shd w:val="clear" w:color="auto" w:fill="CCEEFF"/>
          </w:tcPr>
          <w:p>
            <w:pPr>
              <w:jc w:val="center"/>
              <w:ind w:right="78"/>
              <w:spacing w:after="0"/>
              <w:rPr>
                <w:sz w:val="20"/>
                <w:szCs w:val="20"/>
                <w:color w:val="auto"/>
              </w:rPr>
            </w:pPr>
            <w:r>
              <w:rPr>
                <w:rFonts w:ascii="Times New Roman" w:cs="Times New Roman" w:eastAsia="Times New Roman" w:hAnsi="Times New Roman"/>
                <w:sz w:val="12"/>
                <w:szCs w:val="12"/>
                <w:color w:val="auto"/>
              </w:rPr>
              <w:t>17.80%</w:t>
            </w:r>
          </w:p>
        </w:tc>
        <w:tc>
          <w:tcPr>
            <w:tcW w:w="7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0.50%</w:t>
            </w:r>
          </w:p>
        </w:tc>
        <w:tc>
          <w:tcPr>
            <w:tcW w:w="34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shd w:val="clear" w:color="auto" w:fill="CCEEFF"/>
          </w:tcPr>
          <w:p>
            <w:pPr>
              <w:jc w:val="center"/>
              <w:ind w:right="138"/>
              <w:spacing w:after="0"/>
              <w:rPr>
                <w:sz w:val="20"/>
                <w:szCs w:val="20"/>
                <w:color w:val="auto"/>
              </w:rPr>
            </w:pPr>
            <w:r>
              <w:rPr>
                <w:rFonts w:ascii="Times New Roman" w:cs="Times New Roman" w:eastAsia="Times New Roman" w:hAnsi="Times New Roman"/>
                <w:sz w:val="12"/>
                <w:szCs w:val="12"/>
                <w:color w:val="auto"/>
              </w:rPr>
              <w:t>14.90%</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rPr>
              <w:t>(4)</w:t>
            </w:r>
          </w:p>
        </w:tc>
      </w:tr>
      <w:tr>
        <w:trPr>
          <w:trHeight w:val="168"/>
        </w:trPr>
        <w:tc>
          <w:tcPr>
            <w:tcW w:w="2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ind w:left="340"/>
              <w:spacing w:after="0"/>
              <w:rPr>
                <w:sz w:val="20"/>
                <w:szCs w:val="20"/>
                <w:color w:val="auto"/>
              </w:rPr>
            </w:pPr>
            <w:r>
              <w:rPr>
                <w:rFonts w:ascii="Times New Roman" w:cs="Times New Roman" w:eastAsia="Times New Roman" w:hAnsi="Times New Roman"/>
                <w:sz w:val="12"/>
                <w:szCs w:val="12"/>
                <w:color w:val="auto"/>
              </w:rPr>
              <w:t>•</w:t>
            </w:r>
          </w:p>
        </w:tc>
        <w:tc>
          <w:tcPr>
            <w:tcW w:w="1720" w:type="dxa"/>
            <w:vAlign w:val="bottom"/>
          </w:tcPr>
          <w:p>
            <w:pPr>
              <w:ind w:left="60"/>
              <w:spacing w:after="0"/>
              <w:rPr>
                <w:sz w:val="20"/>
                <w:szCs w:val="20"/>
                <w:color w:val="auto"/>
              </w:rPr>
            </w:pPr>
            <w:r>
              <w:rPr>
                <w:rFonts w:ascii="Times New Roman" w:cs="Times New Roman" w:eastAsia="Times New Roman" w:hAnsi="Times New Roman"/>
                <w:sz w:val="12"/>
                <w:szCs w:val="12"/>
                <w:color w:val="auto"/>
              </w:rPr>
              <w:t>Nonperformance risk spread</w:t>
            </w: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212"/>
        </w:trPr>
        <w:tc>
          <w:tcPr>
            <w:tcW w:w="2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740" w:type="dxa"/>
            <w:vAlign w:val="bottom"/>
          </w:tcPr>
          <w:p>
            <w:pPr>
              <w:jc w:val="right"/>
              <w:ind w:right="98"/>
              <w:spacing w:after="0"/>
              <w:rPr>
                <w:sz w:val="20"/>
                <w:szCs w:val="20"/>
                <w:color w:val="auto"/>
              </w:rPr>
            </w:pPr>
            <w:r>
              <w:rPr>
                <w:rFonts w:ascii="Times New Roman" w:cs="Times New Roman" w:eastAsia="Times New Roman" w:hAnsi="Times New Roman"/>
                <w:sz w:val="12"/>
                <w:szCs w:val="12"/>
                <w:color w:val="auto"/>
              </w:rPr>
              <w:t>0.27%</w:t>
            </w:r>
          </w:p>
        </w:tc>
        <w:tc>
          <w:tcPr>
            <w:tcW w:w="320" w:type="dxa"/>
            <w:vAlign w:val="bottom"/>
          </w:tcPr>
          <w:p>
            <w:pPr>
              <w:jc w:val="right"/>
              <w:ind w:right="58"/>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center"/>
              <w:ind w:right="78"/>
              <w:spacing w:after="0"/>
              <w:rPr>
                <w:sz w:val="20"/>
                <w:szCs w:val="20"/>
                <w:color w:val="auto"/>
              </w:rPr>
            </w:pPr>
            <w:r>
              <w:rPr>
                <w:rFonts w:ascii="Times New Roman" w:cs="Times New Roman" w:eastAsia="Times New Roman" w:hAnsi="Times New Roman"/>
                <w:sz w:val="12"/>
                <w:szCs w:val="12"/>
                <w:color w:val="auto"/>
              </w:rPr>
              <w:t>1.80%</w:t>
            </w:r>
          </w:p>
        </w:tc>
        <w:tc>
          <w:tcPr>
            <w:tcW w:w="7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0.37%</w:t>
            </w:r>
          </w:p>
        </w:tc>
        <w:tc>
          <w:tcPr>
            <w:tcW w:w="340" w:type="dxa"/>
            <w:vAlign w:val="bottom"/>
          </w:tcPr>
          <w:p>
            <w:pPr>
              <w:jc w:val="right"/>
              <w:ind w:right="78"/>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Pr>
          <w:p>
            <w:pPr>
              <w:jc w:val="center"/>
              <w:ind w:right="158"/>
              <w:spacing w:after="0"/>
              <w:rPr>
                <w:sz w:val="20"/>
                <w:szCs w:val="20"/>
                <w:color w:val="auto"/>
              </w:rPr>
            </w:pPr>
            <w:r>
              <w:rPr>
                <w:rFonts w:ascii="Times New Roman" w:cs="Times New Roman" w:eastAsia="Times New Roman" w:hAnsi="Times New Roman"/>
                <w:sz w:val="12"/>
                <w:szCs w:val="12"/>
                <w:color w:val="auto"/>
              </w:rPr>
              <w:t>1.80%</w:t>
            </w:r>
          </w:p>
        </w:tc>
        <w:tc>
          <w:tcPr>
            <w:tcW w:w="1400" w:type="dxa"/>
            <w:vAlign w:val="bottom"/>
          </w:tcPr>
          <w:p>
            <w:pPr>
              <w:jc w:val="center"/>
              <w:spacing w:after="0"/>
              <w:rPr>
                <w:sz w:val="20"/>
                <w:szCs w:val="20"/>
                <w:color w:val="auto"/>
              </w:rPr>
            </w:pPr>
            <w:r>
              <w:rPr>
                <w:rFonts w:ascii="Times New Roman" w:cs="Times New Roman" w:eastAsia="Times New Roman" w:hAnsi="Times New Roman"/>
                <w:sz w:val="12"/>
                <w:szCs w:val="12"/>
                <w:color w:val="auto"/>
              </w:rPr>
              <w:t>Decrease (6)</w:t>
            </w:r>
          </w:p>
        </w:tc>
      </w:tr>
    </w:tbl>
    <w:p>
      <w:pPr>
        <w:spacing w:after="0" w:line="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line="274"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Mortality rates vary by age and by demographic characteristics such as gender. The range shown reflects the mortality rate for policyholders between 35 and 90 years old. Mortality rate assumptions are set based on company experience and include an assumption for mortality improvement.</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2"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rate range reflects base lapse rates for major product categories for duration 1-20. Base lapse rates are adjusted at the contract level based on a comparison of the actuarially calculated guaranteed values and the current policyholder account value, as well as other factors, such as the applicability of any surrender charges. For variable annuity guarantees, a dynamic lapse function reduces the base lapse rate when the guaranteed amount is greater than the account value as in-the-money contracts are less likely to lapse. Lapse rates are also generally assumed to be lower in periods when a surrender charge applies.</w:t>
      </w:r>
    </w:p>
    <w:p>
      <w:pPr>
        <w:spacing w:after="0" w:line="79" w:lineRule="exact"/>
        <w:rPr>
          <w:rFonts w:ascii="Times New Roman" w:cs="Times New Roman" w:eastAsia="Times New Roman" w:hAnsi="Times New Roman"/>
          <w:sz w:val="18"/>
          <w:szCs w:val="18"/>
          <w:color w:val="auto"/>
        </w:rPr>
      </w:pPr>
    </w:p>
    <w:p>
      <w:pPr>
        <w:jc w:val="both"/>
        <w:ind w:left="320" w:hanging="314"/>
        <w:spacing w:after="0" w:line="251" w:lineRule="auto"/>
        <w:tabs>
          <w:tab w:leader="none" w:pos="31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utilization rate assumption for variable annuity guarantees estimates the percentage of contract holders with a guaranteed minimum income benefit (“GMIB”) or lifetime withdrawal benefit who will elect to utilize the benefit upon becoming eligible in a given year. The range shown represents the floor and cap of the GMIB dynamic election rates across varying levels of in-the-money. For lifetime withdrawal guarantee riders, the assumption is that everyone will begin withdrawals once account value reaches zero which is equivalent to a 100% utilization rate. Utilization rates may vary by the type of guarantee, the amount by which the guaranteed amount is greater than the account value, the contract’s withdrawal history and by the age of the policyholder.</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jc w:val="both"/>
        <w:ind w:left="320" w:hanging="314"/>
        <w:spacing w:after="0" w:line="251"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rate represents the percentage of account balance that any given policyholder will elect to withdraw from the contract each year. The withdrawal rate assumption varies by age and duration of the contract, and also by other factors such as benefit type. For any given contract, withdrawal rates vary throughout the period over which cash flows are projected for purposes of valuing the embedded derivative. For variable annuity guaranteed minimum withdrawal benefits, any increase (decrease) in withdrawal rates results in an increase (decrease) in the estimated fair value of the guarantees. For variable annuity guaranteed minimum accumulation benefits and GMIBs, any increase (decrease) in withdrawal rates results in a decrease (increase) in the estimated fair value.</w:t>
      </w:r>
    </w:p>
    <w:p>
      <w:pPr>
        <w:spacing w:after="0" w:line="79"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 volatilities represent equity volatility beyond the period for which observable equity volatilities are available. For any given contract, long-term equity volatility rates vary throughout the period over which cash flows are projected for purposes of valuing MRBs.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risk spread varies by duration. For any given contract, multiple nonperformance risk spreads will apply, depending on the duration of the cash flow being discounted for purposes of valuing the MRB or embedded derivative.</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7"/>
          <w:szCs w:val="17"/>
          <w:color w:val="auto"/>
        </w:rPr>
        <w:t>The Company does not develop unobservable inputs used in measuring fair value for all other assets and liabilities classified within Level 3; therefore, these are not included in the table above. The other Level 3 assets and liabilities primarily included fixed maturity securities and derivatives. For fixed maturity securities valued based on non-binding broker quotes, an increase (decrease) in credit spreads would result in a (lower) higher fair value. For derivatives valued based on third-party pricing models, an increase (decrease) in credit spreads would generally result in a (lower) higher fair value.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changes in assets and (liabilities) measured at estimated fair value on a recurring basis using significant unobservable inputs (excluding MRBs disclosed in Note 4) were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100" w:type="dxa"/>
            <w:vAlign w:val="bottom"/>
            <w:tcBorders>
              <w:bottom w:val="single" w:sz="8" w:color="auto"/>
            </w:tcBorders>
            <w:gridSpan w:val="11"/>
          </w:tcPr>
          <w:p>
            <w:pPr>
              <w:jc w:val="center"/>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Embedded</w:t>
            </w: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Structured</w:t>
            </w:r>
          </w:p>
        </w:tc>
        <w:tc>
          <w:tcPr>
            <w:tcW w:w="140" w:type="dxa"/>
            <w:vAlign w:val="bottom"/>
          </w:tcPr>
          <w:p>
            <w:pPr>
              <w:spacing w:after="0"/>
              <w:rPr>
                <w:sz w:val="10"/>
                <w:szCs w:val="10"/>
                <w:color w:val="auto"/>
              </w:rPr>
            </w:pPr>
          </w:p>
        </w:tc>
        <w:tc>
          <w:tcPr>
            <w:tcW w:w="9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160" w:type="dxa"/>
            <w:vAlign w:val="bottom"/>
          </w:tcPr>
          <w:p>
            <w:pPr>
              <w:spacing w:after="0"/>
              <w:rPr>
                <w:sz w:val="10"/>
                <w:szCs w:val="10"/>
                <w:color w:val="auto"/>
              </w:rPr>
            </w:pPr>
          </w:p>
        </w:tc>
        <w:tc>
          <w:tcPr>
            <w:tcW w:w="8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w w:val="99"/>
              </w:rPr>
              <w:t>Trading</w:t>
            </w:r>
          </w:p>
        </w:tc>
        <w:tc>
          <w:tcPr>
            <w:tcW w:w="14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0" w:type="dxa"/>
            <w:vAlign w:val="bottom"/>
          </w:tcPr>
          <w:p>
            <w:pPr>
              <w:spacing w:after="0"/>
              <w:rPr>
                <w:sz w:val="10"/>
                <w:szCs w:val="10"/>
                <w:color w:val="auto"/>
              </w:rPr>
            </w:pPr>
          </w:p>
        </w:tc>
        <w:tc>
          <w:tcPr>
            <w:tcW w:w="1000" w:type="dxa"/>
            <w:vAlign w:val="bottom"/>
          </w:tcPr>
          <w:p>
            <w:pPr>
              <w:jc w:val="center"/>
              <w:ind w:right="58"/>
              <w:spacing w:after="0" w:line="126" w:lineRule="exact"/>
              <w:rPr>
                <w:sz w:val="20"/>
                <w:szCs w:val="20"/>
                <w:color w:val="auto"/>
              </w:rPr>
            </w:pPr>
            <w:r>
              <w:rPr>
                <w:rFonts w:ascii="Times New Roman" w:cs="Times New Roman" w:eastAsia="Times New Roman" w:hAnsi="Times New Roman"/>
                <w:sz w:val="12"/>
                <w:szCs w:val="12"/>
                <w:b w:val="1"/>
                <w:bCs w:val="1"/>
                <w:color w:val="auto"/>
              </w:rPr>
              <w:t>Derivatives on</w:t>
            </w:r>
          </w:p>
        </w:tc>
        <w:tc>
          <w:tcPr>
            <w:tcW w:w="0" w:type="dxa"/>
            <w:vAlign w:val="bottom"/>
          </w:tcPr>
          <w:p>
            <w:pPr>
              <w:spacing w:after="0"/>
              <w:rPr>
                <w:sz w:val="1"/>
                <w:szCs w:val="1"/>
                <w:color w:val="auto"/>
              </w:rPr>
            </w:pPr>
          </w:p>
        </w:tc>
      </w:tr>
      <w:tr>
        <w:trPr>
          <w:trHeight w:val="126"/>
        </w:trPr>
        <w:tc>
          <w:tcPr>
            <w:tcW w:w="2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8"/>
              <w:spacing w:after="0" w:line="126" w:lineRule="exact"/>
              <w:rPr>
                <w:sz w:val="20"/>
                <w:szCs w:val="20"/>
                <w:color w:val="auto"/>
              </w:rPr>
            </w:pPr>
            <w:r>
              <w:rPr>
                <w:rFonts w:ascii="Times New Roman" w:cs="Times New Roman" w:eastAsia="Times New Roman" w:hAnsi="Times New Roman"/>
                <w:sz w:val="12"/>
                <w:szCs w:val="12"/>
                <w:b w:val="1"/>
                <w:bCs w:val="1"/>
                <w:color w:val="auto"/>
              </w:rPr>
              <w:t>Index-Linked</w:t>
            </w:r>
          </w:p>
        </w:tc>
        <w:tc>
          <w:tcPr>
            <w:tcW w:w="0" w:type="dxa"/>
            <w:vAlign w:val="bottom"/>
          </w:tcPr>
          <w:p>
            <w:pPr>
              <w:spacing w:after="0"/>
              <w:rPr>
                <w:sz w:val="1"/>
                <w:szCs w:val="1"/>
                <w:color w:val="auto"/>
              </w:rPr>
            </w:pPr>
          </w:p>
        </w:tc>
      </w:tr>
      <w:tr>
        <w:trPr>
          <w:trHeight w:val="167"/>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920" w:type="dxa"/>
            <w:vAlign w:val="bottom"/>
            <w:gridSpan w:val="5"/>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899</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272</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5"/>
                <w:szCs w:val="15"/>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(12,943)</w:t>
            </w: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(462)</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860" w:type="dxa"/>
            <w:vAlign w:val="bottom"/>
          </w:tcPr>
          <w:p>
            <w:pPr>
              <w:ind w:left="700"/>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5"/>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(12,235)</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24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(11,566)</w:t>
            </w:r>
          </w:p>
        </w:tc>
        <w:tc>
          <w:tcPr>
            <w:tcW w:w="0" w:type="dxa"/>
            <w:vAlign w:val="bottom"/>
          </w:tcPr>
          <w:p>
            <w:pPr>
              <w:spacing w:after="0"/>
              <w:rPr>
                <w:sz w:val="1"/>
                <w:szCs w:val="1"/>
                <w:color w:val="auto"/>
              </w:rPr>
            </w:pPr>
          </w:p>
        </w:tc>
      </w:tr>
      <w:tr>
        <w:trPr>
          <w:trHeight w:val="133"/>
        </w:trPr>
        <w:tc>
          <w:tcPr>
            <w:tcW w:w="248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(1,756)</w:t>
            </w:r>
          </w:p>
        </w:tc>
        <w:tc>
          <w:tcPr>
            <w:tcW w:w="0" w:type="dxa"/>
            <w:vAlign w:val="bottom"/>
          </w:tcPr>
          <w:p>
            <w:pPr>
              <w:spacing w:after="0"/>
              <w:rPr>
                <w:sz w:val="1"/>
                <w:szCs w:val="1"/>
                <w:color w:val="auto"/>
              </w:rPr>
            </w:pPr>
          </w:p>
        </w:tc>
      </w:tr>
      <w:tr>
        <w:trPr>
          <w:trHeight w:val="141"/>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631</w:t>
            </w:r>
          </w:p>
        </w:tc>
        <w:tc>
          <w:tcPr>
            <w:tcW w:w="0" w:type="dxa"/>
            <w:vAlign w:val="bottom"/>
          </w:tcPr>
          <w:p>
            <w:pPr>
              <w:spacing w:after="0"/>
              <w:rPr>
                <w:sz w:val="1"/>
                <w:szCs w:val="1"/>
                <w:color w:val="auto"/>
              </w:rPr>
            </w:pPr>
          </w:p>
        </w:tc>
      </w:tr>
      <w:tr>
        <w:trPr>
          <w:trHeight w:val="177"/>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5"/>
        </w:trPr>
        <w:tc>
          <w:tcPr>
            <w:tcW w:w="2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Pr>
          <w:p>
            <w:pPr>
              <w:ind w:left="680"/>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6"/>
                <w:szCs w:val="16"/>
                <w:color w:val="auto"/>
              </w:rPr>
            </w:pPr>
          </w:p>
        </w:tc>
        <w:tc>
          <w:tcPr>
            <w:tcW w:w="160" w:type="dxa"/>
            <w:vAlign w:val="bottom"/>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8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Changes in unrealized gains (losses) included</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(972)</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September 30, 2026 (7)</w:t>
            </w:r>
          </w:p>
        </w:tc>
        <w:tc>
          <w:tcPr>
            <w:tcW w:w="12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(25)</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ind w:left="700"/>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tcPr>
          <w:p>
            <w:pPr>
              <w:spacing w:after="0"/>
              <w:rPr>
                <w:sz w:val="11"/>
                <w:szCs w:val="11"/>
                <w:color w:val="auto"/>
              </w:rPr>
            </w:pP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September 30, 2026 (7)</w:t>
            </w: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8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Changes in unrealized gains (losses) included</w:t>
            </w: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8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 still</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shd w:val="clear" w:color="auto" w:fill="CCEEFF"/>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shd w:val="clear" w:color="auto" w:fill="CCEEFF"/>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0" w:type="dxa"/>
            <w:vAlign w:val="bottom"/>
          </w:tcPr>
          <w:p>
            <w:pPr>
              <w:spacing w:after="0"/>
              <w:rPr>
                <w:sz w:val="1"/>
                <w:szCs w:val="1"/>
                <w:color w:val="auto"/>
              </w:rPr>
            </w:pPr>
          </w:p>
        </w:tc>
      </w:tr>
      <w:tr>
        <w:trPr>
          <w:trHeight w:val="171"/>
        </w:trPr>
        <w:tc>
          <w:tcPr>
            <w:tcW w:w="2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held at September 30, 2025 (7)</w:t>
            </w: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4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8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8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gridSpan w:val="2"/>
            <w:vMerge w:val="restart"/>
          </w:tcPr>
          <w:p>
            <w:pPr>
              <w:ind w:left="680"/>
              <w:spacing w:after="0"/>
              <w:rPr>
                <w:sz w:val="20"/>
                <w:szCs w:val="20"/>
                <w:color w:val="auto"/>
              </w:rPr>
            </w:pPr>
            <w:r>
              <w:rPr>
                <w:rFonts w:ascii="Times New Roman" w:cs="Times New Roman" w:eastAsia="Times New Roman" w:hAnsi="Times New Roman"/>
                <w:sz w:val="12"/>
                <w:szCs w:val="12"/>
                <w:color w:val="auto"/>
              </w:rPr>
              <w:t>—</w:t>
            </w:r>
          </w:p>
        </w:tc>
        <w:tc>
          <w:tcPr>
            <w:tcW w:w="160" w:type="dxa"/>
            <w:vAlign w:val="bottom"/>
            <w:vMerge w:val="restart"/>
          </w:tcPr>
          <w:p>
            <w:pPr>
              <w:jc w:val="right"/>
              <w:ind w:right="18"/>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8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September 30, 2025 (7)</w:t>
            </w: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60" w:type="dxa"/>
            <w:vAlign w:val="bottom"/>
            <w:tcBorders>
              <w:bottom w:val="single" w:sz="8" w:color="auto"/>
            </w:tcBorders>
            <w:gridSpan w:val="11"/>
          </w:tcPr>
          <w:p>
            <w:pPr>
              <w:ind w:left="140"/>
              <w:spacing w:after="0"/>
              <w:rPr>
                <w:sz w:val="20"/>
                <w:szCs w:val="20"/>
                <w:color w:val="auto"/>
              </w:rPr>
            </w:pPr>
            <w:r>
              <w:rPr>
                <w:rFonts w:ascii="Times New Roman" w:cs="Times New Roman" w:eastAsia="Times New Roman" w:hAnsi="Times New Roman"/>
                <w:sz w:val="12"/>
                <w:szCs w:val="12"/>
                <w:b w:val="1"/>
                <w:bCs w:val="1"/>
                <w:color w:val="auto"/>
              </w:rPr>
              <w:t>Fair Value Measurements Using Significant Unobservable Inputs (Level 3)</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4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2"/>
                <w:szCs w:val="12"/>
                <w:b w:val="1"/>
                <w:bCs w:val="1"/>
                <w:color w:val="auto"/>
              </w:rPr>
              <w:t>Fixed Maturity Securities</w:t>
            </w: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Embedded</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Structured</w:t>
            </w:r>
          </w:p>
        </w:tc>
        <w:tc>
          <w:tcPr>
            <w:tcW w:w="120" w:type="dxa"/>
            <w:vAlign w:val="bottom"/>
          </w:tcPr>
          <w:p>
            <w:pPr>
              <w:spacing w:after="0"/>
              <w:rPr>
                <w:sz w:val="10"/>
                <w:szCs w:val="10"/>
                <w:color w:val="auto"/>
              </w:rPr>
            </w:pPr>
          </w:p>
        </w:tc>
        <w:tc>
          <w:tcPr>
            <w:tcW w:w="9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Foreign</w:t>
            </w: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Equity</w:t>
            </w:r>
          </w:p>
        </w:tc>
        <w:tc>
          <w:tcPr>
            <w:tcW w:w="120" w:type="dxa"/>
            <w:vAlign w:val="bottom"/>
          </w:tcPr>
          <w:p>
            <w:pPr>
              <w:spacing w:after="0"/>
              <w:rPr>
                <w:sz w:val="10"/>
                <w:szCs w:val="10"/>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Short-term</w:t>
            </w:r>
          </w:p>
        </w:tc>
        <w:tc>
          <w:tcPr>
            <w:tcW w:w="120" w:type="dxa"/>
            <w:vAlign w:val="bottom"/>
          </w:tcPr>
          <w:p>
            <w:pPr>
              <w:spacing w:after="0"/>
              <w:rPr>
                <w:sz w:val="10"/>
                <w:szCs w:val="10"/>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Net</w:t>
            </w:r>
          </w:p>
        </w:tc>
        <w:tc>
          <w:tcPr>
            <w:tcW w:w="120" w:type="dxa"/>
            <w:vAlign w:val="bottom"/>
          </w:tcPr>
          <w:p>
            <w:pPr>
              <w:spacing w:after="0"/>
              <w:rPr>
                <w:sz w:val="10"/>
                <w:szCs w:val="10"/>
                <w:color w:val="auto"/>
              </w:rPr>
            </w:pPr>
          </w:p>
        </w:tc>
        <w:tc>
          <w:tcPr>
            <w:tcW w:w="1000" w:type="dxa"/>
            <w:vAlign w:val="bottom"/>
          </w:tcPr>
          <w:p>
            <w:pPr>
              <w:jc w:val="center"/>
              <w:ind w:right="58"/>
              <w:spacing w:after="0" w:line="126" w:lineRule="exact"/>
              <w:rPr>
                <w:sz w:val="20"/>
                <w:szCs w:val="20"/>
                <w:color w:val="auto"/>
              </w:rPr>
            </w:pPr>
            <w:r>
              <w:rPr>
                <w:rFonts w:ascii="Times New Roman" w:cs="Times New Roman" w:eastAsia="Times New Roman" w:hAnsi="Times New Roman"/>
                <w:sz w:val="12"/>
                <w:szCs w:val="12"/>
                <w:b w:val="1"/>
                <w:bCs w:val="1"/>
                <w:color w:val="auto"/>
              </w:rPr>
              <w:t>Derivatives on</w:t>
            </w:r>
          </w:p>
        </w:tc>
        <w:tc>
          <w:tcPr>
            <w:tcW w:w="0" w:type="dxa"/>
            <w:vAlign w:val="bottom"/>
          </w:tcPr>
          <w:p>
            <w:pPr>
              <w:spacing w:after="0"/>
              <w:rPr>
                <w:sz w:val="1"/>
                <w:szCs w:val="1"/>
                <w:color w:val="auto"/>
              </w:rPr>
            </w:pPr>
          </w:p>
        </w:tc>
      </w:tr>
      <w:tr>
        <w:trPr>
          <w:trHeight w:val="126"/>
        </w:trPr>
        <w:tc>
          <w:tcPr>
            <w:tcW w:w="2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Corporate (1)</w:t>
            </w:r>
          </w:p>
        </w:tc>
        <w:tc>
          <w:tcPr>
            <w:tcW w:w="1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Trading Securities</w:t>
            </w:r>
          </w:p>
        </w:tc>
        <w:tc>
          <w:tcPr>
            <w:tcW w:w="12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58"/>
              <w:spacing w:after="0" w:line="126" w:lineRule="exact"/>
              <w:rPr>
                <w:sz w:val="20"/>
                <w:szCs w:val="20"/>
                <w:color w:val="auto"/>
              </w:rPr>
            </w:pPr>
            <w:r>
              <w:rPr>
                <w:rFonts w:ascii="Times New Roman" w:cs="Times New Roman" w:eastAsia="Times New Roman" w:hAnsi="Times New Roman"/>
                <w:sz w:val="12"/>
                <w:szCs w:val="12"/>
                <w:b w:val="1"/>
                <w:bCs w:val="1"/>
                <w:color w:val="auto"/>
              </w:rPr>
              <w:t>Index-Linked</w:t>
            </w:r>
          </w:p>
        </w:tc>
        <w:tc>
          <w:tcPr>
            <w:tcW w:w="0" w:type="dxa"/>
            <w:vAlign w:val="bottom"/>
          </w:tcPr>
          <w:p>
            <w:pPr>
              <w:spacing w:after="0"/>
              <w:rPr>
                <w:sz w:val="1"/>
                <w:szCs w:val="1"/>
                <w:color w:val="auto"/>
              </w:rPr>
            </w:pPr>
          </w:p>
        </w:tc>
      </w:tr>
      <w:tr>
        <w:trPr>
          <w:trHeight w:val="167"/>
        </w:trPr>
        <w:tc>
          <w:tcPr>
            <w:tcW w:w="2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w w:val="99"/>
              </w:rPr>
              <w:t>Securities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Government</w:t>
            </w:r>
          </w:p>
        </w:tc>
        <w:tc>
          <w:tcPr>
            <w:tcW w:w="114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Securities</w:t>
            </w: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Investments</w:t>
            </w: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Derivatives (2)</w:t>
            </w: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Annuities</w:t>
            </w:r>
          </w:p>
        </w:tc>
        <w:tc>
          <w:tcPr>
            <w:tcW w:w="0" w:type="dxa"/>
            <w:vAlign w:val="bottom"/>
          </w:tcPr>
          <w:p>
            <w:pPr>
              <w:spacing w:after="0"/>
              <w:rPr>
                <w:sz w:val="1"/>
                <w:szCs w:val="1"/>
                <w:color w:val="auto"/>
              </w:rPr>
            </w:pPr>
          </w:p>
        </w:tc>
      </w:tr>
      <w:tr>
        <w:trPr>
          <w:trHeight w:val="175"/>
        </w:trPr>
        <w:tc>
          <w:tcPr>
            <w:tcW w:w="2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80" w:type="dxa"/>
            <w:vAlign w:val="bottom"/>
            <w:gridSpan w:val="5"/>
          </w:tcPr>
          <w:p>
            <w:pPr>
              <w:ind w:left="360"/>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800</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5"/>
                <w:szCs w:val="15"/>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(12,327)</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(2,980)</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(246)</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3,072</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6"/>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(12,235)</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1,092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(11,493)</w:t>
            </w:r>
          </w:p>
        </w:tc>
        <w:tc>
          <w:tcPr>
            <w:tcW w:w="0" w:type="dxa"/>
            <w:vAlign w:val="bottom"/>
          </w:tcPr>
          <w:p>
            <w:pPr>
              <w:spacing w:after="0"/>
              <w:rPr>
                <w:sz w:val="1"/>
                <w:szCs w:val="1"/>
                <w:color w:val="auto"/>
              </w:rPr>
            </w:pPr>
          </w:p>
        </w:tc>
      </w:tr>
      <w:tr>
        <w:trPr>
          <w:trHeight w:val="133"/>
        </w:trPr>
        <w:tc>
          <w:tcPr>
            <w:tcW w:w="2440" w:type="dxa"/>
            <w:vAlign w:val="bottom"/>
          </w:tcPr>
          <w:p>
            <w:pPr>
              <w:ind w:left="20"/>
              <w:spacing w:after="0" w:line="133" w:lineRule="exact"/>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included in net income (loss) (3) (4)</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(2,740)</w:t>
            </w:r>
          </w:p>
        </w:tc>
        <w:tc>
          <w:tcPr>
            <w:tcW w:w="0" w:type="dxa"/>
            <w:vAlign w:val="bottom"/>
          </w:tcPr>
          <w:p>
            <w:pPr>
              <w:spacing w:after="0"/>
              <w:rPr>
                <w:sz w:val="1"/>
                <w:szCs w:val="1"/>
                <w:color w:val="auto"/>
              </w:rPr>
            </w:pPr>
          </w:p>
        </w:tc>
      </w:tr>
      <w:tr>
        <w:trPr>
          <w:trHeight w:val="141"/>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realized/unrealized gains (losses)</w:t>
            </w:r>
          </w:p>
        </w:tc>
        <w:tc>
          <w:tcPr>
            <w:tcW w:w="1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included in AOCI</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Purchases (5)</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154</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Sales (5)</w:t>
            </w: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Issuances (5)</w:t>
            </w:r>
          </w:p>
        </w:tc>
        <w:tc>
          <w:tcPr>
            <w:tcW w:w="100" w:type="dxa"/>
            <w:vAlign w:val="bottom"/>
          </w:tcPr>
          <w:p>
            <w:pPr>
              <w:spacing w:after="0"/>
              <w:rPr>
                <w:sz w:val="15"/>
                <w:szCs w:val="15"/>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94"/>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Settlements (5)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1,542</w:t>
            </w:r>
          </w:p>
        </w:tc>
        <w:tc>
          <w:tcPr>
            <w:tcW w:w="0" w:type="dxa"/>
            <w:vAlign w:val="bottom"/>
          </w:tcPr>
          <w:p>
            <w:pPr>
              <w:spacing w:after="0"/>
              <w:rPr>
                <w:sz w:val="1"/>
                <w:szCs w:val="1"/>
                <w:color w:val="auto"/>
              </w:rPr>
            </w:pPr>
          </w:p>
        </w:tc>
      </w:tr>
      <w:tr>
        <w:trPr>
          <w:trHeight w:val="177"/>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Transfers into Level 3 (6)</w:t>
            </w: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spacing w:after="0"/>
              <w:rPr>
                <w:sz w:val="15"/>
                <w:szCs w:val="15"/>
                <w:color w:val="auto"/>
              </w:rPr>
            </w:pP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7"/>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Transfers out of Level 3 (6)</w:t>
            </w:r>
          </w:p>
        </w:tc>
        <w:tc>
          <w:tcPr>
            <w:tcW w:w="1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(393)</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85"/>
        </w:trPr>
        <w:tc>
          <w:tcPr>
            <w:tcW w:w="2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Balance,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318</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00" w:type="dxa"/>
            <w:vAlign w:val="bottom"/>
          </w:tcPr>
          <w:p>
            <w:pPr>
              <w:spacing w:after="0"/>
              <w:rPr>
                <w:sz w:val="16"/>
                <w:szCs w:val="16"/>
                <w:color w:val="auto"/>
              </w:rPr>
            </w:pP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(12,691)</w:t>
            </w: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Changes in unrealized gains (losses) included</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w:t>
            </w:r>
          </w:p>
        </w:tc>
        <w:tc>
          <w:tcPr>
            <w:tcW w:w="10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20" w:type="dxa"/>
            <w:vAlign w:val="bottom"/>
            <w:shd w:val="clear" w:color="auto" w:fill="CCEEFF"/>
          </w:tcPr>
          <w:p>
            <w:pPr>
              <w:spacing w:after="0"/>
              <w:rPr>
                <w:sz w:val="11"/>
                <w:szCs w:val="11"/>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(4,336)</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still held at September 30, 2026 (7)</w:t>
            </w: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8</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10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September 30, 2026 (7)</w:t>
            </w:r>
          </w:p>
        </w:tc>
        <w:tc>
          <w:tcPr>
            <w:tcW w:w="1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2440" w:type="dxa"/>
            <w:vAlign w:val="bottom"/>
            <w:shd w:val="clear" w:color="auto" w:fill="CCEEFF"/>
          </w:tcPr>
          <w:p>
            <w:pPr>
              <w:ind w:left="20"/>
              <w:spacing w:after="0" w:line="99" w:lineRule="exact"/>
              <w:rPr>
                <w:sz w:val="20"/>
                <w:szCs w:val="20"/>
                <w:color w:val="auto"/>
              </w:rPr>
            </w:pPr>
            <w:r>
              <w:rPr>
                <w:rFonts w:ascii="Times New Roman" w:cs="Times New Roman" w:eastAsia="Times New Roman" w:hAnsi="Times New Roman"/>
                <w:sz w:val="11"/>
                <w:szCs w:val="11"/>
                <w:color w:val="auto"/>
              </w:rPr>
              <w:t>Changes in unrealized gains (losses) included</w:t>
            </w:r>
          </w:p>
        </w:tc>
        <w:tc>
          <w:tcPr>
            <w:tcW w:w="1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2440" w:type="dxa"/>
            <w:vAlign w:val="bottom"/>
            <w:shd w:val="clear" w:color="auto" w:fill="CCEEFF"/>
          </w:tcPr>
          <w:p>
            <w:pPr>
              <w:ind w:left="180"/>
              <w:spacing w:after="0" w:line="128" w:lineRule="exact"/>
              <w:rPr>
                <w:sz w:val="20"/>
                <w:szCs w:val="20"/>
                <w:color w:val="auto"/>
              </w:rPr>
            </w:pPr>
            <w:r>
              <w:rPr>
                <w:rFonts w:ascii="Times New Roman" w:cs="Times New Roman" w:eastAsia="Times New Roman" w:hAnsi="Times New Roman"/>
                <w:sz w:val="12"/>
                <w:szCs w:val="12"/>
                <w:color w:val="auto"/>
              </w:rPr>
              <w:t>in net income (loss) for the instruments</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shd w:val="clear" w:color="auto" w:fill="CCEEFF"/>
          </w:tcPr>
          <w:p>
            <w:pPr>
              <w:spacing w:after="0"/>
              <w:rPr>
                <w:sz w:val="11"/>
                <w:szCs w:val="11"/>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(3,568)</w:t>
            </w:r>
          </w:p>
        </w:tc>
        <w:tc>
          <w:tcPr>
            <w:tcW w:w="0" w:type="dxa"/>
            <w:vAlign w:val="bottom"/>
          </w:tcPr>
          <w:p>
            <w:pPr>
              <w:spacing w:after="0"/>
              <w:rPr>
                <w:sz w:val="1"/>
                <w:szCs w:val="1"/>
                <w:color w:val="auto"/>
              </w:rPr>
            </w:pPr>
          </w:p>
        </w:tc>
      </w:tr>
      <w:tr>
        <w:trPr>
          <w:trHeight w:val="171"/>
        </w:trPr>
        <w:tc>
          <w:tcPr>
            <w:tcW w:w="2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still held at September 30, 2025 (7)</w:t>
            </w:r>
          </w:p>
        </w:tc>
        <w:tc>
          <w:tcPr>
            <w:tcW w:w="100" w:type="dxa"/>
            <w:vAlign w:val="bottom"/>
            <w:vMerge w:val="continue"/>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440" w:type="dxa"/>
            <w:vAlign w:val="bottom"/>
            <w:vMerge w:val="continue"/>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86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100" w:type="dxa"/>
            <w:vAlign w:val="bottom"/>
            <w:gridSpan w:val="2"/>
            <w:vMerge w:val="continue"/>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10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vMerge w:val="restart"/>
          </w:tcPr>
          <w:p>
            <w:pPr>
              <w:ind w:left="20"/>
              <w:spacing w:after="0" w:line="119" w:lineRule="exact"/>
              <w:rPr>
                <w:sz w:val="20"/>
                <w:szCs w:val="20"/>
                <w:color w:val="auto"/>
              </w:rPr>
            </w:pPr>
            <w:r>
              <w:rPr>
                <w:rFonts w:ascii="Times New Roman" w:cs="Times New Roman" w:eastAsia="Times New Roman" w:hAnsi="Times New Roman"/>
                <w:sz w:val="12"/>
                <w:szCs w:val="12"/>
                <w:color w:val="auto"/>
              </w:rPr>
              <w:t>Changes in unrealized gains (losses) included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24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8"/>
        </w:trPr>
        <w:tc>
          <w:tcPr>
            <w:tcW w:w="2440" w:type="dxa"/>
            <w:vAlign w:val="bottom"/>
          </w:tcPr>
          <w:p>
            <w:pPr>
              <w:ind w:left="180"/>
              <w:spacing w:after="0" w:line="128" w:lineRule="exact"/>
              <w:rPr>
                <w:sz w:val="20"/>
                <w:szCs w:val="20"/>
                <w:color w:val="auto"/>
              </w:rPr>
            </w:pPr>
            <w:r>
              <w:rPr>
                <w:rFonts w:ascii="Times New Roman" w:cs="Times New Roman" w:eastAsia="Times New Roman" w:hAnsi="Times New Roman"/>
                <w:sz w:val="12"/>
                <w:szCs w:val="12"/>
                <w:color w:val="auto"/>
              </w:rPr>
              <w:t>in OCI for the instruments still held as of</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13</w:t>
            </w:r>
          </w:p>
        </w:tc>
        <w:tc>
          <w:tcPr>
            <w:tcW w:w="12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tcPr>
          <w:p>
            <w:pPr>
              <w:spacing w:after="0"/>
              <w:rPr>
                <w:sz w:val="11"/>
                <w:szCs w:val="11"/>
                <w:color w:val="auto"/>
              </w:rPr>
            </w:pPr>
          </w:p>
        </w:tc>
        <w:tc>
          <w:tcPr>
            <w:tcW w:w="44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1"/>
        </w:trPr>
        <w:tc>
          <w:tcPr>
            <w:tcW w:w="244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September 30, 2025 (7)</w:t>
            </w:r>
          </w:p>
        </w:tc>
        <w:tc>
          <w:tcPr>
            <w:tcW w:w="10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08"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Comprised of U.S. and foreign corporate securities.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Freestanding derivative assets and liabilities are reported net for purposes of the rollforward.</w:t>
      </w:r>
    </w:p>
    <w:p>
      <w:pPr>
        <w:spacing w:after="0" w:line="111" w:lineRule="exact"/>
        <w:rPr>
          <w:rFonts w:ascii="Times New Roman" w:cs="Times New Roman" w:eastAsia="Times New Roman" w:hAnsi="Times New Roman"/>
          <w:sz w:val="18"/>
          <w:szCs w:val="18"/>
          <w:color w:val="auto"/>
        </w:rPr>
      </w:pPr>
    </w:p>
    <w:p>
      <w:pPr>
        <w:jc w:val="both"/>
        <w:ind w:left="320" w:hanging="314"/>
        <w:spacing w:after="0" w:line="255" w:lineRule="auto"/>
        <w:tabs>
          <w:tab w:leader="none" w:pos="3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premium/accretion of discount is included in net investment income. Changes in the allowance for credit losses and direct write-offs are charged to net income (loss) on securities are included in net investment gains (losses). Lapses associated with net embedded derivatives are included in net derivative gains (losses). Substantially all realized/unrealized gains (losses) included in net income (loss) for net derivatives and net embedded derivatives are reported in net derivative gains (losses).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364" w:lineRule="exact"/>
        <w:rPr>
          <w:sz w:val="20"/>
          <w:szCs w:val="20"/>
          <w:color w:val="auto"/>
        </w:rPr>
      </w:pPr>
    </w:p>
    <w:p>
      <w:pPr>
        <w:ind w:left="320" w:hanging="314"/>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and dividend accruals, as well as cash interest coupons and dividends received, are excluded from the rollforward.</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purchased/issued and then sold/settled in the same period are excluded from the rollforward. Fees attributed to embedded derivatives are included in settlements.</w:t>
      </w:r>
    </w:p>
    <w:p>
      <w:pPr>
        <w:spacing w:after="0" w:line="57"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in net income (loss) and OCI, are calculated assuming transfers into and/or out of Level 3 occurred at the beginning of the period. Items transferred into and out of Level 3 in the same period are excluded from the rollforward.</w:t>
      </w:r>
    </w:p>
    <w:p>
      <w:pPr>
        <w:spacing w:after="0" w:line="57"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1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unrealized gains (losses) included in net income (loss) for fixed maturities are reported in either net investment income or net investment gains (losses). Substantially all changes in unrealized gains (losses) included in net income (loss) for net derivatives and net embedded derivatives are reported in net derivative gains (losses).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 Carried at Other Than Fair Value</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following tables provide fair value information for financial instruments that are carried on the balance sheet at amounts other than fair value. These tables exclude the following financial instruments: cash and cash equivalents, accrued investment income and payables for collateral under securities loaned and other transactions. The estimated fair value of the excluded financial instruments, which are primarily classified in Level 2, approximates carrying value as they are short-term in nature such that the Company believes there is minimal risk of material changes in interest rates or credit quality. All remaining balance sheet amounts excluded from the tables below are not considered financial instruments subject to this disclosure.</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carrying values and estimated fair values for such financial instruments, and their corresponding placement in the fair value hierarchy, are summarized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40"/>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99"/>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22,361</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20,531</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1,465</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563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237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7,838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109</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7,921</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27,077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26,728</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2,466</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1,481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901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1,481</w:t>
            </w:r>
          </w:p>
        </w:tc>
        <w:tc>
          <w:tcPr>
            <w:tcW w:w="0" w:type="dxa"/>
            <w:vAlign w:val="bottom"/>
          </w:tcPr>
          <w:p>
            <w:pPr>
              <w:spacing w:after="0"/>
              <w:rPr>
                <w:sz w:val="1"/>
                <w:szCs w:val="1"/>
                <w:color w:val="auto"/>
              </w:rPr>
            </w:pPr>
          </w:p>
        </w:tc>
      </w:tr>
      <w:tr>
        <w:trPr>
          <w:trHeight w:val="4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1,284</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1,284</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Fair Value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340"/>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vMerge w:val="restart"/>
          </w:tcPr>
          <w:p>
            <w:pPr>
              <w:jc w:val="right"/>
              <w:ind w:right="161"/>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24"/>
                <w:szCs w:val="24"/>
                <w:color w:val="auto"/>
              </w:rPr>
            </w:pPr>
          </w:p>
        </w:tc>
        <w:tc>
          <w:tcPr>
            <w:tcW w:w="98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24"/>
                <w:szCs w:val="24"/>
                <w:color w:val="auto"/>
              </w:rPr>
            </w:pPr>
          </w:p>
        </w:tc>
        <w:tc>
          <w:tcPr>
            <w:tcW w:w="1140" w:type="dxa"/>
            <w:vAlign w:val="bottom"/>
            <w:vMerge w:val="restart"/>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24"/>
                <w:szCs w:val="24"/>
                <w:color w:val="auto"/>
              </w:rPr>
            </w:pPr>
          </w:p>
        </w:tc>
        <w:tc>
          <w:tcPr>
            <w:tcW w:w="98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7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398"/>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Mortgage loans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22,755</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21,732</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 loans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1,450</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557</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1,551</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invested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217</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Premiums, reinsurance and other receivables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8,145</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152</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8,045</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8,197</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Policyholder account balances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28,788</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28,728</w:t>
            </w:r>
          </w:p>
        </w:tc>
        <w:tc>
          <w:tcPr>
            <w:tcW w:w="0" w:type="dxa"/>
            <w:vAlign w:val="bottom"/>
          </w:tcPr>
          <w:p>
            <w:pPr>
              <w:spacing w:after="0"/>
              <w:rPr>
                <w:sz w:val="1"/>
                <w:szCs w:val="1"/>
                <w:color w:val="auto"/>
              </w:rPr>
            </w:pPr>
          </w:p>
        </w:tc>
      </w:tr>
      <w:tr>
        <w:trPr>
          <w:trHeight w:val="435"/>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3,155</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2,633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2,633</w:t>
            </w:r>
          </w:p>
        </w:tc>
        <w:tc>
          <w:tcPr>
            <w:tcW w:w="0" w:type="dxa"/>
            <w:vAlign w:val="bottom"/>
          </w:tcPr>
          <w:p>
            <w:pPr>
              <w:spacing w:after="0"/>
              <w:rPr>
                <w:sz w:val="1"/>
                <w:szCs w:val="1"/>
                <w:color w:val="auto"/>
              </w:rPr>
            </w:pPr>
          </w:p>
        </w:tc>
      </w:tr>
      <w:tr>
        <w:trPr>
          <w:trHeight w:val="440"/>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1,291</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683</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432"/>
        </w:trPr>
        <w:tc>
          <w:tcPr>
            <w:tcW w:w="4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Separate account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1,263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1,263</w:t>
            </w: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Preferred stock shares authorized, issued and outstanding were as follows at both September 30, 2026 and December 31, 2025:</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40" w:type="dxa"/>
            <w:vAlign w:val="bottom"/>
          </w:tcPr>
          <w:p>
            <w:pPr>
              <w:spacing w:after="0"/>
              <w:rPr>
                <w:sz w:val="16"/>
                <w:szCs w:val="16"/>
                <w:color w:val="auto"/>
              </w:rPr>
            </w:pPr>
          </w:p>
        </w:tc>
        <w:tc>
          <w:tcPr>
            <w:tcW w:w="184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8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Shares Issued</w:t>
            </w:r>
          </w:p>
        </w:tc>
        <w:tc>
          <w:tcPr>
            <w:tcW w:w="17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Shares Outstanding</w:t>
            </w:r>
          </w:p>
        </w:tc>
      </w:tr>
      <w:tr>
        <w:trPr>
          <w:trHeight w:val="24"/>
        </w:trPr>
        <w:tc>
          <w:tcPr>
            <w:tcW w:w="584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43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6.600% Non-Cumulative Preferred Stock, Series A</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17,000</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w:t>
            </w:r>
          </w:p>
        </w:tc>
      </w:tr>
      <w:tr>
        <w:trPr>
          <w:trHeight w:val="43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6.750% Non-Cumulative Preferred Stock, Series B</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16,100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16,100</w:t>
            </w:r>
          </w:p>
        </w:tc>
      </w:tr>
      <w:tr>
        <w:trPr>
          <w:trHeight w:val="440"/>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5.375% Non-Cumulative Preferred Stock, Series C</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c>
          <w:tcPr>
            <w:tcW w:w="100" w:type="dxa"/>
            <w:vAlign w:val="bottom"/>
            <w:shd w:val="clear" w:color="auto" w:fill="CCEEFF"/>
          </w:tcPr>
          <w:p>
            <w:pPr>
              <w:spacing w:after="0"/>
              <w:rPr>
                <w:sz w:val="24"/>
                <w:szCs w:val="24"/>
                <w:color w:val="auto"/>
              </w:rPr>
            </w:pPr>
          </w:p>
        </w:tc>
        <w:tc>
          <w:tcPr>
            <w:tcW w:w="17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23,000</w:t>
            </w:r>
          </w:p>
        </w:tc>
        <w:tc>
          <w:tcPr>
            <w:tcW w:w="80" w:type="dxa"/>
            <w:vAlign w:val="bottom"/>
            <w:shd w:val="clear" w:color="auto" w:fill="CCEEFF"/>
          </w:tcPr>
          <w:p>
            <w:pPr>
              <w:spacing w:after="0"/>
              <w:rPr>
                <w:sz w:val="24"/>
                <w:szCs w:val="24"/>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23,000</w:t>
            </w:r>
          </w:p>
        </w:tc>
      </w:tr>
      <w:tr>
        <w:trPr>
          <w:trHeight w:val="435"/>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4.625% Non-Cumulative Preferred Stock, Series D</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100" w:type="dxa"/>
            <w:vAlign w:val="bottom"/>
          </w:tcPr>
          <w:p>
            <w:pPr>
              <w:spacing w:after="0"/>
              <w:rPr>
                <w:sz w:val="24"/>
                <w:szCs w:val="24"/>
                <w:color w:val="auto"/>
              </w:rPr>
            </w:pPr>
          </w:p>
        </w:tc>
        <w:tc>
          <w:tcPr>
            <w:tcW w:w="17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14,000</w:t>
            </w:r>
          </w:p>
        </w:tc>
        <w:tc>
          <w:tcPr>
            <w:tcW w:w="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r>
      <w:tr>
        <w:trPr>
          <w:trHeight w:val="437"/>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Not designated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99,929,900</w:t>
            </w:r>
          </w:p>
        </w:tc>
        <w:tc>
          <w:tcPr>
            <w:tcW w:w="10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3"/>
        </w:trPr>
        <w:tc>
          <w:tcPr>
            <w:tcW w:w="5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100,000,000</w:t>
            </w:r>
          </w:p>
        </w:tc>
        <w:tc>
          <w:tcPr>
            <w:tcW w:w="100" w:type="dxa"/>
            <w:vAlign w:val="bottom"/>
          </w:tcPr>
          <w:p>
            <w:pPr>
              <w:spacing w:after="0"/>
              <w:rPr>
                <w:sz w:val="24"/>
                <w:szCs w:val="24"/>
                <w:color w:val="auto"/>
              </w:rPr>
            </w:pPr>
          </w:p>
        </w:tc>
        <w:tc>
          <w:tcPr>
            <w:tcW w:w="17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70,100</w:t>
            </w:r>
          </w:p>
        </w:tc>
        <w:tc>
          <w:tcPr>
            <w:tcW w:w="80" w:type="dxa"/>
            <w:vAlign w:val="bottom"/>
          </w:tcPr>
          <w:p>
            <w:pPr>
              <w:spacing w:after="0"/>
              <w:rPr>
                <w:sz w:val="24"/>
                <w:szCs w:val="24"/>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70,100</w:t>
            </w: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per share and aggregate dividends declared for BHF’s preferred stock by series were as follows:</w:t>
      </w:r>
    </w:p>
    <w:p>
      <w:pPr>
        <w:sectPr>
          <w:pgSz w:w="11900" w:h="16838" w:orient="portrait"/>
          <w:cols w:equalWidth="0" w:num="1">
            <w:col w:w="11240"/>
          </w:cols>
          <w:pgMar w:left="320" w:top="283"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186"/>
        </w:trPr>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4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Series</w:t>
            </w: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20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20" w:type="dxa"/>
            <w:vAlign w:val="bottom"/>
          </w:tcPr>
          <w:p>
            <w:pPr>
              <w:spacing w:after="0"/>
              <w:rPr>
                <w:sz w:val="15"/>
                <w:szCs w:val="15"/>
                <w:color w:val="auto"/>
              </w:rPr>
            </w:pPr>
          </w:p>
        </w:tc>
        <w:tc>
          <w:tcPr>
            <w:tcW w:w="82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jc w:val="right"/>
              <w:ind w:right="323"/>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100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24"/>
        </w:trPr>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244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1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80" w:type="dxa"/>
            <w:vAlign w:val="bottom"/>
            <w:gridSpan w:val="6"/>
          </w:tcPr>
          <w:p>
            <w:pPr>
              <w:jc w:val="right"/>
              <w:ind w:right="883"/>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412.50</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1,237.50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1,237.50</w:t>
            </w: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435"/>
        </w:trPr>
        <w:tc>
          <w:tcPr>
            <w:tcW w:w="20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421.88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03"/>
              <w:spacing w:after="0"/>
              <w:rPr>
                <w:sz w:val="20"/>
                <w:szCs w:val="20"/>
                <w:color w:val="auto"/>
              </w:rPr>
            </w:pPr>
            <w:r>
              <w:rPr>
                <w:rFonts w:ascii="Times New Roman" w:cs="Times New Roman" w:eastAsia="Times New Roman" w:hAnsi="Times New Roman"/>
                <w:sz w:val="16"/>
                <w:szCs w:val="16"/>
                <w:color w:val="auto"/>
              </w:rPr>
              <w:t>421.88</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1,265.64</w:t>
            </w:r>
          </w:p>
        </w:tc>
        <w:tc>
          <w:tcPr>
            <w:tcW w:w="140" w:type="dxa"/>
            <w:vAlign w:val="bottom"/>
          </w:tcPr>
          <w:p>
            <w:pPr>
              <w:spacing w:after="0"/>
              <w:rPr>
                <w:sz w:val="24"/>
                <w:szCs w:val="24"/>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1,265.64</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440"/>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03"/>
              <w:spacing w:after="0"/>
              <w:rPr>
                <w:sz w:val="20"/>
                <w:szCs w:val="20"/>
                <w:color w:val="auto"/>
              </w:rPr>
            </w:pPr>
            <w:r>
              <w:rPr>
                <w:rFonts w:ascii="Times New Roman" w:cs="Times New Roman" w:eastAsia="Times New Roman" w:hAnsi="Times New Roman"/>
                <w:sz w:val="16"/>
                <w:szCs w:val="16"/>
                <w:color w:val="auto"/>
              </w:rPr>
              <w:t>335.94</w:t>
            </w: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1,007.82</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1,007.82</w:t>
            </w:r>
          </w:p>
        </w:tc>
        <w:tc>
          <w:tcPr>
            <w:tcW w:w="1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435"/>
        </w:trPr>
        <w:tc>
          <w:tcPr>
            <w:tcW w:w="20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D</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289.06</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CCEEFF"/>
            </w:tcBorders>
          </w:tcPr>
          <w:p>
            <w:pPr>
              <w:jc w:val="right"/>
              <w:ind w:right="103"/>
              <w:spacing w:after="0"/>
              <w:rPr>
                <w:sz w:val="20"/>
                <w:szCs w:val="20"/>
                <w:color w:val="auto"/>
              </w:rPr>
            </w:pPr>
            <w:r>
              <w:rPr>
                <w:rFonts w:ascii="Times New Roman" w:cs="Times New Roman" w:eastAsia="Times New Roman" w:hAnsi="Times New Roman"/>
                <w:sz w:val="16"/>
                <w:szCs w:val="16"/>
                <w:color w:val="auto"/>
              </w:rPr>
              <w:t>289.06</w:t>
            </w: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tcBorders>
              <w:bottom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tcPr>
          <w:p>
            <w:pPr>
              <w:jc w:val="right"/>
              <w:ind w:right="83"/>
              <w:spacing w:after="0"/>
              <w:rPr>
                <w:sz w:val="20"/>
                <w:szCs w:val="20"/>
                <w:color w:val="auto"/>
              </w:rPr>
            </w:pPr>
            <w:r>
              <w:rPr>
                <w:rFonts w:ascii="Times New Roman" w:cs="Times New Roman" w:eastAsia="Times New Roman" w:hAnsi="Times New Roman"/>
                <w:sz w:val="16"/>
                <w:szCs w:val="16"/>
                <w:color w:val="auto"/>
              </w:rPr>
              <w:t>867.18</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867.18</w:t>
            </w: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413"/>
        </w:trPr>
        <w:tc>
          <w:tcPr>
            <w:tcW w:w="2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Repurchase Program</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Company did not repurchase any shares of its common stock during the nine months ended September 30, 2026. During the nine months ended September 30, 2025, BHF repurchased 1,844,396 shares of its common stock through open market purchases, pursuant to Rule 10b5-1 plans, for $102 million. At September 30, 2026, BHF had $441 million remaining under its common stock repurchase program. Pursuant to the Merger Agreement, the Company has agreed that during the period beginning the date of the Merger Agreement through the earlier of the closing of the Merger and the termination of the Merger Agreement, it will not, subject to certain exceptions, purchase directly or indirectly any of BHF’s or its subsidiaries’ capital stock or other equity or voting interests of BHF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Restrictions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During the third quarter of 2026, with the approval of the Delaware Department of Insurance, Brighthouse Reinsurance Company of Delaware paid a cash extraordinary dividend of $600 million to Brighthouse Life Insurance Company.</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changes in the balances of each component of AOCI was as follows:</w:t>
      </w:r>
    </w:p>
    <w:p>
      <w:pPr>
        <w:spacing w:after="0" w:line="200" w:lineRule="exact"/>
        <w:rPr>
          <w:sz w:val="20"/>
          <w:szCs w:val="20"/>
          <w:color w:val="auto"/>
        </w:rPr>
      </w:pPr>
    </w:p>
    <w:p>
      <w:pPr>
        <w:spacing w:after="0" w:line="28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26035</wp:posOffset>
            </wp:positionV>
            <wp:extent cx="45688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41" w:lineRule="exact"/>
        <w:rPr>
          <w:sz w:val="20"/>
          <w:szCs w:val="20"/>
          <w:color w:val="auto"/>
        </w:rPr>
      </w:pPr>
    </w:p>
    <w:tbl>
      <w:tblPr>
        <w:tblLayout w:type="fixed"/>
        <w:tblInd w:w="404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4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32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60" w:type="dxa"/>
            <w:vAlign w:val="bottom"/>
          </w:tcPr>
          <w:p>
            <w:pPr>
              <w:jc w:val="center"/>
              <w:ind w:right="18"/>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140" w:type="dxa"/>
            <w:vAlign w:val="bottom"/>
            <w:vMerge w:val="continue"/>
          </w:tcPr>
          <w:p>
            <w:pPr>
              <w:spacing w:after="0"/>
              <w:rPr>
                <w:sz w:val="10"/>
                <w:szCs w:val="10"/>
                <w:color w:val="auto"/>
              </w:rPr>
            </w:pPr>
          </w:p>
        </w:tc>
        <w:tc>
          <w:tcPr>
            <w:tcW w:w="14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32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4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32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3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1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34860" cy="269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ectPr>
          <w:pgSz w:w="11900" w:h="16838" w:orient="portrait"/>
          <w:cols w:equalWidth="0" w:num="1">
            <w:col w:w="11240"/>
          </w:cols>
          <w:pgMar w:left="320" w:top="283" w:right="339" w:bottom="907" w:gutter="0" w:footer="0" w:header="0"/>
        </w:sect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June 30, 2026</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p>
      <w:pPr>
        <w:spacing w:after="0" w:line="276" w:lineRule="exact"/>
        <w:rPr>
          <w:sz w:val="20"/>
          <w:szCs w:val="20"/>
          <w:color w:val="auto"/>
        </w:rPr>
      </w:pPr>
    </w:p>
    <w:p>
      <w:pPr>
        <w:ind w:left="20" w:right="400" w:firstLine="159"/>
        <w:spacing w:after="0" w:line="638" w:lineRule="auto"/>
        <w:rPr>
          <w:sz w:val="20"/>
          <w:szCs w:val="20"/>
          <w:color w:val="auto"/>
        </w:rPr>
      </w:pPr>
      <w:r>
        <w:rPr>
          <w:rFonts w:ascii="Times New Roman" w:cs="Times New Roman" w:eastAsia="Times New Roman" w:hAnsi="Times New Roman"/>
          <w:sz w:val="14"/>
          <w:szCs w:val="14"/>
          <w:color w:val="auto"/>
        </w:rPr>
        <w:t>AOCI before reclassifications, net of income tax Amounts reclassified from AOCI Deferred income tax benefit (expense) (3)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(4,179)</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(1,157)</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5"/>
                <w:szCs w:val="15"/>
                <w:color w:val="auto"/>
              </w:rPr>
            </w:pP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(4,126)</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(6,785)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Three Months Ended September 30, 2025</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20" w:type="dxa"/>
            <w:vAlign w:val="bottom"/>
          </w:tcPr>
          <w:p>
            <w:pPr>
              <w:spacing w:after="0"/>
              <w:rPr>
                <w:sz w:val="11"/>
                <w:szCs w:val="11"/>
                <w:color w:val="auto"/>
              </w:rPr>
            </w:pPr>
          </w:p>
        </w:tc>
        <w:tc>
          <w:tcPr>
            <w:tcW w:w="124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20" w:type="dxa"/>
            <w:vAlign w:val="bottom"/>
          </w:tcPr>
          <w:p>
            <w:pPr>
              <w:spacing w:after="0"/>
              <w:rPr>
                <w:sz w:val="10"/>
                <w:szCs w:val="10"/>
                <w:color w:val="auto"/>
              </w:rPr>
            </w:pPr>
          </w:p>
        </w:tc>
        <w:tc>
          <w:tcPr>
            <w:tcW w:w="12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-2725420</wp:posOffset>
            </wp:positionV>
            <wp:extent cx="7134860" cy="269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-2178685</wp:posOffset>
            </wp:positionV>
            <wp:extent cx="7134860" cy="269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-1640205</wp:posOffset>
            </wp:positionV>
            <wp:extent cx="7134860" cy="27749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44" w:lineRule="exact"/>
        <w:rPr>
          <w:sz w:val="20"/>
          <w:szCs w:val="20"/>
          <w:color w:val="auto"/>
        </w:rPr>
      </w:pPr>
    </w:p>
    <w:p>
      <w:pPr>
        <w:sectPr>
          <w:pgSz w:w="11900" w:h="16838" w:orient="portrait"/>
          <w:cols w:equalWidth="0" w:num="2">
            <w:col w:w="3320" w:space="720"/>
            <w:col w:w="7200"/>
          </w:cols>
          <w:pgMar w:left="320" w:top="283" w:right="339" w:bottom="907" w:gutter="0" w:footer="0" w:header="0"/>
          <w:type w:val="continuous"/>
        </w:sectPr>
      </w:pPr>
    </w:p>
    <w:tbl>
      <w:tblPr>
        <w:tblLayout w:type="fixed"/>
        <w:tblInd w:w="0" w:type="dxa"/>
        <w:tblCellMar>
          <w:top w:w="0" w:type="dxa"/>
          <w:left w:w="0" w:type="dxa"/>
          <w:bottom w:w="0" w:type="dxa"/>
          <w:right w:w="0" w:type="dxa"/>
        </w:tblCellMar>
      </w:tblPr>
      <w:tr>
        <w:trPr>
          <w:trHeight w:val="40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2025</w:t>
            </w: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(4,257)</w:t>
            </w:r>
          </w:p>
        </w:tc>
      </w:tr>
      <w:tr>
        <w:trPr>
          <w:trHeight w:val="40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w:t>
            </w:r>
          </w:p>
        </w:tc>
      </w:tr>
      <w:tr>
        <w:trPr>
          <w:trHeight w:val="24"/>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42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r>
      <w:tr>
        <w:trPr>
          <w:trHeight w:val="393"/>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(3,513)</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(4,038)</w:t>
            </w:r>
          </w:p>
        </w:tc>
      </w:tr>
      <w:tr>
        <w:trPr>
          <w:trHeight w:val="24"/>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40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r>
      <w:tr>
        <w:trPr>
          <w:trHeight w:val="40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r>
        <w:trPr>
          <w:trHeight w:val="24"/>
        </w:trPr>
        <w:tc>
          <w:tcPr>
            <w:tcW w:w="4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417"/>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r>
      <w:tr>
        <w:trPr>
          <w:trHeight w:val="41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8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r>
      <w:tr>
        <w:trPr>
          <w:trHeight w:val="20"/>
        </w:trPr>
        <w:tc>
          <w:tcPr>
            <w:tcW w:w="4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83" w:right="339" w:bottom="90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907"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2"/>
          <w:szCs w:val="12"/>
          <w:b w:val="1"/>
          <w:bCs w:val="1"/>
          <w:color w:val="auto"/>
        </w:rPr>
        <w:t>Nine Months Ended September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2569845</wp:posOffset>
            </wp:positionH>
            <wp:positionV relativeFrom="paragraph">
              <wp:posOffset>26035</wp:posOffset>
            </wp:positionV>
            <wp:extent cx="45688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41" w:lineRule="exact"/>
        <w:rPr>
          <w:sz w:val="20"/>
          <w:szCs w:val="20"/>
          <w:color w:val="auto"/>
        </w:rPr>
      </w:pPr>
    </w:p>
    <w:tbl>
      <w:tblPr>
        <w:tblLayout w:type="fixed"/>
        <w:tblInd w:w="4040" w:type="dxa"/>
        <w:tblCellMar>
          <w:top w:w="0" w:type="dxa"/>
          <w:left w:w="0" w:type="dxa"/>
          <w:bottom w:w="0" w:type="dxa"/>
          <w:right w:w="0" w:type="dxa"/>
        </w:tblCellMar>
      </w:tblPr>
      <w:tr>
        <w:trPr>
          <w:trHeight w:val="138"/>
        </w:trPr>
        <w:tc>
          <w:tcPr>
            <w:tcW w:w="1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4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32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1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60" w:type="dxa"/>
            <w:vAlign w:val="bottom"/>
          </w:tcPr>
          <w:p>
            <w:pPr>
              <w:jc w:val="center"/>
              <w:ind w:right="18"/>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140" w:type="dxa"/>
            <w:vAlign w:val="bottom"/>
            <w:vMerge w:val="continue"/>
          </w:tcPr>
          <w:p>
            <w:pPr>
              <w:spacing w:after="0"/>
              <w:rPr>
                <w:sz w:val="10"/>
                <w:szCs w:val="10"/>
                <w:color w:val="auto"/>
              </w:rPr>
            </w:pPr>
          </w:p>
        </w:tc>
        <w:tc>
          <w:tcPr>
            <w:tcW w:w="140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320" w:type="dxa"/>
            <w:vAlign w:val="bottom"/>
          </w:tcPr>
          <w:p>
            <w:pPr>
              <w:jc w:val="center"/>
              <w:ind w:right="58"/>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11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1160" w:type="dxa"/>
            <w:vAlign w:val="bottom"/>
          </w:tcPr>
          <w:p>
            <w:pPr>
              <w:jc w:val="center"/>
              <w:ind w:right="18"/>
              <w:spacing w:after="0" w:line="133"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14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400" w:type="dxa"/>
            <w:vAlign w:val="bottom"/>
          </w:tcPr>
          <w:p>
            <w:pPr>
              <w:jc w:val="center"/>
              <w:spacing w:after="0" w:line="133"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320" w:type="dxa"/>
            <w:vAlign w:val="bottom"/>
          </w:tcPr>
          <w:p>
            <w:pPr>
              <w:jc w:val="center"/>
              <w:ind w:right="58"/>
              <w:spacing w:after="0" w:line="133"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1060" w:type="dxa"/>
            <w:vAlign w:val="bottom"/>
            <w:vMerge w:val="restart"/>
          </w:tcPr>
          <w:p>
            <w:pPr>
              <w:ind w:left="40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320" w:type="dxa"/>
            <w:vAlign w:val="bottom"/>
            <w:tcBorders>
              <w:bottom w:val="single" w:sz="8" w:color="auto"/>
            </w:tcBorders>
          </w:tcPr>
          <w:p>
            <w:pPr>
              <w:jc w:val="center"/>
              <w:ind w:right="58"/>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12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26035</wp:posOffset>
            </wp:positionV>
            <wp:extent cx="7134860" cy="2692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ectPr>
          <w:pgSz w:w="11900" w:h="16838" w:orient="portrait"/>
          <w:cols w:equalWidth="0" w:num="1">
            <w:col w:w="11240"/>
          </w:cols>
          <w:pgMar w:left="320" w:top="283" w:right="339" w:bottom="1052" w:gutter="0" w:footer="0" w:header="0"/>
        </w:sect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p>
      <w:pPr>
        <w:spacing w:after="0" w:line="2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p>
      <w:pPr>
        <w:spacing w:after="0" w:line="276" w:lineRule="exact"/>
        <w:rPr>
          <w:sz w:val="20"/>
          <w:szCs w:val="20"/>
          <w:color w:val="auto"/>
        </w:rPr>
      </w:pPr>
    </w:p>
    <w:p>
      <w:pPr>
        <w:ind w:left="20" w:right="400" w:firstLine="159"/>
        <w:spacing w:after="0" w:line="638" w:lineRule="auto"/>
        <w:rPr>
          <w:sz w:val="20"/>
          <w:szCs w:val="20"/>
          <w:color w:val="auto"/>
        </w:rPr>
      </w:pPr>
      <w:r>
        <w:rPr>
          <w:rFonts w:ascii="Times New Roman" w:cs="Times New Roman" w:eastAsia="Times New Roman" w:hAnsi="Times New Roman"/>
          <w:sz w:val="14"/>
          <w:szCs w:val="14"/>
          <w:color w:val="auto"/>
        </w:rPr>
        <w:t>AOCI before reclassifications, net of income tax Amounts reclassified from AOCI Deferred income tax benefit (expense) (3)</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p>
      <w:pPr>
        <w:spacing w:after="0" w:line="3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Balance at September 30, 2026</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(3,517)</w:t>
            </w:r>
          </w:p>
        </w:tc>
        <w:tc>
          <w:tcPr>
            <w:tcW w:w="100" w:type="dxa"/>
            <w:vAlign w:val="bottom"/>
          </w:tcPr>
          <w:p>
            <w:pPr>
              <w:spacing w:after="0"/>
              <w:rPr>
                <w:sz w:val="15"/>
                <w:szCs w:val="15"/>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(1,255)</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Pr>
          <w:p>
            <w:pPr>
              <w:spacing w:after="0"/>
              <w:rPr>
                <w:sz w:val="15"/>
                <w:szCs w:val="15"/>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Pr>
          <w:p>
            <w:pPr>
              <w:spacing w:after="0"/>
              <w:rPr>
                <w:sz w:val="15"/>
                <w:szCs w:val="15"/>
                <w:color w:val="auto"/>
              </w:rPr>
            </w:pP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(3,729)</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(4,167)</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606</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(6,007)</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424"/>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(6,759)</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1,599</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24"/>
                <w:szCs w:val="24"/>
                <w:color w:val="auto"/>
              </w:rPr>
            </w:pPr>
          </w:p>
        </w:tc>
        <w:tc>
          <w:tcPr>
            <w:tcW w:w="2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(5,968)</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5"/>
        </w:trPr>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2"/>
                <w:szCs w:val="12"/>
                <w:b w:val="1"/>
                <w:bCs w:val="1"/>
                <w:color w:val="auto"/>
              </w:rPr>
              <w:t>Nine Months Ended September 30, 2025</w:t>
            </w: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Changes in</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120" w:type="dxa"/>
            <w:vAlign w:val="bottom"/>
          </w:tcPr>
          <w:p>
            <w:pPr>
              <w:spacing w:after="0"/>
              <w:rPr>
                <w:sz w:val="11"/>
                <w:szCs w:val="11"/>
                <w:color w:val="auto"/>
              </w:rPr>
            </w:pPr>
          </w:p>
        </w:tc>
        <w:tc>
          <w:tcPr>
            <w:tcW w:w="1060" w:type="dxa"/>
            <w:vAlign w:val="bottom"/>
            <w:gridSpan w:val="2"/>
          </w:tcPr>
          <w:p>
            <w:pPr>
              <w:jc w:val="center"/>
              <w:ind w:right="200"/>
              <w:spacing w:after="0" w:line="133" w:lineRule="exact"/>
              <w:rPr>
                <w:sz w:val="20"/>
                <w:szCs w:val="20"/>
                <w:color w:val="auto"/>
              </w:rPr>
            </w:pPr>
            <w:r>
              <w:rPr>
                <w:rFonts w:ascii="Times New Roman" w:cs="Times New Roman" w:eastAsia="Times New Roman" w:hAnsi="Times New Roman"/>
                <w:sz w:val="12"/>
                <w:szCs w:val="12"/>
                <w:b w:val="1"/>
                <w:bCs w:val="1"/>
                <w:color w:val="auto"/>
              </w:rPr>
              <w:t>Unrealized</w:t>
            </w: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Unrealized Gains</w:t>
            </w:r>
          </w:p>
        </w:tc>
        <w:tc>
          <w:tcPr>
            <w:tcW w:w="140" w:type="dxa"/>
            <w:vAlign w:val="bottom"/>
          </w:tcPr>
          <w:p>
            <w:pPr>
              <w:spacing w:after="0"/>
              <w:rPr>
                <w:sz w:val="11"/>
                <w:szCs w:val="11"/>
                <w:color w:val="auto"/>
              </w:rPr>
            </w:pPr>
          </w:p>
        </w:tc>
        <w:tc>
          <w:tcPr>
            <w:tcW w:w="122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Changes in</w:t>
            </w:r>
          </w:p>
        </w:tc>
        <w:tc>
          <w:tcPr>
            <w:tcW w:w="122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2"/>
                <w:szCs w:val="12"/>
                <w:b w:val="1"/>
                <w:bCs w:val="1"/>
                <w:color w:val="auto"/>
              </w:rPr>
              <w:t>Discount Rates on</w:t>
            </w: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18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Investment Gains</w:t>
            </w:r>
          </w:p>
        </w:tc>
        <w:tc>
          <w:tcPr>
            <w:tcW w:w="1200" w:type="dxa"/>
            <w:vAlign w:val="bottom"/>
            <w:gridSpan w:val="3"/>
            <w:vMerge w:val="continue"/>
          </w:tcPr>
          <w:p>
            <w:pPr>
              <w:spacing w:after="0"/>
              <w:rPr>
                <w:sz w:val="10"/>
                <w:szCs w:val="10"/>
                <w:color w:val="auto"/>
              </w:rPr>
            </w:pPr>
          </w:p>
        </w:tc>
        <w:tc>
          <w:tcPr>
            <w:tcW w:w="1360" w:type="dxa"/>
            <w:vAlign w:val="bottom"/>
            <w:gridSpan w:val="3"/>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Nonperformance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the Liability for</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20" w:type="dxa"/>
            <w:vAlign w:val="bottom"/>
          </w:tcPr>
          <w:p>
            <w:pPr>
              <w:spacing w:after="0"/>
              <w:rPr>
                <w:sz w:val="10"/>
                <w:szCs w:val="10"/>
                <w:color w:val="auto"/>
              </w:rPr>
            </w:pPr>
          </w:p>
        </w:tc>
        <w:tc>
          <w:tcPr>
            <w:tcW w:w="106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(Losses), Net of</w:t>
            </w:r>
          </w:p>
        </w:tc>
        <w:tc>
          <w:tcPr>
            <w:tcW w:w="180" w:type="dxa"/>
            <w:vAlign w:val="bottom"/>
          </w:tcPr>
          <w:p>
            <w:pPr>
              <w:spacing w:after="0"/>
              <w:rPr>
                <w:sz w:val="10"/>
                <w:szCs w:val="10"/>
                <w:color w:val="auto"/>
              </w:rPr>
            </w:pPr>
          </w:p>
        </w:tc>
        <w:tc>
          <w:tcPr>
            <w:tcW w:w="1020" w:type="dxa"/>
            <w:vAlign w:val="bottom"/>
            <w:gridSpan w:val="2"/>
          </w:tcPr>
          <w:p>
            <w:pPr>
              <w:jc w:val="center"/>
              <w:ind w:right="280"/>
              <w:spacing w:after="0" w:line="120" w:lineRule="exact"/>
              <w:rPr>
                <w:sz w:val="20"/>
                <w:szCs w:val="20"/>
                <w:color w:val="auto"/>
              </w:rPr>
            </w:pPr>
            <w:r>
              <w:rPr>
                <w:rFonts w:ascii="Times New Roman" w:cs="Times New Roman" w:eastAsia="Times New Roman" w:hAnsi="Times New Roman"/>
                <w:sz w:val="12"/>
                <w:szCs w:val="12"/>
                <w:b w:val="1"/>
                <w:bCs w:val="1"/>
                <w:color w:val="auto"/>
              </w:rPr>
              <w:t>(Losses) on</w:t>
            </w:r>
          </w:p>
        </w:tc>
        <w:tc>
          <w:tcPr>
            <w:tcW w:w="140" w:type="dxa"/>
            <w:vAlign w:val="bottom"/>
          </w:tcPr>
          <w:p>
            <w:pPr>
              <w:spacing w:after="0"/>
              <w:rPr>
                <w:sz w:val="10"/>
                <w:szCs w:val="10"/>
                <w:color w:val="auto"/>
              </w:rPr>
            </w:pPr>
          </w:p>
        </w:tc>
        <w:tc>
          <w:tcPr>
            <w:tcW w:w="122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rPr>
              <w:t>on Market Risk</w:t>
            </w:r>
          </w:p>
        </w:tc>
        <w:tc>
          <w:tcPr>
            <w:tcW w:w="120" w:type="dxa"/>
            <w:vAlign w:val="bottom"/>
          </w:tcPr>
          <w:p>
            <w:pPr>
              <w:spacing w:after="0"/>
              <w:rPr>
                <w:sz w:val="10"/>
                <w:szCs w:val="10"/>
                <w:color w:val="auto"/>
              </w:rPr>
            </w:pPr>
          </w:p>
        </w:tc>
        <w:tc>
          <w:tcPr>
            <w:tcW w:w="110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Future Policy</w:t>
            </w: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18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Related Offsets (1)</w:t>
            </w: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Derivatives</w:t>
            </w: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Benefits</w:t>
            </w: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2"/>
                <w:szCs w:val="12"/>
                <w:b w:val="1"/>
                <w:bCs w:val="1"/>
                <w:color w:val="auto"/>
              </w:rPr>
              <w:t>Other (2)</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-2725420</wp:posOffset>
            </wp:positionV>
            <wp:extent cx="7134860" cy="2692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-2178685</wp:posOffset>
            </wp:positionV>
            <wp:extent cx="7134860" cy="2692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-1640205</wp:posOffset>
            </wp:positionV>
            <wp:extent cx="7134860" cy="277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19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44" w:lineRule="exact"/>
        <w:rPr>
          <w:sz w:val="20"/>
          <w:szCs w:val="20"/>
          <w:color w:val="auto"/>
        </w:rPr>
      </w:pPr>
    </w:p>
    <w:p>
      <w:pPr>
        <w:sectPr>
          <w:pgSz w:w="11900" w:h="16838" w:orient="portrait"/>
          <w:cols w:equalWidth="0" w:num="2">
            <w:col w:w="3320" w:space="720"/>
            <w:col w:w="7200"/>
          </w:cols>
          <w:pgMar w:left="320" w:top="283" w:right="339" w:bottom="1052" w:gutter="0" w:footer="0" w:header="0"/>
          <w:type w:val="continuous"/>
        </w:sectPr>
      </w:pPr>
    </w:p>
    <w:tbl>
      <w:tblPr>
        <w:tblLayout w:type="fixed"/>
        <w:tblInd w:w="0" w:type="dxa"/>
        <w:tblCellMar>
          <w:top w:w="0" w:type="dxa"/>
          <w:left w:w="0" w:type="dxa"/>
          <w:bottom w:w="0" w:type="dxa"/>
          <w:right w:w="0" w:type="dxa"/>
        </w:tblCellMar>
      </w:tblPr>
      <w:tr>
        <w:trPr>
          <w:trHeight w:val="401"/>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(5,137)</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(5,278)</w:t>
            </w:r>
          </w:p>
        </w:tc>
        <w:tc>
          <w:tcPr>
            <w:tcW w:w="0" w:type="dxa"/>
            <w:vAlign w:val="bottom"/>
          </w:tcPr>
          <w:p>
            <w:pPr>
              <w:spacing w:after="0"/>
              <w:rPr>
                <w:sz w:val="1"/>
                <w:szCs w:val="1"/>
                <w:color w:val="auto"/>
              </w:rPr>
            </w:pPr>
          </w:p>
        </w:tc>
      </w:tr>
      <w:tr>
        <w:trPr>
          <w:trHeight w:val="40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OCI before reclassifications</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2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w:t>
            </w:r>
          </w:p>
        </w:tc>
        <w:tc>
          <w:tcPr>
            <w:tcW w:w="0" w:type="dxa"/>
            <w:vAlign w:val="bottom"/>
          </w:tcPr>
          <w:p>
            <w:pPr>
              <w:spacing w:after="0"/>
              <w:rPr>
                <w:sz w:val="1"/>
                <w:szCs w:val="1"/>
                <w:color w:val="auto"/>
              </w:rPr>
            </w:pPr>
          </w:p>
        </w:tc>
      </w:tr>
      <w:tr>
        <w:trPr>
          <w:trHeight w:val="393"/>
        </w:trPr>
        <w:tc>
          <w:tcPr>
            <w:tcW w:w="4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AOCI before reclassifications, net of income tax</w:t>
            </w: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(3,544)</w:t>
            </w:r>
          </w:p>
        </w:tc>
        <w:tc>
          <w:tcPr>
            <w:tcW w:w="1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(4,065)</w:t>
            </w:r>
          </w:p>
        </w:tc>
        <w:tc>
          <w:tcPr>
            <w:tcW w:w="0" w:type="dxa"/>
            <w:vAlign w:val="bottom"/>
          </w:tcPr>
          <w:p>
            <w:pPr>
              <w:spacing w:after="0"/>
              <w:rPr>
                <w:sz w:val="1"/>
                <w:szCs w:val="1"/>
                <w:color w:val="auto"/>
              </w:rPr>
            </w:pPr>
          </w:p>
        </w:tc>
      </w:tr>
      <w:tr>
        <w:trPr>
          <w:trHeight w:val="24"/>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04"/>
        </w:trPr>
        <w:tc>
          <w:tcPr>
            <w:tcW w:w="4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Amounts reclassified from AOCI</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400"/>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 benefit (expense) (3)</w:t>
            </w: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4"/>
        </w:trPr>
        <w:tc>
          <w:tcPr>
            <w:tcW w:w="40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17"/>
        </w:trPr>
        <w:tc>
          <w:tcPr>
            <w:tcW w:w="4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Amounts reclassified from AOCI, net of income tax</w:t>
            </w: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417"/>
        </w:trPr>
        <w:tc>
          <w:tcPr>
            <w:tcW w:w="4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September 30, 2025</w:t>
            </w:r>
          </w:p>
        </w:tc>
        <w:tc>
          <w:tcPr>
            <w:tcW w:w="38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(3,500)</w:t>
            </w:r>
          </w:p>
        </w:tc>
        <w:tc>
          <w:tcPr>
            <w:tcW w:w="100" w:type="dxa"/>
            <w:vAlign w:val="bottom"/>
          </w:tcPr>
          <w:p>
            <w:pPr>
              <w:spacing w:after="0"/>
              <w:rPr>
                <w:sz w:val="24"/>
                <w:szCs w:val="24"/>
                <w:color w:val="auto"/>
              </w:rPr>
            </w:pPr>
          </w:p>
        </w:tc>
        <w:tc>
          <w:tcPr>
            <w:tcW w:w="44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24"/>
                <w:szCs w:val="24"/>
                <w:color w:val="auto"/>
              </w:rPr>
            </w:pPr>
          </w:p>
        </w:tc>
        <w:tc>
          <w:tcPr>
            <w:tcW w:w="42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835</w:t>
            </w:r>
          </w:p>
        </w:tc>
        <w:tc>
          <w:tcPr>
            <w:tcW w:w="100" w:type="dxa"/>
            <w:vAlign w:val="bottom"/>
          </w:tcPr>
          <w:p>
            <w:pPr>
              <w:spacing w:after="0"/>
              <w:rPr>
                <w:sz w:val="24"/>
                <w:szCs w:val="24"/>
                <w:color w:val="auto"/>
              </w:rPr>
            </w:pPr>
          </w:p>
        </w:tc>
        <w:tc>
          <w:tcPr>
            <w:tcW w:w="46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24"/>
                <w:szCs w:val="24"/>
                <w:color w:val="auto"/>
              </w:rPr>
            </w:pPr>
          </w:p>
        </w:tc>
        <w:tc>
          <w:tcPr>
            <w:tcW w:w="380" w:type="dxa"/>
            <w:vAlign w:val="bottom"/>
            <w:tcBorders>
              <w:top w:val="single" w:sz="8" w:color="auto"/>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(4,020)</w:t>
            </w:r>
          </w:p>
        </w:tc>
        <w:tc>
          <w:tcPr>
            <w:tcW w:w="0" w:type="dxa"/>
            <w:vAlign w:val="bottom"/>
          </w:tcPr>
          <w:p>
            <w:pPr>
              <w:spacing w:after="0"/>
              <w:rPr>
                <w:sz w:val="1"/>
                <w:szCs w:val="1"/>
                <w:color w:val="auto"/>
              </w:rPr>
            </w:pPr>
          </w:p>
        </w:tc>
      </w:tr>
      <w:tr>
        <w:trPr>
          <w:trHeight w:val="20"/>
        </w:trPr>
        <w:tc>
          <w:tcPr>
            <w:tcW w:w="4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40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7 for information on offsets to investments related to future policy benefits.</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OCI related to foreign currency translation and defined benefit plan gains and losses.</w:t>
      </w:r>
    </w:p>
    <w:p>
      <w:pPr>
        <w:spacing w:after="0" w:line="111" w:lineRule="exact"/>
        <w:rPr>
          <w:rFonts w:ascii="Times New Roman" w:cs="Times New Roman" w:eastAsia="Times New Roman" w:hAnsi="Times New Roman"/>
          <w:sz w:val="18"/>
          <w:szCs w:val="18"/>
          <w:color w:val="auto"/>
        </w:rPr>
      </w:pPr>
    </w:p>
    <w:p>
      <w:pPr>
        <w:ind w:left="320" w:hanging="314"/>
        <w:spacing w:after="0" w:line="274" w:lineRule="auto"/>
        <w:tabs>
          <w:tab w:leader="none" w:pos="31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income taxes on amounts recorded to AOCI are also recognized in AOCI. These income tax effects are released from AOCI when the related activity is reclassified into results from operations.</w:t>
      </w:r>
    </w:p>
    <w:p>
      <w:pPr>
        <w:sectPr>
          <w:pgSz w:w="11900" w:h="16838" w:orient="portrait"/>
          <w:cols w:equalWidth="0" w:num="1">
            <w:col w:w="11240"/>
          </w:cols>
          <w:pgMar w:left="320" w:top="283" w:right="339" w:bottom="105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83" w:right="339" w:bottom="1052"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Equity (continued)</w:t>
      </w:r>
    </w:p>
    <w:p>
      <w:pPr>
        <w:spacing w:after="0" w:line="200" w:lineRule="exact"/>
        <w:rPr>
          <w:sz w:val="20"/>
          <w:szCs w:val="20"/>
          <w:color w:val="auto"/>
        </w:rPr>
      </w:pPr>
    </w:p>
    <w:p>
      <w:pPr>
        <w:spacing w:after="0" w:line="3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regarding amounts reclassified out of each component of AOCI was as follows:</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Consolidated Statements of</w:t>
            </w:r>
          </w:p>
        </w:tc>
      </w:tr>
      <w:tr>
        <w:trPr>
          <w:trHeight w:val="126"/>
        </w:trPr>
        <w:tc>
          <w:tcPr>
            <w:tcW w:w="4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40" w:type="dxa"/>
            <w:vAlign w:val="bottom"/>
          </w:tcPr>
          <w:p>
            <w:pPr>
              <w:jc w:val="center"/>
              <w:spacing w:after="0" w:line="126" w:lineRule="exact"/>
              <w:rPr>
                <w:sz w:val="20"/>
                <w:szCs w:val="20"/>
                <w:color w:val="auto"/>
              </w:rPr>
            </w:pPr>
            <w:r>
              <w:rPr>
                <w:rFonts w:ascii="Times New Roman" w:cs="Times New Roman" w:eastAsia="Times New Roman" w:hAnsi="Times New Roman"/>
                <w:sz w:val="12"/>
                <w:szCs w:val="12"/>
                <w:b w:val="1"/>
                <w:bCs w:val="1"/>
                <w:color w:val="auto"/>
              </w:rPr>
              <w:t>Operations and Comprehensive Income</w:t>
            </w:r>
          </w:p>
        </w:tc>
      </w:tr>
      <w:tr>
        <w:trPr>
          <w:trHeight w:val="172"/>
        </w:trPr>
        <w:tc>
          <w:tcPr>
            <w:tcW w:w="4680" w:type="dxa"/>
            <w:vAlign w:val="bottom"/>
            <w:gridSpan w:val="2"/>
          </w:tcPr>
          <w:p>
            <w:pPr>
              <w:ind w:left="1780"/>
              <w:spacing w:after="0"/>
              <w:rPr>
                <w:sz w:val="20"/>
                <w:szCs w:val="20"/>
                <w:color w:val="auto"/>
              </w:rPr>
            </w:pPr>
            <w:r>
              <w:rPr>
                <w:rFonts w:ascii="Times New Roman" w:cs="Times New Roman" w:eastAsia="Times New Roman" w:hAnsi="Times New Roman"/>
                <w:sz w:val="12"/>
                <w:szCs w:val="12"/>
                <w:b w:val="1"/>
                <w:bCs w:val="1"/>
                <w:color w:val="auto"/>
              </w:rPr>
              <w:t>AOCI Components</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ind w:left="140"/>
              <w:spacing w:after="0"/>
              <w:rPr>
                <w:sz w:val="20"/>
                <w:szCs w:val="20"/>
                <w:color w:val="auto"/>
              </w:rPr>
            </w:pPr>
            <w:r>
              <w:rPr>
                <w:rFonts w:ascii="Times New Roman" w:cs="Times New Roman" w:eastAsia="Times New Roman" w:hAnsi="Times New Roman"/>
                <w:sz w:val="12"/>
                <w:szCs w:val="12"/>
                <w:b w:val="1"/>
                <w:bCs w:val="1"/>
                <w:color w:val="auto"/>
              </w:rPr>
              <w:t>Amounts Reclassified from AOCI</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(Loss) Locations</w:t>
            </w:r>
          </w:p>
        </w:tc>
      </w:tr>
      <w:tr>
        <w:trPr>
          <w:trHeight w:val="133"/>
        </w:trPr>
        <w:tc>
          <w:tcPr>
            <w:tcW w:w="458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740" w:type="dxa"/>
            <w:vAlign w:val="bottom"/>
            <w:tcBorders>
              <w:top w:val="single" w:sz="8" w:color="auto"/>
            </w:tcBorders>
            <w:gridSpan w:val="4"/>
          </w:tcPr>
          <w:p>
            <w:pPr>
              <w:jc w:val="right"/>
              <w:ind w:right="74"/>
              <w:spacing w:after="0" w:line="133" w:lineRule="exact"/>
              <w:rPr>
                <w:sz w:val="20"/>
                <w:szCs w:val="20"/>
                <w:color w:val="auto"/>
              </w:rPr>
            </w:pPr>
            <w:r>
              <w:rPr>
                <w:rFonts w:ascii="Times New Roman" w:cs="Times New Roman" w:eastAsia="Times New Roman" w:hAnsi="Times New Roman"/>
                <w:sz w:val="12"/>
                <w:szCs w:val="12"/>
                <w:b w:val="1"/>
                <w:bCs w:val="1"/>
                <w:color w:val="auto"/>
              </w:rPr>
              <w:t>Three Months Ended</w:t>
            </w: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gridSpan w:val="4"/>
          </w:tcPr>
          <w:p>
            <w:pPr>
              <w:jc w:val="right"/>
              <w:ind w:right="410"/>
              <w:spacing w:after="0" w:line="133" w:lineRule="exact"/>
              <w:rPr>
                <w:sz w:val="20"/>
                <w:szCs w:val="20"/>
                <w:color w:val="auto"/>
              </w:rPr>
            </w:pPr>
            <w:r>
              <w:rPr>
                <w:rFonts w:ascii="Times New Roman" w:cs="Times New Roman" w:eastAsia="Times New Roman" w:hAnsi="Times New Roman"/>
                <w:sz w:val="12"/>
                <w:szCs w:val="12"/>
                <w:b w:val="1"/>
                <w:bCs w:val="1"/>
                <w:color w:val="auto"/>
              </w:rPr>
              <w:t>Nine Months Ended</w:t>
            </w:r>
          </w:p>
        </w:tc>
        <w:tc>
          <w:tcPr>
            <w:tcW w:w="100" w:type="dxa"/>
            <w:vAlign w:val="bottom"/>
          </w:tcPr>
          <w:p>
            <w:pPr>
              <w:spacing w:after="0"/>
              <w:rPr>
                <w:sz w:val="11"/>
                <w:szCs w:val="11"/>
                <w:color w:val="auto"/>
              </w:rPr>
            </w:pPr>
          </w:p>
        </w:tc>
        <w:tc>
          <w:tcPr>
            <w:tcW w:w="2240" w:type="dxa"/>
            <w:vAlign w:val="bottom"/>
            <w:tcBorders>
              <w:top w:val="single" w:sz="8" w:color="auto"/>
            </w:tcBorders>
          </w:tcPr>
          <w:p>
            <w:pPr>
              <w:spacing w:after="0"/>
              <w:rPr>
                <w:sz w:val="11"/>
                <w:szCs w:val="11"/>
                <w:color w:val="auto"/>
              </w:rPr>
            </w:pPr>
          </w:p>
        </w:tc>
      </w:tr>
      <w:tr>
        <w:trPr>
          <w:trHeight w:val="162"/>
        </w:trPr>
        <w:tc>
          <w:tcPr>
            <w:tcW w:w="4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100" w:type="dxa"/>
            <w:vAlign w:val="bottom"/>
            <w:gridSpan w:val="3"/>
          </w:tcPr>
          <w:p>
            <w:pPr>
              <w:jc w:val="right"/>
              <w:ind w:right="254"/>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September 30,</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3"/>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384"/>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2026</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2025</w:t>
            </w: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2"/>
                <w:szCs w:val="12"/>
                <w:b w:val="1"/>
                <w:bCs w:val="1"/>
                <w:color w:val="auto"/>
              </w:rPr>
              <w:t>2026</w:t>
            </w: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2025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89"/>
        </w:trPr>
        <w:tc>
          <w:tcPr>
            <w:tcW w:w="4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(In millions)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413"/>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0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660" w:type="dxa"/>
            <w:vAlign w:val="bottom"/>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tcPr>
          <w:p>
            <w:pPr>
              <w:spacing w:after="0"/>
              <w:rPr>
                <w:sz w:val="24"/>
                <w:szCs w:val="24"/>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(54)</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investment gains (losses)</w:t>
            </w:r>
          </w:p>
        </w:tc>
      </w:tr>
      <w:tr>
        <w:trPr>
          <w:trHeight w:val="2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42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unrealized investment gains (losses)</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w:t>
            </w: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39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before income tax</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2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39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Net unrealized investment gains (losses), net of income tax</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4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38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Unrealized gains (losses) on derivatives - cash flow hedges:</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0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40" w:type="dxa"/>
            <w:vAlign w:val="bottom"/>
          </w:tcPr>
          <w:p>
            <w:pPr>
              <w:spacing w:after="0"/>
              <w:rPr>
                <w:sz w:val="24"/>
                <w:szCs w:val="24"/>
                <w:color w:val="auto"/>
              </w:rPr>
            </w:pP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34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0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rate swaps</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investment income</w:t>
            </w:r>
          </w:p>
        </w:tc>
      </w:tr>
      <w:tr>
        <w:trPr>
          <w:trHeight w:val="40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Foreign currency swaps</w:t>
            </w: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22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derivative gains (losses)</w:t>
            </w:r>
          </w:p>
        </w:tc>
      </w:tr>
      <w:tr>
        <w:trPr>
          <w:trHeight w:val="24"/>
        </w:trPr>
        <w:tc>
          <w:tcPr>
            <w:tcW w:w="4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39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before income tax</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40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gridSpan w:val="2"/>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2240" w:type="dxa"/>
            <w:vAlign w:val="bottom"/>
          </w:tcPr>
          <w:p>
            <w:pPr>
              <w:spacing w:after="0"/>
              <w:rPr>
                <w:sz w:val="24"/>
                <w:szCs w:val="24"/>
                <w:color w:val="auto"/>
              </w:rPr>
            </w:pPr>
          </w:p>
        </w:tc>
      </w:tr>
      <w:tr>
        <w:trPr>
          <w:trHeight w:val="24"/>
        </w:trPr>
        <w:tc>
          <w:tcPr>
            <w:tcW w:w="4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417"/>
        </w:trPr>
        <w:tc>
          <w:tcPr>
            <w:tcW w:w="46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Gains (losses) on cash flow hedges, net of income tax</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380"/>
        </w:trPr>
        <w:tc>
          <w:tcPr>
            <w:tcW w:w="46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Defined benefit plans adjustment:</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240" w:type="dxa"/>
            <w:vAlign w:val="bottom"/>
          </w:tcPr>
          <w:p>
            <w:pPr>
              <w:spacing w:after="0"/>
              <w:rPr>
                <w:sz w:val="2"/>
                <w:szCs w:val="2"/>
                <w:color w:val="auto"/>
              </w:rPr>
            </w:pPr>
          </w:p>
        </w:tc>
      </w:tr>
      <w:tr>
        <w:trPr>
          <w:trHeight w:val="42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net actuarial gains (losses)</w:t>
            </w:r>
          </w:p>
        </w:tc>
        <w:tc>
          <w:tcPr>
            <w:tcW w:w="64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(5)</w:t>
            </w:r>
          </w:p>
        </w:tc>
        <w:tc>
          <w:tcPr>
            <w:tcW w:w="2240" w:type="dxa"/>
            <w:vAlign w:val="bottom"/>
            <w:tcBorders>
              <w:bottom w:val="single" w:sz="8" w:color="CCEEFF"/>
            </w:tcBorders>
            <w:shd w:val="clear" w:color="auto" w:fill="CCEEFF"/>
          </w:tcPr>
          <w:p>
            <w:pPr>
              <w:spacing w:after="0"/>
              <w:rPr>
                <w:sz w:val="24"/>
                <w:szCs w:val="24"/>
                <w:color w:val="auto"/>
              </w:rPr>
            </w:pPr>
          </w:p>
        </w:tc>
      </w:tr>
      <w:tr>
        <w:trPr>
          <w:trHeight w:val="39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before income tax</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4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424"/>
        </w:trPr>
        <w:tc>
          <w:tcPr>
            <w:tcW w:w="46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 benefit</w:t>
            </w:r>
          </w:p>
        </w:tc>
        <w:tc>
          <w:tcPr>
            <w:tcW w:w="6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shd w:val="clear" w:color="auto" w:fill="CCEEFF"/>
          </w:tcPr>
          <w:p>
            <w:pPr>
              <w:spacing w:after="0"/>
              <w:rPr>
                <w:sz w:val="24"/>
                <w:szCs w:val="24"/>
                <w:color w:val="auto"/>
              </w:rPr>
            </w:pPr>
          </w:p>
        </w:tc>
        <w:tc>
          <w:tcPr>
            <w:tcW w:w="2240" w:type="dxa"/>
            <w:vAlign w:val="bottom"/>
            <w:tcBorders>
              <w:bottom w:val="single" w:sz="8" w:color="CCEEFF"/>
            </w:tcBorders>
            <w:shd w:val="clear" w:color="auto" w:fill="CCEEFF"/>
          </w:tcPr>
          <w:p>
            <w:pPr>
              <w:spacing w:after="0"/>
              <w:rPr>
                <w:sz w:val="24"/>
                <w:szCs w:val="24"/>
                <w:color w:val="auto"/>
              </w:rPr>
            </w:pPr>
          </w:p>
        </w:tc>
      </w:tr>
      <w:tr>
        <w:trPr>
          <w:trHeight w:val="393"/>
        </w:trPr>
        <w:tc>
          <w:tcPr>
            <w:tcW w:w="468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Amortization of defined benefit plans, net of income tax</w:t>
            </w:r>
          </w:p>
        </w:tc>
        <w:tc>
          <w:tcPr>
            <w:tcW w:w="64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4"/>
        </w:trPr>
        <w:tc>
          <w:tcPr>
            <w:tcW w:w="4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40" w:type="dxa"/>
            <w:vAlign w:val="bottom"/>
            <w:tcBorders>
              <w:bottom w:val="single" w:sz="8" w:color="CCEEFF"/>
            </w:tcBorders>
          </w:tcPr>
          <w:p>
            <w:pPr>
              <w:spacing w:after="0"/>
              <w:rPr>
                <w:sz w:val="2"/>
                <w:szCs w:val="2"/>
                <w:color w:val="auto"/>
              </w:rPr>
            </w:pPr>
          </w:p>
        </w:tc>
      </w:tr>
      <w:tr>
        <w:trPr>
          <w:trHeight w:val="437"/>
        </w:trPr>
        <w:tc>
          <w:tcPr>
            <w:tcW w:w="4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reclassifications, net of income tax</w:t>
            </w:r>
          </w:p>
        </w:tc>
        <w:tc>
          <w:tcPr>
            <w:tcW w:w="64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(45)</w:t>
            </w:r>
          </w:p>
        </w:tc>
        <w:tc>
          <w:tcPr>
            <w:tcW w:w="2240" w:type="dxa"/>
            <w:vAlign w:val="bottom"/>
            <w:shd w:val="clear" w:color="auto" w:fill="CCEEFF"/>
          </w:tcPr>
          <w:p>
            <w:pPr>
              <w:spacing w:after="0"/>
              <w:rPr>
                <w:sz w:val="24"/>
                <w:szCs w:val="24"/>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Revenues</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has entered into contracts with mutual funds, fund managers, and their affiliates (collectively, the “Funds”) whereby the Company is paid monthly or quarterly fees (“12b-1 fees”) for providing certain services to customers and distributors of the Funds. The 12b-1 fees, which are included in other revenues, are generally equal to a fixed percentage of the average daily balance of the customer’s investment in a fund. The percentage is specified in the contract between the Company and the Funds. Payments are generally collected when due and are neither refundable nor able to offset future fees.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To earn these fees, the Company performs services such as responding to phone inquiries, maintaining records, providing information to distributors and shareholders about fund performance and providing training to account managers and sales agents. The passage of time reflects the satisfaction of the Company’s performance obligations to the Funds and is used to recognize revenue associated with 12b-1 fees.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revenues included 12b-1 fees of $65 million and $190 million for the three months and nine months ended September 30, 2026, respectively, and $66 million and $195 million for the three months and nine months ended September 30, 2025, respectively, of which substantially all were reported in the Annuities segment.</w:t>
      </w:r>
    </w:p>
    <w:p>
      <w:pPr>
        <w:sectPr>
          <w:pgSz w:w="11900" w:h="16838" w:orient="portrait"/>
          <w:cols w:equalWidth="0" w:num="1">
            <w:col w:w="11240"/>
          </w:cols>
          <w:pgMar w:left="320" w:top="283"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240"/>
          </w:cols>
          <w:pgMar w:left="320" w:top="283" w:right="339" w:bottom="0" w:gutter="0" w:footer="0" w:header="0"/>
          <w:type w:val="continuous"/>
        </w:sectPr>
      </w:pPr>
    </w:p>
    <w:bookmarkStart w:id="69" w:name="page70"/>
    <w:bookmarkEnd w:id="6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194310</wp:posOffset>
            </wp:positionH>
            <wp:positionV relativeFrom="page">
              <wp:posOffset>88900</wp:posOffset>
            </wp:positionV>
            <wp:extent cx="7160260" cy="292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292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Other Revenues and Other Expenses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Information on other expenses was as follows: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Pr>
          <w:p>
            <w:pPr>
              <w:spacing w:after="0"/>
              <w:rPr>
                <w:sz w:val="14"/>
                <w:szCs w:val="14"/>
                <w:color w:val="auto"/>
              </w:rPr>
            </w:pPr>
          </w:p>
        </w:tc>
      </w:tr>
      <w:tr>
        <w:trPr>
          <w:trHeight w:val="186"/>
        </w:trPr>
        <w:tc>
          <w:tcPr>
            <w:tcW w:w="6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60" w:type="dxa"/>
            <w:vAlign w:val="bottom"/>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r>
      <w:tr>
        <w:trPr>
          <w:trHeight w:val="38"/>
        </w:trPr>
        <w:tc>
          <w:tcPr>
            <w:tcW w:w="63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393"/>
        </w:trPr>
        <w:tc>
          <w:tcPr>
            <w:tcW w:w="6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20" w:type="dxa"/>
            <w:vAlign w:val="bottom"/>
            <w:gridSpan w:val="3"/>
          </w:tcPr>
          <w:p>
            <w:pPr>
              <w:jc w:val="right"/>
              <w:ind w:right="34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Compensation</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Contracted services and other labor costs</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Transition services agreements</w:t>
            </w:r>
          </w:p>
        </w:tc>
        <w:tc>
          <w:tcPr>
            <w:tcW w:w="7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 and other taxes, licenses and fees</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Separate account fees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Volume related costs, excluding compensation, net of DAC capitalization</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Borders>
              <w:bottom w:val="single" w:sz="8" w:color="CCEEFF"/>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458"/>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other expenses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1,409</w:t>
            </w:r>
          </w:p>
        </w:tc>
        <w:tc>
          <w:tcPr>
            <w:tcW w:w="10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1,455</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9" w:orient="portrait"/>
          <w:cols w:equalWidth="0" w:num="1">
            <w:col w:w="11240"/>
          </w:cols>
          <w:pgMar w:left="320" w:top="230" w:right="339" w:bottom="0" w:gutter="0" w:footer="0" w:header="0"/>
        </w:sectPr>
      </w:pP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Capitalization of DAC</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6 for additional information on the capitalization of DAC.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Earnings Per Common Share</w:t>
      </w:r>
    </w:p>
    <w:p>
      <w:pPr>
        <w:spacing w:after="0" w:line="1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calculation of earnings per common share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1075055</wp:posOffset>
            </wp:positionV>
            <wp:extent cx="7134860" cy="294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4860" cy="294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5"/>
          <w:szCs w:val="15"/>
          <w:color w:val="auto"/>
        </w:rPr>
        <w:t>Net income (loss) available to Brighthouse Financial, Inc.’s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193675</wp:posOffset>
            </wp:positionV>
            <wp:extent cx="7134860" cy="277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Dilutive effect of share-based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3028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4860" cy="302895"/>
                    </a:xfrm>
                    <a:prstGeom prst="rect">
                      <a:avLst/>
                    </a:prstGeom>
                    <a:noFill/>
                  </pic:spPr>
                </pic:pic>
              </a:graphicData>
            </a:graphic>
          </wp:anchor>
        </w:drawing>
      </w:r>
    </w:p>
    <w:p>
      <w:pPr>
        <w:spacing w:after="0" w:line="2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186690</wp:posOffset>
            </wp:positionV>
            <wp:extent cx="7134860" cy="277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Earnings per common share:</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18415</wp:posOffset>
            </wp:positionV>
            <wp:extent cx="7134860" cy="3111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4860" cy="311150"/>
                    </a:xfrm>
                    <a:prstGeom prst="rect">
                      <a:avLst/>
                    </a:prstGeom>
                    <a:noFill/>
                  </pic:spPr>
                </pic:pic>
              </a:graphicData>
            </a:graphic>
          </wp:anchor>
        </w:drawing>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228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3"/>
                <w:szCs w:val="13"/>
                <w:color w:val="auto"/>
              </w:rPr>
            </w:pPr>
          </w:p>
        </w:tc>
        <w:tc>
          <w:tcPr>
            <w:tcW w:w="218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2"/>
        </w:trPr>
        <w:tc>
          <w:tcPr>
            <w:tcW w:w="240" w:type="dxa"/>
            <w:vAlign w:val="bottom"/>
          </w:tcPr>
          <w:p>
            <w:pPr>
              <w:spacing w:after="0"/>
              <w:rPr>
                <w:sz w:val="16"/>
                <w:szCs w:val="16"/>
                <w:color w:val="auto"/>
              </w:rPr>
            </w:pPr>
          </w:p>
        </w:tc>
        <w:tc>
          <w:tcPr>
            <w:tcW w:w="228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2180" w:type="dxa"/>
            <w:vAlign w:val="bottom"/>
            <w:gridSpan w:val="4"/>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399"/>
        </w:trPr>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920" w:type="dxa"/>
            <w:vAlign w:val="bottom"/>
            <w:tcBorders>
              <w:bottom w:val="single" w:sz="8" w:color="auto"/>
            </w:tcBorders>
            <w:gridSpan w:val="9"/>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393"/>
        </w:trPr>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920" w:type="dxa"/>
            <w:vAlign w:val="bottom"/>
            <w:gridSpan w:val="9"/>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(In millions, except share and per share data)</w:t>
            </w:r>
          </w:p>
        </w:tc>
        <w:tc>
          <w:tcPr>
            <w:tcW w:w="920" w:type="dxa"/>
            <w:vAlign w:val="bottom"/>
          </w:tcPr>
          <w:p>
            <w:pPr>
              <w:spacing w:after="0"/>
              <w:rPr>
                <w:sz w:val="24"/>
                <w:szCs w:val="24"/>
                <w:color w:val="auto"/>
              </w:rPr>
            </w:pPr>
          </w:p>
        </w:tc>
      </w:tr>
      <w:tr>
        <w:trPr>
          <w:trHeight w:val="459"/>
        </w:trPr>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42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Pr>
          <w:p>
            <w:pPr>
              <w:spacing w:after="0"/>
              <w:rPr>
                <w:sz w:val="24"/>
                <w:szCs w:val="24"/>
                <w:color w:val="auto"/>
              </w:rPr>
            </w:pPr>
          </w:p>
        </w:tc>
        <w:tc>
          <w:tcPr>
            <w:tcW w:w="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r>
      <w:tr>
        <w:trPr>
          <w:trHeight w:val="22"/>
        </w:trPr>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64"/>
        </w:trPr>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57,574,853</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57,215,806</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57,482,940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57,624,589</w:t>
            </w:r>
          </w:p>
        </w:tc>
      </w:tr>
      <w:tr>
        <w:trPr>
          <w:trHeight w:val="440"/>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307,333</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297,095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337,240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351,517</w:t>
            </w:r>
          </w:p>
        </w:tc>
      </w:tr>
      <w:tr>
        <w:trPr>
          <w:trHeight w:val="430"/>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57,882,186</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57,512,901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57,820,180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57,976,106</w:t>
            </w: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120" w:type="dxa"/>
            <w:vAlign w:val="bottom"/>
          </w:tcPr>
          <w:p>
            <w:pPr>
              <w:spacing w:after="0"/>
              <w:rPr>
                <w:sz w:val="18"/>
                <w:szCs w:val="18"/>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100" w:type="dxa"/>
            <w:vAlign w:val="bottom"/>
          </w:tcPr>
          <w:p>
            <w:pPr>
              <w:spacing w:after="0"/>
              <w:rPr>
                <w:sz w:val="18"/>
                <w:szCs w:val="18"/>
                <w:color w:val="auto"/>
              </w:rPr>
            </w:pP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428"/>
        </w:trPr>
        <w:tc>
          <w:tcPr>
            <w:tcW w:w="46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7.89</w:t>
            </w:r>
          </w:p>
        </w:tc>
        <w:tc>
          <w:tcPr>
            <w:tcW w:w="120" w:type="dxa"/>
            <w:vAlign w:val="bottom"/>
          </w:tcPr>
          <w:p>
            <w:pPr>
              <w:spacing w:after="0"/>
              <w:rPr>
                <w:sz w:val="24"/>
                <w:szCs w:val="24"/>
                <w:color w:val="auto"/>
              </w:rPr>
            </w:pPr>
          </w:p>
        </w:tc>
        <w:tc>
          <w:tcPr>
            <w:tcW w:w="4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w:t>
            </w:r>
          </w:p>
        </w:tc>
        <w:tc>
          <w:tcPr>
            <w:tcW w:w="100" w:type="dxa"/>
            <w:vAlign w:val="bottom"/>
          </w:tcPr>
          <w:p>
            <w:pPr>
              <w:spacing w:after="0"/>
              <w:rPr>
                <w:sz w:val="24"/>
                <w:szCs w:val="24"/>
                <w:color w:val="auto"/>
              </w:rPr>
            </w:pPr>
          </w:p>
        </w:tc>
        <w:tc>
          <w:tcPr>
            <w:tcW w:w="46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3.78</w:t>
            </w:r>
          </w:p>
        </w:tc>
      </w:tr>
      <w:tr>
        <w:trPr>
          <w:trHeight w:val="22"/>
        </w:trPr>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9" w:orient="portrait"/>
          <w:cols w:equalWidth="0" w:num="2">
            <w:col w:w="5600" w:space="720"/>
            <w:col w:w="4920"/>
          </w:cols>
          <w:pgMar w:left="320" w:top="230" w:right="339" w:bottom="0" w:gutter="0" w:footer="0" w:header="0"/>
          <w:type w:val="continuous"/>
        </w:sectPr>
      </w:pPr>
    </w:p>
    <w:p>
      <w:pPr>
        <w:spacing w:after="0" w:line="2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dilutive effect of share-based awards is calculated using the treasury stock method, which assumes that the proceeds from the exercise of these instruments are used to repurchase shares of common stock at the average market price during the period. See Note 12 of the Notes to the Consolidated Financial Statements included in the 2025 Annual Report for further information on share-based compensation plans.</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For the three months ended September 30, 2025, weighted average shares used for calculating diluted earnings per common share excludes 166,769 shares underlying out-of-the-money stock options, as the inclusion of such shares would be antidilutive under the treasury stock method to the earnings per common share calculation due to the average share price for the three months ended September 30, 2025.</w:t>
      </w:r>
    </w:p>
    <w:p>
      <w:pPr>
        <w:sectPr>
          <w:pgSz w:w="11900" w:h="16839" w:orient="portrait"/>
          <w:cols w:equalWidth="0" w:num="1">
            <w:col w:w="11240"/>
          </w:cols>
          <w:pgMar w:left="320" w:top="230" w:right="339" w:bottom="0" w:gutter="0" w:footer="0" w:header="0"/>
          <w:type w:val="continuous"/>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770" w:right="1440"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Litigation</w:t>
      </w:r>
    </w:p>
    <w:p>
      <w:pPr>
        <w:spacing w:after="0" w:line="115"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 is a defendant in a number of litigation matters. In some of the matters, large or indeterminate amounts, including punitive and treble damages, are sought.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the actual experience of the Company in litigating or resolving through settlement numerous claims over an extended period of time, demonstrates to management that the monetary relief which may be specified in a lawsuit or claim bears little relevance to its merits or disposition value.</w:t>
      </w:r>
    </w:p>
    <w:p>
      <w:pPr>
        <w:spacing w:after="0" w:line="81" w:lineRule="exact"/>
        <w:rPr>
          <w:sz w:val="20"/>
          <w:szCs w:val="20"/>
          <w:color w:val="auto"/>
        </w:rPr>
      </w:pPr>
    </w:p>
    <w:p>
      <w:pPr>
        <w:jc w:val="both"/>
        <w:ind w:left="160" w:firstLine="318"/>
        <w:spacing w:after="0" w:line="282" w:lineRule="auto"/>
        <w:rPr>
          <w:sz w:val="20"/>
          <w:szCs w:val="20"/>
          <w:color w:val="auto"/>
        </w:rPr>
      </w:pPr>
      <w:r>
        <w:rPr>
          <w:rFonts w:ascii="Times New Roman" w:cs="Times New Roman" w:eastAsia="Times New Roman" w:hAnsi="Times New Roman"/>
          <w:sz w:val="17"/>
          <w:szCs w:val="17"/>
          <w:color w:val="auto"/>
        </w:rPr>
        <w:t>The Company also receives and responds to subpoenas or other inquiries seeking a broad range of information from various state and federal regulators, agencies and officials. The issues involved in information requests and regulatory matters vary widely and can include inquiries or investigations concerning the Company’s compliance with applicable insurance and other laws and regulations. The Company cooperates in these inquiries.</w:t>
      </w:r>
    </w:p>
    <w:p>
      <w:pPr>
        <w:spacing w:after="0" w:line="53"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Due to the vagaries of litigation, the outcome of a litigation matter and the amount or range of potential loss at particular points in time may normally be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79"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Company establishes liabilities for litigation and regulatory loss contingencies when it is probable that a loss has been incurred and the amount of the loss can be reasonably estimated. It is possible that some matters could require the Company to pay damages or make other expenditures or establish accruals in amounts that could not be estimated at September 30, 2026.</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 Be Made</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For some loss contingency matters, the Company is able to estimate a reasonably possible range of loss. For such matters where a loss is believed to be reasonably possible, but not probable, no accrual has been made. In addition to amounts accrued for probable and reasonably estimable losses, as of September 30, 2026, the Company estimates the aggregate range of reasonably possible losses to be up to approximately $10 million.</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Matters as to Which an Estimate Cannot Be Made</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For other matters, the Company is not currently able to estimate the reasonably possible loss or range of loss. The Company is often unable to estimate the possible loss or range of loss until developments in such matters have provided sufficient information to support an assessment of the range of possible loss, such as quantification of a damage demand from plaintiffs, discovery from other parties and investigation of factual allegations, rulings by the court on motions or appeals, analysis by experts, and the progress of settlement negotiations. On a quarterly and annual basis, the Company reviews relevant information with respect to litigation contingencies and updates its accruals, disclosures and estimates of reasonably possible losses or ranges of loss based on such reviews.</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Sales Practices Claims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Over the past several years, the Company has faced claims and regulatory inquiries and investigations, alleging improper marketing or sales of individual life insurance policies, annuities or other products. The Company continues to defend vigorously against the claims in these matters. The Company believes adequate provision has been made in its consolidated financial statements for all probable and reasonably estimable losses for sales practices matters.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Cost of Insurance Class Actions</w:t>
      </w:r>
    </w:p>
    <w:p>
      <w:pPr>
        <w:spacing w:after="0" w:line="111"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Richard A. Newton v. Brighthouse Life Insurance Company </w:t>
      </w:r>
      <w:r>
        <w:rPr>
          <w:rFonts w:ascii="Times New Roman" w:cs="Times New Roman" w:eastAsia="Times New Roman" w:hAnsi="Times New Roman"/>
          <w:sz w:val="17"/>
          <w:szCs w:val="17"/>
          <w:color w:val="auto"/>
        </w:rPr>
        <w:t>(U.S. District Court, Northern District of Georgia, Atlanta Division, filed May 8, 2020).</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Plaintiff filed a purported class action lawsuit against Brighthouse Life Insurance Company. Plaintiff was the owner of a universal life (“UL”) insurance policy issued by Travelers Insurance Company, a predecessor to Brighthouse Life Insurance Company. Plaintiff sought to certify a class of all persons who own or owned life insurance policies issued where the terms of the life insurance policy provide or provided, among other things, a guarantee that the cost of insurance (“COI”) rates would not be increased by more than a specified percentage in any contract year. Plaintiff also alleges that COI charges were based on improper factors and should have decreased over time due to improving mortality. Plaintiff’s complaint alleges, among other things, causes of action for breach of contract, fraud, suppression and concealment, and violation of the Georgia Racketeer Influenced and Corrupt Organizations Act. Plaintiff seeks to recover damages, including punitive damages, interest and treble damages, attorneys’ fees, and injunctive and declaratory relief. Brighthouse Life Insurance Company filed a motion to dismiss in June 2020, which was granted in part and denied in part in March 2021. Plaintiff was granted leave to amend the complaint. On January 18, 2023, plaintiff filed a motion on consent to amend the second amended class action complaint to narrow the scope of the class sought to those who own or owned policies issued in Georgia. The motion was granted on January 23, 2023, and the third amended class action complaint was filed on January 23, 2023. On September 5, 2025, the court granted in part plaintiff’s motion for class certification, certifying a class of all persons, who as of May 8, 2015, owned a UL policy issued in Georgia by Brighthouse Life Insurance Company or its predecessors-in-interest on Forms ULXP86 and ULXP88, and who were subject to at least one monthly deduction. On October 31, 2025, the court issued an amended order changing the date as to class certification for breach of contract claims to March 14, 2014 and for Georgia Racketeer Influenced and Corrupt Organizations Act claims to March 14, 2015. The Company intends to vigorously defend this matter.</w:t>
      </w:r>
    </w:p>
    <w:p>
      <w:pPr>
        <w:spacing w:after="0" w:line="71" w:lineRule="exact"/>
        <w:rPr>
          <w:sz w:val="20"/>
          <w:szCs w:val="20"/>
          <w:color w:val="auto"/>
        </w:rPr>
      </w:pPr>
    </w:p>
    <w:p>
      <w:pPr>
        <w:jc w:val="both"/>
        <w:ind w:left="320" w:firstLine="318"/>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Lawrence Martin v. Brighthouse Life Insurance Company </w:t>
      </w:r>
      <w:r>
        <w:rPr>
          <w:rFonts w:ascii="Times New Roman" w:cs="Times New Roman" w:eastAsia="Times New Roman" w:hAnsi="Times New Roman"/>
          <w:sz w:val="17"/>
          <w:szCs w:val="17"/>
          <w:color w:val="auto"/>
        </w:rPr>
        <w:t>(U.S. District Court, Southern District of New York, filed April 6, 2021). Plaintiff filed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purported class action lawsuit against Brighthouse Life Insurance Company. Plaintiff is the owner of a UL insurance policy issued by Travelers Insurance Company, a predecessor to Brighthouse Life Insurance Company. Plaintiff sought to certify a class of similarly situated owners of UL insurance policies issued or administered by defendants and alleges that COI charges were based on improper factors and should have decreased over time due to improving mortality. Plaintiff’s complaint alleges, among other things, causes of action for breach of contract, breach of the covenant of good faith and fair dealing, and unjust enrichment. Plaintiff seeks to recover compensatory damages, attorneys’ fees, interest, and equitable relief including a constructive trust. Brighthouse Life Insurance Company filed a motion to dismiss in June 2021, which was denied in February 2022. On September 25, 2025, the court granted in part plaintiff’s motion for class certification, certifying as to plaintiff’s breach of contract claim based on the alleged failure to decrease COI rates, a nationwide class of owners of UL policies with the product codes ULX or ULXP that contains the language: “We will base these rates only on our future outlook for mortality and expenses.” On October 9, 2025, plaintiff filed a petition for permission to appeal to the United States Court of Appeals for the Second Circuit. On February 11, 2026, the United States Court of Appeals for the Second Circuit denied plaintiff’s petition. On July 27, 2026, Brighthouse Life Insurance Company executed a settlement agreement with plaintiff to settle all actual and potential claims on behalf of the putative class defined in the complaint for approximately $9.3 million. The settlement excludes any policies at issue in </w:t>
      </w:r>
      <w:r>
        <w:rPr>
          <w:rFonts w:ascii="Times New Roman" w:cs="Times New Roman" w:eastAsia="Times New Roman" w:hAnsi="Times New Roman"/>
          <w:sz w:val="17"/>
          <w:szCs w:val="17"/>
          <w:i w:val="1"/>
          <w:iCs w:val="1"/>
          <w:color w:val="auto"/>
        </w:rPr>
        <w:t>Richard A. Newton v. Brighthouse Life Insurance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Company</w:t>
      </w:r>
      <w:r>
        <w:rPr>
          <w:rFonts w:ascii="Times New Roman" w:cs="Times New Roman" w:eastAsia="Times New Roman" w:hAnsi="Times New Roman"/>
          <w:sz w:val="17"/>
          <w:szCs w:val="17"/>
          <w:color w:val="auto"/>
        </w:rPr>
        <w:t>. On September 1, 2026, the court granted preliminary approval of the settlement. The settlement is subject to final court approval.</w:t>
      </w:r>
    </w:p>
    <w:p>
      <w:pPr>
        <w:spacing w:after="0" w:line="7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MOVEit Data Security Incident Litigation</w:t>
      </w:r>
    </w:p>
    <w:p>
      <w:pPr>
        <w:spacing w:after="0" w:line="111"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i w:val="1"/>
          <w:iCs w:val="1"/>
          <w:color w:val="auto"/>
        </w:rPr>
        <w:t>Kennedy v. Progress Software Corporation, et al</w:t>
      </w:r>
      <w:r>
        <w:rPr>
          <w:rFonts w:ascii="Times New Roman" w:cs="Times New Roman" w:eastAsia="Times New Roman" w:hAnsi="Times New Roman"/>
          <w:sz w:val="18"/>
          <w:szCs w:val="18"/>
          <w:color w:val="auto"/>
        </w:rPr>
        <w:t>. (U.S. District Court, District of Massachusetts, filed October 3, 2023). BHF has been named 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defendant in a purported class action lawsuit. The action relates to a data security incident at an alleged third-party vendor, PBI Research Services (“PBI”), and allegedly involves the MOVEit file transfer system that PBI uses in its provision of services (“MOVEit Incident”). As it relates to BHF, plaintiff seeks to certify a subclass of persons whose private information was allegedly maintained by BHF and accessed or acquired in relation to the MOVEit Incident. Plaintiff alleges, among other things, that BHF negligently chose to utilize PBI to store and transfer plaintiff’s and purported class members’ private information despite PBI’s use of the MOVEit software which plaintiff contends contained security vulnerabilities. The complaint asserts claims against BHF for negligence, negligence per se, and unjust enrichment, and plaintiff seeks declaratory and injunctive relief, damages, attorneys’ fees and prejudgment interest. The court dismissed claims for injunctive relief against BHF, but denied the remainder of a motion to dismiss based on plaintiff’s lack of standing. BHF intends to vigorously defend this matter.</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Summary</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Various litigations, claims and assessments against the Company, in addition to those discussed previously and those otherwise provided for in the Company’s consolidated financial statements, have arisen in the course of the Company’s business, including, but not limited to, in connection with its activities as an insurer, investor and taxpayer. Further, state insurance regulatory authorities and other federal and state authorities regularly make inquiries and conduct investigations concerning the Company’s compliance with applicable insurance and other laws and regulations.</w:t>
      </w:r>
    </w:p>
    <w:p>
      <w:pPr>
        <w:spacing w:after="0" w:line="74" w:lineRule="exact"/>
        <w:rPr>
          <w:sz w:val="20"/>
          <w:szCs w:val="20"/>
          <w:color w:val="auto"/>
        </w:rPr>
      </w:pPr>
    </w:p>
    <w:p>
      <w:pPr>
        <w:jc w:val="both"/>
        <w:ind w:left="320" w:firstLine="318"/>
        <w:spacing w:after="0" w:line="250" w:lineRule="auto"/>
        <w:rPr>
          <w:sz w:val="20"/>
          <w:szCs w:val="20"/>
          <w:color w:val="auto"/>
        </w:rPr>
      </w:pPr>
      <w:r>
        <w:rPr>
          <w:rFonts w:ascii="Times New Roman" w:cs="Times New Roman" w:eastAsia="Times New Roman" w:hAnsi="Times New Roman"/>
          <w:sz w:val="18"/>
          <w:szCs w:val="18"/>
          <w:color w:val="auto"/>
        </w:rPr>
        <w:t>It is not possible to predict the ultimate outcome of all pending investigations and legal proceedings. In some of the matters referred to previously, large or indeterminate amounts, including punitive and treble damages, are sought. Although, in light of these considerations, it is possible that an adverse outcome in certain cases could have a material effect upon the Company’s financial position, based on information currently known by the Company’s management, in its opinion, the outcomes of such pending investigations and legal proceedings are not likely to have such an effect. However, given the large or indeterminate amounts sought in certain of these matters and the inherent unpredictability of litigation, it is possible that an adverse outcome in certain matters could, from time to time, have a material effect on the Company’s consolidated net income or cash flows in particular quarterly or annual periods.</w:t>
      </w:r>
    </w:p>
    <w:p>
      <w:pPr>
        <w:spacing w:after="0" w:line="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Loss Contingencies</w:t>
      </w:r>
    </w:p>
    <w:p>
      <w:pPr>
        <w:spacing w:after="0" w:line="115" w:lineRule="exact"/>
        <w:rPr>
          <w:sz w:val="20"/>
          <w:szCs w:val="20"/>
          <w:color w:val="auto"/>
        </w:rPr>
      </w:pPr>
    </w:p>
    <w:p>
      <w:pPr>
        <w:jc w:val="both"/>
        <w:ind w:left="160" w:firstLine="318"/>
        <w:spacing w:after="0" w:line="249" w:lineRule="auto"/>
        <w:rPr>
          <w:sz w:val="20"/>
          <w:szCs w:val="20"/>
          <w:color w:val="auto"/>
        </w:rPr>
      </w:pPr>
      <w:r>
        <w:rPr>
          <w:rFonts w:ascii="Times New Roman" w:cs="Times New Roman" w:eastAsia="Times New Roman" w:hAnsi="Times New Roman"/>
          <w:sz w:val="18"/>
          <w:szCs w:val="18"/>
          <w:color w:val="auto"/>
        </w:rPr>
        <w:t>As with litigation and regulatory loss contingencies, the Company considers establishing liabilities for loss contingencies associated with disputes or other matters involving third parties, including counterparties to contractual arrangements entered into by the Company (e.g., third-party vendors and reinsurers), as well as with tax or other authorities (“other loss contingencies”). The Company establishes liabilities for such other loss contingencies when it is probable that a loss will be incurred and the amount of the loss can be reasonably estimated. In matters where it is not probable, but is reasonably possible that a loss will be incurred and the amount of loss can be reasonably estimated, such losses or range of losses are disclosed, and no accrual is made. In the absence of sufficient information to support an assessment of the reasonably possible loss or range of loss, no accrual is made and no loss or range of loss is disclosed. On a quarterly basis, the Company reviews relevant information with respect to other loss contingencies and, when applicable, updates its accruals, disclosures and estimates of reasonably possible losses or estimated ranges of loss based on such reviews.</w:t>
      </w:r>
    </w:p>
    <w:p>
      <w:pPr>
        <w:spacing w:after="0" w:line="8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Company’s tax-related matters have involved disputes with taxing authorities, ongoing audits, evaluation of filing positions and any potential assessments related thereto. In the matters where the Company’s subsidiaries are acting as the reinsured or the reinsurer, such reinsurance matters have involved assertions by third parties primarily related to rates, fees or reinsured benefit calculations, and certain of such reinsurance matters have resulted in arbitration. As of September 30, 2026, the Company estimates the range of reasonably possible losses in excess of the amounts accrued for certain other loss contingencies to be from zero up to approximately $50 million relating to certain tax and reinsurance matters, as described above. For certain other matters, the Company may not currently be able to estimate the reasonably possible loss or estimated range of loss until developments in such matters have provided sufficient information to support an assessment of such loss.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Mortgage Loan Commitments</w:t>
      </w:r>
    </w:p>
    <w:p>
      <w:pPr>
        <w:spacing w:after="0" w:line="115"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lend funds under mortgage loan commitments. The amounts of these mortgage loan commitments were $477 million and $436 million at September 30, 2026 and December 31, 2025, respectively.</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Commitments to Fund Partnership Investments, Bank Credit Facilities and Private Corporate Bond Investments</w:t>
      </w:r>
    </w:p>
    <w:p>
      <w:pPr>
        <w:spacing w:after="0" w:line="115"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Company commits to fund partnership investments and to lend funds under bank credit facilities and private corporate bond investments. The amounts of these unfunded commitments were $1.2 billion and $1.4 billion at September 30, 2026 and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10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Brighthouse Financial, Inc.</w:t>
      </w:r>
    </w:p>
    <w:p>
      <w:pPr>
        <w:spacing w:after="0" w:line="11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Notes to the Interim Condensed Consolidated Financial Statements (Unaudited) (continued)</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Contingencies, Commitments and Guarantees (continued)</w:t>
      </w: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Guarantees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the normal course of its business, the Company has provided certain indemnities, guarantees and commitments to third parties such that it may be required to make payments now or in the future. In the context of reinsurance, acquisition, disposition, investment and other transactions, the Company has provided indemnities and guarantees, including those related to tax, environmental and other specific liabilities and other indemnities and guarantees that are triggered by, among other things, breaches of representations, warranties or covenants provided by the Company. In addition, in the normal course of business, the Company provides indemnifications to counterparties in contracts with triggers similar to the foregoing, as well as for certain other liabilities, such as third-party lawsuits. These obligations are often subject to time limitations that vary in duration, including contractual limitations and those that arise by operation of law, such as applicable statutes of limitation. In some cases, the maximum potential obligation under the indemnities and guarantees is subject to a contractual limitation with a cumulative maximum of $82 million, while in other cases such limitations are not specified or applicable. Since certain of these obligations are not subject to limitations, the Company does not believe that it is possible to determine the maximum potential amount that could become due under these guarantees in the future. Management believes that it is unlikely the Company will have to make any material payments under these indemnities, guarantees, or commitments.</w:t>
      </w:r>
    </w:p>
    <w:p>
      <w:pPr>
        <w:spacing w:after="0" w:line="8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addition, the Company indemnifies its directors and officers as provided in its charters and bylaws. Also, the Company indemnifies its agents for liabilities incurred as a result of their representation of the Company’s interests. Since these indemnities are generally not subject to limitation with respect to duration or amount, the Company does not believe that it is possible to determine the maximum potential amount that could become due under these indemnities in the future.</w:t>
      </w:r>
    </w:p>
    <w:p>
      <w:pPr>
        <w:spacing w:after="0" w:line="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Company did not have any liabilities recorded for indemnities, guarantees and commitments at both September 30, 2026 and December 31, 2025.</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80" w:type="dxa"/>
            <w:vAlign w:val="bottom"/>
            <w:gridSpan w:val="6"/>
          </w:tcPr>
          <w:p>
            <w:pPr>
              <w:ind w:left="260"/>
              <w:spacing w:after="0"/>
              <w:rPr>
                <w:sz w:val="20"/>
                <w:szCs w:val="20"/>
                <w:color w:val="auto"/>
              </w:rPr>
            </w:pPr>
            <w:r>
              <w:rPr>
                <w:rFonts w:ascii="Times New Roman" w:cs="Times New Roman" w:eastAsia="Times New Roman" w:hAnsi="Times New Roman"/>
                <w:sz w:val="18"/>
                <w:szCs w:val="18"/>
                <w:b w:val="1"/>
                <w:bCs w:val="1"/>
                <w:color w:val="auto"/>
              </w:rPr>
              <w:t>Index to Management’s Discussion and Analysis of Financial Condition and Results of Operations</w:t>
            </w: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03"/>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000" w:type="dxa"/>
            <w:vAlign w:val="bottom"/>
            <w:gridSpan w:val="4"/>
          </w:tcPr>
          <w:p>
            <w:pPr>
              <w:jc w:val="center"/>
              <w:ind w:left="552"/>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218"/>
        </w:trPr>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Introduction</w:t>
            </w:r>
          </w:p>
        </w:tc>
        <w:tc>
          <w:tcPr>
            <w:tcW w:w="9060" w:type="dxa"/>
            <w:vAlign w:val="bottom"/>
            <w:gridSpan w:val="10"/>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Borders>
              <w:top w:val="single" w:sz="8" w:color="auto"/>
            </w:tcBorders>
          </w:tcPr>
          <w:p>
            <w:pPr>
              <w:spacing w:after="0"/>
              <w:rPr>
                <w:sz w:val="19"/>
                <w:szCs w:val="19"/>
                <w:color w:val="auto"/>
              </w:rPr>
            </w:pPr>
          </w:p>
        </w:tc>
      </w:tr>
      <w:tr>
        <w:trPr>
          <w:trHeight w:val="218"/>
        </w:trPr>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Executive Summary</w:t>
            </w:r>
          </w:p>
        </w:tc>
        <w:tc>
          <w:tcPr>
            <w:tcW w:w="9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99"/>
              </w:rPr>
              <w:t>61</w:t>
            </w:r>
          </w:p>
        </w:tc>
        <w:tc>
          <w:tcPr>
            <w:tcW w:w="100" w:type="dxa"/>
            <w:vAlign w:val="bottom"/>
          </w:tcPr>
          <w:p>
            <w:pPr>
              <w:spacing w:after="0"/>
              <w:rPr>
                <w:sz w:val="19"/>
                <w:szCs w:val="19"/>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15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7"/>
              </w:rPr>
              <w:t>Recent Developments</w:t>
            </w:r>
          </w:p>
        </w:tc>
        <w:tc>
          <w:tcPr>
            <w:tcW w:w="8380" w:type="dxa"/>
            <w:vAlign w:val="bottom"/>
            <w:gridSpan w:val="7"/>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62</w:t>
            </w:r>
          </w:p>
        </w:tc>
        <w:tc>
          <w:tcPr>
            <w:tcW w:w="100" w:type="dxa"/>
            <w:vAlign w:val="bottom"/>
          </w:tcPr>
          <w:p>
            <w:pPr>
              <w:spacing w:after="0"/>
              <w:rPr>
                <w:sz w:val="19"/>
                <w:szCs w:val="19"/>
                <w:color w:val="auto"/>
              </w:rPr>
            </w:pPr>
          </w:p>
        </w:tc>
      </w:tr>
      <w:tr>
        <w:trPr>
          <w:trHeight w:val="218"/>
        </w:trPr>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Industry Trends and Uncertainties</w:t>
            </w:r>
          </w:p>
        </w:tc>
        <w:tc>
          <w:tcPr>
            <w:tcW w:w="9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99"/>
              </w:rPr>
              <w:t>63</w:t>
            </w:r>
          </w:p>
        </w:tc>
        <w:tc>
          <w:tcPr>
            <w:tcW w:w="100" w:type="dxa"/>
            <w:vAlign w:val="bottom"/>
          </w:tcPr>
          <w:p>
            <w:pPr>
              <w:spacing w:after="0"/>
              <w:rPr>
                <w:sz w:val="19"/>
                <w:szCs w:val="19"/>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30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Summary of Critical Accounting Estimates</w:t>
            </w:r>
          </w:p>
        </w:tc>
        <w:tc>
          <w:tcPr>
            <w:tcW w:w="6880" w:type="dxa"/>
            <w:vAlign w:val="bottom"/>
            <w:gridSpan w:val="2"/>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64</w:t>
            </w:r>
          </w:p>
        </w:tc>
        <w:tc>
          <w:tcPr>
            <w:tcW w:w="100" w:type="dxa"/>
            <w:vAlign w:val="bottom"/>
          </w:tcPr>
          <w:p>
            <w:pPr>
              <w:spacing w:after="0"/>
              <w:rPr>
                <w:sz w:val="19"/>
                <w:szCs w:val="19"/>
                <w:color w:val="auto"/>
              </w:rPr>
            </w:pPr>
          </w:p>
        </w:tc>
      </w:tr>
      <w:tr>
        <w:trPr>
          <w:trHeight w:val="218"/>
        </w:trPr>
        <w:tc>
          <w:tcPr>
            <w:tcW w:w="24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7"/>
              </w:rPr>
              <w:t>Non-GAAP Financial Disclosures</w:t>
            </w:r>
          </w:p>
        </w:tc>
        <w:tc>
          <w:tcPr>
            <w:tcW w:w="7520" w:type="dxa"/>
            <w:vAlign w:val="bottom"/>
            <w:gridSpan w:val="3"/>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65</w:t>
            </w:r>
          </w:p>
        </w:tc>
        <w:tc>
          <w:tcPr>
            <w:tcW w:w="100" w:type="dxa"/>
            <w:vAlign w:val="bottom"/>
          </w:tcPr>
          <w:p>
            <w:pPr>
              <w:spacing w:after="0"/>
              <w:rPr>
                <w:sz w:val="19"/>
                <w:szCs w:val="19"/>
                <w:color w:val="auto"/>
              </w:rPr>
            </w:pPr>
          </w:p>
        </w:tc>
      </w:tr>
      <w:tr>
        <w:trPr>
          <w:trHeight w:val="218"/>
        </w:trPr>
        <w:tc>
          <w:tcPr>
            <w:tcW w:w="15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7"/>
              </w:rPr>
              <w:t>Results of Operations</w:t>
            </w:r>
          </w:p>
        </w:tc>
        <w:tc>
          <w:tcPr>
            <w:tcW w:w="8400" w:type="dxa"/>
            <w:vAlign w:val="bottom"/>
            <w:gridSpan w:val="8"/>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66</w:t>
            </w:r>
          </w:p>
        </w:tc>
        <w:tc>
          <w:tcPr>
            <w:tcW w:w="100" w:type="dxa"/>
            <w:vAlign w:val="bottom"/>
          </w:tcPr>
          <w:p>
            <w:pPr>
              <w:spacing w:after="0"/>
              <w:rPr>
                <w:sz w:val="19"/>
                <w:szCs w:val="19"/>
                <w:color w:val="auto"/>
              </w:rPr>
            </w:pPr>
          </w:p>
        </w:tc>
      </w:tr>
      <w:tr>
        <w:trPr>
          <w:trHeight w:val="218"/>
        </w:trPr>
        <w:tc>
          <w:tcPr>
            <w:tcW w:w="8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Investments</w:t>
            </w:r>
          </w:p>
        </w:tc>
        <w:tc>
          <w:tcPr>
            <w:tcW w:w="9080" w:type="dxa"/>
            <w:vAlign w:val="bottom"/>
            <w:gridSpan w:val="11"/>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79</w:t>
            </w:r>
          </w:p>
        </w:tc>
        <w:tc>
          <w:tcPr>
            <w:tcW w:w="100" w:type="dxa"/>
            <w:vAlign w:val="bottom"/>
          </w:tcPr>
          <w:p>
            <w:pPr>
              <w:spacing w:after="0"/>
              <w:rPr>
                <w:sz w:val="19"/>
                <w:szCs w:val="19"/>
                <w:color w:val="auto"/>
              </w:rPr>
            </w:pPr>
          </w:p>
        </w:tc>
      </w:tr>
      <w:tr>
        <w:trPr>
          <w:trHeight w:val="218"/>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Derivatives</w:t>
            </w:r>
          </w:p>
        </w:tc>
        <w:tc>
          <w:tcPr>
            <w:tcW w:w="9120" w:type="dxa"/>
            <w:vAlign w:val="bottom"/>
            <w:gridSpan w:val="12"/>
          </w:tcPr>
          <w:p>
            <w:pPr>
              <w:spacing w:after="0"/>
              <w:rPr>
                <w:sz w:val="19"/>
                <w:szCs w:val="19"/>
                <w:color w:val="auto"/>
              </w:rPr>
            </w:pPr>
          </w:p>
        </w:tc>
        <w:tc>
          <w:tcPr>
            <w:tcW w:w="720" w:type="dxa"/>
            <w:vAlign w:val="bottom"/>
            <w:gridSpan w:val="2"/>
          </w:tcPr>
          <w:p>
            <w:pPr>
              <w:spacing w:after="0"/>
              <w:rPr>
                <w:sz w:val="19"/>
                <w:szCs w:val="19"/>
                <w:color w:val="auto"/>
              </w:rPr>
            </w:pPr>
          </w:p>
        </w:tc>
        <w:tc>
          <w:tcPr>
            <w:tcW w:w="1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99"/>
              </w:rPr>
              <w:t>88</w:t>
            </w:r>
          </w:p>
        </w:tc>
        <w:tc>
          <w:tcPr>
            <w:tcW w:w="100" w:type="dxa"/>
            <w:vAlign w:val="bottom"/>
          </w:tcPr>
          <w:p>
            <w:pPr>
              <w:spacing w:after="0"/>
              <w:rPr>
                <w:sz w:val="19"/>
                <w:szCs w:val="19"/>
                <w:color w:val="auto"/>
              </w:rPr>
            </w:pPr>
          </w:p>
        </w:tc>
      </w:tr>
      <w:tr>
        <w:trPr>
          <w:trHeight w:val="218"/>
        </w:trPr>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Policyholder Liabilities</w:t>
            </w:r>
          </w:p>
        </w:tc>
        <w:tc>
          <w:tcPr>
            <w:tcW w:w="9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99"/>
              </w:rPr>
              <w:t>89</w:t>
            </w:r>
          </w:p>
        </w:tc>
        <w:tc>
          <w:tcPr>
            <w:tcW w:w="100" w:type="dxa"/>
            <w:vAlign w:val="bottom"/>
          </w:tcPr>
          <w:p>
            <w:pPr>
              <w:spacing w:after="0"/>
              <w:rPr>
                <w:sz w:val="19"/>
                <w:szCs w:val="19"/>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9"/>
        </w:trPr>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Liquidity and Capital Resources</w:t>
            </w:r>
          </w:p>
        </w:tc>
        <w:tc>
          <w:tcPr>
            <w:tcW w:w="9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99"/>
              </w:rPr>
              <w:t>91</w:t>
            </w:r>
          </w:p>
        </w:tc>
        <w:tc>
          <w:tcPr>
            <w:tcW w:w="100" w:type="dxa"/>
            <w:vAlign w:val="bottom"/>
          </w:tcPr>
          <w:p>
            <w:pPr>
              <w:spacing w:after="0"/>
              <w:rPr>
                <w:sz w:val="19"/>
                <w:szCs w:val="19"/>
                <w:color w:val="auto"/>
              </w:rPr>
            </w:pPr>
          </w:p>
        </w:tc>
      </w:tr>
      <w:tr>
        <w:trPr>
          <w:trHeight w:val="20"/>
        </w:trPr>
        <w:tc>
          <w:tcPr>
            <w:tcW w:w="2280" w:type="dxa"/>
            <w:vAlign w:val="bottom"/>
            <w:gridSpan w:val="8"/>
            <w:shd w:val="clear" w:color="auto" w:fill="0000FF"/>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8"/>
        </w:trPr>
        <w:tc>
          <w:tcPr>
            <w:tcW w:w="9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Note Regarding Forward-Looking Statements</w:t>
            </w:r>
          </w:p>
        </w:tc>
        <w:tc>
          <w:tcPr>
            <w:tcW w:w="900" w:type="dxa"/>
            <w:vAlign w:val="bottom"/>
            <w:gridSpan w:val="3"/>
          </w:tcPr>
          <w:p>
            <w:pPr>
              <w:jc w:val="center"/>
              <w:ind w:left="632"/>
              <w:spacing w:after="0"/>
              <w:rPr>
                <w:sz w:val="20"/>
                <w:szCs w:val="20"/>
                <w:color w:val="auto"/>
              </w:rPr>
            </w:pPr>
            <w:r>
              <w:rPr>
                <w:rFonts w:ascii="Times New Roman" w:cs="Times New Roman" w:eastAsia="Times New Roman" w:hAnsi="Times New Roman"/>
                <w:sz w:val="18"/>
                <w:szCs w:val="18"/>
                <w:color w:val="0000FF"/>
                <w:w w:val="99"/>
              </w:rPr>
              <w:t>99</w:t>
            </w:r>
          </w:p>
        </w:tc>
        <w:tc>
          <w:tcPr>
            <w:tcW w:w="100" w:type="dxa"/>
            <w:vAlign w:val="bottom"/>
          </w:tcPr>
          <w:p>
            <w:pPr>
              <w:spacing w:after="0"/>
              <w:rPr>
                <w:sz w:val="19"/>
                <w:szCs w:val="19"/>
                <w:color w:val="auto"/>
              </w:rPr>
            </w:pPr>
          </w:p>
        </w:tc>
      </w:tr>
      <w:tr>
        <w:trPr>
          <w:trHeight w:val="20"/>
        </w:trPr>
        <w:tc>
          <w:tcPr>
            <w:tcW w:w="8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230" w:right="6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For purposes of this discussion, “Brighthouse Financial,” the “Company,” “we,” “our” and “us” refer to Brighthouse Financial, Inc. and its subsidiaries, and “BHF” refers solely to Brighthouse Financial, Inc., the ultimate holding company for all of our subsidiaries, and not to any of its subsidiaries. This Management’s Discussion and Analysis of Financial Condition and Results of Operations should be read in conjunction with (i) the Interim Condensed Consolidated Financial Statements and related notes included elsewhere herein; (ii) our Annual Report on Form 10-K for the year ended December 31, 2025 (the “2025 Annual Report”) filed with the U.S. Securities and Exchange Commission (“SEC”) on February 24, 2026; (iii) our Quarterly Report on Form 10-Q for the quarter ended March 31, 2026 (the “First Quarter Form 10-Q”) filed with the SEC on May 7, 2026; (iv) our Quarterly Report on Form 10-Q for the quarter ended June 30, 2026 (the “Second Quarter Form 10-Q” and, together with the First Quarter Form 10-Q, the “Quarterly Reports”) filed with the SEC on August 6, 2026; and (v) our current reports on Form 8-K filed in 2026.</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intended to help the reader understand the results of operations, financial condition and cash flows of Brighthouse Financial for the periods indicated. Prior to discussing our results of operations, we present information that we believe is useful to understanding the discussion of our financial results. This information precedes our results of operations discussion and is most beneficial when read in the sequence presented. A summary of key informational sections is as follows:</w:t>
      </w:r>
    </w:p>
    <w:p>
      <w:pPr>
        <w:spacing w:after="0" w:line="74" w:lineRule="exact"/>
        <w:rPr>
          <w:sz w:val="20"/>
          <w:szCs w:val="20"/>
          <w:color w:val="auto"/>
        </w:rPr>
      </w:pPr>
    </w:p>
    <w:p>
      <w:pPr>
        <w:ind w:left="640" w:hanging="316"/>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provides summarized information regarding our business, segments and financial results.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Trends and Uncertainties” discusses updates and changes to a number of trends and uncertainties included in our 2025 Annual Report that we believe may materially affect our future financial condition, results of operations or cash flows.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“Summary of Critical Accounting Estimates” explains what we believe to be the most critical estimates and judgments applied in determining our results in accordance with accounting principles generally accepted in the United States of America (“GAAP”).</w:t>
      </w:r>
    </w:p>
    <w:p>
      <w:pPr>
        <w:spacing w:after="0" w:line="57" w:lineRule="exact"/>
        <w:rPr>
          <w:rFonts w:ascii="Times New Roman" w:cs="Times New Roman" w:eastAsia="Times New Roman" w:hAnsi="Times New Roman"/>
          <w:sz w:val="18"/>
          <w:szCs w:val="18"/>
          <w:color w:val="auto"/>
        </w:rPr>
      </w:pPr>
    </w:p>
    <w:p>
      <w:pPr>
        <w:jc w:val="both"/>
        <w:ind w:left="640" w:hanging="316"/>
        <w:spacing w:after="0" w:line="252"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“Non-GAAP Financial Disclosures” defines key financial measures presented in our results of operations discussion that are not calculated in accordance with GAAP but are used by management in evaluating company and segment performance. As described in this section, adjusted earnings is presented by key business activities which are derived, but different, from the line items presented in the GAAP statements of operations. This section also refers to certain other terms used to describe our insurance business and financial and operating metrics but is not intended to be exhaustive.</w:t>
      </w:r>
    </w:p>
    <w:p>
      <w:pPr>
        <w:spacing w:after="0" w:line="13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Results of Operations discussion and analysis presents a review for the three months and nine months ended September 30, 2026 and 2025 and period-over-period, as well as year-over-year, comparisons between these periods.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66"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7"/>
          <w:szCs w:val="17"/>
          <w:color w:val="auto"/>
        </w:rPr>
        <w:t>We are one of the largest providers of annuity and life insurance products in the U.S. through multiple independent distribution channels and marketing arrangements with a diverse network of distribution partners. We are organized into the following reportable segments: Annuities; Life; Run-off; and Corporate &amp; Other. See “Business — Segment Information” and “Management’s Discussion and Analysis of Financial Condition and Results of Operations</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Executive Summary” included in our 2025 Annual Report, as well as Note 2 of the Notes to the Interim Condensed Consolidated Financial Statements for further information regarding our segments.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income (loss) available to shareholders and adjusted earnings (loss), a non-GAAP financial measure,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 (1)</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vMerge w:val="restart"/>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shd w:val="clear" w:color="auto" w:fill="CCEEFF"/>
          </w:tcPr>
          <w:p>
            <w:pPr>
              <w:spacing w:after="0"/>
              <w:rPr>
                <w:sz w:val="19"/>
                <w:szCs w:val="19"/>
                <w:color w:val="auto"/>
              </w:rPr>
            </w:pPr>
          </w:p>
        </w:tc>
        <w:tc>
          <w:tcPr>
            <w:tcW w:w="720" w:type="dxa"/>
            <w:vAlign w:val="bottom"/>
            <w:vMerge w:val="restart"/>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1,211</w:t>
            </w:r>
          </w:p>
        </w:tc>
        <w:tc>
          <w:tcPr>
            <w:tcW w:w="120" w:type="dxa"/>
            <w:vAlign w:val="bottom"/>
            <w:shd w:val="clear" w:color="auto" w:fill="CCEEFF"/>
          </w:tcPr>
          <w:p>
            <w:pPr>
              <w:spacing w:after="0"/>
              <w:rPr>
                <w:sz w:val="19"/>
                <w:szCs w:val="19"/>
                <w:color w:val="auto"/>
              </w:rPr>
            </w:pPr>
          </w:p>
        </w:tc>
        <w:tc>
          <w:tcPr>
            <w:tcW w:w="360" w:type="dxa"/>
            <w:vAlign w:val="bottom"/>
            <w:vMerge w:val="restart"/>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 (1)</w:t>
            </w:r>
          </w:p>
        </w:tc>
        <w:tc>
          <w:tcPr>
            <w:tcW w:w="740" w:type="dxa"/>
            <w:vAlign w:val="bottom"/>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 (1)</w:t>
            </w:r>
          </w:p>
        </w:tc>
        <w:tc>
          <w:tcPr>
            <w:tcW w:w="740" w:type="dxa"/>
            <w:vAlign w:val="bottom"/>
            <w:tcBorders>
              <w:bottom w:val="single" w:sz="8" w:color="auto"/>
            </w:tcBorders>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2"/>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320" w:type="dxa"/>
            <w:vAlign w:val="bottom"/>
            <w:vMerge w:val="continue"/>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use the term “net income (loss) available to shareholders” to refer to “net income (loss) available to Brighthouse Financial, Inc.’s common shareholders” and “adjusted loss” to refer to negative adjusted earnings values throughout the results of operations discussions.</w:t>
      </w:r>
    </w:p>
    <w:p>
      <w:pPr>
        <w:spacing w:after="0" w:line="11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three months ended September 30, 2026, we had net income available to shareholders of $302 million and adjusted earnings of $527 million compared to net income available to shareholders of $453 million and adjusted earnings of $970 million for the three months ended September 30, 2025. Net income available to shareholders for the three months ended September 30, 2026 primarily reflects pre-tax adjusted earnings, partially offset by an unfavorable change in the estimated fair value of freestanding interest rate derivatives we use to hedge our universal life with secondary guarantees (“ULSG”) business, unfavorable changes in our Shield embedded derivatives and variable annuity and Shield hedges, net of the estimated fair value of our variable annuity guaranteed benefit riders due to market factors, and net investment losses on mortgage loans.</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nine months ended September 30, 2026, we had net income available to shareholders of $466 million and adjusted earnings of $1.0 billion compared to net income available to shareholders of $219 million and adjusted earnings of $1.4 billion for the nine months ended September 30, 2025. Net income available to shareholders for the nine months ended September 30, 2026 primarily reflects pre-tax adjusted earnings, partially offset by unfavorable changes in our Shield embedded derivatives net of the estimated fair value of our variable annuity guaranteed benefit riders, as well as variable annuity and Shield hedges due to market factors, an unfavorable change in the estimated fair value of freestanding interest rate derivatives we use to hedge our ULSG business, net investment losses on sales of fixed maturity securities and net investment losses on mortgage loans.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 Non-GAAP Financial Disclosures.” See “— Results of Operations” for a detailed discussion of our results.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November 6, 2025, BHF entered into an Agreement and Plan of Merger (the “Merger Agreement”) with Aquarian Holdings VI L.P., a Delaware limited partnership (“Aquarian Parent”), Aquarian Beacon Merger Sub Inc., a Delaware corporation and an indirect wholly-owned subsidiary of Aquarian Parent (“Merger Sub”), and Aquarian Holdings LLC, a Delaware limited liability company, solely for the purpose of certain provisions, pursuant to which, at the closing of the transactions contemplated by the Merger Agreement, Merger Sub will merge with and into BHF, and the separate corporate existence of Merger Sub will cease, with BHF continuing as the surviving corporation and as a wholly-owned subsidiary of Aquarian Parent (the “Merger”).</w:t>
      </w:r>
    </w:p>
    <w:p>
      <w:pPr>
        <w:spacing w:after="0" w:line="13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Pursuant to the Merger Agreement, at the effective time of the Merger (the “Effective Time”), each share of our common stock issued and outstanding immediately prior to the Effective Time will be converted into the right to receive $70.00 per share, net in cash, without interest and less any amounts that are required to be deducted or withheld under applicable law.</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Merger Agreement was adopted by BHF stockholders at the special meeting held on February 12, 2026, and the applicable waiting period under the Hart-Scott-Rodino Antitrust Improvements Act of 1976, as amended, expired on January 20, 2026. On May 19, 2026, the Financial Industry Regulatory Authority approved the change of control of Brighthouse</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Securities, LLC. In addition, on June 18, 2026, the Committee on Foreign Investment in the United States informed the parties that it had concluded its review and that there were no unresolved national security concerns.</w:t>
      </w:r>
    </w:p>
    <w:p>
      <w:pPr>
        <w:spacing w:after="0" w:line="11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The completion of the Merger remains subject to the receipt of insurance regulatory approvals in Delaware, New York and Massachusetts. All other conditions to the closing of the Merger have been satisfied or waived (other than those conditions that, by their terms, are to be satisfied at the closing and are capable of being satisfied at the closing). Pursuant to the terms of the Merger Agreement, on September 6, 2026, the Merger Agreement was automatically extended to December 6, 2026 (the “Outside Date”). The Company or Aquarian Parent may terminate the Merger Agreement if the closing has not occurred by the Outside Date.</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regulatory review process is ongoing, and the necessary regulatory approvals are not expected to be received in time to complete the Merger by the Outside Date. Accordingly, the Company and Aquarian Parent currently are in discussions regarding amending the Merger Agreement to extend the Outside Date and remain committed to the Merger, although there can be no assurance that the Company and Aquarian Parent will ultimately agree on an extension or that the Merger will be completed by any such new outside date (or at all).</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“Risks Related to the Merger — The completion of the Merger is subject to a number of conditions, many of which are largely outside the parties’ control, and, if these conditions are not satisfied or waived, the Merger may not be completed within the expected timeframe or at all” included in our 2025 Annual Report, updated as described above to reflect the anticipated timing of the closing of the Merger.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Trends and Uncertainties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Throughout this Management’s Discussion and Analysis of Financial Condition and Results of Operations, we discuss a number of trends and uncertainties that we believe may materially affect our future financial condition, results of operations or cash flows. Where these trends or uncertainties are specific to a particular aspect of our business, we often include such a discussion under the relevant caption of this Management’s Discussion and Analysis of Financial Condition and Results of Operations, as part of our broader analysis of that area of our business. Refer to “Management’s Discussion and Analysis of Financial Condition and Results of Operations — Industry Trends and Uncertainties” included in our 2025 Annual Report, as amended or supplemented by our subsequent Quarterly Reports and herein, for a comprehensive discussion of some of the key general trends and uncertainties that have influenced the development of our business and our historical financial performance and that we believe will continue to influence our business and results of operations in the future.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and Economic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7"/>
          <w:szCs w:val="17"/>
          <w:color w:val="auto"/>
        </w:rPr>
        <w:t>Our business and results of operations are materially affected by conditions in the capital markets and the economy generally. Stressed conditions, volatility and disruptions in the capital markets or financial asset classes can have an adverse effect on us. Equity market performance can affect our profitability for variable annuities, Shield</w:t>
      </w:r>
      <w:r>
        <w:rPr>
          <w:rFonts w:ascii="Times New Roman" w:cs="Times New Roman" w:eastAsia="Times New Roman" w:hAnsi="Times New Roman"/>
          <w:sz w:val="21"/>
          <w:szCs w:val="21"/>
          <w:b w:val="1"/>
          <w:bCs w:val="1"/>
          <w:color w:val="auto"/>
          <w:vertAlign w:val="superscript"/>
        </w:rPr>
        <w:t>®</w:t>
      </w:r>
      <w:r>
        <w:rPr>
          <w:rFonts w:ascii="Times New Roman" w:cs="Times New Roman" w:eastAsia="Times New Roman" w:hAnsi="Times New Roman"/>
          <w:sz w:val="17"/>
          <w:szCs w:val="17"/>
          <w:color w:val="auto"/>
        </w:rPr>
        <w:t xml:space="preserve"> Level Annuities (“Shield,” “Shield Annuity” and “Shield Annuities”) and other separate account products as a result of the effects it has on product demand, revenues, expenses, reserves and our risk management effectiveness. The Federal Reserve Board (the “Federal Reserve”) increased the target range for the federal funds rate on September 16, 2026 and decreased the target range for the federal funds rate in September, October and December 2025. Any future change to the target range for the federal funds rate may negatively impact our business in certain respects, including our investment portfolio, by lowering the level of long-term interest rates and changing the shape of the yield curve. The level of long-term interest rates and the shape of the yield curve can have a negative effect on the profitability for variable annuities, as well as the demand for, and the profitability of, spread-based products such as fixed annuities, index-linked annuities and universal life insurance. Low interest rates and risk premium, including credit spreads, affect new money rates on invested assets and the cost of product guarantees. Insurance premium growth and demand for our products is impacted by the general health of U.S. economic activity. A sustained or material increase in inflation could also affect our business in several ways. During inflationary periods, the value of fixed income investments falls, which could increase realized and unrealized losses. Inflation also increases our expenses (including, among others, for labor and third-party services), potentially putting pressure on profitability if such costs cannot be passed through to policyholders in our product prices. Prolonged and elevated inflation could adversely affect the financial markets and the economy generally and dispelling it may require governments to pursue restrictive fiscal and monetary policies, which could constrain overall economic activity and inhibit revenue growth. Events involving limited liquidity, defaults, nonperformance, fraud or other adverse developments that affect financial institutions or the financial services industry generally, or concerns or rumors about events of these kinds or other similar risks, could adversely affect market-wide liquidity, which could increase the risk of a recession or an equity market downturn and negatively impact various portions of our business, including our investment portfolio. See “Risk Factors — Economic Environment and Capital Markets-Related Risks — If difficult conditions in the capital markets and the U.S. economy generally persist or are</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perceived to persist, they may materially adversely affect our business and results of operations”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above factors affect our expectations regarding future margins. We review our long-term assumptions about capital markets returns and interest rates, along with other assumptions such as contract holder behavior, as part of our annual actuarial review (“AAR”). As additional company specific or industry information on contract holder behavior becomes available, related assumptions may change and may potentially have a material impact on liability valuations and net income.</w:t>
      </w:r>
    </w:p>
    <w:p>
      <w:pPr>
        <w:spacing w:after="0" w:line="74"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7"/>
          <w:szCs w:val="17"/>
          <w:color w:val="auto"/>
        </w:rPr>
        <w:t>We continue to closely monitor political and economic conditions that might contribute to market volatility and their impact on our business operations, investment portfolio and derivatives, such as global inflation, tariffs and sanctions imposed or threatened by the U.S. or foreign governments, higher fuel and energy costs, uncertainty and instability in certain asset classes (including commercial real estate and private credit), supply chain disruptions and recent geopolitical conflicts, including in Europe and the Middle East, as well as the risk of further escalation or expansion of such conflicts. See “— Investments — Current Environment” herein, as well as “Risk Factors — Economic Environment and Capital Markets-Related Risks,” “Risk Factors — Risks Related to Our Investment Portfolio,” “Management’s Discussion and Analysis of Financial Condition and Results of Operations — Risk Management Strategies,” “Management’s Discussion and Analysis of Financial Condition and Results of Operations — Industry Trends and Uncertainties” and “Management’s Discussion and Analysis of Financial Condition and Results of Operations — Investments” included in our 2025 Annual Report for a detailed discussion of financial and economic impacts on our business, including the potential impacts of interest rate risk and inflation risk on our investments and overall business.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Developments</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insurance subsidiaries and Brighthouse Reinsurance Company of Delaware (“BRCD”) are primarily regulated at the state level, with some products and services also subject to federal regulation. In addition, BHF and its insurance subsidiaries are subject to regulation under the insurance holding company laws of various U.S. jurisdictions. Furthermore, some of our operations, products and services are subject to the Employee Retirement Income Security Act of 1974, consumer protection laws, securities, broker-dealer and investment advisor regulations, as well as environmental and unclaimed property laws and regulations. See “Business — Regulation,” as well as “Risk Factors — Regulatory and Legal Risks” included in our 2025 Annual Report, as amended or supplemented by our subsequent quarterly reports under the heading “Management’s Discussion and Analysis of Financial Condition and Results of Operations — Industry Trends and Uncertainties — Regulatory Developments.”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Critical Accounting Estimates</w:t>
      </w:r>
    </w:p>
    <w:p>
      <w:pPr>
        <w:spacing w:after="0" w:line="166"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and make estimates and assumptions that affect amounts reported on the Interim Condensed Consolidated Financial Statements.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most critical estimates include those used in determining:</w:t>
      </w:r>
    </w:p>
    <w:p>
      <w:pPr>
        <w:spacing w:after="0" w:line="111" w:lineRule="exact"/>
        <w:rPr>
          <w:sz w:val="20"/>
          <w:szCs w:val="20"/>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future policy benefits;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market risk benefits (“MRB”);</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fair values of freestanding derivatives and the recognition and estimated fair value of embedded derivatives requiring bifurcation; and</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measurement of income taxes and the valuation of deferred tax assets.</w:t>
      </w:r>
    </w:p>
    <w:p>
      <w:pPr>
        <w:spacing w:after="0" w:line="16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applying our accounting policies, we make subjective and complex judgments that frequently require estimates about matters that are inherently uncertain. Many of these policies, estimates and related judgments are common in the insurance and financial services industries; others are specific to our business and operations. Actual results could differ from these estimates.</w:t>
      </w:r>
    </w:p>
    <w:p>
      <w:pPr>
        <w:spacing w:after="0" w:line="12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above critical accounting estimates are described in “Management’s Discussion and Analysis of Financial Condition and Results of Operations — Summary of Critical Accounting Estimates” and Note 1 of the Notes to the Consolidated Financial Statements included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Disclosures</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present certain measures of our performance that are not calculated in accordance with GAAP. Our definitions of non-GAAP financial measures may differ from those used by other companies.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Earnings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Adjusted earnings is a financial measure used by management to evaluate performance and facilitate comparisons to industry results. We believe the presentation of adjusted earnings, as the Company measures it for management purposes, enhances the understanding of our performance by the investor community by highlighting the results of operations and the underlying profitability drivers of our business. Adjusted earnings should not be viewed as a substitute for net income (loss) available to Brighthouse Financial, Inc.’s common shareholders, which is the most directly comparable financial measure calculated in accordance with GAAP. See “— Results of Operations” for a reconciliation of adjusted earnings to net income (loss) available to Brighthouse Financial, Inc.’s common shareholders.</w:t>
      </w:r>
    </w:p>
    <w:p>
      <w:pPr>
        <w:spacing w:after="0" w:line="7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Adjusted earnings, which may be positive or negative, focuses on our primary businesses by excluding the impact of market volatility, which could distort trends.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revenues in calculating adjusted earnings:</w:t>
      </w:r>
    </w:p>
    <w:p>
      <w:pPr>
        <w:spacing w:after="0" w:line="111" w:lineRule="exact"/>
        <w:rPr>
          <w:sz w:val="20"/>
          <w:szCs w:val="20"/>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gains (losses) on trading securities measured at estimated fair value through net investment income;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derivative gains (losses), excluding earned income and amortization of premium on derivatives that are hedges of investments or that are used to replicate certain investments, but do not qualify for hedge accounting treatment (“Investment Hedge Adjustments”).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are excluded from total expenses in calculating adjusted earnings:</w:t>
      </w:r>
    </w:p>
    <w:p>
      <w:pPr>
        <w:spacing w:after="0" w:line="111"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MRBs; and</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value of the crediting rate on experience-rated contracts and market value adjustments on institutional group annuities that are economically offset by gains (losses) on the related trading securities (“Market Value Adjustments”).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related to adjusted earnings is calculated using the statutory tax rate of 21%, net of impacts related to the dividends received deduction, tax credits and current period non-recurring items.</w:t>
      </w:r>
    </w:p>
    <w:p>
      <w:pPr>
        <w:spacing w:after="0" w:line="5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present adjusted earnings in a manner consistent with management’s view of the primary business activities that drive the profitability of our core businesses. The following table illustrates how each component of adjusted earnings is calculated from the GAAP statements of operations line items: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51"/>
        </w:trPr>
        <w:tc>
          <w:tcPr>
            <w:tcW w:w="4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Component of Adjusted Earnings</w:t>
            </w:r>
          </w:p>
        </w:tc>
        <w:tc>
          <w:tcPr>
            <w:tcW w:w="71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8"/>
                <w:szCs w:val="18"/>
                <w:b w:val="1"/>
                <w:bCs w:val="1"/>
                <w:color w:val="auto"/>
              </w:rPr>
              <w:t>How Derived from GAAP (1)</w:t>
            </w:r>
          </w:p>
        </w:tc>
      </w:tr>
      <w:tr>
        <w:trPr>
          <w:trHeight w:val="238"/>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Fee income</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(i)</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 xml:space="preserve">Universal life and investment-type product policy fees </w:t>
            </w:r>
            <w:r>
              <w:rPr>
                <w:rFonts w:ascii="Times New Roman" w:cs="Times New Roman" w:eastAsia="Times New Roman" w:hAnsi="Times New Roman"/>
                <w:sz w:val="18"/>
                <w:szCs w:val="18"/>
                <w:color w:val="auto"/>
              </w:rPr>
              <w:t>plus</w:t>
            </w:r>
            <w:r>
              <w:rPr>
                <w:rFonts w:ascii="Times New Roman" w:cs="Times New Roman" w:eastAsia="Times New Roman" w:hAnsi="Times New Roman"/>
                <w:sz w:val="18"/>
                <w:szCs w:val="18"/>
                <w:i w:val="1"/>
                <w:iCs w:val="1"/>
                <w:color w:val="auto"/>
              </w:rPr>
              <w:t xml:space="preserve"> Other revenues</w:t>
            </w:r>
            <w:r>
              <w:rPr>
                <w:rFonts w:ascii="Times New Roman" w:cs="Times New Roman" w:eastAsia="Times New Roman" w:hAnsi="Times New Roman"/>
                <w:sz w:val="18"/>
                <w:szCs w:val="18"/>
                <w:color w:val="auto"/>
              </w:rPr>
              <w:t>.</w:t>
            </w:r>
          </w:p>
        </w:tc>
      </w:tr>
      <w:tr>
        <w:trPr>
          <w:trHeight w:val="185"/>
        </w:trPr>
        <w:tc>
          <w:tcPr>
            <w:tcW w:w="380" w:type="dxa"/>
            <w:vAlign w:val="bottom"/>
            <w:shd w:val="clear" w:color="auto" w:fill="CCEEFF"/>
          </w:tcPr>
          <w:p>
            <w:pPr>
              <w:ind w:left="2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368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color w:val="auto"/>
              </w:rPr>
              <w:t>Net investment spread</w:t>
            </w:r>
          </w:p>
        </w:tc>
        <w:tc>
          <w:tcPr>
            <w:tcW w:w="920" w:type="dxa"/>
            <w:vAlign w:val="bottom"/>
            <w:shd w:val="clear" w:color="auto" w:fill="CCEEFF"/>
          </w:tcPr>
          <w:p>
            <w:pPr>
              <w:ind w:left="560"/>
              <w:spacing w:after="0" w:line="186" w:lineRule="exact"/>
              <w:rPr>
                <w:sz w:val="20"/>
                <w:szCs w:val="20"/>
                <w:color w:val="auto"/>
              </w:rPr>
            </w:pPr>
            <w:r>
              <w:rPr>
                <w:rFonts w:ascii="Times New Roman" w:cs="Times New Roman" w:eastAsia="Times New Roman" w:hAnsi="Times New Roman"/>
                <w:sz w:val="18"/>
                <w:szCs w:val="18"/>
                <w:color w:val="auto"/>
              </w:rPr>
              <w:t>(ii)</w:t>
            </w:r>
          </w:p>
        </w:tc>
        <w:tc>
          <w:tcPr>
            <w:tcW w:w="6260" w:type="dxa"/>
            <w:vAlign w:val="bottom"/>
            <w:shd w:val="clear" w:color="auto" w:fill="CCEEFF"/>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w w:val="98"/>
              </w:rPr>
              <w:t xml:space="preserve">Net investment income </w:t>
            </w:r>
            <w:r>
              <w:rPr>
                <w:rFonts w:ascii="Times New Roman" w:cs="Times New Roman" w:eastAsia="Times New Roman" w:hAnsi="Times New Roman"/>
                <w:sz w:val="18"/>
                <w:szCs w:val="18"/>
                <w:color w:val="auto"/>
                <w:w w:val="98"/>
              </w:rPr>
              <w:t>(excluding investment gains (losses) on trading securities) plus</w:t>
            </w:r>
          </w:p>
        </w:tc>
      </w:tr>
      <w:tr>
        <w:trPr>
          <w:trHeight w:val="178"/>
        </w:trPr>
        <w:tc>
          <w:tcPr>
            <w:tcW w:w="380" w:type="dxa"/>
            <w:vAlign w:val="bottom"/>
            <w:shd w:val="clear" w:color="auto" w:fill="CCEEFF"/>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260" w:type="dxa"/>
            <w:vAlign w:val="bottom"/>
            <w:shd w:val="clear" w:color="auto" w:fill="CCEEFF"/>
          </w:tcPr>
          <w:p>
            <w:pPr>
              <w:ind w:left="100"/>
              <w:spacing w:after="0" w:line="178" w:lineRule="exact"/>
              <w:rPr>
                <w:sz w:val="20"/>
                <w:szCs w:val="20"/>
                <w:color w:val="auto"/>
              </w:rPr>
            </w:pPr>
            <w:r>
              <w:rPr>
                <w:rFonts w:ascii="Times New Roman" w:cs="Times New Roman" w:eastAsia="Times New Roman" w:hAnsi="Times New Roman"/>
                <w:sz w:val="18"/>
                <w:szCs w:val="18"/>
                <w:color w:val="auto"/>
              </w:rPr>
              <w:t xml:space="preserve">Investment Hedge Adjustments reduced by </w:t>
            </w:r>
            <w:r>
              <w:rPr>
                <w:rFonts w:ascii="Times New Roman" w:cs="Times New Roman" w:eastAsia="Times New Roman" w:hAnsi="Times New Roman"/>
                <w:sz w:val="18"/>
                <w:szCs w:val="18"/>
                <w:i w:val="1"/>
                <w:iCs w:val="1"/>
                <w:color w:val="auto"/>
              </w:rPr>
              <w:t>Interest credited to policyholder account</w:t>
            </w:r>
          </w:p>
        </w:tc>
      </w:tr>
      <w:tr>
        <w:trPr>
          <w:trHeight w:val="232"/>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w w:val="98"/>
              </w:rPr>
              <w:t xml:space="preserve">balances </w:t>
            </w:r>
            <w:r>
              <w:rPr>
                <w:rFonts w:ascii="Times New Roman" w:cs="Times New Roman" w:eastAsia="Times New Roman" w:hAnsi="Times New Roman"/>
                <w:sz w:val="18"/>
                <w:szCs w:val="18"/>
                <w:color w:val="auto"/>
                <w:w w:val="98"/>
              </w:rPr>
              <w:t>(excluding Market Value Adjustments) and interest on future policy benefits.</w:t>
            </w:r>
          </w:p>
        </w:tc>
      </w:tr>
      <w:tr>
        <w:trPr>
          <w:trHeight w:val="185"/>
        </w:trPr>
        <w:tc>
          <w:tcPr>
            <w:tcW w:w="380" w:type="dxa"/>
            <w:vAlign w:val="bottom"/>
          </w:tcPr>
          <w:p>
            <w:pPr>
              <w:ind w:left="2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368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color w:val="auto"/>
              </w:rPr>
              <w:t>Insurance-related activities</w:t>
            </w:r>
          </w:p>
        </w:tc>
        <w:tc>
          <w:tcPr>
            <w:tcW w:w="920" w:type="dxa"/>
            <w:vAlign w:val="bottom"/>
          </w:tcPr>
          <w:p>
            <w:pPr>
              <w:ind w:left="560"/>
              <w:spacing w:after="0" w:line="186" w:lineRule="exact"/>
              <w:rPr>
                <w:sz w:val="20"/>
                <w:szCs w:val="20"/>
                <w:color w:val="auto"/>
              </w:rPr>
            </w:pPr>
            <w:r>
              <w:rPr>
                <w:rFonts w:ascii="Times New Roman" w:cs="Times New Roman" w:eastAsia="Times New Roman" w:hAnsi="Times New Roman"/>
                <w:sz w:val="18"/>
                <w:szCs w:val="18"/>
                <w:color w:val="auto"/>
              </w:rPr>
              <w:t>(iii)</w:t>
            </w:r>
          </w:p>
        </w:tc>
        <w:tc>
          <w:tcPr>
            <w:tcW w:w="6260" w:type="dxa"/>
            <w:vAlign w:val="bottom"/>
          </w:tcPr>
          <w:p>
            <w:pPr>
              <w:ind w:left="100"/>
              <w:spacing w:after="0" w:line="186" w:lineRule="exact"/>
              <w:rPr>
                <w:sz w:val="20"/>
                <w:szCs w:val="20"/>
                <w:color w:val="auto"/>
              </w:rPr>
            </w:pPr>
            <w:r>
              <w:rPr>
                <w:rFonts w:ascii="Times New Roman" w:cs="Times New Roman" w:eastAsia="Times New Roman" w:hAnsi="Times New Roman"/>
                <w:sz w:val="18"/>
                <w:szCs w:val="18"/>
                <w:i w:val="1"/>
                <w:iCs w:val="1"/>
                <w:color w:val="auto"/>
              </w:rPr>
              <w:t xml:space="preserve">Premiums </w:t>
            </w:r>
            <w:r>
              <w:rPr>
                <w:rFonts w:ascii="Times New Roman" w:cs="Times New Roman" w:eastAsia="Times New Roman" w:hAnsi="Times New Roman"/>
                <w:sz w:val="18"/>
                <w:szCs w:val="18"/>
                <w:color w:val="auto"/>
              </w:rPr>
              <w:t>less</w:t>
            </w:r>
            <w:r>
              <w:rPr>
                <w:rFonts w:ascii="Times New Roman" w:cs="Times New Roman" w:eastAsia="Times New Roman" w:hAnsi="Times New Roman"/>
                <w:sz w:val="18"/>
                <w:szCs w:val="18"/>
                <w:i w:val="1"/>
                <w:iCs w:val="1"/>
                <w:color w:val="auto"/>
              </w:rPr>
              <w:t xml:space="preserve"> Policyholder benefits and claims</w:t>
            </w:r>
            <w:r>
              <w:rPr>
                <w:rFonts w:ascii="Times New Roman" w:cs="Times New Roman" w:eastAsia="Times New Roman" w:hAnsi="Times New Roman"/>
                <w:sz w:val="18"/>
                <w:szCs w:val="18"/>
                <w:color w:val="auto"/>
              </w:rPr>
              <w:t>, excluding interest on future policy</w:t>
            </w:r>
          </w:p>
        </w:tc>
      </w:tr>
      <w:tr>
        <w:trPr>
          <w:trHeight w:val="235"/>
        </w:trPr>
        <w:tc>
          <w:tcPr>
            <w:tcW w:w="38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benefits.</w:t>
            </w:r>
          </w:p>
        </w:tc>
      </w:tr>
      <w:tr>
        <w:trPr>
          <w:trHeight w:val="189"/>
        </w:trPr>
        <w:tc>
          <w:tcPr>
            <w:tcW w:w="3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8"/>
                <w:szCs w:val="18"/>
                <w:color w:val="auto"/>
              </w:rPr>
              <w:t>(iv)</w:t>
            </w:r>
          </w:p>
        </w:tc>
        <w:tc>
          <w:tcPr>
            <w:tcW w:w="368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color w:val="auto"/>
              </w:rPr>
              <w:t>Amortization of DAC and VOBA</w:t>
            </w:r>
          </w:p>
        </w:tc>
        <w:tc>
          <w:tcPr>
            <w:tcW w:w="920" w:type="dxa"/>
            <w:vAlign w:val="bottom"/>
            <w:shd w:val="clear" w:color="auto" w:fill="CCEEFF"/>
          </w:tcPr>
          <w:p>
            <w:pPr>
              <w:ind w:left="560"/>
              <w:spacing w:after="0" w:line="189" w:lineRule="exact"/>
              <w:rPr>
                <w:sz w:val="20"/>
                <w:szCs w:val="20"/>
                <w:color w:val="auto"/>
              </w:rPr>
            </w:pPr>
            <w:r>
              <w:rPr>
                <w:rFonts w:ascii="Times New Roman" w:cs="Times New Roman" w:eastAsia="Times New Roman" w:hAnsi="Times New Roman"/>
                <w:sz w:val="18"/>
                <w:szCs w:val="18"/>
                <w:color w:val="auto"/>
              </w:rPr>
              <w:t>(iv)</w:t>
            </w:r>
          </w:p>
        </w:tc>
        <w:tc>
          <w:tcPr>
            <w:tcW w:w="6260" w:type="dxa"/>
            <w:vAlign w:val="bottom"/>
            <w:shd w:val="clear" w:color="auto" w:fill="CCEEFF"/>
          </w:tcPr>
          <w:p>
            <w:pPr>
              <w:ind w:left="100"/>
              <w:spacing w:after="0" w:line="189" w:lineRule="exact"/>
              <w:rPr>
                <w:sz w:val="20"/>
                <w:szCs w:val="20"/>
                <w:color w:val="auto"/>
              </w:rPr>
            </w:pPr>
            <w:r>
              <w:rPr>
                <w:rFonts w:ascii="Times New Roman" w:cs="Times New Roman" w:eastAsia="Times New Roman" w:hAnsi="Times New Roman"/>
                <w:sz w:val="18"/>
                <w:szCs w:val="18"/>
                <w:i w:val="1"/>
                <w:iCs w:val="1"/>
                <w:color w:val="auto"/>
              </w:rPr>
              <w:t>Amortization of deferred policy acquisition costs (“DAC”) and value of business</w:t>
            </w:r>
          </w:p>
        </w:tc>
      </w:tr>
      <w:tr>
        <w:trPr>
          <w:trHeight w:val="238"/>
        </w:trPr>
        <w:tc>
          <w:tcPr>
            <w:tcW w:w="380" w:type="dxa"/>
            <w:vAlign w:val="bottom"/>
            <w:shd w:val="clear" w:color="auto" w:fill="CCEEFF"/>
          </w:tcPr>
          <w:p>
            <w:pPr>
              <w:spacing w:after="0"/>
              <w:rPr>
                <w:sz w:val="20"/>
                <w:szCs w:val="20"/>
                <w:color w:val="auto"/>
              </w:rPr>
            </w:pPr>
          </w:p>
        </w:tc>
        <w:tc>
          <w:tcPr>
            <w:tcW w:w="36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i w:val="1"/>
                <w:iCs w:val="1"/>
                <w:color w:val="auto"/>
              </w:rPr>
              <w:t>acquired (“VOBA”)</w:t>
            </w:r>
            <w:r>
              <w:rPr>
                <w:rFonts w:ascii="Times New Roman" w:cs="Times New Roman" w:eastAsia="Times New Roman" w:hAnsi="Times New Roman"/>
                <w:sz w:val="18"/>
                <w:szCs w:val="18"/>
                <w:color w:val="auto"/>
              </w:rPr>
              <w:t>.</w:t>
            </w:r>
          </w:p>
        </w:tc>
      </w:tr>
      <w:tr>
        <w:trPr>
          <w:trHeight w:val="240"/>
        </w:trPr>
        <w:tc>
          <w:tcPr>
            <w:tcW w:w="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3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expenses</w:t>
            </w:r>
          </w:p>
        </w:tc>
        <w:tc>
          <w:tcPr>
            <w:tcW w:w="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(v)</w:t>
            </w:r>
          </w:p>
        </w:tc>
        <w:tc>
          <w:tcPr>
            <w:tcW w:w="626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Other expenses.</w:t>
            </w:r>
          </w:p>
        </w:tc>
      </w:tr>
      <w:tr>
        <w:trPr>
          <w:trHeight w:val="199"/>
        </w:trPr>
        <w:tc>
          <w:tcPr>
            <w:tcW w:w="380" w:type="dxa"/>
            <w:vAlign w:val="bottom"/>
          </w:tcPr>
          <w:p>
            <w:pPr>
              <w:ind w:left="20"/>
              <w:spacing w:after="0" w:line="200" w:lineRule="exact"/>
              <w:rPr>
                <w:sz w:val="20"/>
                <w:szCs w:val="20"/>
                <w:color w:val="auto"/>
              </w:rPr>
            </w:pPr>
            <w:r>
              <w:rPr>
                <w:rFonts w:ascii="Times New Roman" w:cs="Times New Roman" w:eastAsia="Times New Roman" w:hAnsi="Times New Roman"/>
                <w:sz w:val="18"/>
                <w:szCs w:val="18"/>
                <w:color w:val="auto"/>
              </w:rPr>
              <w:t>(vi)</w:t>
            </w:r>
          </w:p>
        </w:tc>
        <w:tc>
          <w:tcPr>
            <w:tcW w:w="3680" w:type="dxa"/>
            <w:vAlign w:val="bottom"/>
          </w:tcPr>
          <w:p>
            <w:pPr>
              <w:ind w:left="100"/>
              <w:spacing w:after="0" w:line="200" w:lineRule="exact"/>
              <w:rPr>
                <w:sz w:val="20"/>
                <w:szCs w:val="20"/>
                <w:color w:val="auto"/>
              </w:rPr>
            </w:pPr>
            <w:r>
              <w:rPr>
                <w:rFonts w:ascii="Times New Roman" w:cs="Times New Roman" w:eastAsia="Times New Roman" w:hAnsi="Times New Roman"/>
                <w:sz w:val="18"/>
                <w:szCs w:val="18"/>
                <w:color w:val="auto"/>
              </w:rPr>
              <w:t>Provision for income tax expense (benefit)</w:t>
            </w:r>
          </w:p>
        </w:tc>
        <w:tc>
          <w:tcPr>
            <w:tcW w:w="920" w:type="dxa"/>
            <w:vAlign w:val="bottom"/>
          </w:tcPr>
          <w:p>
            <w:pPr>
              <w:ind w:left="560"/>
              <w:spacing w:after="0" w:line="200" w:lineRule="exact"/>
              <w:rPr>
                <w:sz w:val="20"/>
                <w:szCs w:val="20"/>
                <w:color w:val="auto"/>
              </w:rPr>
            </w:pPr>
            <w:r>
              <w:rPr>
                <w:rFonts w:ascii="Times New Roman" w:cs="Times New Roman" w:eastAsia="Times New Roman" w:hAnsi="Times New Roman"/>
                <w:sz w:val="18"/>
                <w:szCs w:val="18"/>
                <w:color w:val="auto"/>
              </w:rPr>
              <w:t>(vi)</w:t>
            </w:r>
          </w:p>
        </w:tc>
        <w:tc>
          <w:tcPr>
            <w:tcW w:w="6260" w:type="dxa"/>
            <w:vAlign w:val="bottom"/>
          </w:tcPr>
          <w:p>
            <w:pPr>
              <w:ind w:left="100"/>
              <w:spacing w:after="0" w:line="200" w:lineRule="exact"/>
              <w:rPr>
                <w:sz w:val="20"/>
                <w:szCs w:val="20"/>
                <w:color w:val="auto"/>
              </w:rPr>
            </w:pPr>
            <w:r>
              <w:rPr>
                <w:rFonts w:ascii="Times New Roman" w:cs="Times New Roman" w:eastAsia="Times New Roman" w:hAnsi="Times New Roman"/>
                <w:sz w:val="18"/>
                <w:szCs w:val="18"/>
                <w:color w:val="auto"/>
              </w:rPr>
              <w:t>Tax impact of the above items, calculated using the statutory tax rate of 21%, net 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-126365</wp:posOffset>
            </wp:positionV>
            <wp:extent cx="7134860" cy="37846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4860" cy="378460"/>
                    </a:xfrm>
                    <a:prstGeom prst="rect">
                      <a:avLst/>
                    </a:prstGeom>
                    <a:noFill/>
                  </pic:spPr>
                </pic:pic>
              </a:graphicData>
            </a:graphic>
          </wp:anchor>
        </w:drawing>
      </w:r>
    </w:p>
    <w:p>
      <w:pPr>
        <w:ind w:left="5080" w:right="20"/>
        <w:spacing w:after="0" w:line="230" w:lineRule="auto"/>
        <w:rPr>
          <w:sz w:val="20"/>
          <w:szCs w:val="20"/>
          <w:color w:val="auto"/>
        </w:rPr>
      </w:pPr>
      <w:r>
        <w:rPr>
          <w:rFonts w:ascii="Times New Roman" w:cs="Times New Roman" w:eastAsia="Times New Roman" w:hAnsi="Times New Roman"/>
          <w:sz w:val="18"/>
          <w:szCs w:val="18"/>
          <w:color w:val="auto"/>
        </w:rPr>
        <w:t>impacts related to the dividends received deduction, tax credits and current period non-recurring items.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Italicized items indicate GAAP statements of operations line items.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Consistent with GAAP guidance for segment reporting, adjusted earnings is also our GAAP measure of segment performance. Accordingly, we report adjusted earnings by segment in Note 2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net investment income is used by management to measure our performance, and we believe it enhances the understanding of our investment portfolio results. Adjusted net investment income represents GAAP net investment income plus Investment Hedge Adjustments less investment gains (losses) on trading securities. For a reconciliation of adjusted net investment income to net investment income, the most directly comparable GAAP measure, see table note (3) to the summary yield table located in “— Investments — Current Environment — Investment Portfolio Results.”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Investment Income Yield</w:t>
      </w:r>
    </w:p>
    <w:p>
      <w:pPr>
        <w:spacing w:after="0" w:line="115"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Similar to adjusted net investment income, adjusted net investment income yield is used by management as a performance measure that we believe enhances the understanding of our investment portfolio results. Adjusted net investment income yield represents adjusted net investment income as a percentage of average quarterly asset carrying values. Asset carrying values exclude unrealized gains (losses), collateral received in connection with our securities lending program, freestanding derivative assets and collateral received from derivative counterparties. 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 For a reconciliation of adjusted net investment income yield to net investment income, the most directly comparable GAAP measure, see the summary yield table located in “— Investments — Current Environment — Investment Portfolio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Annual Actuarial Review</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typically conduct our AAR in the third quarter of each year. As part of the 2026 AAR, for our ULSG business, we updated assumptions regarding policyholder behavior, including mortality, premium persistency, lapses and withdrawals. In addition, we increased the long-term general account earned rate. For our variable annuity business, we updated assumptions regarding annuitization, mortality,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spacing w:after="0" w:line="79"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As part of the 2025 AAR, for our ULSG business, we updated assumptions regarding policyholder behavior, including mortality, premium persistency, lapses and withdrawals. In addition, we increased the long-term general account earned rate, driven by an increase in the mean reversion rate, from 4.00% to 4.50%. For our variable annuity business, we updated assumptions regarding annuitization, mortality, guaranteed principal option utilization, lapses and withdrawals, as well as separate account assumptions, including fund fees and allocations. For the payout annuity business, we updated assumptions regarding mortality. For term participating and non-participating whole life insurance, we updated assumptions regarding mortality and lapses.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impact on income (loss) available to shareholders before provision for income tax was as follows:</w:t>
      </w:r>
    </w:p>
    <w:p>
      <w:pPr>
        <w:spacing w:after="0" w:line="200" w:lineRule="exact"/>
        <w:rPr>
          <w:sz w:val="20"/>
          <w:szCs w:val="20"/>
          <w:color w:val="auto"/>
        </w:rPr>
      </w:pPr>
    </w:p>
    <w:p>
      <w:pPr>
        <w:spacing w:after="0" w:line="276"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3" w:lineRule="exact"/>
        <w:rPr>
          <w:sz w:val="20"/>
          <w:szCs w:val="20"/>
          <w:color w:val="auto"/>
        </w:rPr>
      </w:pPr>
    </w:p>
    <w:p>
      <w:pPr>
        <w:jc w:val="center"/>
        <w:ind w:left="75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4799330</wp:posOffset>
            </wp:positionH>
            <wp:positionV relativeFrom="paragraph">
              <wp:posOffset>11430</wp:posOffset>
            </wp:positionV>
            <wp:extent cx="23387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338705" cy="8255"/>
                    </a:xfrm>
                    <a:prstGeom prst="rect">
                      <a:avLst/>
                    </a:prstGeom>
                    <a:noFill/>
                  </pic:spPr>
                </pic:pic>
              </a:graphicData>
            </a:graphic>
          </wp:anchor>
        </w:drawing>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260" w:type="dxa"/>
            <w:vAlign w:val="bottom"/>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60" w:type="dxa"/>
            <w:vAlign w:val="bottom"/>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75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93"/>
        </w:trPr>
        <w:tc>
          <w:tcPr>
            <w:tcW w:w="75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gridSpan w:val="3"/>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60" w:type="dxa"/>
            <w:vAlign w:val="bottom"/>
          </w:tcPr>
          <w:p>
            <w:pPr>
              <w:spacing w:after="0"/>
              <w:rPr>
                <w:sz w:val="24"/>
                <w:szCs w:val="24"/>
                <w:color w:val="auto"/>
              </w:rPr>
            </w:pPr>
          </w:p>
        </w:tc>
      </w:tr>
      <w:tr>
        <w:trPr>
          <w:trHeight w:val="24"/>
        </w:trPr>
        <w:tc>
          <w:tcPr>
            <w:tcW w:w="75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437"/>
        </w:trPr>
        <w:tc>
          <w:tcPr>
            <w:tcW w:w="7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w:t>
            </w:r>
          </w:p>
        </w:tc>
        <w:tc>
          <w:tcPr>
            <w:tcW w:w="1260" w:type="dxa"/>
            <w:vAlign w:val="bottom"/>
            <w:shd w:val="clear" w:color="auto" w:fill="CCEEFF"/>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w:t>
            </w:r>
          </w:p>
        </w:tc>
      </w:tr>
      <w:tr>
        <w:trPr>
          <w:trHeight w:val="435"/>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Embedded derivatives</w:t>
            </w: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w:t>
            </w:r>
          </w:p>
        </w:tc>
      </w:tr>
      <w:tr>
        <w:trPr>
          <w:trHeight w:val="433"/>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market risk benefits and embedded derivatives</w:t>
            </w:r>
          </w:p>
        </w:tc>
        <w:tc>
          <w:tcPr>
            <w:tcW w:w="1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r>
      <w:tr>
        <w:trPr>
          <w:trHeight w:val="415"/>
        </w:trPr>
        <w:tc>
          <w:tcPr>
            <w:tcW w:w="7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Included in pre-tax adjusted earnings (loss):</w:t>
            </w:r>
          </w:p>
        </w:tc>
        <w:tc>
          <w:tcPr>
            <w:tcW w:w="1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40"/>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annuity business</w:t>
            </w:r>
          </w:p>
        </w:tc>
        <w:tc>
          <w:tcPr>
            <w:tcW w:w="12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435"/>
        </w:trPr>
        <w:tc>
          <w:tcPr>
            <w:tcW w:w="75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Life business</w:t>
            </w:r>
          </w:p>
        </w:tc>
        <w:tc>
          <w:tcPr>
            <w:tcW w:w="12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37"/>
        </w:trPr>
        <w:tc>
          <w:tcPr>
            <w:tcW w:w="75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Run-off</w:t>
            </w:r>
          </w:p>
        </w:tc>
        <w:tc>
          <w:tcPr>
            <w:tcW w:w="1260" w:type="dxa"/>
            <w:vAlign w:val="bottom"/>
            <w:tcBorders>
              <w:bottom w:val="single" w:sz="8" w:color="auto"/>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w:t>
            </w:r>
          </w:p>
        </w:tc>
      </w:tr>
      <w:tr>
        <w:trPr>
          <w:trHeight w:val="430"/>
        </w:trPr>
        <w:tc>
          <w:tcPr>
            <w:tcW w:w="7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included in pre-tax adjusted earnings (loss)</w:t>
            </w:r>
          </w:p>
        </w:tc>
        <w:tc>
          <w:tcPr>
            <w:tcW w:w="12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120" w:type="dxa"/>
            <w:vAlign w:val="bottom"/>
            <w:tcBorders>
              <w:bottom w:val="single" w:sz="8" w:color="CCEEFF"/>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970</w:t>
            </w:r>
          </w:p>
        </w:tc>
      </w:tr>
      <w:tr>
        <w:trPr>
          <w:trHeight w:val="458"/>
        </w:trPr>
        <w:tc>
          <w:tcPr>
            <w:tcW w:w="7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impact on income (loss) available to shareholders before provision for income tax</w:t>
            </w:r>
          </w:p>
        </w:tc>
        <w:tc>
          <w:tcPr>
            <w:tcW w:w="1260" w:type="dxa"/>
            <w:vAlign w:val="bottom"/>
            <w:tcBorders>
              <w:bottom w:val="single" w:sz="8" w:color="auto"/>
            </w:tcBorders>
            <w:shd w:val="clear" w:color="auto" w:fill="CCEEFF"/>
          </w:tcPr>
          <w:p>
            <w:pPr>
              <w:jc w:val="right"/>
              <w:ind w:right="108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jc w:val="right"/>
              <w:ind w:right="34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1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145"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Nine Months Ended September 30, 2026 and 2025</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noted, all amounts in the following discussions of our results of operations are stated before income tax except for adjusted earnings, which are presented net of income tax.</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Premiums</w:t>
            </w:r>
          </w:p>
        </w:tc>
        <w:tc>
          <w:tcPr>
            <w:tcW w:w="720" w:type="dxa"/>
            <w:vAlign w:val="bottom"/>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4"/>
                <w:szCs w:val="24"/>
                <w:color w:val="auto"/>
              </w:rPr>
            </w:pPr>
          </w:p>
        </w:tc>
        <w:tc>
          <w:tcPr>
            <w:tcW w:w="720" w:type="dxa"/>
            <w:vAlign w:val="bottom"/>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4"/>
                <w:szCs w:val="24"/>
                <w:color w:val="auto"/>
              </w:rPr>
            </w:pPr>
          </w:p>
        </w:tc>
        <w:tc>
          <w:tcPr>
            <w:tcW w:w="36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24"/>
                <w:szCs w:val="24"/>
                <w:color w:val="auto"/>
              </w:rPr>
            </w:pPr>
          </w:p>
        </w:tc>
        <w:tc>
          <w:tcPr>
            <w:tcW w:w="42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Universal life and investment-type product policy fees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1,257</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3,916</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revenues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derivative gains (losses)</w:t>
            </w: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(2,132)</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(1,336)</w:t>
            </w:r>
          </w:p>
        </w:tc>
        <w:tc>
          <w:tcPr>
            <w:tcW w:w="0" w:type="dxa"/>
            <w:vAlign w:val="bottom"/>
          </w:tcPr>
          <w:p>
            <w:pPr>
              <w:spacing w:after="0"/>
              <w:rPr>
                <w:sz w:val="1"/>
                <w:szCs w:val="1"/>
                <w:color w:val="auto"/>
              </w:rPr>
            </w:pPr>
          </w:p>
        </w:tc>
      </w:tr>
      <w:tr>
        <w:trPr>
          <w:trHeight w:val="430"/>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revenues</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1,816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4,002</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5,077</w:t>
            </w:r>
          </w:p>
        </w:tc>
        <w:tc>
          <w:tcPr>
            <w:tcW w:w="0" w:type="dxa"/>
            <w:vAlign w:val="bottom"/>
          </w:tcPr>
          <w:p>
            <w:pPr>
              <w:spacing w:after="0"/>
              <w:rPr>
                <w:sz w:val="1"/>
                <w:szCs w:val="1"/>
                <w:color w:val="auto"/>
              </w:rPr>
            </w:pPr>
          </w:p>
        </w:tc>
      </w:tr>
      <w:tr>
        <w:trPr>
          <w:trHeight w:val="42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Policyholder benefits and claims (including liability remeasurement gains (losses) of $161,</w:t>
            </w:r>
          </w:p>
        </w:tc>
        <w:tc>
          <w:tcPr>
            <w:tcW w:w="72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1,525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10"/>
        </w:trPr>
        <w:tc>
          <w:tcPr>
            <w:tcW w:w="6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($273), $161 and ($273), respectively)</w:t>
            </w: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credited to policyholder account balances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 on debt</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1,341</w:t>
            </w:r>
          </w:p>
        </w:tc>
        <w:tc>
          <w:tcPr>
            <w:tcW w:w="0" w:type="dxa"/>
            <w:vAlign w:val="bottom"/>
          </w:tcPr>
          <w:p>
            <w:pPr>
              <w:spacing w:after="0"/>
              <w:rPr>
                <w:sz w:val="1"/>
                <w:szCs w:val="1"/>
                <w:color w:val="auto"/>
              </w:rPr>
            </w:pPr>
          </w:p>
        </w:tc>
      </w:tr>
      <w:tr>
        <w:trPr>
          <w:trHeight w:val="431"/>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expenses</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1,231</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3,358</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4,753</w:t>
            </w:r>
          </w:p>
        </w:tc>
        <w:tc>
          <w:tcPr>
            <w:tcW w:w="0" w:type="dxa"/>
            <w:vAlign w:val="bottom"/>
          </w:tcPr>
          <w:p>
            <w:pPr>
              <w:spacing w:after="0"/>
              <w:rPr>
                <w:sz w:val="1"/>
                <w:szCs w:val="1"/>
                <w:color w:val="auto"/>
              </w:rPr>
            </w:pPr>
          </w:p>
        </w:tc>
      </w:tr>
      <w:tr>
        <w:trPr>
          <w:trHeight w:val="4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provision for income tax</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3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433"/>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attributable to Brighthouse Financial, Inc.</w:t>
            </w: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Brighthouse Financial, Inc.’s common shareholders</w:t>
            </w:r>
          </w:p>
        </w:tc>
        <w:tc>
          <w:tcPr>
            <w:tcW w:w="720" w:type="dxa"/>
            <w:vAlign w:val="bottom"/>
            <w:tcBorders>
              <w:bottom w:val="single" w:sz="8" w:color="auto"/>
            </w:tcBorders>
            <w:shd w:val="clear" w:color="auto" w:fill="CCEEFF"/>
          </w:tcPr>
          <w:p>
            <w:pPr>
              <w:jc w:val="right"/>
              <w:ind w:right="54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440" w:gutter="0" w:footer="0" w:header="0"/>
        </w:sectPr>
      </w:pPr>
    </w:p>
    <w:p>
      <w:pPr>
        <w:spacing w:after="0" w:line="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net income (loss) available to shareholders were as follows:</w:t>
      </w:r>
    </w:p>
    <w:p>
      <w:pPr>
        <w:sectPr>
          <w:pgSz w:w="11900" w:h="16838" w:orient="portrait"/>
          <w:cols w:equalWidth="0" w:num="1">
            <w:col w:w="11240"/>
          </w:cols>
          <w:pgMar w:left="320" w:top="230" w:right="339" w:bottom="144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market risk benefits</w:t>
            </w:r>
          </w:p>
        </w:tc>
        <w:tc>
          <w:tcPr>
            <w:tcW w:w="740" w:type="dxa"/>
            <w:vAlign w:val="bottom"/>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gains (losses)</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28"/>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gains (losses) on trading securities</w:t>
            </w: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derivative gains (losses), excluding investment hedge adjustments</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value adjustments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tcPr>
          <w:p>
            <w:pPr>
              <w:spacing w:after="0"/>
              <w:rPr>
                <w:sz w:val="19"/>
                <w:szCs w:val="19"/>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4"/>
              </w:rPr>
              <w:t>1,211</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3"/>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740" w:type="dxa"/>
            <w:vAlign w:val="bottom"/>
            <w:tcBorders>
              <w:bottom w:val="single" w:sz="8" w:color="auto"/>
            </w:tcBorders>
            <w:shd w:val="clear" w:color="auto" w:fill="CCEEFF"/>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365"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$376 million ($302 million, net of income tax), a decrease of $181 million ($151 million, net of income tax) from income available to shareholders before provision for income tax of $557 million ($453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decrease in income before provision for income tax was driven by the following unfavorable items:</w:t>
      </w:r>
    </w:p>
    <w:p>
      <w:pPr>
        <w:spacing w:after="0" w:line="111" w:lineRule="exact"/>
        <w:rPr>
          <w:sz w:val="20"/>
          <w:szCs w:val="20"/>
          <w:color w:val="auto"/>
        </w:rPr>
      </w:pPr>
    </w:p>
    <w:p>
      <w:pPr>
        <w:ind w:left="800" w:hanging="317"/>
        <w:spacing w:after="0"/>
        <w:tabs>
          <w:tab w:leader="none" w:pos="8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on derivatives used to manage interest rate exposure in our ULSG business from the unfavorable impact of long-term interest rates increasing in the current period and decreasing in the prior period; and</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a prior period gain on the sale of a subsidiary which owned certain mineral rights across the U.S and higher net losses on mortgage loans due to an increase in the allowance for credit losses.</w:t>
      </w:r>
    </w:p>
    <w:p>
      <w:pPr>
        <w:spacing w:after="0" w:line="57"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decrease in income before provision for income tax was partially offset by lower losses from variable annuity guaranteed benefit riders, see “— Annuity Guaranteed Benefits and Shield Annuity Liabilities for the Three Months and Nine Months Ended September 30, 2026 and 2025.”</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18% in both the current period and the prior period. Our effective tax rate differs from the statutory tax rate primarily due to the impacts of the dividends received deduction and tax credits.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Income available to shareholders before provision for income tax was $563 million ($466 million, net of income tax), an increase of $320 million ($247 million, net of income tax) from income available to shareholders before provision for income tax of $243 million ($219 million, net of income tax) in the prior period.</w:t>
      </w:r>
    </w:p>
    <w:p>
      <w:pPr>
        <w:spacing w:after="0" w:line="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increase in income before provision for income tax was driven by the following favorable items:</w:t>
      </w:r>
    </w:p>
    <w:p>
      <w:pPr>
        <w:spacing w:after="0" w:line="111" w:lineRule="exact"/>
        <w:rPr>
          <w:sz w:val="20"/>
          <w:szCs w:val="20"/>
          <w:color w:val="auto"/>
        </w:rPr>
      </w:pPr>
    </w:p>
    <w:p>
      <w:pPr>
        <w:ind w:left="800" w:hanging="317"/>
        <w:spacing w:after="0" w:line="274" w:lineRule="auto"/>
        <w:tabs>
          <w:tab w:leader="none" w:pos="7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losses from variable annuity guaranteed benefit riders, see “— Annuity Guaranteed Benefits and Shield Annuity Liabilities for the Three Months and Nine Months Ended September 30, 2026 and 2025”; and</w:t>
      </w:r>
    </w:p>
    <w:p>
      <w:pPr>
        <w:spacing w:after="0" w:line="57" w:lineRule="exact"/>
        <w:rPr>
          <w:rFonts w:ascii="Times New Roman" w:cs="Times New Roman" w:eastAsia="Times New Roman" w:hAnsi="Times New Roman"/>
          <w:sz w:val="18"/>
          <w:szCs w:val="18"/>
          <w:color w:val="auto"/>
        </w:rPr>
      </w:pPr>
    </w:p>
    <w:p>
      <w:pPr>
        <w:ind w:left="480" w:right="280" w:firstLine="3"/>
        <w:spacing w:after="0" w:line="368" w:lineRule="auto"/>
        <w:tabs>
          <w:tab w:leader="none" w:pos="793"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dollar strengthening in the current period and weakening in the prior period, favorably impacting foreign currency forwards and swaps. The increase in income before provision for income tax was partially offset by the following unfavorable items:</w:t>
      </w:r>
    </w:p>
    <w:p>
      <w:pPr>
        <w:spacing w:after="0" w:line="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pre-tax adjusted earnings, as discussed in greater detail below;</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losses on derivatives used to manage interest rate exposure in our ULSG business from the unfavorable impact of long-term interest rates increasing in the current period and decreasing in the prior period; and</w:t>
      </w:r>
    </w:p>
    <w:p>
      <w:pPr>
        <w:spacing w:after="0" w:line="57" w:lineRule="exact"/>
        <w:rPr>
          <w:rFonts w:ascii="Times New Roman" w:cs="Times New Roman" w:eastAsia="Times New Roman" w:hAnsi="Times New Roman"/>
          <w:sz w:val="18"/>
          <w:szCs w:val="18"/>
          <w:color w:val="auto"/>
        </w:rPr>
      </w:pPr>
    </w:p>
    <w:p>
      <w:pPr>
        <w:jc w:val="both"/>
        <w:ind w:left="800" w:hanging="317"/>
        <w:spacing w:after="0" w:line="259" w:lineRule="auto"/>
        <w:tabs>
          <w:tab w:leader="none" w:pos="79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investment gains (losses) reflecting a prior period gain on the sale of a subsidiary which owned certain mineral rights across the U.S, partially offset by lower net losses on mortgage loans due to a smaller increase in the allowance for credit losses and lower net losses on sales of fixed maturity securities.</w:t>
      </w:r>
    </w:p>
    <w:p>
      <w:pPr>
        <w:spacing w:after="0" w:line="72"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income (loss) before provision for income tax, resulted in an effective tax rate of 15% in the current period compared to 7% in the prior period. Our effective tax rate differs from the statutory tax rate primarily due to the impacts of the dividends received deduction, tax credits and current period non-recurring items.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Net Income (Loss) Available to Shareholders to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reconciliation of net income (loss) available to shareholders to adjusted earnings (loss) was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24"/>
                <w:szCs w:val="2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24"/>
                <w:szCs w:val="24"/>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(1,144)</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2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45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24"/>
                <w:szCs w:val="2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24"/>
                <w:szCs w:val="24"/>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4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$0</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2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1,211</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45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19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91"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24"/>
                <w:szCs w:val="2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24"/>
                <w:szCs w:val="24"/>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w:t>
            </w: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179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4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($2)</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2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45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20" w:type="dxa"/>
            <w:vAlign w:val="bottom"/>
            <w:gridSpan w:val="8"/>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1"/>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Annuities</w:t>
            </w:r>
          </w:p>
        </w:tc>
        <w:tc>
          <w:tcPr>
            <w:tcW w:w="240" w:type="dxa"/>
            <w:vAlign w:val="bottom"/>
          </w:tcPr>
          <w:p>
            <w:pPr>
              <w:spacing w:after="0"/>
              <w:rPr>
                <w:sz w:val="24"/>
                <w:szCs w:val="24"/>
                <w:color w:val="auto"/>
              </w:rPr>
            </w:pP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Run-off</w:t>
            </w: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Corporate &amp;</w:t>
            </w:r>
          </w:p>
        </w:tc>
        <w:tc>
          <w:tcPr>
            <w:tcW w:w="240" w:type="dxa"/>
            <w:vAlign w:val="bottom"/>
          </w:tcPr>
          <w:p>
            <w:pPr>
              <w:spacing w:after="0"/>
              <w:rPr>
                <w:sz w:val="24"/>
                <w:szCs w:val="24"/>
                <w:color w:val="auto"/>
              </w:rPr>
            </w:pPr>
          </w:p>
        </w:tc>
        <w:tc>
          <w:tcPr>
            <w:tcW w:w="82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5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9"/>
        </w:trPr>
        <w:tc>
          <w:tcPr>
            <w:tcW w:w="5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5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shareholders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w:t>
            </w: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Add: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169</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433"/>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available to shareholders before provision for income tax</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investment gains (losses)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Net derivative gains (losses), excluding investment hedge adjustments of $1</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0" w:type="dxa"/>
            <w:vAlign w:val="bottom"/>
          </w:tcPr>
          <w:p>
            <w:pPr>
              <w:spacing w:after="0"/>
              <w:rPr>
                <w:sz w:val="1"/>
                <w:szCs w:val="1"/>
                <w:color w:val="auto"/>
              </w:rPr>
            </w:pPr>
          </w:p>
        </w:tc>
      </w:tr>
      <w:tr>
        <w:trPr>
          <w:trHeight w:val="44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Change in market risk benefits</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435"/>
        </w:trPr>
        <w:tc>
          <w:tcPr>
            <w:tcW w:w="5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Market value adjustments</w:t>
            </w:r>
          </w:p>
        </w:tc>
        <w:tc>
          <w:tcPr>
            <w:tcW w:w="1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1"/>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w:t>
            </w:r>
          </w:p>
        </w:tc>
        <w:tc>
          <w:tcPr>
            <w:tcW w:w="180" w:type="dxa"/>
            <w:vAlign w:val="bottom"/>
            <w:tcBorders>
              <w:top w:val="single" w:sz="8" w:color="auto"/>
            </w:tcBorders>
            <w:shd w:val="clear" w:color="auto" w:fill="CCEEFF"/>
          </w:tcPr>
          <w:p>
            <w:pPr>
              <w:spacing w:after="0"/>
              <w:rPr>
                <w:sz w:val="19"/>
                <w:szCs w:val="19"/>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1,172</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12"/>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interests and preferred stock dividends</w:t>
            </w: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Provision for income tax expense (benefit)</w:t>
            </w: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458"/>
        </w:trPr>
        <w:tc>
          <w:tcPr>
            <w:tcW w:w="5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950</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82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827"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for the Three Months and Nine Months Ended September 30, 2026 and 2025 — Adjusted Earnings (Loss)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1,991</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0" w:type="dxa"/>
            <w:vAlign w:val="bottom"/>
          </w:tcPr>
          <w:p>
            <w:pPr>
              <w:spacing w:after="0"/>
              <w:rPr>
                <w:sz w:val="1"/>
                <w:szCs w:val="1"/>
                <w:color w:val="auto"/>
              </w:rPr>
            </w:pP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747</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2,178</w:t>
            </w:r>
          </w:p>
        </w:tc>
        <w:tc>
          <w:tcPr>
            <w:tcW w:w="0" w:type="dxa"/>
            <w:vAlign w:val="bottom"/>
          </w:tcPr>
          <w:p>
            <w:pPr>
              <w:spacing w:after="0"/>
              <w:rPr>
                <w:sz w:val="1"/>
                <w:szCs w:val="1"/>
                <w:color w:val="auto"/>
              </w:rPr>
            </w:pPr>
          </w:p>
        </w:tc>
      </w:tr>
      <w:tr>
        <w:trPr>
          <w:trHeight w:val="44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0" w:type="dxa"/>
            <w:vAlign w:val="bottom"/>
          </w:tcPr>
          <w:p>
            <w:pPr>
              <w:spacing w:after="0"/>
              <w:rPr>
                <w:sz w:val="1"/>
                <w:szCs w:val="1"/>
                <w:color w:val="auto"/>
              </w:rPr>
            </w:pP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44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(1,409)</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(1,455)</w:t>
            </w:r>
          </w:p>
        </w:tc>
        <w:tc>
          <w:tcPr>
            <w:tcW w:w="0" w:type="dxa"/>
            <w:vAlign w:val="bottom"/>
          </w:tcPr>
          <w:p>
            <w:pPr>
              <w:spacing w:after="0"/>
              <w:rPr>
                <w:sz w:val="1"/>
                <w:szCs w:val="1"/>
                <w:color w:val="auto"/>
              </w:rPr>
            </w:pPr>
          </w:p>
        </w:tc>
      </w:tr>
      <w:tr>
        <w:trPr>
          <w:trHeight w:val="435"/>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1"/>
        </w:trPr>
        <w:tc>
          <w:tcPr>
            <w:tcW w:w="6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shd w:val="clear" w:color="auto" w:fill="CCEEFF"/>
          </w:tcPr>
          <w:p>
            <w:pPr>
              <w:spacing w:after="0"/>
              <w:rPr>
                <w:sz w:val="19"/>
                <w:szCs w:val="19"/>
                <w:color w:val="auto"/>
              </w:rPr>
            </w:pPr>
          </w:p>
        </w:tc>
        <w:tc>
          <w:tcPr>
            <w:tcW w:w="42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4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4"/>
              </w:rPr>
              <w:t>1,211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1,742</w:t>
            </w: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4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241</w:t>
            </w:r>
          </w:p>
        </w:tc>
        <w:tc>
          <w:tcPr>
            <w:tcW w:w="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8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458"/>
        </w:trPr>
        <w:tc>
          <w:tcPr>
            <w:tcW w:w="6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1,403</w:t>
            </w:r>
          </w:p>
        </w:tc>
        <w:tc>
          <w:tcPr>
            <w:tcW w:w="0" w:type="dxa"/>
            <w:vAlign w:val="bottom"/>
          </w:tcPr>
          <w:p>
            <w:pPr>
              <w:spacing w:after="0"/>
              <w:rPr>
                <w:sz w:val="1"/>
                <w:szCs w:val="1"/>
                <w:color w:val="auto"/>
              </w:rPr>
            </w:pP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$527 million in the current period, a decrease of $443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net decrease in liability balances resulting from year-over-year changes made in connection with the AAR in our Run-off, Life and Annuities segments and other refinements;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line="274" w:lineRule="auto"/>
        <w:tabs>
          <w:tab w:leader="none" w:pos="114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period increase in liability balances in our Run-off segment resulting from a premium rate increase on an existing reinsurance agreement;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 in our Run-off segment;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are offset in other expenses;</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ceded cost of insurance (“COI”) fees consistent with unfavorable equity market returns in our Life segment, a portion of which are offset in other expenses;</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net COI fees driven by the aging in-force business in our Run-off segment;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fees on our fixed annuity business resulting from lower account balances;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 in our Annuities segment.</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premium taxes and higher guaranty fund assessment credits in our Life and Run-off segments;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ceded COI expenses consistent with unfavorable equity market returns in our Life segment, which are offset in fee income;</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deferred compensation expenses;</w:t>
      </w:r>
    </w:p>
    <w:p>
      <w:pPr>
        <w:sectPr>
          <w:pgSz w:w="11900" w:h="16838" w:orient="portrait"/>
          <w:cols w:equalWidth="0" w:num="1">
            <w:col w:w="11240"/>
          </w:cols>
          <w:pgMar w:left="320" w:top="230" w:right="339" w:bottom="62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628"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offset in fee income;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credited to policyholders in our fixed annuity business resulting from lower account balances;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 yields on our institutional spread margin business.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20% in the current period compared to 19% in the prior period. Our effective tax rate differs from the statutory tax rate primarily due to the impacts of the dividends received deduction, tax credits and current period non-recurring items.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$1.0 billion in the current period, a decrease of $379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3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net decrease in liability balances resulting from year-over-year changes made in connection with the AAR in our Run-off, Life and Annuities segments and other refinements;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 in our Run-off and Life segments; and</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43"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period increase in liability balances in our Run-off segment resulting from a premium rate increase on an existing reinsurance agreement;</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fees on our fixed annuity business resulting from lower account balances;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are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net COI fees driven by the aging in-force business in our Run-off segment;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 in our Annuities segment.</w:t>
      </w:r>
    </w:p>
    <w:p>
      <w:pPr>
        <w:spacing w:after="0" w:line="200" w:lineRule="exact"/>
        <w:rPr>
          <w:sz w:val="20"/>
          <w:szCs w:val="20"/>
          <w:color w:val="auto"/>
        </w:rPr>
      </w:pPr>
    </w:p>
    <w:p>
      <w:pPr>
        <w:spacing w:after="0" w:line="229" w:lineRule="exact"/>
        <w:rPr>
          <w:sz w:val="20"/>
          <w:szCs w:val="20"/>
          <w:color w:val="auto"/>
        </w:rPr>
      </w:pPr>
    </w:p>
    <w:p>
      <w:pPr>
        <w:ind w:left="800" w:hanging="31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premium taxes and higher guaranty fund assessment credits in our Life and Run-off segments;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operational and deferred compensation expenses;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variable annuity expenses resulting from lower average separate account balances, which are offset in fee income;</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ceded COI expenses consistent with unfavorable equity market returns in our Life segment, which are offset in fee income;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transition services agreement expenses;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line="274" w:lineRule="auto"/>
        <w:tabs>
          <w:tab w:leader="none" w:pos="1116"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credited to policyholders in our fixed annuity business resulting from lower account balances, as well as prior period actuarial modeling improvements in our Annuities segment; and</w:t>
      </w:r>
    </w:p>
    <w:p>
      <w:pPr>
        <w:spacing w:after="0" w:line="57"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yields on long-term fixed income assets;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 yields on our institutional spread margin business;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short-term assets.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18% in the current period compared to 19% in the prior period. Our effective tax rate differs from the statutory tax rate primarily due to the impacts of the dividends received deduction, tax credits and current period non-recurring items.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Results for the Three Months and Nine Months Ended September 30, 2026 and 2025 — Adjusted Earnings (Loss)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for our Annuities segment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00" w:type="dxa"/>
            <w:vAlign w:val="bottom"/>
            <w:gridSpan w:val="4"/>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398"/>
        </w:trPr>
        <w:tc>
          <w:tcPr>
            <w:tcW w:w="6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1,490</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1,337</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w:t>
            </w:r>
          </w:p>
        </w:tc>
      </w:tr>
      <w:tr>
        <w:trPr>
          <w:trHeight w:val="44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w:t>
            </w:r>
          </w:p>
        </w:tc>
      </w:tr>
      <w:tr>
        <w:trPr>
          <w:trHeight w:val="430"/>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1,172</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71</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w:t>
            </w:r>
          </w:p>
        </w:tc>
      </w:tr>
      <w:tr>
        <w:trPr>
          <w:trHeight w:val="43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301</w:t>
            </w:r>
          </w:p>
        </w:tc>
        <w:tc>
          <w:tcPr>
            <w:tcW w:w="100" w:type="dxa"/>
            <w:vAlign w:val="bottom"/>
          </w:tcPr>
          <w:p>
            <w:pPr>
              <w:spacing w:after="0"/>
              <w:rPr>
                <w:sz w:val="24"/>
                <w:szCs w:val="24"/>
                <w:color w:val="auto"/>
              </w:rPr>
            </w:pPr>
          </w:p>
        </w:tc>
        <w:tc>
          <w:tcPr>
            <w:tcW w:w="740" w:type="dxa"/>
            <w:vAlign w:val="bottom"/>
            <w:tcBorders>
              <w:bottom w:val="single" w:sz="8" w:color="auto"/>
            </w:tcBorders>
          </w:tcPr>
          <w:p>
            <w:pPr>
              <w:jc w:val="right"/>
              <w:ind w:right="5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304</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950</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 significant portion of our adjusted earnings is driven by separate account balances related to our variable annuity business, as these balances determine asset-based fee income and commissions. The changes in our variable annuities separate account balances are presented in Note 5 of the Notes to the Interim Condensed Consolidated Financial Statements.</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$301 million in the current period, a decrease of $3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are offset in other expenses;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fees on our fixed annuity business resulting from lower account balances;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   a lower net increase in liability balances resulting from year-over-year changes made in connection with the AAR; and</w:t>
      </w:r>
    </w:p>
    <w:p>
      <w:pPr>
        <w:spacing w:after="0" w:line="111" w:lineRule="exact"/>
        <w:rPr>
          <w:sz w:val="20"/>
          <w:szCs w:val="20"/>
          <w:color w:val="auto"/>
        </w:rPr>
      </w:pPr>
    </w:p>
    <w:p>
      <w:pPr>
        <w:ind w:left="800" w:hanging="317"/>
        <w:spacing w:after="0"/>
        <w:tabs>
          <w:tab w:leader="none" w:pos="8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a higher net investment spread due to:</w:t>
      </w:r>
    </w:p>
    <w:p>
      <w:pPr>
        <w:spacing w:after="0" w:line="111" w:lineRule="exact"/>
        <w:rPr>
          <w:sz w:val="20"/>
          <w:szCs w:val="20"/>
          <w:color w:val="auto"/>
        </w:rPr>
      </w:pPr>
    </w:p>
    <w:p>
      <w:pPr>
        <w:ind w:left="800" w:hanging="317"/>
        <w:spacing w:after="0"/>
        <w:tabs>
          <w:tab w:leader="none" w:pos="8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credited to policyholders in our fixed annuity business resulting from lower account balances;</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 and</w:t>
      </w:r>
    </w:p>
    <w:p>
      <w:pPr>
        <w:sectPr>
          <w:pgSz w:w="11900" w:h="16838" w:orient="portrait"/>
          <w:cols w:equalWidth="0" w:num="1">
            <w:col w:w="11240"/>
          </w:cols>
          <w:pgMar w:left="320" w:top="230" w:right="339" w:bottom="32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324"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480" w:right="7520" w:firstLine="3"/>
        <w:spacing w:after="0" w:line="368" w:lineRule="auto"/>
        <w:tabs>
          <w:tab w:leader="none" w:pos="793"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long-term assets; partially offset by</w:t>
      </w:r>
    </w:p>
    <w:p>
      <w:pPr>
        <w:spacing w:after="0" w:line="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short-term assets.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impacts of the dividends received deduction.</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$974 million in the current period, an increase of $24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a higher net investment spread due to:</w:t>
      </w:r>
    </w:p>
    <w:p>
      <w:pPr>
        <w:spacing w:after="0" w:line="111" w:lineRule="exact"/>
        <w:rPr>
          <w:sz w:val="20"/>
          <w:szCs w:val="20"/>
          <w:color w:val="auto"/>
        </w:rPr>
      </w:pPr>
    </w:p>
    <w:p>
      <w:pPr>
        <w:ind w:left="800" w:hanging="317"/>
        <w:spacing w:after="0" w:line="274"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investment yields on our fixed income portfolio, as proceeds from maturing investments and the growth in the investment portfolio were invested at higher yields than the portfolio average;</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average invested long-term assets; and</w:t>
      </w:r>
    </w:p>
    <w:p>
      <w:pPr>
        <w:spacing w:after="0" w:line="111"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interest credited to policyholders in our fixed annuity business resulting from lower account balances, as well as actuarial modeling improvements in the prior period;</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480" w:right="7540" w:firstLine="3"/>
        <w:spacing w:after="0" w:line="368" w:lineRule="auto"/>
        <w:tabs>
          <w:tab w:leader="none" w:pos="793"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short-term assets. Key net unfavorable impacts were:</w:t>
      </w:r>
    </w:p>
    <w:p>
      <w:pPr>
        <w:spacing w:after="0" w:line="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reinsurance fees on our fixed annuity business resulting from lower account balances;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asset-based fees resulting from lower average separate account balances, a portion of which are offset in other expenses;</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amortization of DAC and VOBA resulting primarily from changes in policyholder behavior;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income annuity underwriting margins;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net increase in liability balances resulting from year-over-year changes made in connection with the AAR.</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resulted in an effective tax rate of 19% in both the current period and the prior period. Our effective tax rate differs from the statutory tax rate primarily due to the impact of the dividends received deduction.</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Life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Life segment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398"/>
        </w:trPr>
        <w:tc>
          <w:tcPr>
            <w:tcW w:w="6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w:t>
            </w:r>
          </w:p>
        </w:tc>
      </w:tr>
      <w:tr>
        <w:trPr>
          <w:trHeight w:val="44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r>
      <w:tr>
        <w:trPr>
          <w:trHeight w:val="430"/>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49</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43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$91 million in the current period, an increase of $51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favorable impacts were:</w:t>
      </w:r>
    </w:p>
    <w:p>
      <w:pPr>
        <w:spacing w:after="0" w:line="111" w:lineRule="exact"/>
        <w:rPr>
          <w:sz w:val="20"/>
          <w:szCs w:val="20"/>
          <w:color w:val="auto"/>
        </w:rPr>
      </w:pPr>
    </w:p>
    <w:p>
      <w:pPr>
        <w:ind w:left="800" w:hanging="31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right="1960" w:firstLine="1"/>
        <w:spacing w:after="0" w:line="368" w:lineRule="auto"/>
        <w:tabs>
          <w:tab w:leader="none" w:pos="111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higher net decrease in liability balances resulting from year-over-year changes made in connection with the AAR;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claims, net of reinsurance;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ceded COI expenses consistent with unfavorable equity market returns, which are offset in fee income;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premium taxes and higher guaranty fund assessment credits.</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lower fee income due to higher ceded COI fees consistent with unfavorable equity market returns, a portion of which are offset in other expenses.</w:t>
      </w:r>
    </w:p>
    <w:p>
      <w:pPr>
        <w:spacing w:after="0" w:line="5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the current period compared to 18% in the prior period. Our effective tax rate may differ from the statutory tax rate primarily due to the impact of the dividends received deduction.</w:t>
      </w:r>
    </w:p>
    <w:p>
      <w:pPr>
        <w:spacing w:after="0" w:line="12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$81 million in the current period, an increase of $58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favorable impacts were:</w:t>
      </w:r>
    </w:p>
    <w:p>
      <w:pPr>
        <w:spacing w:after="0" w:line="111" w:lineRule="exact"/>
        <w:rPr>
          <w:sz w:val="20"/>
          <w:szCs w:val="20"/>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higher net decrease in liability balances resulting from year-over-year changes made in connection with the AAR and other refinements; and</w:t>
      </w:r>
    </w:p>
    <w:p>
      <w:pPr>
        <w:spacing w:after="0" w:line="122" w:lineRule="exact"/>
        <w:rPr>
          <w:rFonts w:ascii="Times New Roman" w:cs="Times New Roman" w:eastAsia="Times New Roman" w:hAnsi="Times New Roman"/>
          <w:sz w:val="17"/>
          <w:szCs w:val="17"/>
          <w:color w:val="auto"/>
        </w:rPr>
      </w:pPr>
    </w:p>
    <w:p>
      <w:pPr>
        <w:ind w:left="800" w:hanging="317"/>
        <w:spacing w:after="0"/>
        <w:tabs>
          <w:tab w:leader="none" w:pos="80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other expenses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premium taxes and higher guaranty fund assessment credits;</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ceded COI expenses consistent with unfavorable equity market returns, which are offset in fee income; and</w:t>
      </w:r>
    </w:p>
    <w:p>
      <w:pPr>
        <w:sectPr>
          <w:pgSz w:w="11900" w:h="16838" w:orient="portrait"/>
          <w:cols w:equalWidth="0" w:num="1">
            <w:col w:w="11240"/>
          </w:cols>
          <w:pgMar w:left="320" w:top="230" w:right="339" w:bottom="7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748"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120" w:hanging="319"/>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operational expenses.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unfavorable impact was a lower net investment spread due to:</w:t>
      </w:r>
    </w:p>
    <w:p>
      <w:pPr>
        <w:spacing w:after="0" w:line="111" w:lineRule="exact"/>
        <w:rPr>
          <w:sz w:val="20"/>
          <w:szCs w:val="20"/>
          <w:color w:val="auto"/>
        </w:rPr>
      </w:pPr>
    </w:p>
    <w:p>
      <w:pPr>
        <w:ind w:left="800" w:hanging="317"/>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assets and yields on invested long-term assets.</w:t>
      </w:r>
    </w:p>
    <w:p>
      <w:pPr>
        <w:spacing w:after="0" w:line="11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19% in the current period compared to 12% in the prior period. Our effective tax rate differs from the statutory tax rate primarily due to the impact of the dividends received deduction.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Run-off</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Run-off segment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2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398"/>
        </w:trPr>
        <w:tc>
          <w:tcPr>
            <w:tcW w:w="6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4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93</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231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440"/>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(742)</w:t>
            </w:r>
          </w:p>
        </w:tc>
        <w:tc>
          <w:tcPr>
            <w:tcW w:w="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435"/>
        </w:trPr>
        <w:tc>
          <w:tcPr>
            <w:tcW w:w="6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430"/>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w:t>
            </w:r>
          </w:p>
        </w:tc>
        <w:tc>
          <w:tcPr>
            <w:tcW w:w="740" w:type="dxa"/>
            <w:vAlign w:val="bottom"/>
          </w:tcPr>
          <w:p>
            <w:pPr>
              <w:spacing w:after="0"/>
              <w:rPr>
                <w:sz w:val="24"/>
                <w:szCs w:val="24"/>
                <w:color w:val="auto"/>
              </w:rPr>
            </w:pP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811</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r>
      <w:tr>
        <w:trPr>
          <w:trHeight w:val="437"/>
        </w:trPr>
        <w:tc>
          <w:tcPr>
            <w:tcW w:w="6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170</w:t>
            </w:r>
          </w:p>
        </w:tc>
        <w:tc>
          <w:tcPr>
            <w:tcW w:w="8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433"/>
        </w:trPr>
        <w:tc>
          <w:tcPr>
            <w:tcW w:w="6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4"/>
                <w:szCs w:val="24"/>
                <w:color w:val="auto"/>
              </w:rPr>
            </w:pPr>
          </w:p>
        </w:tc>
        <w:tc>
          <w:tcPr>
            <w:tcW w:w="7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641</w:t>
            </w:r>
          </w:p>
        </w:tc>
        <w:tc>
          <w:tcPr>
            <w:tcW w:w="80" w:type="dxa"/>
            <w:vAlign w:val="bottom"/>
          </w:tcPr>
          <w:p>
            <w:pPr>
              <w:spacing w:after="0"/>
              <w:rPr>
                <w:sz w:val="24"/>
                <w:szCs w:val="24"/>
                <w:color w:val="auto"/>
              </w:rPr>
            </w:pPr>
          </w:p>
        </w:tc>
        <w:tc>
          <w:tcPr>
            <w:tcW w:w="3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6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$166 million in the current period, a decrease of $475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right="420" w:firstLine="1"/>
        <w:spacing w:after="0" w:line="368" w:lineRule="auto"/>
        <w:tabs>
          <w:tab w:leader="none" w:pos="1114"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lower net decrease in liability balances resulting from year-over-year changes made in connection with the AAR and other refinements; partially offset by</w:t>
      </w:r>
    </w:p>
    <w:p>
      <w:pPr>
        <w:spacing w:after="0" w:line="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period increase in liability balances resulting from a premium rate increase on an existing reinsurance agreement;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a decline in the net COI fees driven by the aging in-force business.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lower other expenses due to lower premium taxes and higher guaranty fund assessment credits.</w:t>
      </w:r>
    </w:p>
    <w:p>
      <w:pPr>
        <w:spacing w:after="0" w:line="111"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both the current period and the prior period.</w:t>
      </w:r>
    </w:p>
    <w:p>
      <w:pPr>
        <w:spacing w:after="0" w:line="1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earnings were $62 million in the current period, a decrease of $432 million.</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Key net unfavorable impacts were:</w:t>
      </w:r>
    </w:p>
    <w:p>
      <w:pPr>
        <w:spacing w:after="0" w:line="111" w:lineRule="exact"/>
        <w:rPr>
          <w:sz w:val="20"/>
          <w:szCs w:val="20"/>
          <w:color w:val="auto"/>
        </w:rPr>
      </w:pPr>
    </w:p>
    <w:p>
      <w:pPr>
        <w:ind w:left="800" w:hanging="317"/>
        <w:spacing w:after="0"/>
        <w:tabs>
          <w:tab w:leader="none" w:pos="8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net costs associated with insurance-related activities due to:</w:t>
      </w:r>
    </w:p>
    <w:p>
      <w:pPr>
        <w:spacing w:after="0" w:line="111" w:lineRule="exact"/>
        <w:rPr>
          <w:rFonts w:ascii="Times New Roman" w:cs="Times New Roman" w:eastAsia="Times New Roman" w:hAnsi="Times New Roman"/>
          <w:sz w:val="18"/>
          <w:szCs w:val="18"/>
          <w:color w:val="auto"/>
        </w:rPr>
      </w:pP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 lower net decrease in liability balances resulting from year-over-year changes made in connection with the AAR and other refinements;</w:t>
      </w:r>
    </w:p>
    <w:p>
      <w:pPr>
        <w:sectPr>
          <w:pgSz w:w="11900" w:h="16838" w:orient="portrait"/>
          <w:cols w:equalWidth="0" w:num="1">
            <w:col w:w="11240"/>
          </w:cols>
          <w:pgMar w:left="320" w:top="230" w:right="339" w:bottom="74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748"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partially offset by</w:t>
      </w:r>
    </w:p>
    <w:p>
      <w:pPr>
        <w:spacing w:after="0" w:line="111" w:lineRule="exact"/>
        <w:rPr>
          <w:sz w:val="20"/>
          <w:szCs w:val="20"/>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claims, net of reinsurance;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prior period increase in liability balances resulting from a premium rate increase on an existing reinsurance agreement;</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net investment spread due to:</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returns on other limited partnerships; and</w:t>
      </w:r>
    </w:p>
    <w:p>
      <w:pPr>
        <w:spacing w:after="0" w:line="111" w:lineRule="exact"/>
        <w:rPr>
          <w:rFonts w:ascii="Times New Roman" w:cs="Times New Roman" w:eastAsia="Times New Roman" w:hAnsi="Times New Roman"/>
          <w:sz w:val="18"/>
          <w:szCs w:val="18"/>
          <w:color w:val="auto"/>
        </w:rPr>
      </w:pPr>
    </w:p>
    <w:p>
      <w:pPr>
        <w:ind w:left="1120" w:hanging="319"/>
        <w:spacing w:after="0"/>
        <w:tabs>
          <w:tab w:leader="none" w:pos="11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average invested long-term assets;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fee income due to a decline in the net COI fees driven by the aging in-force business.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key favorable impact was lower other expenses due to:</w:t>
      </w:r>
    </w:p>
    <w:p>
      <w:pPr>
        <w:spacing w:after="0" w:line="111" w:lineRule="exact"/>
        <w:rPr>
          <w:sz w:val="20"/>
          <w:szCs w:val="20"/>
          <w:color w:val="auto"/>
        </w:rPr>
      </w:pPr>
    </w:p>
    <w:p>
      <w:pPr>
        <w:ind w:left="800" w:hanging="317"/>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premium taxes and higher guaranty fund assessment credits;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operational expenses.</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an effective tax rate of 21% in both the current period and the prior period.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&amp; Other</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adjusted earnings (loss) for our Corporate &amp; Other segment were as follows: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20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6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63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3"/>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Fee income</w:t>
            </w:r>
          </w:p>
        </w:tc>
        <w:tc>
          <w:tcPr>
            <w:tcW w:w="740" w:type="dxa"/>
            <w:vAlign w:val="bottom"/>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investment spread</w:t>
            </w:r>
          </w:p>
        </w:tc>
        <w:tc>
          <w:tcPr>
            <w:tcW w:w="7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Insurance-related activities</w:t>
            </w:r>
          </w:p>
        </w:tc>
        <w:tc>
          <w:tcPr>
            <w:tcW w:w="740" w:type="dxa"/>
            <w:vAlign w:val="bottom"/>
            <w:shd w:val="clear" w:color="auto" w:fill="CCEEFF"/>
          </w:tcPr>
          <w:p>
            <w:pPr>
              <w:spacing w:after="0"/>
              <w:rPr>
                <w:sz w:val="24"/>
                <w:szCs w:val="24"/>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spacing w:after="0"/>
              <w:rPr>
                <w:sz w:val="24"/>
                <w:szCs w:val="24"/>
                <w:color w:val="auto"/>
              </w:rPr>
            </w:pPr>
          </w:p>
        </w:tc>
        <w:tc>
          <w:tcPr>
            <w:tcW w:w="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DAC and VOBA</w:t>
            </w:r>
          </w:p>
        </w:tc>
        <w:tc>
          <w:tcPr>
            <w:tcW w:w="740" w:type="dxa"/>
            <w:vAlign w:val="bottom"/>
          </w:tcPr>
          <w:p>
            <w:pPr>
              <w:spacing w:after="0"/>
              <w:rPr>
                <w:sz w:val="24"/>
                <w:szCs w:val="24"/>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24"/>
                <w:szCs w:val="24"/>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4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expenses</w:t>
            </w: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w:t>
            </w: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 and preferred stock dividends</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21"/>
        </w:trPr>
        <w:tc>
          <w:tcPr>
            <w:tcW w:w="6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Pre-tax adjusted earnings (loss), less net income (loss) attributable to noncontrolling interests</w:t>
            </w:r>
          </w:p>
        </w:tc>
        <w:tc>
          <w:tcPr>
            <w:tcW w:w="74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212"/>
        </w:trPr>
        <w:tc>
          <w:tcPr>
            <w:tcW w:w="6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and preferred stock dividends</w:t>
            </w:r>
          </w:p>
        </w:tc>
        <w:tc>
          <w:tcPr>
            <w:tcW w:w="74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Provision for income tax expense (benefit)</w:t>
            </w:r>
          </w:p>
        </w:tc>
        <w:tc>
          <w:tcPr>
            <w:tcW w:w="7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458"/>
        </w:trPr>
        <w:tc>
          <w:tcPr>
            <w:tcW w:w="6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Adjusted earnings (loss)</w:t>
            </w:r>
          </w:p>
        </w:tc>
        <w:tc>
          <w:tcPr>
            <w:tcW w:w="740" w:type="dxa"/>
            <w:vAlign w:val="bottom"/>
            <w:tcBorders>
              <w:bottom w:val="single" w:sz="8" w:color="auto"/>
            </w:tcBorders>
            <w:shd w:val="clear" w:color="auto" w:fill="CCEEFF"/>
          </w:tcPr>
          <w:p>
            <w:pPr>
              <w:jc w:val="right"/>
              <w:ind w:right="56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 Compared with the Three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$31 million in the current period, a higher loss of $16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average invested long-term assets and yields on our institutional spread margin business.</w:t>
      </w:r>
    </w:p>
    <w:p>
      <w:pPr>
        <w:spacing w:after="0" w:line="57"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combined operating segments.</w:t>
      </w:r>
    </w:p>
    <w:p>
      <w:pPr>
        <w:spacing w:after="0" w:line="1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 Compared with the Nine Months Ended September 30, 2025</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Adjusted loss was $93 million in the current period, a higher loss of $29 million.</w:t>
      </w:r>
    </w:p>
    <w:p>
      <w:pPr>
        <w:spacing w:after="0" w:line="111"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 key unfavorable impact was a lower net investment spread due to lower average invested long-term assets and yields on our institutional spread margin business.</w:t>
      </w:r>
    </w:p>
    <w:p>
      <w:pPr>
        <w:sectPr>
          <w:pgSz w:w="11900" w:h="16838" w:orient="portrait"/>
          <w:cols w:equalWidth="0" w:num="1">
            <w:col w:w="11240"/>
          </w:cols>
          <w:pgMar w:left="320" w:top="230" w:right="339" w:bottom="4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416"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provision for income tax, calculated as a percentage of pre-tax adjusted earnings (loss), resulted in a higher effective tax rate in the current period compared to the prior period. Our effective tax rate differs from the statutory tax rate primarily due to the impacts of the dividends received deduction, tax credits and current period non-recurring items. We believe the effective tax rate for the Corporate &amp; Other segment is not generally meaningful, neither on a standalone basis nor for comparison to prior periods, since taxes for the Corporate &amp; Other segment are derived from the difference between the overall consolidated effective tax rate and total taxes for the other operating segments.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Annuity Guaranteed Benefits and Shield Annuity Liabilities for the Three Months and Nine Months Ended September 30, 2026 and 2025</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overall impact on income (loss) available to shareholders before provision for income tax from the performance of annuity guaranteed benefits and Shield Annuity liabilities, which includes (i) changes in the fair value of liabilities and related reinsurance, (ii) fees net of claims and (iii) the mark-to-market of hedges, was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120" w:type="dxa"/>
            <w:vAlign w:val="bottom"/>
            <w:gridSpan w:val="4"/>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40" w:type="dxa"/>
            <w:vAlign w:val="bottom"/>
            <w:gridSpan w:val="4"/>
          </w:tcPr>
          <w:p>
            <w:pPr>
              <w:jc w:val="right"/>
              <w:ind w:right="6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58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398"/>
        </w:trPr>
        <w:tc>
          <w:tcPr>
            <w:tcW w:w="588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58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393"/>
        </w:trPr>
        <w:tc>
          <w:tcPr>
            <w:tcW w:w="5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
        </w:trPr>
        <w:tc>
          <w:tcPr>
            <w:tcW w:w="58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43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Market risk benefits mark-to-market</w:t>
            </w:r>
          </w:p>
        </w:tc>
        <w:tc>
          <w:tcPr>
            <w:tcW w:w="820" w:type="dxa"/>
            <w:vAlign w:val="bottom"/>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1,237</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435"/>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Annuity guaranteed benefit rider fees, net of claims</w:t>
            </w: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w:t>
            </w:r>
          </w:p>
        </w:tc>
      </w:tr>
      <w:tr>
        <w:trPr>
          <w:trHeight w:val="437"/>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Ceded reinsurance</w:t>
            </w:r>
          </w:p>
        </w:tc>
        <w:tc>
          <w:tcPr>
            <w:tcW w:w="8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430"/>
        </w:trPr>
        <w:tc>
          <w:tcPr>
            <w:tcW w:w="58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changes attributable to annuity guaranteed benefits</w:t>
            </w:r>
          </w:p>
        </w:tc>
        <w:tc>
          <w:tcPr>
            <w:tcW w:w="8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w:t>
            </w: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44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Variable annuity and Shield hedges</w:t>
            </w:r>
          </w:p>
        </w:tc>
        <w:tc>
          <w:tcPr>
            <w:tcW w:w="820" w:type="dxa"/>
            <w:vAlign w:val="bottom"/>
            <w:shd w:val="clear" w:color="auto" w:fill="CCEEFF"/>
          </w:tcPr>
          <w:p>
            <w:pPr>
              <w:spacing w:after="0"/>
              <w:rPr>
                <w:sz w:val="24"/>
                <w:szCs w:val="24"/>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w:t>
            </w:r>
          </w:p>
        </w:tc>
        <w:tc>
          <w:tcPr>
            <w:tcW w:w="1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971</w:t>
            </w:r>
          </w:p>
        </w:tc>
        <w:tc>
          <w:tcPr>
            <w:tcW w:w="14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1,506</w:t>
            </w:r>
          </w:p>
        </w:tc>
      </w:tr>
      <w:tr>
        <w:trPr>
          <w:trHeight w:val="435"/>
        </w:trPr>
        <w:tc>
          <w:tcPr>
            <w:tcW w:w="5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Shield embedded derivatives</w:t>
            </w: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Borders>
              <w:bottom w:val="single" w:sz="8" w:color="CCEEFF"/>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(1,694)</w:t>
            </w:r>
          </w:p>
        </w:tc>
        <w:tc>
          <w:tcPr>
            <w:tcW w:w="10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(2,863)</w:t>
            </w:r>
          </w:p>
        </w:tc>
        <w:tc>
          <w:tcPr>
            <w:tcW w:w="1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(2,626)</w:t>
            </w:r>
          </w:p>
        </w:tc>
      </w:tr>
      <w:tr>
        <w:trPr>
          <w:trHeight w:val="458"/>
        </w:trPr>
        <w:tc>
          <w:tcPr>
            <w:tcW w:w="5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shd w:val="clear" w:color="auto" w:fill="CCEEFF"/>
          </w:tcPr>
          <w:p>
            <w:pPr>
              <w:jc w:val="right"/>
              <w:ind w:right="6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ind w:right="583"/>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w:t>
            </w: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2026</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three months ended September 30, 2026,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interest rates, partially offset by lower separate account returns and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variable annuity and Shield hedges due to increasing long-term interest rates, partially offset by increasing equity markets;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Three Months Ended September 30,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three months ended September 30, 2025,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changes made in connection with the AAR and decreasing interest rates, partially offset by increasing equity markets;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pacing w:after="0" w:line="1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2026</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nine months ended September 30, 2026,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decreases in annuity guaranteed benefits liabilities due to increasing interest rates and equity markets, partially offset by changes made in connection with the AAR;</w:t>
      </w:r>
    </w:p>
    <w:p>
      <w:pPr>
        <w:spacing w:after="0" w:line="57" w:lineRule="exact"/>
        <w:rPr>
          <w:rFonts w:ascii="Times New Roman" w:cs="Times New Roman" w:eastAsia="Times New Roman" w:hAnsi="Times New Roman"/>
          <w:sz w:val="18"/>
          <w:szCs w:val="18"/>
          <w:color w:val="auto"/>
        </w:rPr>
      </w:pPr>
    </w:p>
    <w:p>
      <w:pPr>
        <w:ind w:left="800" w:hanging="317"/>
        <w:spacing w:after="0" w:line="274" w:lineRule="auto"/>
        <w:tabs>
          <w:tab w:leader="none" w:pos="79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partially offset by increasing long-term interest rates; and</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w:t>
      </w:r>
    </w:p>
    <w:p>
      <w:pPr>
        <w:sectPr>
          <w:pgSz w:w="11900" w:h="16838" w:orient="portrait"/>
          <w:cols w:equalWidth="0" w:num="1">
            <w:col w:w="11240"/>
          </w:cols>
          <w:pgMar w:left="320" w:top="230" w:right="339" w:bottom="5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549"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Nine Months Ended September 30, 2025</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Annuity guaranteed benefits and Shield Annuity liabilities performance was unfavorable for the nine months ended September 30, 2025, primarily driven by:</w:t>
      </w:r>
    </w:p>
    <w:p>
      <w:pPr>
        <w:spacing w:after="0" w:line="57" w:lineRule="exact"/>
        <w:rPr>
          <w:sz w:val="20"/>
          <w:szCs w:val="20"/>
          <w:color w:val="auto"/>
        </w:rPr>
      </w:pPr>
    </w:p>
    <w:p>
      <w:pPr>
        <w:ind w:left="800" w:hanging="317"/>
        <w:spacing w:after="0" w:line="274" w:lineRule="auto"/>
        <w:tabs>
          <w:tab w:leader="none" w:pos="79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increases in annuity guaranteed benefits liabilities due to changes made in connection with the AAR and decreasing interest rates, partially offset by increasing equity markets;</w:t>
      </w:r>
    </w:p>
    <w:p>
      <w:pPr>
        <w:spacing w:after="0" w:line="57"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favorable changes in variable annuity and Shield hedges due to increasing equity markets and decreasing long-term interest rates; and</w:t>
      </w:r>
    </w:p>
    <w:p>
      <w:pPr>
        <w:spacing w:after="0" w:line="111" w:lineRule="exact"/>
        <w:rPr>
          <w:rFonts w:ascii="Times New Roman" w:cs="Times New Roman" w:eastAsia="Times New Roman" w:hAnsi="Times New Roman"/>
          <w:sz w:val="18"/>
          <w:szCs w:val="18"/>
          <w:color w:val="auto"/>
        </w:rPr>
      </w:pPr>
    </w:p>
    <w:p>
      <w:pPr>
        <w:ind w:left="800" w:hanging="317"/>
        <w:spacing w:after="0"/>
        <w:tabs>
          <w:tab w:leader="none" w:pos="80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changes in Shield embedded derivatives due to increasing equity markets and changes made in connection with the AAR.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Risk Management Strategy</w:t>
      </w:r>
    </w:p>
    <w:p>
      <w:pPr>
        <w:spacing w:after="0" w:line="115" w:lineRule="exact"/>
        <w:rPr>
          <w:sz w:val="20"/>
          <w:szCs w:val="20"/>
          <w:color w:val="auto"/>
        </w:rPr>
      </w:pPr>
    </w:p>
    <w:p>
      <w:pPr>
        <w:jc w:val="both"/>
        <w:ind w:firstLine="318"/>
        <w:spacing w:after="0" w:line="267" w:lineRule="auto"/>
        <w:rPr>
          <w:sz w:val="20"/>
          <w:szCs w:val="20"/>
          <w:color w:val="auto"/>
        </w:rPr>
      </w:pPr>
      <w:r>
        <w:rPr>
          <w:rFonts w:ascii="Times New Roman" w:cs="Times New Roman" w:eastAsia="Times New Roman" w:hAnsi="Times New Roman"/>
          <w:sz w:val="17"/>
          <w:szCs w:val="17"/>
          <w:color w:val="auto"/>
        </w:rPr>
        <w:t>We manage the risks related to our investment portfolio through asset-type allocation as well as industry and issuer diversification. We also use risk limits to promote diversification by asset sector, avoid concentrations in any single issuer and limit overall aggregate credit and equity risk exposure. We manage real estate risk through geographic, property type and product type diversification and asset allocation. Interest rate risk is managed as part of our Asset Liability Management (“ALM”) strategies. We also utilize product design to manage interest rate risk (e.g., market value adjustment features and surrender charges). These ALM strategies include maintaining an investment portfolio that targets a weighted average duration that reflects the duration of our estimated liability cash flow profile. For certain of our liability portfolios, it is not possible to invest assets for the full liability duration, thereby creating some asset/liability mismatch. We also use certain derivatives in the management of credit, interest rate, equity market and foreign currency exchange rate risks.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our derivatives trading, which we manage in-house, we have engaged a select group of experienced external asset management firms to manage the investment of the assets comprising our general account portfolio and certain separate account assets of our insurance subsidiaries, as well as assets of BHF and our reinsurance subsidiary, BRCD.</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Environment</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capital markets and the economy, generally. As a U.S. insurance company, we are affected by the monetary policy of the Federal Reserve in the U.S. We are also affected by the monetary policy of central banks around the world due to the diversification of our investment portfolio. See “— Industry Trends and Uncertainties — Financial and Economic Environment.”</w:t>
      </w:r>
    </w:p>
    <w:p>
      <w:pPr>
        <w:spacing w:after="0" w:line="72" w:lineRule="exact"/>
        <w:rPr>
          <w:sz w:val="20"/>
          <w:szCs w:val="20"/>
          <w:color w:val="auto"/>
        </w:rPr>
      </w:pPr>
    </w:p>
    <w:p>
      <w:pPr>
        <w:jc w:val="both"/>
        <w:ind w:firstLine="318"/>
        <w:spacing w:after="0" w:line="272" w:lineRule="auto"/>
        <w:rPr>
          <w:sz w:val="20"/>
          <w:szCs w:val="20"/>
          <w:color w:val="auto"/>
        </w:rPr>
      </w:pPr>
      <w:r>
        <w:rPr>
          <w:rFonts w:ascii="Times New Roman" w:cs="Times New Roman" w:eastAsia="Times New Roman" w:hAnsi="Times New Roman"/>
          <w:sz w:val="17"/>
          <w:szCs w:val="17"/>
          <w:color w:val="auto"/>
        </w:rPr>
        <w:t>On September 16, 2026, the Federal Reserve increased the target range for the federal funds rate from between 3.50% and 3.75% to between 3.75% and 4.00%. In 2025, the Federal Reserve decreased the target range for the federal funds rate three times — from between 4.25% and 4.50% to between 3.50% and</w:t>
      </w:r>
    </w:p>
    <w:p>
      <w:pPr>
        <w:jc w:val="both"/>
        <w:spacing w:after="0" w:line="251" w:lineRule="auto"/>
        <w:rPr>
          <w:sz w:val="20"/>
          <w:szCs w:val="20"/>
          <w:color w:val="auto"/>
        </w:rPr>
      </w:pPr>
      <w:r>
        <w:rPr>
          <w:rFonts w:ascii="Times New Roman" w:cs="Times New Roman" w:eastAsia="Times New Roman" w:hAnsi="Times New Roman"/>
          <w:sz w:val="18"/>
          <w:szCs w:val="18"/>
          <w:color w:val="auto"/>
        </w:rPr>
        <w:t>3.75%. The Federal Reserve may increase or decrease the federal funds rate in the future, which may have an impact on the pricing levels of risk-bearing investments and may adversely impact the level of product sales.</w:t>
      </w:r>
    </w:p>
    <w:p>
      <w:pPr>
        <w:spacing w:after="0" w:line="7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Prior period interest rate increases have contributed to the net unrealized loss position in our investment portfolio. As a result of increases in interest rates, the unrealized losses on our fixed maturity securities exceeded the unrealized gains as of September 30, 2026.</w:t>
      </w:r>
    </w:p>
    <w:p>
      <w:pPr>
        <w:spacing w:after="0" w:line="5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Selected Sector Investments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Market volatility has affected the performance of various asset classes.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and “Risk Factors — Risks Related to Our Investment Portfolio — Ongoing military actions, the continued threat of terrorism, climate change as well as other catastrophic events may adversely affect the value of our investment portfolio and the level of claim losses we incur” included in our 2025 Annual Report.</w:t>
      </w:r>
    </w:p>
    <w:p>
      <w:pPr>
        <w:spacing w:after="0" w:line="79" w:lineRule="exact"/>
        <w:rPr>
          <w:sz w:val="20"/>
          <w:szCs w:val="20"/>
          <w:color w:val="auto"/>
        </w:rPr>
      </w:pPr>
    </w:p>
    <w:p>
      <w:pPr>
        <w:jc w:val="both"/>
        <w:ind w:left="160" w:firstLine="318"/>
        <w:spacing w:after="0" w:line="274" w:lineRule="auto"/>
        <w:rPr>
          <w:sz w:val="20"/>
          <w:szCs w:val="20"/>
          <w:color w:val="auto"/>
        </w:rPr>
      </w:pPr>
      <w:r>
        <w:rPr>
          <w:rFonts w:ascii="Times New Roman" w:cs="Times New Roman" w:eastAsia="Times New Roman" w:hAnsi="Times New Roman"/>
          <w:sz w:val="18"/>
          <w:szCs w:val="18"/>
          <w:color w:val="auto"/>
        </w:rPr>
        <w:t>There has been a continued market focus on commercial real estate, including office properties, as a result of hybrid work arrangements and the resulting impact on the demand for office space.</w:t>
      </w:r>
    </w:p>
    <w:p>
      <w:pPr>
        <w:spacing w:after="0" w:line="57"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We have direct commercial real estate exposure through mortgage loans and certain structured securities, which include residential mortgage-backed securities (“RMBS”), commercial mortgage-backed securities (“CMBS”) and asset-backed securities (“ABS”) (collectively, “Structured Securities”). In addition, we have direct and indirect exposure through certain financial industry corporate fixed maturity securities. See “— Investments — Mortgage Loans” and Note 7 of the Notes to the Interim Condensed Consolidated Financial Statements for information on mortgage loans, including credit quality by portfolio segment and commercial mortgage loans by property type. Additionally, see “— Investments — Fixed Maturity Securities Available-For-Sale — Structured Securities” for information on Structured Securities, including security type, risk profile and ratings profile as well as “— Investments — Fixed Maturity Securities Available-For-Sale — U.S. and Foreign Corporate Fixed Maturity Securities” for our exposure to the finance industry.</w:t>
      </w:r>
    </w:p>
    <w:p>
      <w:pPr>
        <w:spacing w:after="0" w:line="81"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monitor direct and indirect investment exposure across sectors and asset classes and adjust our level of investment exposure, as appropriate. At this time, we do not expect that our general account investments in these sectors and asset classes will have a material adverse effect on our results of operations or financial condition.</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Investment Portfolio Results</w:t>
      </w:r>
    </w:p>
    <w:p>
      <w:pPr>
        <w:spacing w:after="0" w:line="115"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following summary yield table presents the yield and adjusted net investment income for our investment portfolio for the periods indicated. As described below, this table reflects certain differences from the presentation of net investment income presented in the GAAP statements of operations. This summary yield table presentation is consistent with how we measure our investment performance for management purposes, and we believe it enhances understanding of our investment portfolio results.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gridSpan w:val="5"/>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3200" w:type="dxa"/>
            <w:vAlign w:val="bottom"/>
          </w:tcPr>
          <w:p>
            <w:pPr>
              <w:spacing w:after="0"/>
              <w:rPr>
                <w:sz w:val="3"/>
                <w:szCs w:val="3"/>
                <w:color w:val="auto"/>
              </w:rPr>
            </w:pPr>
          </w:p>
        </w:tc>
        <w:tc>
          <w:tcPr>
            <w:tcW w:w="110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93"/>
        </w:trPr>
        <w:tc>
          <w:tcPr>
            <w:tcW w:w="320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200" w:type="dxa"/>
            <w:vAlign w:val="bottom"/>
          </w:tcPr>
          <w:p>
            <w:pPr>
              <w:spacing w:after="0"/>
              <w:rPr>
                <w:sz w:val="24"/>
                <w:szCs w:val="24"/>
                <w:color w:val="auto"/>
              </w:rPr>
            </w:pPr>
          </w:p>
        </w:tc>
        <w:tc>
          <w:tcPr>
            <w:tcW w:w="110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Pr>
          <w:p>
            <w:pPr>
              <w:spacing w:after="0"/>
              <w:rPr>
                <w:sz w:val="24"/>
                <w:szCs w:val="24"/>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Pr>
          <w:p>
            <w:pPr>
              <w:spacing w:after="0"/>
              <w:rPr>
                <w:sz w:val="24"/>
                <w:szCs w:val="24"/>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2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Yield %</w:t>
            </w:r>
          </w:p>
        </w:tc>
        <w:tc>
          <w:tcPr>
            <w:tcW w:w="120" w:type="dxa"/>
            <w:vAlign w:val="bottom"/>
          </w:tcPr>
          <w:p>
            <w:pPr>
              <w:spacing w:after="0"/>
              <w:rPr>
                <w:sz w:val="24"/>
                <w:szCs w:val="24"/>
                <w:color w:val="auto"/>
              </w:rPr>
            </w:pP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 income (1)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4.57 %</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1,353</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4.54 %</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1,366</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4.42 %</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w:t>
            </w: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4.45 %</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4,025</w:t>
            </w:r>
          </w:p>
        </w:tc>
        <w:tc>
          <w:tcPr>
            <w:tcW w:w="0" w:type="dxa"/>
            <w:vAlign w:val="bottom"/>
          </w:tcPr>
          <w:p>
            <w:pPr>
              <w:spacing w:after="0"/>
              <w:rPr>
                <w:sz w:val="1"/>
                <w:szCs w:val="1"/>
                <w:color w:val="auto"/>
              </w:rPr>
            </w:pPr>
          </w:p>
        </w:tc>
      </w:tr>
      <w:tr>
        <w:trPr>
          <w:trHeight w:val="435"/>
        </w:trPr>
        <w:tc>
          <w:tcPr>
            <w:tcW w:w="3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Investment fees and expenses (2)</w:t>
            </w:r>
          </w:p>
        </w:tc>
        <w:tc>
          <w:tcPr>
            <w:tcW w:w="96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(0.16)</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6"/>
                <w:szCs w:val="16"/>
                <w:color w:val="auto"/>
              </w:rPr>
              <w:t>(0.14)</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458"/>
        </w:trPr>
        <w:tc>
          <w:tcPr>
            <w:tcW w:w="3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4.40 %</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1,327</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4.27 %</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12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3,910</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320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20" w:hanging="314"/>
        <w:spacing w:after="0" w:line="255" w:lineRule="auto"/>
        <w:tabs>
          <w:tab w:leader="none" w:pos="3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income yields are calculated as investment income as a percentage of average quarterly asset carrying values. Investment income excludes recognized gains and losses and reflects the adjustments discussed in table note (3) below to arrive at adjusted net investment income. Asset carrying values exclude unrealized gains (losses), collateral received in connection with our securities lending program, freestanding derivative assets and collateral received from derivative counterparties.</w:t>
      </w:r>
    </w:p>
    <w:p>
      <w:pPr>
        <w:spacing w:after="0" w:line="74" w:lineRule="exact"/>
        <w:rPr>
          <w:rFonts w:ascii="Times New Roman" w:cs="Times New Roman" w:eastAsia="Times New Roman" w:hAnsi="Times New Roman"/>
          <w:sz w:val="18"/>
          <w:szCs w:val="18"/>
          <w:color w:val="auto"/>
        </w:rPr>
      </w:pPr>
    </w:p>
    <w:p>
      <w:pPr>
        <w:jc w:val="both"/>
        <w:ind w:left="320" w:hanging="314"/>
        <w:spacing w:after="0" w:line="304" w:lineRule="auto"/>
        <w:tabs>
          <w:tab w:leader="none" w:pos="314"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 fee and expense yields are calculated as a percentage of average quarterly asset estimated fair values. Asset estimated fair values exclude collateral received in connection with our securities lending program, freestanding derivative assets and collateral received from derivative counterparties.</w:t>
      </w:r>
    </w:p>
    <w:p>
      <w:pPr>
        <w:spacing w:after="0" w:line="34" w:lineRule="exact"/>
        <w:rPr>
          <w:rFonts w:ascii="Times New Roman" w:cs="Times New Roman" w:eastAsia="Times New Roman" w:hAnsi="Times New Roman"/>
          <w:sz w:val="17"/>
          <w:szCs w:val="17"/>
          <w:color w:val="auto"/>
        </w:rPr>
      </w:pPr>
    </w:p>
    <w:p>
      <w:pPr>
        <w:ind w:left="320" w:hanging="314"/>
        <w:spacing w:after="0" w:line="274" w:lineRule="auto"/>
        <w:tabs>
          <w:tab w:leader="none" w:pos="31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investment income presented in the yield table varies from the most directly comparable GAAP measure due to certain reclassifications, as presented below.</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98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40" w:type="dxa"/>
            <w:vAlign w:val="bottom"/>
            <w:gridSpan w:val="4"/>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1"/>
        </w:trPr>
        <w:tc>
          <w:tcPr>
            <w:tcW w:w="63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398"/>
        </w:trPr>
        <w:tc>
          <w:tcPr>
            <w:tcW w:w="63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4"/>
        </w:trPr>
        <w:tc>
          <w:tcPr>
            <w:tcW w:w="63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393"/>
        </w:trPr>
        <w:tc>
          <w:tcPr>
            <w:tcW w:w="6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4"/>
        </w:trPr>
        <w:tc>
          <w:tcPr>
            <w:tcW w:w="6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investment income</w:t>
            </w:r>
          </w:p>
        </w:tc>
        <w:tc>
          <w:tcPr>
            <w:tcW w:w="720" w:type="dxa"/>
            <w:vAlign w:val="bottom"/>
            <w:shd w:val="clear" w:color="auto" w:fill="CCEEFF"/>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1,257</w:t>
            </w: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1,334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3,756</w:t>
            </w: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3,916</w:t>
            </w:r>
          </w:p>
        </w:tc>
      </w:tr>
      <w:tr>
        <w:trPr>
          <w:trHeight w:val="435"/>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Add: Investment hedge adjustments</w:t>
            </w:r>
          </w:p>
        </w:tc>
        <w:tc>
          <w:tcPr>
            <w:tcW w:w="7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7"/>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Investment gains (losses) on trading securities</w:t>
            </w: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433"/>
        </w:trPr>
        <w:tc>
          <w:tcPr>
            <w:tcW w:w="6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net investment income — in the above yield table</w:t>
            </w:r>
          </w:p>
        </w:tc>
        <w:tc>
          <w:tcPr>
            <w:tcW w:w="720" w:type="dxa"/>
            <w:vAlign w:val="bottom"/>
            <w:tcBorders>
              <w:bottom w:val="single" w:sz="8" w:color="auto"/>
            </w:tcBorders>
          </w:tcPr>
          <w:p>
            <w:pPr>
              <w:jc w:val="right"/>
              <w:ind w:right="545"/>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1,310</w:t>
            </w:r>
          </w:p>
        </w:tc>
        <w:tc>
          <w:tcPr>
            <w:tcW w:w="120" w:type="dxa"/>
            <w:vAlign w:val="bottom"/>
          </w:tcPr>
          <w:p>
            <w:pPr>
              <w:spacing w:after="0"/>
              <w:rPr>
                <w:sz w:val="24"/>
                <w:szCs w:val="24"/>
                <w:color w:val="auto"/>
              </w:rPr>
            </w:pPr>
          </w:p>
        </w:tc>
        <w:tc>
          <w:tcPr>
            <w:tcW w:w="72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4"/>
              </w:rPr>
              <w:t>1,327</w:t>
            </w:r>
          </w:p>
        </w:tc>
        <w:tc>
          <w:tcPr>
            <w:tcW w:w="120" w:type="dxa"/>
            <w:vAlign w:val="bottom"/>
          </w:tcPr>
          <w:p>
            <w:pPr>
              <w:spacing w:after="0"/>
              <w:rPr>
                <w:sz w:val="24"/>
                <w:szCs w:val="24"/>
                <w:color w:val="auto"/>
              </w:rPr>
            </w:pPr>
          </w:p>
        </w:tc>
        <w:tc>
          <w:tcPr>
            <w:tcW w:w="36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100" w:type="dxa"/>
            <w:vAlign w:val="bottom"/>
          </w:tcPr>
          <w:p>
            <w:pPr>
              <w:spacing w:after="0"/>
              <w:rPr>
                <w:sz w:val="24"/>
                <w:szCs w:val="24"/>
                <w:color w:val="auto"/>
              </w:rPr>
            </w:pPr>
          </w:p>
        </w:tc>
        <w:tc>
          <w:tcPr>
            <w:tcW w:w="42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3,910</w:t>
            </w:r>
          </w:p>
        </w:tc>
      </w:tr>
      <w:tr>
        <w:trPr>
          <w:trHeight w:val="20"/>
        </w:trPr>
        <w:tc>
          <w:tcPr>
            <w:tcW w:w="6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160" w:right="20" w:firstLine="318"/>
        <w:spacing w:after="0" w:line="274" w:lineRule="auto"/>
        <w:rPr>
          <w:sz w:val="20"/>
          <w:szCs w:val="20"/>
          <w:color w:val="auto"/>
        </w:rPr>
      </w:pPr>
      <w:r>
        <w:rPr>
          <w:rFonts w:ascii="Times New Roman" w:cs="Times New Roman" w:eastAsia="Times New Roman" w:hAnsi="Times New Roman"/>
          <w:sz w:val="18"/>
          <w:szCs w:val="18"/>
          <w:color w:val="auto"/>
        </w:rPr>
        <w:t>See “— Results of Operations — Consolidated Results for the Three Months and Nine Months Ended September 30, 2026 and 2025” for an analysis of the period-over-period changes in net investment income.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Fixed Maturity Securities Available-For-Sale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Fixed maturity securities held by type (public or private)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2380" w:type="dxa"/>
            <w:vAlign w:val="bottom"/>
            <w:gridSpan w:val="3"/>
          </w:tcPr>
          <w:p>
            <w:pPr>
              <w:jc w:val="right"/>
              <w:ind w:right="644"/>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5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67"/>
        </w:trPr>
        <w:tc>
          <w:tcPr>
            <w:tcW w:w="5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220" w:type="dxa"/>
            <w:vAlign w:val="bottom"/>
          </w:tcPr>
          <w:p>
            <w:pPr>
              <w:spacing w:after="0"/>
              <w:rPr>
                <w:sz w:val="14"/>
                <w:szCs w:val="1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40" w:type="dxa"/>
            <w:vAlign w:val="bottom"/>
          </w:tcPr>
          <w:p>
            <w:pPr>
              <w:jc w:val="right"/>
              <w:ind w:right="424"/>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5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40" w:type="dxa"/>
            <w:vAlign w:val="bottom"/>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51"/>
        </w:trPr>
        <w:tc>
          <w:tcPr>
            <w:tcW w:w="594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700" w:type="dxa"/>
            <w:vAlign w:val="bottom"/>
            <w:tcBorders>
              <w:bottom w:val="single" w:sz="8" w:color="auto"/>
            </w:tcBorders>
            <w:gridSpan w:val="5"/>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r>
      <w:tr>
        <w:trPr>
          <w:trHeight w:val="393"/>
        </w:trPr>
        <w:tc>
          <w:tcPr>
            <w:tcW w:w="5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40" w:type="dxa"/>
            <w:vAlign w:val="bottom"/>
          </w:tcPr>
          <w:p>
            <w:pPr>
              <w:spacing w:after="0"/>
              <w:rPr>
                <w:sz w:val="24"/>
                <w:szCs w:val="24"/>
                <w:color w:val="auto"/>
              </w:rPr>
            </w:pPr>
          </w:p>
        </w:tc>
      </w:tr>
      <w:tr>
        <w:trPr>
          <w:trHeight w:val="24"/>
        </w:trPr>
        <w:tc>
          <w:tcPr>
            <w:tcW w:w="5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437"/>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Publicly-traded</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63,394</w:t>
            </w:r>
          </w:p>
        </w:tc>
        <w:tc>
          <w:tcPr>
            <w:tcW w:w="1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67,348</w:t>
            </w:r>
          </w:p>
        </w:tc>
        <w:tc>
          <w:tcPr>
            <w:tcW w:w="10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82.1 %</w:t>
            </w:r>
          </w:p>
        </w:tc>
      </w:tr>
      <w:tr>
        <w:trPr>
          <w:trHeight w:val="435"/>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Privately-placed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13,939</w:t>
            </w: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6"/>
                <w:szCs w:val="16"/>
                <w:color w:val="auto"/>
              </w:rPr>
              <w:t>17.9</w:t>
            </w:r>
          </w:p>
        </w:tc>
      </w:tr>
      <w:tr>
        <w:trPr>
          <w:trHeight w:val="458"/>
        </w:trPr>
        <w:tc>
          <w:tcPr>
            <w:tcW w:w="5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77,333</w:t>
            </w:r>
          </w:p>
        </w:tc>
        <w:tc>
          <w:tcPr>
            <w:tcW w:w="12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82,014</w:t>
            </w:r>
          </w:p>
        </w:tc>
        <w:tc>
          <w:tcPr>
            <w:tcW w:w="10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05"/>
        </w:trPr>
        <w:tc>
          <w:tcPr>
            <w:tcW w:w="5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Percentage of cash and invested assets</w:t>
            </w:r>
          </w:p>
        </w:tc>
        <w:tc>
          <w:tcPr>
            <w:tcW w:w="2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60.6 %</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65.1 %</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pacing w:after="0" w:line="172" w:lineRule="exact"/>
        <w:rPr>
          <w:sz w:val="20"/>
          <w:szCs w:val="20"/>
          <w:color w:val="auto"/>
        </w:rPr>
      </w:pPr>
    </w:p>
    <w:p>
      <w:pPr>
        <w:jc w:val="both"/>
        <w:ind w:firstLine="318"/>
        <w:spacing w:after="0" w:line="304" w:lineRule="auto"/>
        <w:rPr>
          <w:sz w:val="20"/>
          <w:szCs w:val="20"/>
          <w:color w:val="auto"/>
        </w:rPr>
      </w:pPr>
      <w:r>
        <w:rPr>
          <w:rFonts w:ascii="Times New Roman" w:cs="Times New Roman" w:eastAsia="Times New Roman" w:hAnsi="Times New Roman"/>
          <w:sz w:val="17"/>
          <w:szCs w:val="17"/>
          <w:color w:val="auto"/>
        </w:rPr>
        <w:t>See Note 9 of the Notes to the Interim Condensed Consolidated Financial Statements for further information on our valuation controls and procedures including our formal process to challenge any prices received from independent pricing services that are not considered representative of estimated fair value.</w:t>
      </w:r>
    </w:p>
    <w:p>
      <w:pPr>
        <w:spacing w:after="0" w:line="3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Notes 1 and 7 of the Notes to the Interim Condensed Consolidated Financial Statements for further information about fixed maturity securities by sector, contractual maturities, continuous gross unrealized losses and the allowance for credit losses.</w:t>
      </w:r>
    </w:p>
    <w:p>
      <w:pPr>
        <w:spacing w:after="0" w:line="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Fixed Maturity Securities Credit Quality — Ratings</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Investments — Fixed Maturity Securities Available-For-Sale — Fixed Maturity Securities Credit Quality — Ratings” included in our 2025 Annual Report for a discussion of the credit quality ratings assigned by Nationally Recognized Statistical Rating Organizations (“NRSRO”), credit quality designations assigned by and methodologies used by the Securities Valuation Office of the National Association of Insurance Commissioners (“NAIC”) for fixed maturity securities and the methodologies adopted by the NAIC for certain Structured Securities.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 presents total fixed maturity securities by NRSRO rating and the applicable NAIC designation from the NAIC published comparison of NRSRO ratings to NAIC designations, except for certain Structured Securities, which are presented using the NAIC methodologies, as well as the percentage, based on estimated fair value that each NAIC designation is comprised of at: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September 30, 2026</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8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90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80" w:type="dxa"/>
            <w:vAlign w:val="bottom"/>
            <w:tcBorders>
              <w:bottom w:val="single" w:sz="8" w:color="auto"/>
            </w:tcBorders>
            <w:gridSpan w:val="3"/>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24"/>
        </w:trPr>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9"/>
              </w:rPr>
              <w:t>NAIC</w:t>
            </w:r>
          </w:p>
        </w:tc>
        <w:tc>
          <w:tcPr>
            <w:tcW w:w="12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NRSRO Rating</w:t>
            </w:r>
          </w:p>
        </w:tc>
        <w:tc>
          <w:tcPr>
            <w:tcW w:w="88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20" w:type="dxa"/>
            <w:vAlign w:val="bottom"/>
            <w:gridSpan w:val="2"/>
          </w:tcPr>
          <w:p>
            <w:pPr>
              <w:jc w:val="right"/>
              <w:ind w:right="18"/>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3"/>
              </w:rPr>
              <w:t>Unrealized</w:t>
            </w:r>
          </w:p>
        </w:tc>
        <w:tc>
          <w:tcPr>
            <w:tcW w:w="900" w:type="dxa"/>
            <w:vAlign w:val="bottom"/>
            <w:gridSpan w:val="3"/>
          </w:tcPr>
          <w:p>
            <w:pPr>
              <w:ind w:left="6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Amortized Cost</w:t>
            </w:r>
          </w:p>
        </w:tc>
        <w:tc>
          <w:tcPr>
            <w:tcW w:w="840" w:type="dxa"/>
            <w:vAlign w:val="bottom"/>
            <w:gridSpan w:val="2"/>
          </w:tcPr>
          <w:p>
            <w:pPr>
              <w:jc w:val="right"/>
              <w:ind w:right="39"/>
              <w:spacing w:after="0"/>
              <w:rPr>
                <w:sz w:val="20"/>
                <w:szCs w:val="20"/>
                <w:color w:val="auto"/>
              </w:rPr>
            </w:pPr>
            <w:r>
              <w:rPr>
                <w:rFonts w:ascii="Times New Roman" w:cs="Times New Roman" w:eastAsia="Times New Roman" w:hAnsi="Times New Roman"/>
                <w:sz w:val="11"/>
                <w:szCs w:val="11"/>
                <w:b w:val="1"/>
                <w:bCs w:val="1"/>
                <w:color w:val="auto"/>
              </w:rPr>
              <w:t>Allowance for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7"/>
              </w:rPr>
              <w:t>Unrealized</w:t>
            </w:r>
          </w:p>
        </w:tc>
        <w:tc>
          <w:tcPr>
            <w:tcW w:w="880" w:type="dxa"/>
            <w:vAlign w:val="bottom"/>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Estimated Fair</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of Total</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Designation</w:t>
            </w:r>
          </w:p>
        </w:tc>
        <w:tc>
          <w:tcPr>
            <w:tcW w:w="1280" w:type="dxa"/>
            <w:vAlign w:val="bottom"/>
            <w:gridSpan w:val="2"/>
            <w:vMerge w:val="continue"/>
          </w:tcPr>
          <w:p>
            <w:pPr>
              <w:spacing w:after="0"/>
              <w:rPr>
                <w:sz w:val="13"/>
                <w:szCs w:val="13"/>
                <w:color w:val="auto"/>
              </w:rPr>
            </w:pPr>
          </w:p>
        </w:tc>
        <w:tc>
          <w:tcPr>
            <w:tcW w:w="880" w:type="dxa"/>
            <w:vAlign w:val="bottom"/>
            <w:gridSpan w:val="3"/>
            <w:vMerge w:val="continue"/>
          </w:tcPr>
          <w:p>
            <w:pPr>
              <w:spacing w:after="0"/>
              <w:rPr>
                <w:sz w:val="13"/>
                <w:szCs w:val="13"/>
                <w:color w:val="auto"/>
              </w:rPr>
            </w:pPr>
          </w:p>
        </w:tc>
        <w:tc>
          <w:tcPr>
            <w:tcW w:w="820" w:type="dxa"/>
            <w:vAlign w:val="bottom"/>
            <w:gridSpan w:val="2"/>
          </w:tcPr>
          <w:p>
            <w:pPr>
              <w:jc w:val="right"/>
              <w:ind w:right="38"/>
              <w:spacing w:after="0"/>
              <w:rPr>
                <w:sz w:val="20"/>
                <w:szCs w:val="20"/>
                <w:color w:val="auto"/>
              </w:rPr>
            </w:pPr>
            <w:r>
              <w:rPr>
                <w:rFonts w:ascii="Times New Roman" w:cs="Times New Roman" w:eastAsia="Times New Roman" w:hAnsi="Times New Roman"/>
                <w:sz w:val="11"/>
                <w:szCs w:val="11"/>
                <w:b w:val="1"/>
                <w:bCs w:val="1"/>
                <w:color w:val="auto"/>
              </w:rPr>
              <w:t>Credit Losses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20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right"/>
              <w:ind w:right="59"/>
              <w:spacing w:after="0"/>
              <w:rPr>
                <w:sz w:val="20"/>
                <w:szCs w:val="20"/>
                <w:color w:val="auto"/>
              </w:rPr>
            </w:pPr>
            <w:r>
              <w:rPr>
                <w:rFonts w:ascii="Times New Roman" w:cs="Times New Roman" w:eastAsia="Times New Roman" w:hAnsi="Times New Roman"/>
                <w:sz w:val="11"/>
                <w:szCs w:val="11"/>
                <w:b w:val="1"/>
                <w:bCs w:val="1"/>
                <w:color w:val="auto"/>
                <w:w w:val="90"/>
              </w:rPr>
              <w:t>Credit Losses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4"/>
              </w:rPr>
              <w:t>Gain (Loss)</w:t>
            </w:r>
          </w:p>
        </w:tc>
        <w:tc>
          <w:tcPr>
            <w:tcW w:w="180" w:type="dxa"/>
            <w:vAlign w:val="bottom"/>
          </w:tcPr>
          <w:p>
            <w:pPr>
              <w:spacing w:after="0"/>
              <w:rPr>
                <w:sz w:val="13"/>
                <w:szCs w:val="13"/>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Value</w:t>
            </w:r>
          </w:p>
        </w:tc>
        <w:tc>
          <w:tcPr>
            <w:tcW w:w="6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3"/>
        </w:trPr>
        <w:tc>
          <w:tcPr>
            <w:tcW w:w="7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780" w:type="dxa"/>
            <w:vAlign w:val="bottom"/>
            <w:tcBorders>
              <w:top w:val="single" w:sz="8" w:color="auto"/>
            </w:tcBorders>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(Dollars in millions)</w:t>
            </w:r>
          </w:p>
        </w:tc>
        <w:tc>
          <w:tcPr>
            <w:tcW w:w="1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1</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Aaa/Aa/A</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57,137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(6,098)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51,035</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66.0 %</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57,600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54,281</w:t>
            </w:r>
          </w:p>
        </w:tc>
        <w:tc>
          <w:tcPr>
            <w:tcW w:w="10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66.2 %</w:t>
            </w:r>
          </w:p>
        </w:tc>
        <w:tc>
          <w:tcPr>
            <w:tcW w:w="0" w:type="dxa"/>
            <w:vAlign w:val="bottom"/>
          </w:tcPr>
          <w:p>
            <w:pPr>
              <w:spacing w:after="0"/>
              <w:rPr>
                <w:sz w:val="1"/>
                <w:szCs w:val="1"/>
                <w:color w:val="auto"/>
              </w:rPr>
            </w:pPr>
          </w:p>
        </w:tc>
      </w:tr>
      <w:tr>
        <w:trPr>
          <w:trHeight w:val="391"/>
        </w:trPr>
        <w:tc>
          <w:tcPr>
            <w:tcW w:w="7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10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2"/>
                <w:szCs w:val="12"/>
                <w:color w:val="auto"/>
              </w:rPr>
              <w:t>Baa</w:t>
            </w: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26,530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(2,671)</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23,859</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30.9</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26,845</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(1,559)</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25,286</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30.8</w:t>
            </w: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7"/>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Subtotal investment grade</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83,667</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(8,769)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74,894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84,445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79,567</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389"/>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3</w:t>
            </w: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Ba</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2,021</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2,050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2,009</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4</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B</w:t>
            </w: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344</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76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5</w:t>
            </w:r>
          </w:p>
        </w:tc>
        <w:tc>
          <w:tcPr>
            <w:tcW w:w="100" w:type="dxa"/>
            <w:vAlign w:val="bottom"/>
          </w:tcPr>
          <w:p>
            <w:pPr>
              <w:spacing w:after="0"/>
              <w:rPr>
                <w:sz w:val="24"/>
                <w:szCs w:val="24"/>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Caa and lower</w:t>
            </w: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63</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124</w:t>
            </w: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1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In or near default</w:t>
            </w:r>
          </w:p>
        </w:tc>
        <w:tc>
          <w:tcPr>
            <w:tcW w:w="24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0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w:t>
            </w:r>
          </w:p>
        </w:tc>
        <w:tc>
          <w:tcPr>
            <w:tcW w:w="100" w:type="dxa"/>
            <w:vAlign w:val="bottom"/>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100" w:type="dxa"/>
            <w:vAlign w:val="bottom"/>
            <w:shd w:val="clear" w:color="auto" w:fill="CCEEFF"/>
          </w:tcPr>
          <w:p>
            <w:pPr>
              <w:spacing w:after="0"/>
              <w:rPr>
                <w:sz w:val="24"/>
                <w:szCs w:val="2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2140" w:type="dxa"/>
            <w:vAlign w:val="bottom"/>
            <w:tcBorders>
              <w:bottom w:val="single" w:sz="8" w:color="CCEEFF"/>
            </w:tcBorders>
            <w:gridSpan w:val="4"/>
          </w:tcPr>
          <w:p>
            <w:pPr>
              <w:ind w:left="20"/>
              <w:spacing w:after="0"/>
              <w:rPr>
                <w:sz w:val="20"/>
                <w:szCs w:val="20"/>
                <w:color w:val="auto"/>
              </w:rPr>
            </w:pPr>
            <w:r>
              <w:rPr>
                <w:rFonts w:ascii="Times New Roman" w:cs="Times New Roman" w:eastAsia="Times New Roman" w:hAnsi="Times New Roman"/>
                <w:sz w:val="12"/>
                <w:szCs w:val="12"/>
                <w:color w:val="auto"/>
              </w:rPr>
              <w:t>Subtotal below investment grade</w:t>
            </w:r>
          </w:p>
        </w:tc>
        <w:tc>
          <w:tcPr>
            <w:tcW w:w="2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2,663</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62</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(162)</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2,439</w:t>
            </w:r>
          </w:p>
        </w:tc>
        <w:tc>
          <w:tcPr>
            <w:tcW w:w="1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2,601</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(93)</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2,447</w:t>
            </w:r>
          </w:p>
        </w:tc>
        <w:tc>
          <w:tcPr>
            <w:tcW w:w="10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418"/>
        </w:trPr>
        <w:tc>
          <w:tcPr>
            <w:tcW w:w="214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Total fixed maturity securities</w:t>
            </w:r>
          </w:p>
        </w:tc>
        <w:tc>
          <w:tcPr>
            <w:tcW w:w="2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86,330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(8,931)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77,333</w:t>
            </w: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87,046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82,014</w:t>
            </w:r>
          </w:p>
        </w:tc>
        <w:tc>
          <w:tcPr>
            <w:tcW w:w="100" w:type="dxa"/>
            <w:vAlign w:val="bottom"/>
            <w:shd w:val="clear" w:color="auto" w:fill="CCEEFF"/>
          </w:tcPr>
          <w:p>
            <w:pPr>
              <w:spacing w:after="0"/>
              <w:rPr>
                <w:sz w:val="24"/>
                <w:szCs w:val="2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0" w:type="dxa"/>
            <w:vAlign w:val="bottom"/>
          </w:tcPr>
          <w:p>
            <w:pPr>
              <w:spacing w:after="0"/>
              <w:rPr>
                <w:sz w:val="1"/>
                <w:szCs w:val="1"/>
                <w:color w:val="auto"/>
              </w:rPr>
            </w:pPr>
          </w:p>
        </w:tc>
      </w:tr>
      <w:tr>
        <w:trPr>
          <w:trHeight w:val="20"/>
        </w:trPr>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The following tables present total fixed maturity securities, based on estimated fair value, by sector classification and by NRSRO rating and the applicable NAIC designations from the NAIC published comparison of NRSRO ratings to NAIC designations, except for certain Structured Securities, which are presented using the NAIC methodologies as described above:</w:t>
      </w:r>
    </w:p>
    <w:p>
      <w:pPr>
        <w:sectPr>
          <w:pgSz w:w="11900" w:h="16838" w:orient="portrait"/>
          <w:cols w:equalWidth="0" w:num="1">
            <w:col w:w="11240"/>
          </w:cols>
          <w:pgMar w:left="320" w:top="230" w:right="3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6"/>
        </w:trPr>
        <w:tc>
          <w:tcPr>
            <w:tcW w:w="3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0" w:type="dxa"/>
            <w:vAlign w:val="bottom"/>
            <w:gridSpan w:val="14"/>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Fixed Maturity Securities — by Sector &amp; Credit Quality Rating</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NAIC Designation</w:t>
            </w:r>
          </w:p>
        </w:tc>
        <w:tc>
          <w:tcPr>
            <w:tcW w:w="160" w:type="dxa"/>
            <w:vAlign w:val="bottom"/>
          </w:tcPr>
          <w:p>
            <w:pPr>
              <w:spacing w:after="0"/>
              <w:rPr>
                <w:sz w:val="24"/>
                <w:szCs w:val="24"/>
                <w:color w:val="auto"/>
              </w:rPr>
            </w:pPr>
          </w:p>
        </w:tc>
        <w:tc>
          <w:tcPr>
            <w:tcW w:w="84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85"/>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w w:val="85"/>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3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Caa and</w:t>
            </w:r>
          </w:p>
        </w:tc>
        <w:tc>
          <w:tcPr>
            <w:tcW w:w="14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 or Near</w:t>
            </w:r>
          </w:p>
        </w:tc>
        <w:tc>
          <w:tcPr>
            <w:tcW w:w="1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Total Estimated</w:t>
            </w:r>
          </w:p>
        </w:tc>
        <w:tc>
          <w:tcPr>
            <w:tcW w:w="0" w:type="dxa"/>
            <w:vAlign w:val="bottom"/>
          </w:tcPr>
          <w:p>
            <w:pPr>
              <w:spacing w:after="0"/>
              <w:rPr>
                <w:sz w:val="1"/>
                <w:szCs w:val="1"/>
                <w:color w:val="auto"/>
              </w:rPr>
            </w:pPr>
          </w:p>
        </w:tc>
      </w:tr>
      <w:tr>
        <w:trPr>
          <w:trHeight w:val="26"/>
        </w:trPr>
        <w:tc>
          <w:tcPr>
            <w:tcW w:w="3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NRSRO Rating</w:t>
            </w:r>
          </w:p>
        </w:tc>
        <w:tc>
          <w:tcPr>
            <w:tcW w:w="160" w:type="dxa"/>
            <w:vAlign w:val="bottom"/>
          </w:tcPr>
          <w:p>
            <w:pPr>
              <w:spacing w:after="0"/>
              <w:rPr>
                <w:sz w:val="2"/>
                <w:szCs w:val="2"/>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Aaa/Aa/A</w:t>
            </w:r>
          </w:p>
        </w:tc>
        <w:tc>
          <w:tcPr>
            <w:tcW w:w="240" w:type="dxa"/>
            <w:vAlign w:val="bottom"/>
          </w:tcPr>
          <w:p>
            <w:pPr>
              <w:spacing w:after="0"/>
              <w:rPr>
                <w:sz w:val="2"/>
                <w:szCs w:val="2"/>
                <w:color w:val="auto"/>
              </w:rPr>
            </w:pP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Baa</w:t>
            </w:r>
          </w:p>
        </w:tc>
        <w:tc>
          <w:tcPr>
            <w:tcW w:w="260" w:type="dxa"/>
            <w:vAlign w:val="bottom"/>
          </w:tcPr>
          <w:p>
            <w:pPr>
              <w:spacing w:after="0"/>
              <w:rPr>
                <w:sz w:val="2"/>
                <w:szCs w:val="2"/>
                <w:color w:val="auto"/>
              </w:rPr>
            </w:pPr>
          </w:p>
        </w:tc>
        <w:tc>
          <w:tcPr>
            <w:tcW w:w="8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Ba</w:t>
            </w:r>
          </w:p>
        </w:tc>
        <w:tc>
          <w:tcPr>
            <w:tcW w:w="120" w:type="dxa"/>
            <w:vAlign w:val="bottom"/>
          </w:tcPr>
          <w:p>
            <w:pPr>
              <w:spacing w:after="0"/>
              <w:rPr>
                <w:sz w:val="2"/>
                <w:szCs w:val="2"/>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w:t>
            </w:r>
          </w:p>
        </w:tc>
        <w:tc>
          <w:tcPr>
            <w:tcW w:w="160" w:type="dxa"/>
            <w:vAlign w:val="bottom"/>
          </w:tcPr>
          <w:p>
            <w:pPr>
              <w:spacing w:after="0"/>
              <w:rPr>
                <w:sz w:val="2"/>
                <w:szCs w:val="2"/>
                <w:color w:val="auto"/>
              </w:rPr>
            </w:pPr>
          </w:p>
        </w:tc>
        <w:tc>
          <w:tcPr>
            <w:tcW w:w="9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Lower</w:t>
            </w: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Default</w:t>
            </w:r>
          </w:p>
        </w:tc>
        <w:tc>
          <w:tcPr>
            <w:tcW w:w="10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1"/>
        </w:trPr>
        <w:tc>
          <w:tcPr>
            <w:tcW w:w="37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398"/>
        </w:trPr>
        <w:tc>
          <w:tcPr>
            <w:tcW w:w="3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3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17,645</w:t>
            </w:r>
          </w:p>
        </w:tc>
        <w:tc>
          <w:tcPr>
            <w:tcW w:w="1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259</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36,656</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10,327</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6,604</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6,683</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5,612</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3,046</w:t>
            </w:r>
          </w:p>
        </w:tc>
        <w:tc>
          <w:tcPr>
            <w:tcW w:w="0" w:type="dxa"/>
            <w:vAlign w:val="bottom"/>
          </w:tcPr>
          <w:p>
            <w:pPr>
              <w:spacing w:after="0"/>
              <w:rPr>
                <w:sz w:val="1"/>
                <w:szCs w:val="1"/>
                <w:color w:val="auto"/>
              </w:rPr>
            </w:pPr>
          </w:p>
        </w:tc>
      </w:tr>
      <w:tr>
        <w:trPr>
          <w:trHeight w:val="4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0" w:type="dxa"/>
            <w:vAlign w:val="bottom"/>
          </w:tcPr>
          <w:p>
            <w:pPr>
              <w:spacing w:after="0"/>
              <w:rPr>
                <w:sz w:val="1"/>
                <w:szCs w:val="1"/>
                <w:color w:val="auto"/>
              </w:rPr>
            </w:pPr>
          </w:p>
        </w:tc>
      </w:tr>
      <w:tr>
        <w:trPr>
          <w:trHeight w:val="43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51,035</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23,859</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77,333</w:t>
            </w:r>
          </w:p>
        </w:tc>
        <w:tc>
          <w:tcPr>
            <w:tcW w:w="0" w:type="dxa"/>
            <w:vAlign w:val="bottom"/>
          </w:tcPr>
          <w:p>
            <w:pPr>
              <w:spacing w:after="0"/>
              <w:rPr>
                <w:sz w:val="1"/>
                <w:szCs w:val="1"/>
                <w:color w:val="auto"/>
              </w:rPr>
            </w:pPr>
          </w:p>
        </w:tc>
      </w:tr>
      <w:tr>
        <w:trPr>
          <w:trHeight w:val="20"/>
        </w:trPr>
        <w:tc>
          <w:tcPr>
            <w:tcW w:w="37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U.S. corporate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18,624</w:t>
            </w:r>
          </w:p>
        </w:tc>
        <w:tc>
          <w:tcPr>
            <w:tcW w:w="100" w:type="dxa"/>
            <w:vAlign w:val="bottom"/>
          </w:tcPr>
          <w:p>
            <w:pPr>
              <w:spacing w:after="0"/>
              <w:rPr>
                <w:sz w:val="24"/>
                <w:szCs w:val="24"/>
                <w:color w:val="auto"/>
              </w:rPr>
            </w:pPr>
          </w:p>
        </w:tc>
        <w:tc>
          <w:tcPr>
            <w:tcW w:w="2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18,414</w:t>
            </w:r>
          </w:p>
        </w:tc>
        <w:tc>
          <w:tcPr>
            <w:tcW w:w="100" w:type="dxa"/>
            <w:vAlign w:val="bottom"/>
          </w:tcPr>
          <w:p>
            <w:pPr>
              <w:spacing w:after="0"/>
              <w:rPr>
                <w:sz w:val="24"/>
                <w:szCs w:val="24"/>
                <w:color w:val="auto"/>
              </w:rPr>
            </w:pPr>
          </w:p>
        </w:tc>
        <w:tc>
          <w:tcPr>
            <w:tcW w:w="2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1,565</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38,909</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corporate</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11,497</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RMBS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U.S. government and agency</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6,711</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ABS</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0" w:type="dxa"/>
            <w:vAlign w:val="bottom"/>
          </w:tcPr>
          <w:p>
            <w:pPr>
              <w:spacing w:after="0"/>
              <w:rPr>
                <w:sz w:val="1"/>
                <w:szCs w:val="1"/>
                <w:color w:val="auto"/>
              </w:rPr>
            </w:pPr>
          </w:p>
        </w:tc>
      </w:tr>
      <w:tr>
        <w:trPr>
          <w:trHeight w:val="440"/>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CMBS</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5,563</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5,870</w:t>
            </w:r>
          </w:p>
        </w:tc>
        <w:tc>
          <w:tcPr>
            <w:tcW w:w="0" w:type="dxa"/>
            <w:vAlign w:val="bottom"/>
          </w:tcPr>
          <w:p>
            <w:pPr>
              <w:spacing w:after="0"/>
              <w:rPr>
                <w:sz w:val="1"/>
                <w:szCs w:val="1"/>
                <w:color w:val="auto"/>
              </w:rPr>
            </w:pPr>
          </w:p>
        </w:tc>
      </w:tr>
      <w:tr>
        <w:trPr>
          <w:trHeight w:val="435"/>
        </w:trPr>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State and political subdivision</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3,439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3,494</w:t>
            </w:r>
          </w:p>
        </w:tc>
        <w:tc>
          <w:tcPr>
            <w:tcW w:w="0" w:type="dxa"/>
            <w:vAlign w:val="bottom"/>
          </w:tcPr>
          <w:p>
            <w:pPr>
              <w:spacing w:after="0"/>
              <w:rPr>
                <w:sz w:val="1"/>
                <w:szCs w:val="1"/>
                <w:color w:val="auto"/>
              </w:rPr>
            </w:pPr>
          </w:p>
        </w:tc>
      </w:tr>
      <w:tr>
        <w:trPr>
          <w:trHeight w:val="437"/>
        </w:trPr>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government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4"/>
                <w:szCs w:val="2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w:t>
            </w:r>
          </w:p>
        </w:tc>
        <w:tc>
          <w:tcPr>
            <w:tcW w:w="0" w:type="dxa"/>
            <w:vAlign w:val="bottom"/>
          </w:tcPr>
          <w:p>
            <w:pPr>
              <w:spacing w:after="0"/>
              <w:rPr>
                <w:sz w:val="1"/>
                <w:szCs w:val="1"/>
                <w:color w:val="auto"/>
              </w:rPr>
            </w:pPr>
          </w:p>
        </w:tc>
      </w:tr>
      <w:tr>
        <w:trPr>
          <w:trHeight w:val="433"/>
        </w:trPr>
        <w:tc>
          <w:tcPr>
            <w:tcW w:w="37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fixed maturity securities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54,281</w:t>
            </w:r>
          </w:p>
        </w:tc>
        <w:tc>
          <w:tcPr>
            <w:tcW w:w="100" w:type="dxa"/>
            <w:vAlign w:val="bottom"/>
          </w:tcPr>
          <w:p>
            <w:pPr>
              <w:spacing w:after="0"/>
              <w:rPr>
                <w:sz w:val="24"/>
                <w:szCs w:val="24"/>
                <w:color w:val="auto"/>
              </w:rPr>
            </w:pPr>
          </w:p>
        </w:tc>
        <w:tc>
          <w:tcPr>
            <w:tcW w:w="24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25,286</w:t>
            </w:r>
          </w:p>
        </w:tc>
        <w:tc>
          <w:tcPr>
            <w:tcW w:w="10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2,009</w:t>
            </w:r>
          </w:p>
        </w:tc>
        <w:tc>
          <w:tcPr>
            <w:tcW w:w="120" w:type="dxa"/>
            <w:vAlign w:val="bottom"/>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300</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4"/>
                <w:szCs w:val="24"/>
                <w:color w:val="auto"/>
              </w:rPr>
            </w:pPr>
          </w:p>
        </w:tc>
        <w:tc>
          <w:tcPr>
            <w:tcW w:w="1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82,014</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U.S. and Foreign Corporate Fixed Maturity Securities</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We maintain a diversified portfolio of corporate fixed maturity securities across industries and issuers. Our portfolio does not have any exposure to any single issuer in excess of 1% of total investments and the top ten holdings in aggregate comprise 1% of total investments at both September 30, 2026 and December 31, 2025. Our U.S. and foreign corporate fixed maturity securities holdings by industry were as follows at:</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2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230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6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1"/>
        </w:trPr>
        <w:tc>
          <w:tcPr>
            <w:tcW w:w="6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180" w:type="dxa"/>
            <w:vAlign w:val="bottom"/>
          </w:tcPr>
          <w:p>
            <w:pPr>
              <w:spacing w:after="0"/>
              <w:rPr>
                <w:sz w:val="15"/>
                <w:szCs w:val="15"/>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86"/>
        </w:trPr>
        <w:tc>
          <w:tcPr>
            <w:tcW w:w="6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Pr>
          <w:p>
            <w:pPr>
              <w:spacing w:after="0"/>
              <w:rPr>
                <w:sz w:val="16"/>
                <w:szCs w:val="16"/>
                <w:color w:val="auto"/>
              </w:rPr>
            </w:pPr>
          </w:p>
        </w:tc>
        <w:tc>
          <w:tcPr>
            <w:tcW w:w="10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260" w:type="dxa"/>
            <w:vAlign w:val="bottom"/>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8"/>
        </w:trPr>
        <w:tc>
          <w:tcPr>
            <w:tcW w:w="61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580" w:type="dxa"/>
            <w:vAlign w:val="bottom"/>
            <w:tcBorders>
              <w:bottom w:val="single" w:sz="8" w:color="auto"/>
            </w:tcBorders>
            <w:gridSpan w:val="5"/>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93"/>
        </w:trPr>
        <w:tc>
          <w:tcPr>
            <w:tcW w:w="6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60" w:type="dxa"/>
            <w:vAlign w:val="bottom"/>
          </w:tcPr>
          <w:p>
            <w:pPr>
              <w:spacing w:after="0"/>
              <w:rPr>
                <w:sz w:val="24"/>
                <w:szCs w:val="24"/>
                <w:color w:val="auto"/>
              </w:rPr>
            </w:pPr>
          </w:p>
        </w:tc>
      </w:tr>
      <w:tr>
        <w:trPr>
          <w:trHeight w:val="24"/>
        </w:trPr>
        <w:tc>
          <w:tcPr>
            <w:tcW w:w="6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43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15,734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33.5 %</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16,541</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32.8 %</w:t>
            </w:r>
          </w:p>
        </w:tc>
      </w:tr>
      <w:tr>
        <w:trPr>
          <w:trHeight w:val="435"/>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11,508</w:t>
            </w:r>
          </w:p>
        </w:tc>
        <w:tc>
          <w:tcPr>
            <w:tcW w:w="10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12,736</w:t>
            </w:r>
          </w:p>
        </w:tc>
        <w:tc>
          <w:tcPr>
            <w:tcW w:w="8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25.3</w:t>
            </w:r>
          </w:p>
        </w:tc>
      </w:tr>
      <w:tr>
        <w:trPr>
          <w:trHeight w:val="440"/>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Consumer</w:t>
            </w: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11,090</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11,743</w:t>
            </w:r>
          </w:p>
        </w:tc>
        <w:tc>
          <w:tcPr>
            <w:tcW w:w="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23.3</w:t>
            </w:r>
          </w:p>
        </w:tc>
      </w:tr>
      <w:tr>
        <w:trPr>
          <w:trHeight w:val="435"/>
        </w:trPr>
        <w:tc>
          <w:tcPr>
            <w:tcW w:w="61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Utility</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6,083</w:t>
            </w:r>
          </w:p>
        </w:tc>
        <w:tc>
          <w:tcPr>
            <w:tcW w:w="10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6,687</w:t>
            </w:r>
          </w:p>
        </w:tc>
        <w:tc>
          <w:tcPr>
            <w:tcW w:w="8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13.3</w:t>
            </w:r>
          </w:p>
        </w:tc>
      </w:tr>
      <w:tr>
        <w:trPr>
          <w:trHeight w:val="437"/>
        </w:trPr>
        <w:tc>
          <w:tcPr>
            <w:tcW w:w="6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Communications</w:t>
            </w: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2,699</w:t>
            </w:r>
          </w:p>
        </w:tc>
        <w:tc>
          <w:tcPr>
            <w:tcW w:w="8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5.3</w:t>
            </w:r>
          </w:p>
        </w:tc>
      </w:tr>
      <w:tr>
        <w:trPr>
          <w:trHeight w:val="433"/>
        </w:trPr>
        <w:tc>
          <w:tcPr>
            <w:tcW w:w="6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46,983</w:t>
            </w:r>
          </w:p>
        </w:tc>
        <w:tc>
          <w:tcPr>
            <w:tcW w:w="10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50,406</w:t>
            </w:r>
          </w:p>
        </w:tc>
        <w:tc>
          <w:tcPr>
            <w:tcW w:w="8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Structured Securities</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We held $19.8 billion and $20.5 billion of Structured Securities, at estimated fair value, at September 30, 2026 and December 31, 2025, respectively, as presented in the RMBS, CMBS and ABS sections below.</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RMBS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RMBS holdings are diversified by security type, risk profile and ratings profile, which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160" w:type="dxa"/>
            <w:vAlign w:val="bottom"/>
          </w:tcPr>
          <w:p>
            <w:pPr>
              <w:spacing w:after="0"/>
              <w:rPr>
                <w:sz w:val="16"/>
                <w:szCs w:val="16"/>
                <w:color w:val="auto"/>
              </w:rPr>
            </w:pPr>
          </w:p>
        </w:tc>
      </w:tr>
      <w:tr>
        <w:trPr>
          <w:trHeight w:val="24"/>
        </w:trPr>
        <w:tc>
          <w:tcPr>
            <w:tcW w:w="3900" w:type="dxa"/>
            <w:vAlign w:val="bottom"/>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67"/>
        </w:trPr>
        <w:tc>
          <w:tcPr>
            <w:tcW w:w="390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4"/>
                <w:szCs w:val="14"/>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0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22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51"/>
        </w:trPr>
        <w:tc>
          <w:tcPr>
            <w:tcW w:w="390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gridSpan w:val="5"/>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r>
      <w:tr>
        <w:trPr>
          <w:trHeight w:val="393"/>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Security type:</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35"/>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mortgage obligations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4,571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53.2 %</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4,551</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53.3 %</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r>
      <w:tr>
        <w:trPr>
          <w:trHeight w:val="4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Pass-through securities</w:t>
            </w: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4,020</w:t>
            </w:r>
          </w:p>
        </w:tc>
        <w:tc>
          <w:tcPr>
            <w:tcW w:w="10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46.8</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3,981</w:t>
            </w:r>
          </w:p>
        </w:tc>
        <w:tc>
          <w:tcPr>
            <w:tcW w:w="12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r>
      <w:tr>
        <w:trPr>
          <w:trHeight w:val="4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 profile:</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35"/>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Agency</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6,411</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74.6 %</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6,542</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76.7 %</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(505)</w:t>
            </w:r>
          </w:p>
        </w:tc>
      </w:tr>
      <w:tr>
        <w:trPr>
          <w:trHeight w:val="44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Prime</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435"/>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Alt-A</w:t>
            </w:r>
          </w:p>
        </w:tc>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1,637</w:t>
            </w:r>
          </w:p>
        </w:tc>
        <w:tc>
          <w:tcPr>
            <w:tcW w:w="100" w:type="dxa"/>
            <w:vAlign w:val="bottom"/>
          </w:tcPr>
          <w:p>
            <w:pPr>
              <w:spacing w:after="0"/>
              <w:rPr>
                <w:sz w:val="24"/>
                <w:szCs w:val="24"/>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1,461</w:t>
            </w:r>
          </w:p>
        </w:tc>
        <w:tc>
          <w:tcPr>
            <w:tcW w:w="120" w:type="dxa"/>
            <w:vAlign w:val="bottom"/>
          </w:tcPr>
          <w:p>
            <w:pPr>
              <w:spacing w:after="0"/>
              <w:rPr>
                <w:sz w:val="24"/>
                <w:szCs w:val="24"/>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37"/>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Sub-prime</w:t>
            </w:r>
          </w:p>
        </w:tc>
        <w:tc>
          <w:tcPr>
            <w:tcW w:w="220" w:type="dxa"/>
            <w:vAlign w:val="bottom"/>
            <w:tcBorders>
              <w:bottom w:val="single" w:sz="8" w:color="auto"/>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spacing w:after="0"/>
              <w:rPr>
                <w:sz w:val="24"/>
                <w:szCs w:val="2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433"/>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RMBS</w:t>
            </w:r>
          </w:p>
        </w:tc>
        <w:tc>
          <w:tcPr>
            <w:tcW w:w="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8,591</w:t>
            </w:r>
          </w:p>
        </w:tc>
        <w:tc>
          <w:tcPr>
            <w:tcW w:w="10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(956)</w:t>
            </w:r>
          </w:p>
        </w:tc>
        <w:tc>
          <w:tcPr>
            <w:tcW w:w="120" w:type="dxa"/>
            <w:vAlign w:val="bottom"/>
          </w:tcPr>
          <w:p>
            <w:pPr>
              <w:spacing w:after="0"/>
              <w:rPr>
                <w:sz w:val="24"/>
                <w:szCs w:val="24"/>
                <w:color w:val="auto"/>
              </w:rPr>
            </w:pP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8,532</w:t>
            </w:r>
          </w:p>
        </w:tc>
        <w:tc>
          <w:tcPr>
            <w:tcW w:w="12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0"/>
        </w:trPr>
        <w:tc>
          <w:tcPr>
            <w:tcW w:w="39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4"/>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22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35"/>
        </w:trPr>
        <w:tc>
          <w:tcPr>
            <w:tcW w:w="39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1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0"/>
        </w:trPr>
        <w:tc>
          <w:tcPr>
            <w:tcW w:w="3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8,577</w:t>
            </w:r>
          </w:p>
        </w:tc>
        <w:tc>
          <w:tcPr>
            <w:tcW w:w="10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99.8 %</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8,509</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99.7 %</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220"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Historically, our exposure to sub-prime RMBS holdings has been managed by focusing primarily on senior tranche securities, stress-testing the portfolio with severe loss assumptions and closely monitoring the performance of the portfolio. Our sub-prime RMBS portfolio consists predominantly of securities that were purchased after 2012 at significant discounts to par value and discounts to the expected principal recovery value of these securities. The vast majority of these securities are investment grade under the NAIC designations (e.g., NAIC 1 and NAIC 2).</w:t>
      </w:r>
    </w:p>
    <w:p>
      <w:pPr>
        <w:sectPr>
          <w:pgSz w:w="11900" w:h="16838" w:orient="portrait"/>
          <w:cols w:equalWidth="0" w:num="1">
            <w:col w:w="11240"/>
          </w:cols>
          <w:pgMar w:left="320" w:top="230" w:right="339" w:bottom="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678" w:right="1440"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CMBS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CMBS holdings are diversified by vintage year, which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20" w:type="dxa"/>
            <w:vAlign w:val="bottom"/>
            <w:gridSpan w:val="5"/>
          </w:tcPr>
          <w:p>
            <w:pPr>
              <w:ind w:left="9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3300" w:type="dxa"/>
            <w:vAlign w:val="bottom"/>
            <w:gridSpan w:val="4"/>
          </w:tcPr>
          <w:p>
            <w:pPr>
              <w:jc w:val="right"/>
              <w:ind w:right="1181"/>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93"/>
        </w:trPr>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60" w:type="dxa"/>
            <w:vAlign w:val="bottom"/>
          </w:tcPr>
          <w:p>
            <w:pPr>
              <w:spacing w:after="0"/>
              <w:rPr>
                <w:sz w:val="24"/>
                <w:szCs w:val="24"/>
                <w:color w:val="auto"/>
              </w:rPr>
            </w:pPr>
          </w:p>
        </w:tc>
        <w:tc>
          <w:tcPr>
            <w:tcW w:w="17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36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80" w:type="dxa"/>
            <w:vAlign w:val="bottom"/>
          </w:tcPr>
          <w:p>
            <w:pPr>
              <w:spacing w:after="0"/>
              <w:rPr>
                <w:sz w:val="24"/>
                <w:szCs w:val="24"/>
                <w:color w:val="auto"/>
              </w:rPr>
            </w:pPr>
          </w:p>
        </w:tc>
        <w:tc>
          <w:tcPr>
            <w:tcW w:w="16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Estimated Fair Value</w:t>
            </w:r>
          </w:p>
        </w:tc>
      </w:tr>
      <w:tr>
        <w:trPr>
          <w:trHeight w:val="24"/>
        </w:trPr>
        <w:tc>
          <w:tcPr>
            <w:tcW w:w="38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3"/>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93"/>
        </w:trPr>
        <w:tc>
          <w:tcPr>
            <w:tcW w:w="3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4"/>
        </w:trPr>
        <w:tc>
          <w:tcPr>
            <w:tcW w:w="3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437"/>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2006 - 2012</w:t>
            </w:r>
          </w:p>
        </w:tc>
        <w:tc>
          <w:tcPr>
            <w:tcW w:w="26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r>
      <w:tr>
        <w:trPr>
          <w:trHeight w:val="43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2013</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4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2014</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43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2015</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4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2016</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43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674</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696</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682</w:t>
            </w:r>
          </w:p>
        </w:tc>
      </w:tr>
      <w:tr>
        <w:trPr>
          <w:trHeight w:val="4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2018</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1,535</w:t>
            </w:r>
          </w:p>
        </w:tc>
      </w:tr>
      <w:tr>
        <w:trPr>
          <w:trHeight w:val="43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2019</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w:t>
            </w:r>
          </w:p>
        </w:tc>
      </w:tr>
      <w:tr>
        <w:trPr>
          <w:trHeight w:val="4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2020</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43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2021</w:t>
            </w:r>
          </w:p>
        </w:tc>
        <w:tc>
          <w:tcPr>
            <w:tcW w:w="2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w:t>
            </w:r>
          </w:p>
        </w:tc>
      </w:tr>
      <w:tr>
        <w:trPr>
          <w:trHeight w:val="44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2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28"/>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r>
      <w:tr>
        <w:trPr>
          <w:trHeight w:val="223"/>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546</w:t>
            </w: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3"/>
        </w:trPr>
        <w:tc>
          <w:tcPr>
            <w:tcW w:w="3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20" w:type="dxa"/>
            <w:vAlign w:val="bottom"/>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5,622</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6,086</w:t>
            </w:r>
          </w:p>
        </w:tc>
        <w:tc>
          <w:tcPr>
            <w:tcW w:w="12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5,870</w:t>
            </w:r>
          </w:p>
        </w:tc>
      </w:tr>
      <w:tr>
        <w:trPr>
          <w:trHeight w:val="20"/>
        </w:trPr>
        <w:tc>
          <w:tcPr>
            <w:tcW w:w="3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estimated fair value of CMBS rated Aaa using rating agency ratings was $4.0 billion, or 70.4% of total CMBS, and designated NAIC 1 was $5.4 billion, or 95.9% of total CMBS, at September 30, 2026. The estimated fair value of CMBS rated Aaa using rating agency ratings was $3.9 billion, or 67.2% of total CMBS, and designated NAIC 1 was $5.6 billion, or 94.8% of total CMBS, at December 31, 2025.</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ABS</w:t>
      </w:r>
    </w:p>
    <w:p>
      <w:pPr>
        <w:spacing w:after="0" w:line="1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ABS holdings are diversified by both collateral type and issuer. Our ABS holdings by collateral type and ratings profile were as follows at:</w:t>
      </w:r>
    </w:p>
    <w:p>
      <w:pPr>
        <w:sectPr>
          <w:pgSz w:w="11900" w:h="16838" w:orient="portrait"/>
          <w:cols w:equalWidth="0" w:num="1">
            <w:col w:w="11240"/>
          </w:cols>
          <w:pgMar w:left="320" w:top="230" w:right="339"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4"/>
        </w:trPr>
        <w:tc>
          <w:tcPr>
            <w:tcW w:w="35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81"/>
        </w:trPr>
        <w:tc>
          <w:tcPr>
            <w:tcW w:w="3500" w:type="dxa"/>
            <w:vAlign w:val="bottom"/>
          </w:tcPr>
          <w:p>
            <w:pPr>
              <w:spacing w:after="0"/>
              <w:rPr>
                <w:sz w:val="15"/>
                <w:szCs w:val="15"/>
                <w:color w:val="auto"/>
              </w:rPr>
            </w:pPr>
          </w:p>
        </w:tc>
        <w:tc>
          <w:tcPr>
            <w:tcW w:w="12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5"/>
                <w:szCs w:val="15"/>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Estimated Fair</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 of</w:t>
            </w:r>
          </w:p>
        </w:tc>
        <w:tc>
          <w:tcPr>
            <w:tcW w:w="140" w:type="dxa"/>
            <w:vAlign w:val="bottom"/>
          </w:tcPr>
          <w:p>
            <w:pPr>
              <w:spacing w:after="0"/>
              <w:rPr>
                <w:sz w:val="15"/>
                <w:szCs w:val="15"/>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Net Unrealized</w:t>
            </w:r>
          </w:p>
        </w:tc>
      </w:tr>
      <w:tr>
        <w:trPr>
          <w:trHeight w:val="186"/>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240" w:type="dxa"/>
            <w:vAlign w:val="bottom"/>
          </w:tcPr>
          <w:p>
            <w:pPr>
              <w:spacing w:after="0"/>
              <w:rPr>
                <w:sz w:val="16"/>
                <w:szCs w:val="16"/>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3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6"/>
                <w:szCs w:val="16"/>
                <w:color w:val="auto"/>
              </w:rPr>
            </w:pPr>
          </w:p>
        </w:tc>
        <w:tc>
          <w:tcPr>
            <w:tcW w:w="116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Gains (Losses)</w:t>
            </w:r>
          </w:p>
        </w:tc>
      </w:tr>
      <w:tr>
        <w:trPr>
          <w:trHeight w:val="38"/>
        </w:trPr>
        <w:tc>
          <w:tcPr>
            <w:tcW w:w="35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440" w:type="dxa"/>
            <w:vAlign w:val="bottom"/>
            <w:tcBorders>
              <w:bottom w:val="single" w:sz="8" w:color="auto"/>
            </w:tcBorders>
            <w:gridSpan w:val="5"/>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393"/>
        </w:trPr>
        <w:tc>
          <w:tcPr>
            <w:tcW w:w="3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4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
        </w:trPr>
        <w:tc>
          <w:tcPr>
            <w:tcW w:w="3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4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Collateral type:</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35"/>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Collateralized obligations</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2,639</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47.0 %</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2,884</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47.6 %</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4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Automobile loans</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660</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435"/>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Consumer loans</w:t>
            </w:r>
          </w:p>
        </w:tc>
        <w:tc>
          <w:tcPr>
            <w:tcW w:w="2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24"/>
                <w:szCs w:val="24"/>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100" w:type="dxa"/>
            <w:vAlign w:val="bottom"/>
          </w:tcPr>
          <w:p>
            <w:pPr>
              <w:spacing w:after="0"/>
              <w:rPr>
                <w:sz w:val="24"/>
                <w:szCs w:val="24"/>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0"/>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Student loans</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369</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435"/>
        </w:trPr>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card loans</w:t>
            </w:r>
          </w:p>
        </w:tc>
        <w:tc>
          <w:tcPr>
            <w:tcW w:w="240" w:type="dxa"/>
            <w:vAlign w:val="bottom"/>
          </w:tcPr>
          <w:p>
            <w:pPr>
              <w:spacing w:after="0"/>
              <w:rPr>
                <w:sz w:val="24"/>
                <w:szCs w:val="24"/>
                <w:color w:val="auto"/>
              </w:rPr>
            </w:pP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24"/>
                <w:szCs w:val="24"/>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00" w:type="dxa"/>
            <w:vAlign w:val="bottom"/>
          </w:tcPr>
          <w:p>
            <w:pPr>
              <w:spacing w:after="0"/>
              <w:rPr>
                <w:sz w:val="24"/>
                <w:szCs w:val="24"/>
                <w:color w:val="auto"/>
              </w:rPr>
            </w:pPr>
          </w:p>
        </w:tc>
        <w:tc>
          <w:tcPr>
            <w:tcW w:w="122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7"/>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loans</w:t>
            </w: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1,400</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433"/>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5,612</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6,059</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404"/>
        </w:trPr>
        <w:tc>
          <w:tcPr>
            <w:tcW w:w="3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Ratings profile:</w:t>
            </w: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435"/>
        </w:trPr>
        <w:tc>
          <w:tcPr>
            <w:tcW w:w="35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Rated Aaa</w:t>
            </w: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3,348</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c>
          <w:tcPr>
            <w:tcW w:w="10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63.7 %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40"/>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Designated NAIC 1</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5,413</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5,843</w:t>
            </w: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96.4 %</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 for Fixed Maturity Securities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Note 7 of the Notes to the Interim Condensed Consolidated Financial Statements for information about the evaluation of fixed maturity securities for an allowance for credit losses or write-offs due to uncollectibility.</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8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Lending</w:t>
      </w:r>
    </w:p>
    <w:p>
      <w:pPr>
        <w:spacing w:after="0" w:line="115"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participate in a securities lending program whereby securities are loaned to third parties, primarily brokerage firms and commercial banks. We obtain collateral, usually cash, in an amount generally equal to 102% of the estimated fair value of the securities loaned, which is obtained at the inception of a loan and maintained at a level greater than or equal to 100% for the duration of the loan. The estimated fair value of the securities loaned is monitored on a daily basis with additional collateral obtained as necessary throughout the duration of the loan. Securities loaned under such transactions may be sold or re-pledged by the transferee. We are liable to return to our counterparties the cash collateral under our control. Security collateral received from counterparties may not be sold or re-pledged, unless the counterparty is in default, and is not reflected in the financial statements. These transactions are treated as financing arrangements and the associated cash collateral liability is recorded at the amount of the cash received.</w:t>
      </w:r>
    </w:p>
    <w:p>
      <w:pPr>
        <w:spacing w:after="0" w:line="81"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See “— Liquidity and Capital Resources — The Company — Primary Uses of Liquidity and Capital — Securities Lending” and Note 7 of the Notes to the Interim Condensed Consolidated Financial Statements for information regarding our securities lending program.</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Mortgage Loans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Our mortgage loans are principally collateralized by commercial, agricultural and residential properties. Information regarding mortgage loans by portfolio segment is summarized as follows at:</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4"/>
        </w:trPr>
        <w:tc>
          <w:tcPr>
            <w:tcW w:w="2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1"/>
        </w:trPr>
        <w:tc>
          <w:tcPr>
            <w:tcW w:w="2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 of</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 of Amortized</w:t>
            </w: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 of</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Allowance for</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 of Amortized</w:t>
            </w:r>
          </w:p>
        </w:tc>
      </w:tr>
      <w:tr>
        <w:trPr>
          <w:trHeight w:val="186"/>
        </w:trPr>
        <w:tc>
          <w:tcPr>
            <w:tcW w:w="2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98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2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Cost</w:t>
            </w:r>
          </w:p>
        </w:tc>
      </w:tr>
      <w:tr>
        <w:trPr>
          <w:trHeight w:val="38"/>
        </w:trPr>
        <w:tc>
          <w:tcPr>
            <w:tcW w:w="23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4"/>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393"/>
        </w:trPr>
        <w:tc>
          <w:tcPr>
            <w:tcW w:w="2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380" w:type="dxa"/>
            <w:vAlign w:val="bottom"/>
            <w:gridSpan w:val="5"/>
          </w:tcPr>
          <w:p>
            <w:pPr>
              <w:ind w:left="6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
        </w:trPr>
        <w:tc>
          <w:tcPr>
            <w:tcW w:w="2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437"/>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w:t>
            </w:r>
          </w:p>
        </w:tc>
        <w:tc>
          <w:tcPr>
            <w:tcW w:w="12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51.7 %</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0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53.7 %</w:t>
            </w: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05"/>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r>
      <w:tr>
        <w:trPr>
          <w:trHeight w:val="435"/>
        </w:trPr>
        <w:tc>
          <w:tcPr>
            <w:tcW w:w="2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Agricultural</w:t>
            </w: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4,721</w:t>
            </w:r>
          </w:p>
        </w:tc>
        <w:tc>
          <w:tcPr>
            <w:tcW w:w="120" w:type="dxa"/>
            <w:vAlign w:val="bottom"/>
          </w:tcPr>
          <w:p>
            <w:pPr>
              <w:spacing w:after="0"/>
              <w:rPr>
                <w:sz w:val="24"/>
                <w:szCs w:val="24"/>
                <w:color w:val="auto"/>
              </w:rPr>
            </w:pPr>
          </w:p>
        </w:tc>
        <w:tc>
          <w:tcPr>
            <w:tcW w:w="106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24"/>
                <w:szCs w:val="24"/>
                <w:color w:val="auto"/>
              </w:rPr>
            </w:pP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20.3</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0.4 %</w:t>
            </w:r>
          </w:p>
        </w:tc>
      </w:tr>
      <w:tr>
        <w:trPr>
          <w:trHeight w:val="437"/>
        </w:trPr>
        <w:tc>
          <w:tcPr>
            <w:tcW w:w="2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Residential</w:t>
            </w: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6,195</w:t>
            </w:r>
          </w:p>
        </w:tc>
        <w:tc>
          <w:tcPr>
            <w:tcW w:w="120" w:type="dxa"/>
            <w:vAlign w:val="bottom"/>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24"/>
                <w:szCs w:val="24"/>
                <w:color w:val="auto"/>
              </w:rPr>
            </w:pPr>
          </w:p>
        </w:tc>
        <w:tc>
          <w:tcPr>
            <w:tcW w:w="600" w:type="dxa"/>
            <w:vAlign w:val="bottom"/>
            <w:tcBorders>
              <w:bottom w:val="single" w:sz="8" w:color="auto"/>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0.8 %</w:t>
            </w:r>
          </w:p>
        </w:tc>
      </w:tr>
      <w:tr>
        <w:trPr>
          <w:trHeight w:val="433"/>
        </w:trPr>
        <w:tc>
          <w:tcPr>
            <w:tcW w:w="23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22,615</w:t>
            </w:r>
          </w:p>
        </w:tc>
        <w:tc>
          <w:tcPr>
            <w:tcW w:w="12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425"/>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22,955</w:t>
            </w:r>
          </w:p>
        </w:tc>
        <w:tc>
          <w:tcPr>
            <w:tcW w:w="10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60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0.9 %</w:t>
            </w: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Our mortgage loan portfolio is diversified by both geographic region and property type to reduce the risk of concentration. The percentage of our commercial and agricultural mortgage loan portfolios collateralized by properties located in the U.S. was 99% at both September 30, 2026 and December 31, 2025. The remainder was collateralized by properties located outside of the U.S. At September 30, 2026, the carrying value as a percentage of total commercial and agricultural mortgage loans for the top three states in the U.S. was 17% for California, 12% for Texas and 7% for Florida. Additionally, we manage risk when originating commercial and agricultural mortgage loans by generally lending up to 75% of the estimated fair value of the underlying real estate collateral.</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Our residential mortgage loan portfolio is managed in a similar manner to reduce risk of concentration. All residential mortgage loans were collateralized by properties located in the U.S. at both September 30, 2026 and December 31, 2025. At September 30, 2026, the carrying value as a percentage of total residential mortgage loans for the top three states in the U.S. was 36% for California, 9% for Florida and 6% for New York.</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06" w:name="page107"/>
    <w:bookmarkEnd w:id="106"/>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right="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Commercial Mortgage Loans by Geographic Region and Property Type</w:t>
      </w:r>
      <w:r>
        <w:rPr>
          <w:rFonts w:ascii="Times New Roman" w:cs="Times New Roman" w:eastAsia="Times New Roman" w:hAnsi="Times New Roman"/>
          <w:sz w:val="18"/>
          <w:szCs w:val="18"/>
          <w:color w:val="auto"/>
        </w:rPr>
        <w:t>. Commercial mortgage loans are the largest component of the mortgage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invested asset class. The diversification across geographic regions and property types of commercial mortgage loans was as follows at: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6"/>
                <w:szCs w:val="16"/>
                <w:color w:val="auto"/>
              </w:rPr>
            </w:pPr>
          </w:p>
        </w:tc>
        <w:tc>
          <w:tcPr>
            <w:tcW w:w="2280" w:type="dxa"/>
            <w:vAlign w:val="bottom"/>
            <w:gridSpan w:val="3"/>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24"/>
                <w:szCs w:val="24"/>
                <w:color w:val="auto"/>
              </w:rPr>
            </w:pPr>
          </w:p>
        </w:tc>
        <w:tc>
          <w:tcPr>
            <w:tcW w:w="9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24"/>
                <w:szCs w:val="24"/>
                <w:color w:val="auto"/>
              </w:rPr>
            </w:pPr>
          </w:p>
        </w:tc>
        <w:tc>
          <w:tcPr>
            <w:tcW w:w="1260" w:type="dxa"/>
            <w:vAlign w:val="bottom"/>
          </w:tcPr>
          <w:p>
            <w:pPr>
              <w:jc w:val="right"/>
              <w:ind w:right="223"/>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6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00" w:type="dxa"/>
            <w:vAlign w:val="bottom"/>
            <w:gridSpan w:val="4"/>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Geographic region:</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South Atlantic</w:t>
            </w:r>
          </w:p>
        </w:tc>
        <w:tc>
          <w:tcPr>
            <w:tcW w:w="2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100" w:type="dxa"/>
            <w:vAlign w:val="bottom"/>
          </w:tcPr>
          <w:p>
            <w:pPr>
              <w:spacing w:after="0"/>
              <w:rPr>
                <w:sz w:val="24"/>
                <w:szCs w:val="24"/>
                <w:color w:val="auto"/>
              </w:rPr>
            </w:pPr>
          </w:p>
        </w:tc>
        <w:tc>
          <w:tcPr>
            <w:tcW w:w="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20.4 %</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Pacific</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2,399</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20.5</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2,512</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20.4</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Middle Atlantic</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15.7</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West South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1,627</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13.0</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Mountain</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9.6</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9.2</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North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New England</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East South Central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West North Central</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435"/>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Multi-region and Other</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453"/>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11,699</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120" w:type="dxa"/>
            <w:vAlign w:val="bottom"/>
            <w:tcBorders>
              <w:bottom w:val="single" w:sz="8" w:color="CCEEFF"/>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6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Property type: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61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Apartment</w:t>
            </w: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4,488</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38.4 %</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37.7 %</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Office</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2,484</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21.2</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2,793</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440"/>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Industrial</w:t>
            </w: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w:t>
            </w:r>
          </w:p>
        </w:tc>
        <w:tc>
          <w:tcPr>
            <w:tcW w:w="1380" w:type="dxa"/>
            <w:vAlign w:val="bottom"/>
            <w:gridSpan w:val="2"/>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20.4</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w:t>
            </w:r>
          </w:p>
        </w:tc>
        <w:tc>
          <w:tcPr>
            <w:tcW w:w="136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435"/>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Retail</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1380" w:type="dxa"/>
            <w:vAlign w:val="bottom"/>
            <w:gridSpan w:val="2"/>
          </w:tcPr>
          <w:p>
            <w:pPr>
              <w:jc w:val="right"/>
              <w:ind w:right="125"/>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1,521</w:t>
            </w:r>
          </w:p>
        </w:tc>
        <w:tc>
          <w:tcPr>
            <w:tcW w:w="1360" w:type="dxa"/>
            <w:vAlign w:val="bottom"/>
            <w:gridSpan w:val="2"/>
          </w:tcPr>
          <w:p>
            <w:pPr>
              <w:jc w:val="right"/>
              <w:ind w:right="123"/>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437"/>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Hotel</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w:t>
            </w:r>
          </w:p>
        </w:tc>
        <w:tc>
          <w:tcPr>
            <w:tcW w:w="12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5"/>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915</w:t>
            </w:r>
          </w:p>
        </w:tc>
        <w:tc>
          <w:tcPr>
            <w:tcW w:w="100" w:type="dxa"/>
            <w:vAlign w:val="bottom"/>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433"/>
        </w:trPr>
        <w:tc>
          <w:tcPr>
            <w:tcW w:w="6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recorded investment</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1"/>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6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Carrying value, net of allowance for credit losses</w:t>
            </w:r>
          </w:p>
        </w:tc>
        <w:tc>
          <w:tcPr>
            <w:tcW w:w="22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12,189</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Mortgage Loan Credit Quality — Monitoring Process. </w:t>
      </w:r>
      <w:r>
        <w:rPr>
          <w:rFonts w:ascii="Times New Roman" w:cs="Times New Roman" w:eastAsia="Times New Roman" w:hAnsi="Times New Roman"/>
          <w:sz w:val="18"/>
          <w:szCs w:val="18"/>
          <w:color w:val="auto"/>
        </w:rPr>
        <w:t>Our mortgage loan investments are monitored on an ongoing basis, including a review of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current, past due, restructured and under foreclosure. Quarterly, we conduct a formal review of the portfolio with our investment managers. See Note 7 of the Notes to the Interim Condensed Consolidated Financial Statements for information on mortgage loans by credit quality indicator, past due status, nonaccrual status and modified mortgage loans.</w:t>
      </w:r>
    </w:p>
    <w:p>
      <w:pPr>
        <w:spacing w:after="0" w:line="7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commercial mortgage loans are reviewed on an ongoing basis. These reviews may include an analysis of the property financial statements and rent roll, lease rollover analysis, property inspections, market analysis, estimated valuations of the underlying collateral, loan-to-value ratios, debt-service coverage ratios and tenant creditworthiness. The monitoring process focuses on higher risk loans, which include those that are classified as restructured, delinquent or in foreclosure, as well as loans with higher loan-to-value ratios and lower debt-service coverage ratios. The monitoring process for agricultural mortgage loans is generally similar, with a focus on higher risk loans, such as loans with higher loan-to-value ratios, including reviews on a geographic and sector basis. Our residential mortgage loans are reviewed on an ongoing basis. See Note 7 of the Notes to the Interim Condensed Consolidated Financial Statements for information on our evaluation of residential mortgage loans and related measurement of allowance for credit losses.</w:t>
      </w:r>
    </w:p>
    <w:p>
      <w:pPr>
        <w:sectPr>
          <w:pgSz w:w="11900" w:h="16843" w:orient="portrait"/>
          <w:cols w:equalWidth="0" w:num="1">
            <w:col w:w="11240"/>
          </w:cols>
          <w:pgMar w:left="320" w:top="230" w:right="339" w:bottom="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69215</wp:posOffset>
            </wp:positionV>
            <wp:extent cx="716026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firstLine="318"/>
        <w:spacing w:after="0" w:line="264" w:lineRule="auto"/>
        <w:rPr>
          <w:sz w:val="20"/>
          <w:szCs w:val="20"/>
          <w:color w:val="auto"/>
        </w:rPr>
      </w:pPr>
      <w:r>
        <w:rPr>
          <w:rFonts w:ascii="Times New Roman" w:cs="Times New Roman" w:eastAsia="Times New Roman" w:hAnsi="Times New Roman"/>
          <w:sz w:val="17"/>
          <w:szCs w:val="17"/>
          <w:color w:val="auto"/>
        </w:rPr>
        <w:t>Loan-to-value ratios and debt-service coverage ratios are common measures in the assessment of the quality of commercial mortgage loans. Loan-to-value ratios are a common measure in the assessment of the quality of agricultural mortgage loans. Loan-to-value ratios compare the amount of the loan to the estimated fair value of the underlying collateral. A loan-to-value ratio greater than 100% indicates that the loan amount is greater than the collateral value. A loan-to-value ratio of less than 100% indicates an excess of collateral value over the loan amount. Generally, the higher the loan-to-value ratio, the higher the risk of experiencing a credit loss. The debt-service coverage ratio compares a property’s net operating income to amounts needed to service the principal and interest due under the loan. Generally, the lower the debt-service coverage ratio, the higher the risk of experiencing a credit loss. For our commercial mortgage loans, our average loan-to-value ratio was 69% and 67% at September 30, 2026 and December 31, 2025, respectively, and our average debt-service coverage ratio was 2.2x at both September 30, 2026 and December 31, 2025. The debt-service coverage ratio, as well as the values utilized in calculating the ratio, is updated annually on a rolling basis, with a portion of the portfolio updated each quarter. In addition, the loan-to-value ratio is routinely updated for all but the lowest risk loans as part of our ongoing review of our commercial mortgage loan portfolio. For our agricultural mortgage loans, our average loan-to-value ratio was 45% and 46% at September 30, 2026 and December 31, 2025, respectively. The values utilized in calculating the agricultural mortgage loan loan-to-value ratio are developed in connection with the ongoing review of the agricultural loan portfolio and are routinely updated.</w:t>
      </w:r>
    </w:p>
    <w:p>
      <w:pPr>
        <w:spacing w:after="0" w:line="68"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Mortgage Loan Allowance for Credit Losses</w:t>
      </w:r>
      <w:r>
        <w:rPr>
          <w:rFonts w:ascii="Times New Roman" w:cs="Times New Roman" w:eastAsia="Times New Roman" w:hAnsi="Times New Roman"/>
          <w:sz w:val="18"/>
          <w:szCs w:val="18"/>
          <w:color w:val="auto"/>
        </w:rPr>
        <w:t>. See Note 7 of the Notes to the Interim Condensed Consolidated Financial Statements for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how the allowance for credit losses is established and monitored, as well as activity in and balances of the allowance for credit losses for the nine months ended September 30, 2026 and 2025.</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Limited Partnerships and Limited Liability Companies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our limited partnerships and limited liability companies (“LLC”)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263"/>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limited partnerships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4,099</w:t>
            </w:r>
          </w:p>
        </w:tc>
        <w:tc>
          <w:tcPr>
            <w:tcW w:w="0" w:type="dxa"/>
            <w:vAlign w:val="bottom"/>
          </w:tcPr>
          <w:p>
            <w:pPr>
              <w:spacing w:after="0"/>
              <w:rPr>
                <w:sz w:val="1"/>
                <w:szCs w:val="1"/>
                <w:color w:val="auto"/>
              </w:rPr>
            </w:pPr>
          </w:p>
        </w:tc>
      </w:tr>
      <w:tr>
        <w:trPr>
          <w:trHeight w:val="435"/>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Real estate limited partnerships and LLCs (1)</w:t>
            </w: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458"/>
        </w:trPr>
        <w:tc>
          <w:tcPr>
            <w:tcW w:w="78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4,696</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7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line="274" w:lineRule="auto"/>
        <w:tabs>
          <w:tab w:leader="none" w:pos="31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fair value of real estate limited partnerships and LLCs was $612 million and $599 million at September 30, 2026 and December 31, 2025, respectively.</w:t>
      </w:r>
    </w:p>
    <w:p>
      <w:pPr>
        <w:spacing w:after="0" w:line="5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Cash distributions on these investments are generated from investment gains, operating income from the underlying investments of the funds and liquidation of the underlying investments of the funds. We estimate that the underlying investment of the private equity funds will typically be liquidated over the next 10 to 20 years.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Invested Assets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 of our other invested assets by type was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40" w:type="dxa"/>
            <w:vAlign w:val="bottom"/>
            <w:gridSpan w:val="4"/>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20" w:type="dxa"/>
            <w:vAlign w:val="bottom"/>
          </w:tcPr>
          <w:p>
            <w:pPr>
              <w:spacing w:after="0"/>
              <w:rPr>
                <w:sz w:val="16"/>
                <w:szCs w:val="16"/>
                <w:color w:val="auto"/>
              </w:rPr>
            </w:pPr>
          </w:p>
        </w:tc>
        <w:tc>
          <w:tcPr>
            <w:tcW w:w="1880" w:type="dxa"/>
            <w:vAlign w:val="bottom"/>
            <w:gridSpan w:val="3"/>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6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4"/>
        </w:trPr>
        <w:tc>
          <w:tcPr>
            <w:tcW w:w="6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ind w:left="480"/>
              <w:spacing w:after="0"/>
              <w:rPr>
                <w:sz w:val="20"/>
                <w:szCs w:val="20"/>
                <w:color w:val="auto"/>
              </w:rPr>
            </w:pPr>
            <w:r>
              <w:rPr>
                <w:rFonts w:ascii="Times New Roman" w:cs="Times New Roman" w:eastAsia="Times New Roman" w:hAnsi="Times New Roman"/>
                <w:sz w:val="14"/>
                <w:szCs w:val="14"/>
                <w:b w:val="1"/>
                <w:bCs w:val="1"/>
                <w:color w:val="auto"/>
              </w:rPr>
              <w:t>% of</w:t>
            </w:r>
          </w:p>
        </w:tc>
        <w:tc>
          <w:tcPr>
            <w:tcW w:w="6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 of</w:t>
            </w:r>
          </w:p>
        </w:tc>
      </w:tr>
      <w:tr>
        <w:trPr>
          <w:trHeight w:val="199"/>
        </w:trPr>
        <w:tc>
          <w:tcPr>
            <w:tcW w:w="6140" w:type="dxa"/>
            <w:vAlign w:val="bottom"/>
          </w:tcPr>
          <w:p>
            <w:pPr>
              <w:spacing w:after="0"/>
              <w:rPr>
                <w:sz w:val="17"/>
                <w:szCs w:val="17"/>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60" w:type="dxa"/>
            <w:vAlign w:val="bottom"/>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61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393"/>
        </w:trPr>
        <w:tc>
          <w:tcPr>
            <w:tcW w:w="6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4"/>
        </w:trPr>
        <w:tc>
          <w:tcPr>
            <w:tcW w:w="6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437"/>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Freestanding derivatives with positive estimated fair values</w:t>
            </w:r>
          </w:p>
        </w:tc>
        <w:tc>
          <w:tcPr>
            <w:tcW w:w="36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10,798</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90.0 %</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85.5 %</w:t>
            </w:r>
          </w:p>
        </w:tc>
      </w:tr>
      <w:tr>
        <w:trPr>
          <w:trHeight w:val="435"/>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Company-owned life insurance</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12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1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10.4</w:t>
            </w:r>
          </w:p>
        </w:tc>
      </w:tr>
      <w:tr>
        <w:trPr>
          <w:trHeight w:val="44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Federal Home Loan Bank stock</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2.7</w:t>
            </w:r>
          </w:p>
        </w:tc>
      </w:tr>
      <w:tr>
        <w:trPr>
          <w:trHeight w:val="435"/>
        </w:trPr>
        <w:tc>
          <w:tcPr>
            <w:tcW w:w="6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Leveraged leases, net of non-recourse debt</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Pr>
          <w:p>
            <w:pPr>
              <w:spacing w:after="0"/>
              <w:rPr>
                <w:sz w:val="24"/>
                <w:szCs w:val="24"/>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Pr>
          <w:p>
            <w:pPr>
              <w:spacing w:after="0"/>
              <w:rPr>
                <w:sz w:val="24"/>
                <w:szCs w:val="24"/>
                <w:color w:val="auto"/>
              </w:rPr>
            </w:pPr>
          </w:p>
        </w:tc>
        <w:tc>
          <w:tcPr>
            <w:tcW w:w="126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0.8</w:t>
            </w:r>
          </w:p>
        </w:tc>
      </w:tr>
      <w:tr>
        <w:trPr>
          <w:trHeight w:val="44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credit and renewable energy partnerships</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0.3</w:t>
            </w: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0.5</w:t>
            </w:r>
          </w:p>
        </w:tc>
      </w:tr>
      <w:tr>
        <w:trPr>
          <w:trHeight w:val="435"/>
        </w:trPr>
        <w:tc>
          <w:tcPr>
            <w:tcW w:w="6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6"/>
                <w:szCs w:val="16"/>
                <w:color w:val="auto"/>
              </w:rPr>
              <w:t>0.1</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24"/>
                <w:szCs w:val="24"/>
                <w:color w:val="auto"/>
              </w:rPr>
            </w:pPr>
          </w:p>
        </w:tc>
        <w:tc>
          <w:tcPr>
            <w:tcW w:w="126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0.1</w:t>
            </w:r>
          </w:p>
        </w:tc>
      </w:tr>
      <w:tr>
        <w:trPr>
          <w:trHeight w:val="458"/>
        </w:trPr>
        <w:tc>
          <w:tcPr>
            <w:tcW w:w="61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6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12,004</w:t>
            </w:r>
          </w:p>
        </w:tc>
        <w:tc>
          <w:tcPr>
            <w:tcW w:w="12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auto"/>
            </w:tcBorders>
            <w:shd w:val="clear" w:color="auto" w:fill="CCEEFF"/>
          </w:tcPr>
          <w:p>
            <w:pPr>
              <w:jc w:val="right"/>
              <w:ind w:right="443"/>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7,932</w:t>
            </w:r>
          </w:p>
        </w:tc>
        <w:tc>
          <w:tcPr>
            <w:tcW w:w="100" w:type="dxa"/>
            <w:vAlign w:val="bottom"/>
            <w:tcBorders>
              <w:bottom w:val="single" w:sz="8" w:color="CCEEFF"/>
            </w:tcBorders>
            <w:shd w:val="clear" w:color="auto" w:fill="CCEEFF"/>
          </w:tcPr>
          <w:p>
            <w:pPr>
              <w:spacing w:after="0"/>
              <w:rPr>
                <w:sz w:val="24"/>
                <w:szCs w:val="2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230" w:right="339"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721"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Risks</w:t>
      </w:r>
    </w:p>
    <w:p>
      <w:pPr>
        <w:spacing w:after="0" w:line="115"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We are exposed to various risks relating to our ongoing business operations, including interest rate, foreign currency exchange rate, credit and equity market risks. We use a variety of strategies to manage these risks, including the use of derivatives.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8 of the Notes to the Interim Condensed Consolidated Financial Statements for:</w:t>
      </w:r>
    </w:p>
    <w:p>
      <w:pPr>
        <w:spacing w:after="0" w:line="111" w:lineRule="exact"/>
        <w:rPr>
          <w:sz w:val="20"/>
          <w:szCs w:val="20"/>
          <w:color w:val="auto"/>
        </w:rPr>
      </w:pPr>
    </w:p>
    <w:p>
      <w:pPr>
        <w:ind w:left="640" w:hanging="316"/>
        <w:spacing w:after="0" w:line="274" w:lineRule="auto"/>
        <w:tabs>
          <w:tab w:leader="none" w:pos="6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gross notional amount, estimated fair value and primary underlying risk exposure of our derivatives by type of hedge designation, excluding embedded derivatives held at September 30, 2026 and December 31, 2025; and</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derivatives in cash flow, fair value or non-qualifying hedge relationships on the statements of operations for the nine months ended September 30, 2026 and 2025.</w:t>
      </w:r>
    </w:p>
    <w:p>
      <w:pPr>
        <w:spacing w:after="0" w:line="5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Risk Management Strategies” included in our 2025 Annual Report for more information about our hedging strategies. In addition, see “Management’s Discussion and Analysis of Financial Condition and Results of Operations — Results of Operations — Annual Actuarial Review” and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Hierarchy</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derivatives measured at estimated fair value on a recurring basis and their corresponding fair value hierarchy, as well as a rollforward of the fair value measurements for derivatives measured at estimated fair value on a recurring basis using significant unobservable (Level 3) inputs as discussed below.</w:t>
      </w:r>
    </w:p>
    <w:p>
      <w:pPr>
        <w:spacing w:after="0" w:line="7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valuation of Level 3 derivatives involves the use of significant unobservable inputs and generally requires a higher degree of management judgment or estimation than the valuations of Level 1 and Level 2 derivatives. Although Level 3 inputs are unobservable, management believes they are consistent with what other market participants would use when pricing such instruments and are considered appropriate given the circumstances. The use of different inputs or methodologies could have a material effect on the estimated fair value of Level 3 derivatives and could materially affect net income.</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Derivatives categorized as Level 3 at September 30, 2026 include: credit default swaps priced using unobservable credit spreads, or that are priced through independent broker quotations; and foreign currency swaps with certain unobservable inputs.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See Note 8 of the Notes to the Interim Condensed Consolidated Financial Statements for information about how we manage credit risk related to derivatives and for the estimated fair value of our net derivative assets and net derivative liabilities after the application of master netting agreements and collateral. See “Risk Factors — Risks Related to Our Investment Portfolio — Our investment portfolio is subject to significant financial risks both in the U.S. and global financial markets, including credit risk, interest rate risk, inflation risk, market valuation risk, liquidity risk, real estate risk, derivatives risk, and other factors outside our control, the occurrence of any of which could have a material adverse effect on our financial condition and results of operations” included in our 2025 Annual Report.</w:t>
      </w:r>
    </w:p>
    <w:p>
      <w:pPr>
        <w:spacing w:after="0" w:line="7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 does not offset recognized derivative assets and liabilities subject to master netting agreements on the consolidated balance sheets except for derivative instruments executed with the same counterparty but under different credit support annexes. As of September 30, 2026, $2.6 billion of recognized derivative assets were offset by $2.6 billion of recognized derivative liabilities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Derivatives</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gross notional amount and estimated fair value of credit default swaps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76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680" w:type="dxa"/>
            <w:vAlign w:val="bottom"/>
          </w:tcPr>
          <w:p>
            <w:pPr>
              <w:spacing w:after="0"/>
              <w:rPr>
                <w:sz w:val="16"/>
                <w:szCs w:val="16"/>
                <w:color w:val="auto"/>
              </w:rPr>
            </w:pPr>
          </w:p>
        </w:tc>
        <w:tc>
          <w:tcPr>
            <w:tcW w:w="2540" w:type="dxa"/>
            <w:vAlign w:val="bottom"/>
            <w:gridSpan w:val="3"/>
          </w:tcPr>
          <w:p>
            <w:pPr>
              <w:jc w:val="right"/>
              <w:ind w:right="965"/>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470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93"/>
        </w:trPr>
        <w:tc>
          <w:tcPr>
            <w:tcW w:w="4700" w:type="dxa"/>
            <w:vAlign w:val="bottom"/>
          </w:tcPr>
          <w:p>
            <w:pPr>
              <w:spacing w:after="0"/>
              <w:rPr>
                <w:sz w:val="24"/>
                <w:szCs w:val="24"/>
                <w:color w:val="auto"/>
              </w:rPr>
            </w:pPr>
          </w:p>
        </w:tc>
        <w:tc>
          <w:tcPr>
            <w:tcW w:w="1600" w:type="dxa"/>
            <w:vAlign w:val="bottom"/>
            <w:gridSpan w:val="2"/>
          </w:tcPr>
          <w:p>
            <w:pPr>
              <w:jc w:val="right"/>
              <w:ind w:right="2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180" w:type="dxa"/>
            <w:vAlign w:val="bottom"/>
          </w:tcPr>
          <w:p>
            <w:pPr>
              <w:spacing w:after="0"/>
              <w:rPr>
                <w:sz w:val="24"/>
                <w:szCs w:val="24"/>
                <w:color w:val="auto"/>
              </w:rPr>
            </w:pPr>
          </w:p>
        </w:tc>
        <w:tc>
          <w:tcPr>
            <w:tcW w:w="1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Estimated Fair Value</w:t>
            </w:r>
          </w:p>
        </w:tc>
        <w:tc>
          <w:tcPr>
            <w:tcW w:w="1580" w:type="dxa"/>
            <w:vAlign w:val="bottom"/>
            <w:gridSpan w:val="2"/>
          </w:tcPr>
          <w:p>
            <w:pPr>
              <w:jc w:val="right"/>
              <w:ind w:right="5"/>
              <w:spacing w:after="0"/>
              <w:rPr>
                <w:sz w:val="20"/>
                <w:szCs w:val="20"/>
                <w:color w:val="auto"/>
              </w:rPr>
            </w:pPr>
            <w:r>
              <w:rPr>
                <w:rFonts w:ascii="Times New Roman" w:cs="Times New Roman" w:eastAsia="Times New Roman" w:hAnsi="Times New Roman"/>
                <w:sz w:val="14"/>
                <w:szCs w:val="14"/>
                <w:b w:val="1"/>
                <w:bCs w:val="1"/>
                <w:color w:val="auto"/>
              </w:rPr>
              <w:t>Gross Notional Amount</w:t>
            </w:r>
          </w:p>
        </w:tc>
        <w:tc>
          <w:tcPr>
            <w:tcW w:w="200" w:type="dxa"/>
            <w:vAlign w:val="bottom"/>
          </w:tcPr>
          <w:p>
            <w:pPr>
              <w:spacing w:after="0"/>
              <w:rPr>
                <w:sz w:val="24"/>
                <w:szCs w:val="24"/>
                <w:color w:val="auto"/>
              </w:rPr>
            </w:pPr>
          </w:p>
        </w:tc>
        <w:tc>
          <w:tcPr>
            <w:tcW w:w="1440" w:type="dxa"/>
            <w:vAlign w:val="bottom"/>
          </w:tcPr>
          <w:p>
            <w:pPr>
              <w:jc w:val="right"/>
              <w:ind w:right="65"/>
              <w:spacing w:after="0"/>
              <w:rPr>
                <w:sz w:val="20"/>
                <w:szCs w:val="20"/>
                <w:color w:val="auto"/>
              </w:rPr>
            </w:pPr>
            <w:r>
              <w:rPr>
                <w:rFonts w:ascii="Times New Roman" w:cs="Times New Roman" w:eastAsia="Times New Roman" w:hAnsi="Times New Roman"/>
                <w:sz w:val="14"/>
                <w:szCs w:val="14"/>
                <w:b w:val="1"/>
                <w:bCs w:val="1"/>
                <w:color w:val="auto"/>
                <w:w w:val="99"/>
              </w:rPr>
              <w:t>Estimated Fair Value</w:t>
            </w:r>
          </w:p>
        </w:tc>
      </w:tr>
      <w:tr>
        <w:trPr>
          <w:trHeight w:val="24"/>
        </w:trPr>
        <w:tc>
          <w:tcPr>
            <w:tcW w:w="47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393"/>
        </w:trPr>
        <w:tc>
          <w:tcPr>
            <w:tcW w:w="4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20" w:type="dxa"/>
            <w:vAlign w:val="bottom"/>
            <w:gridSpan w:val="3"/>
          </w:tcPr>
          <w:p>
            <w:pPr>
              <w:jc w:val="right"/>
              <w:ind w:right="28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4"/>
        </w:trPr>
        <w:tc>
          <w:tcPr>
            <w:tcW w:w="47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437"/>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Written</w:t>
            </w:r>
          </w:p>
        </w:tc>
        <w:tc>
          <w:tcPr>
            <w:tcW w:w="560" w:type="dxa"/>
            <w:vAlign w:val="bottom"/>
            <w:shd w:val="clear" w:color="auto" w:fill="CCEEFF"/>
          </w:tcPr>
          <w:p>
            <w:pPr>
              <w:jc w:val="right"/>
              <w:ind w:right="365"/>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116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505"/>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468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bl>
    <w:p>
      <w:pPr>
        <w:spacing w:after="0" w:line="233"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The maximum amount at risk related to our written credit default swaps is equal to the corresponding gross notional amount. In a replication transaction, we pair an asset on our balance sheet with a written credit default swap to synthetically replicate a corporate bond, a core asset holding of life insurance companies. Replications are entered into in accordance with the guidelines approved by state insurance regulators and the NAIC and are an important tool in managing the overall corporate credit risk within the Company. In order to match our long-dated insurance liabilities, we seek to buy long-dated corporate bonds. In some instances, these may not be readily available in the market, or they may be issued by corporations to which we already have significant corporate credit exposure. For example, by purchasing Treasury bonds (or other high-quality assets) and associating them with written credit default swaps on the desired corporate credit name, we can replicate the desired bond exposures and meet our ALM needs. This can expose the Company to changes in credit spreads as the written credit default swap tenor is shorter than the maturity of Treasury bonds.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Embedded Derivatives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See Note 9 of the Notes to the Interim Condensed Consolidated Financial Statements for (i) information about embedded derivatives measured at estimated fair value on a recurring basis and their corresponding fair value hierarchy and (ii) a rollforward of the fair value measurements for net embedded derivatives measured at estimated fair value on a recurring basis using significant unobservable (Level 3) inputs.</w:t>
      </w:r>
    </w:p>
    <w:p>
      <w:pPr>
        <w:spacing w:after="0" w:line="7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See “Management’s Discussion and Analysis of Financial Condition and Results of Operations — Summary of Critical Accounting Estimates — Derivatives” included in our 2025 Annual Report for additional information on the estimates and assumptions that affect embedded derivatives.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Policyholder Liabilities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and carry as liabilities, actuarially determined amounts that are calculated to meet policy obligations or to provide for future annuity and life insurance benefit payments. Amounts for actuarial liabilities are computed and reported in the financial statements in conformity with GAAP. See “Management’s Discussion and Analysis of Financial Condition and Results of Operations — Summary of Critical Accounting Estimates” and “Management’s Discussion and Analysis of Financial Condition and Results of Operations — Policyholder Liabilities” included in our 2025 Annual Report for more details on policyholder liabilities.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Policy Benefits</w:t>
      </w:r>
    </w:p>
    <w:p>
      <w:pPr>
        <w:spacing w:after="0" w:line="11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establish liabilities for future amounts payable under insurance policies. See Note 3 of the Notes to the Interim Condensed Consolidated Financial Statements.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Policyholder Account Balances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Policyholder account balance liabilities are established for products with an explicit account value and generally equal to the balance accrued to the contract holder, which includes accrued interest credited, but excludes the impact of any applicable charge that may be incurred upon surrender. See Note 3 of the Notes to the Interim Condensed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Risk Benefits</w:t>
      </w:r>
    </w:p>
    <w:p>
      <w:pPr>
        <w:spacing w:after="0" w:line="11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issue certain variable annuity products with guaranteed minimum benefits (“GMxB”) that provide the policyholder a minimum return based on their initial deposit (the “Benefit Base”) less withdrawals. In some cases, the Benefit Base may be increased by additional deposits, bonus amounts, accruals or optional market value step-ups. Variable annuity guaranteed benefits are classified as MRBs and measured at fair value. Certain index-linked annuity products may also have GMxBs classified as MRBs. See Note 4 of the Notes to the Interim Condensed Consolidated Financial Statements and “Quantitative and Qualitative Disclosures About Market Risk.”</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66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Select information that management considers relevant to understanding our variable annuity risk management strategy has been included below. </w:t>
      </w:r>
      <w:r>
        <w:rPr>
          <w:rFonts w:ascii="Times New Roman" w:cs="Times New Roman" w:eastAsia="Times New Roman" w:hAnsi="Times New Roman"/>
          <w:sz w:val="18"/>
          <w:szCs w:val="18"/>
          <w:b w:val="1"/>
          <w:bCs w:val="1"/>
          <w:i w:val="1"/>
          <w:iCs w:val="1"/>
          <w:color w:val="auto"/>
        </w:rPr>
        <w:t>Net Amount at Risk</w:t>
      </w:r>
    </w:p>
    <w:p>
      <w:pPr>
        <w:spacing w:after="0" w:line="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net amount at risk (“NAR”) for the guaranteed minimum income benefits (“GMIB”) is the amount (if any) that would be required to be added to the total account value to purchase a lifetime income stream, based on current annuity rates, equal to the minimum amount provided under the guaranteed benefit. This amount represents our potential economic exposure to such guarantees in the event all contract holders were to annuitize on the balance sheet date, even though the guaranteed amount under the contract may not be annuitized until after the waiting period of the contract.</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withdrawal benefits (“GMWB”) is the amount of guaranteed benefits in excess of the account values (if any) as of the balance sheet date and assumes utilization of benefits by all contract holders as of the balance sheet date. Only a small portion of the Benefit Base is available for withdrawal on an annual basis.</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accumulation benefits (“GMAB”) is the amount of guaranteed benefits in excess of the account values (if any) as of the balance sheet date and assumes utilization of benefits by all contract holders as of the balance sheet. The NAR for the GMAB is not available until the GMAB maturity date.</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NAR for the guaranteed minimum death benefits (“GMDB”) is the amount of death benefit in excess of the account value (if any) as of the balance sheet date. It represents the amount of the claim we would incur if death claims were made on all contracts on the balance sheet date and includes any additional contractual claims associated with riders purchased to assist with covering income taxes payable upon death.</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account value and NAR by type of GMxB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4"/>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180" w:type="dxa"/>
            <w:vAlign w:val="bottom"/>
          </w:tcPr>
          <w:p>
            <w:pPr>
              <w:spacing w:after="0"/>
              <w:rPr>
                <w:sz w:val="24"/>
                <w:szCs w:val="24"/>
                <w:color w:val="auto"/>
              </w:rPr>
            </w:pPr>
          </w:p>
        </w:tc>
        <w:tc>
          <w:tcPr>
            <w:tcW w:w="7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Death</w:t>
            </w:r>
          </w:p>
        </w:tc>
        <w:tc>
          <w:tcPr>
            <w:tcW w:w="18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Living</w:t>
            </w:r>
          </w:p>
        </w:tc>
        <w:tc>
          <w:tcPr>
            <w:tcW w:w="16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Account</w:t>
            </w:r>
          </w:p>
        </w:tc>
        <w:tc>
          <w:tcPr>
            <w:tcW w:w="9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Death Benefit</w:t>
            </w:r>
          </w:p>
        </w:tc>
        <w:tc>
          <w:tcPr>
            <w:tcW w:w="180" w:type="dxa"/>
            <w:vAlign w:val="bottom"/>
          </w:tcPr>
          <w:p>
            <w:pPr>
              <w:spacing w:after="0"/>
              <w:rPr>
                <w:sz w:val="24"/>
                <w:szCs w:val="24"/>
                <w:color w:val="auto"/>
              </w:rPr>
            </w:pPr>
          </w:p>
        </w:tc>
        <w:tc>
          <w:tcPr>
            <w:tcW w:w="700" w:type="dxa"/>
            <w:vAlign w:val="bottom"/>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Living</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of Account Value</w:t>
            </w:r>
          </w:p>
        </w:tc>
        <w:tc>
          <w:tcPr>
            <w:tcW w:w="0" w:type="dxa"/>
            <w:vAlign w:val="bottom"/>
          </w:tcPr>
          <w:p>
            <w:pPr>
              <w:spacing w:after="0"/>
              <w:rPr>
                <w:sz w:val="1"/>
                <w:szCs w:val="1"/>
                <w:color w:val="auto"/>
              </w:rPr>
            </w:pPr>
          </w:p>
        </w:tc>
      </w:tr>
      <w:tr>
        <w:trPr>
          <w:trHeight w:val="144"/>
        </w:trPr>
        <w:tc>
          <w:tcPr>
            <w:tcW w:w="2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60" w:type="dxa"/>
            <w:vAlign w:val="bottom"/>
            <w:gridSpan w:val="3"/>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640" w:type="dxa"/>
            <w:vAlign w:val="bottom"/>
            <w:gridSpan w:val="3"/>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880" w:type="dxa"/>
            <w:vAlign w:val="bottom"/>
            <w:gridSpan w:val="2"/>
          </w:tcPr>
          <w:p>
            <w:pPr>
              <w:ind w:left="60"/>
              <w:spacing w:after="0" w:line="144" w:lineRule="exact"/>
              <w:rPr>
                <w:sz w:val="20"/>
                <w:szCs w:val="20"/>
                <w:color w:val="auto"/>
              </w:rPr>
            </w:pPr>
            <w:r>
              <w:rPr>
                <w:rFonts w:ascii="Times New Roman" w:cs="Times New Roman" w:eastAsia="Times New Roman" w:hAnsi="Times New Roman"/>
                <w:sz w:val="14"/>
                <w:szCs w:val="14"/>
                <w:b w:val="1"/>
                <w:bCs w:val="1"/>
                <w:color w:val="auto"/>
              </w:rPr>
              <w:t>Benefit NAR</w:t>
            </w:r>
          </w:p>
        </w:tc>
        <w:tc>
          <w:tcPr>
            <w:tcW w:w="1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(1)</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(1)</w:t>
            </w:r>
          </w:p>
        </w:tc>
        <w:tc>
          <w:tcPr>
            <w:tcW w:w="164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8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NAR (1)</w:t>
            </w:r>
          </w:p>
        </w:tc>
        <w:tc>
          <w:tcPr>
            <w:tcW w:w="1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(1)</w:t>
            </w:r>
          </w:p>
        </w:tc>
        <w:tc>
          <w:tcPr>
            <w:tcW w:w="13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In-the-Money (2)</w:t>
            </w:r>
          </w:p>
        </w:tc>
        <w:tc>
          <w:tcPr>
            <w:tcW w:w="0" w:type="dxa"/>
            <w:vAlign w:val="bottom"/>
          </w:tcPr>
          <w:p>
            <w:pPr>
              <w:spacing w:after="0"/>
              <w:rPr>
                <w:sz w:val="1"/>
                <w:szCs w:val="1"/>
                <w:color w:val="auto"/>
              </w:rPr>
            </w:pPr>
          </w:p>
        </w:tc>
      </w:tr>
      <w:tr>
        <w:trPr>
          <w:trHeight w:val="399"/>
        </w:trPr>
        <w:tc>
          <w:tcPr>
            <w:tcW w:w="2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6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26,918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3,250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4,169</w:t>
            </w:r>
          </w:p>
        </w:tc>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33.7 %  $</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4,086</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32.1 %</w:t>
            </w:r>
          </w:p>
        </w:tc>
        <w:tc>
          <w:tcPr>
            <w:tcW w:w="0" w:type="dxa"/>
            <w:vAlign w:val="bottom"/>
          </w:tcPr>
          <w:p>
            <w:pPr>
              <w:spacing w:after="0"/>
              <w:rPr>
                <w:sz w:val="1"/>
                <w:szCs w:val="1"/>
                <w:color w:val="auto"/>
              </w:rPr>
            </w:pPr>
          </w:p>
        </w:tc>
      </w:tr>
      <w:tr>
        <w:trPr>
          <w:trHeight w:val="435"/>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GMIB Max with EDB (3)</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6,274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6,645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1,354</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1,103</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51.6 %</w:t>
            </w:r>
          </w:p>
        </w:tc>
        <w:tc>
          <w:tcPr>
            <w:tcW w:w="0" w:type="dxa"/>
            <w:vAlign w:val="bottom"/>
          </w:tcPr>
          <w:p>
            <w:pPr>
              <w:spacing w:after="0"/>
              <w:rPr>
                <w:sz w:val="1"/>
                <w:szCs w:val="1"/>
                <w:color w:val="auto"/>
              </w:rPr>
            </w:pPr>
          </w:p>
        </w:tc>
      </w:tr>
      <w:tr>
        <w:trPr>
          <w:trHeight w:val="44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 Max without EDB (3)</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444</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45.1 %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0" w:type="dxa"/>
            <w:vAlign w:val="bottom"/>
          </w:tcPr>
          <w:p>
            <w:pPr>
              <w:spacing w:after="0"/>
              <w:rPr>
                <w:sz w:val="1"/>
                <w:szCs w:val="1"/>
                <w:color w:val="auto"/>
              </w:rPr>
            </w:pPr>
          </w:p>
        </w:tc>
      </w:tr>
      <w:tr>
        <w:trPr>
          <w:trHeight w:val="435"/>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322</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19,094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266</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9.0 %</w:t>
            </w:r>
          </w:p>
        </w:tc>
        <w:tc>
          <w:tcPr>
            <w:tcW w:w="0" w:type="dxa"/>
            <w:vAlign w:val="bottom"/>
          </w:tcPr>
          <w:p>
            <w:pPr>
              <w:spacing w:after="0"/>
              <w:rPr>
                <w:sz w:val="1"/>
                <w:szCs w:val="1"/>
                <w:color w:val="auto"/>
              </w:rPr>
            </w:pPr>
          </w:p>
        </w:tc>
      </w:tr>
      <w:tr>
        <w:trPr>
          <w:trHeight w:val="440"/>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GMAB</w:t>
            </w: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5.3 %</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4"/>
                <w:szCs w:val="24"/>
                <w:color w:val="auto"/>
              </w:rPr>
            </w:pPr>
          </w:p>
        </w:tc>
        <w:tc>
          <w:tcPr>
            <w:tcW w:w="7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0" w:type="dxa"/>
            <w:vAlign w:val="bottom"/>
          </w:tcPr>
          <w:p>
            <w:pPr>
              <w:spacing w:after="0"/>
              <w:rPr>
                <w:sz w:val="1"/>
                <w:szCs w:val="1"/>
                <w:color w:val="auto"/>
              </w:rPr>
            </w:pPr>
          </w:p>
        </w:tc>
      </w:tr>
      <w:tr>
        <w:trPr>
          <w:trHeight w:val="435"/>
        </w:trPr>
        <w:tc>
          <w:tcPr>
            <w:tcW w:w="2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GMDB only (other than EDB) (3)</w:t>
            </w: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16,814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17,112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37"/>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EDB only (3)</w:t>
            </w:r>
          </w:p>
        </w:tc>
        <w:tc>
          <w:tcPr>
            <w:tcW w:w="14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1,216</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433"/>
        </w:trPr>
        <w:tc>
          <w:tcPr>
            <w:tcW w:w="2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74,902</w:t>
            </w:r>
          </w:p>
        </w:tc>
        <w:tc>
          <w:tcPr>
            <w:tcW w:w="100" w:type="dxa"/>
            <w:vAlign w:val="bottom"/>
          </w:tcPr>
          <w:p>
            <w:pPr>
              <w:spacing w:after="0"/>
              <w:rPr>
                <w:sz w:val="24"/>
                <w:szCs w:val="24"/>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12,344</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6,289</w:t>
            </w:r>
          </w:p>
        </w:tc>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79,321</w:t>
            </w:r>
          </w:p>
        </w:tc>
        <w:tc>
          <w:tcPr>
            <w:tcW w:w="100" w:type="dxa"/>
            <w:vAlign w:val="bottom"/>
          </w:tcPr>
          <w:p>
            <w:pPr>
              <w:spacing w:after="0"/>
              <w:rPr>
                <w:sz w:val="24"/>
                <w:szCs w:val="24"/>
                <w:color w:val="auto"/>
              </w:rPr>
            </w:pPr>
          </w:p>
        </w:tc>
        <w:tc>
          <w:tcPr>
            <w:tcW w:w="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11,915</w:t>
            </w:r>
          </w:p>
        </w:tc>
        <w:tc>
          <w:tcPr>
            <w:tcW w:w="100" w:type="dxa"/>
            <w:vAlign w:val="bottom"/>
          </w:tcPr>
          <w:p>
            <w:pPr>
              <w:spacing w:after="0"/>
              <w:rPr>
                <w:sz w:val="24"/>
                <w:szCs w:val="24"/>
                <w:color w:val="auto"/>
              </w:rPr>
            </w:pPr>
          </w:p>
        </w:tc>
        <w:tc>
          <w:tcPr>
            <w:tcW w:w="1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5,785</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74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20" w:hanging="314"/>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“Death Benefit NAR” and “Living Benefit NAR” are not additive at the contract level.</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In-the-money is defined as any contract with a living benefit NAR in excess of zero.</w:t>
      </w:r>
    </w:p>
    <w:p>
      <w:pPr>
        <w:spacing w:after="0" w:line="111"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Death Benefit (“EDB”).</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Reserves</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Under GAAP, variable annuity guarantees are classified as MRBs, measured at estimated fair value, and are reported in market risk benefit assets and liabilities on the consolidated balance sheets, with changes reported in change in market risk benefits on the consolidated statements of operations, except for changes related to nonperformance risk, which are reported in other comprehensive income on the consolidated statements of comprehensive income (loss). Additionally, the index protection and accumulation features of Shield Annuities are accounted for as embedded derivatives, measured at estimated fair value, and are reported in policyholder account balances on the consolidated balance sheets, with changes reported in net derivative gains (losses) on the consolidated statements of operations. The Shield embedded derivative liabilities were valued at $10.6 billion at September 30, 2026.</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variable annuity MRBs by type of GMxB were as follows at:</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16"/>
                <w:szCs w:val="16"/>
                <w:color w:val="auto"/>
              </w:rPr>
            </w:pPr>
          </w:p>
        </w:tc>
        <w:tc>
          <w:tcPr>
            <w:tcW w:w="148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4"/>
        </w:trPr>
        <w:tc>
          <w:tcPr>
            <w:tcW w:w="78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60" w:type="dxa"/>
            <w:vAlign w:val="bottom"/>
            <w:tcBorders>
              <w:bottom w:val="single" w:sz="8" w:color="auto"/>
            </w:tcBorders>
            <w:gridSpan w:val="4"/>
          </w:tcPr>
          <w:p>
            <w:pPr>
              <w:spacing w:after="0"/>
              <w:rPr>
                <w:sz w:val="2"/>
                <w:szCs w:val="2"/>
                <w:color w:val="auto"/>
              </w:rPr>
            </w:pPr>
          </w:p>
        </w:tc>
      </w:tr>
      <w:tr>
        <w:trPr>
          <w:trHeight w:val="393"/>
        </w:trPr>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60" w:type="dxa"/>
            <w:vAlign w:val="bottom"/>
            <w:gridSpan w:val="4"/>
          </w:tcPr>
          <w:p>
            <w:pPr>
              <w:jc w:val="right"/>
              <w:ind w:right="126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GMIB</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7,298</w:t>
            </w:r>
          </w:p>
        </w:tc>
      </w:tr>
      <w:tr>
        <w:trPr>
          <w:trHeight w:val="4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GMWB</w:t>
            </w:r>
          </w:p>
        </w:tc>
        <w:tc>
          <w:tcPr>
            <w:tcW w:w="180" w:type="dxa"/>
            <w:vAlign w:val="bottom"/>
          </w:tcPr>
          <w:p>
            <w:pPr>
              <w:spacing w:after="0"/>
              <w:rPr>
                <w:sz w:val="24"/>
                <w:szCs w:val="24"/>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437"/>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GMDB</w:t>
            </w: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w:t>
            </w: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r>
      <w:tr>
        <w:trPr>
          <w:trHeight w:val="433"/>
        </w:trPr>
        <w:tc>
          <w:tcPr>
            <w:tcW w:w="78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6,476</w:t>
            </w:r>
          </w:p>
        </w:tc>
        <w:tc>
          <w:tcPr>
            <w:tcW w:w="120" w:type="dxa"/>
            <w:vAlign w:val="bottom"/>
          </w:tcPr>
          <w:p>
            <w:pPr>
              <w:spacing w:after="0"/>
              <w:rPr>
                <w:sz w:val="24"/>
                <w:szCs w:val="24"/>
                <w:color w:val="auto"/>
              </w:rPr>
            </w:pPr>
          </w:p>
        </w:tc>
        <w:tc>
          <w:tcPr>
            <w:tcW w:w="1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8,048</w:t>
            </w:r>
          </w:p>
        </w:tc>
      </w:tr>
      <w:tr>
        <w:trPr>
          <w:trHeight w:val="20"/>
        </w:trPr>
        <w:tc>
          <w:tcPr>
            <w:tcW w:w="7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estimated fair value of these guarantees can change significantly due to changes in interest rates, equity indices, market volatility and variations in actuarial assumptions, including policyholder behavior, mortality and risk margins related to non-capital markets inputs, as well as changes in nonperformance risk. See “Risk Factors — Risks Related to Our Business — Differences between actual experience and actuarial assumptions may adversely affect our financial results, capitalization and financial condition” and “Risk Factors — Risks Related to Our Business — Guarantees within certain of our annuity products may decrease our earnings, decrease our capitalization, increase the volatility of our results, result in higher risk management costs and expose us to increased market risk” included in our 2025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3"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capital markets and the economy generally. Stressed conditions, volatility or disruptions in global capital markets, particular markets or financial asset classes can impact us adversely, in part because we have a large investment portfolio and our insurance liabilities and derivatives are sensitive to changing market factors. Changing conditions in the global capital markets and the economy may affect our financing costs and market interest rates for our debt or equity securities. For further information regarding market factors that could affect our ability to meet liquidity and capital needs, see “— Industry Trends and Uncertainties — Financial and Economic Environment,” as well as “Risk Factors — Economic Environment and Capital Markets-Related Risks” and “Risk Factors — Risks Related to Our Investment Portfolio” included in our 2025 Annual Report.</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Management</w:t>
      </w:r>
    </w:p>
    <w:p>
      <w:pPr>
        <w:spacing w:after="0" w:line="115"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Based upon our capitalization, expectations regarding maintaining our business mix, ratings and funding sources available to us, we believe we have sufficient liquidity to meet business requirements in current market conditions and certain stress scenarios. BHF’s Board of Directors and senior management are directly involved in the governance of the capital management process, including proposed changes to the annual capital plan and capital targets. We continuously monitor and adjust our liquidity and capital plans in light of market conditions, as well as changing needs and opportunities.</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maintain a substantial short-term liquidity position, which was $4.5 billion and $4.3 billion at September 30, 2026 and December 31, 2025, respectively. Short-term liquidity is comprised of cash and cash equivalents and short-term investments, excluding assets that are pledged or otherwise committed. Assets pledged or otherwise committed include amounts received in connection with securities lending, funding agreements, derivatives and assets held on deposit or in trust.</w:t>
      </w:r>
    </w:p>
    <w:p>
      <w:pPr>
        <w:spacing w:after="0" w:line="7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An integral part of our liquidity management includes managing our level of liquid assets, which was $46.1 billion and $50.1 billion at September 30, 2026 and December 31, 2025, respectively. Liquid assets are comprised of cash and cash equivalents, short-term investments and publicly-traded securities, excluding assets that are pledged or otherwise committed. Assets pledged or otherwise committed include amounts received in connection with securities lending, funding agreements, derivatives and assets held on deposit or in trust.</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w:t>
      </w:r>
    </w:p>
    <w:p>
      <w:pPr>
        <w:spacing w:after="0" w:line="115" w:lineRule="exact"/>
        <w:rPr>
          <w:sz w:val="20"/>
          <w:szCs w:val="20"/>
          <w:color w:val="auto"/>
        </w:rPr>
      </w:pPr>
    </w:p>
    <w:p>
      <w:pPr>
        <w:jc w:val="both"/>
        <w:ind w:left="160" w:firstLine="318"/>
        <w:spacing w:after="0" w:line="248" w:lineRule="auto"/>
        <w:rPr>
          <w:sz w:val="20"/>
          <w:szCs w:val="20"/>
          <w:color w:val="auto"/>
        </w:rPr>
      </w:pPr>
      <w:r>
        <w:rPr>
          <w:rFonts w:ascii="Times New Roman" w:cs="Times New Roman" w:eastAsia="Times New Roman" w:hAnsi="Times New Roman"/>
          <w:sz w:val="18"/>
          <w:szCs w:val="18"/>
          <w:color w:val="auto"/>
        </w:rPr>
        <w:t>Liquidity refers to our ability to generate adequate cash flows from our normal operations to meet the cash requirements of our operating, investing and financing activities. We determine our liquidity needs based on a rolling 12-month forecast by portfolio of invested assets, which we monitor daily. We adjust the general account asset and derivatives mix and general account asset maturities based on this rolling 12-month forecast. To support this forecast, we conduct cash flow and stress testing, which reflects the impact of various scenarios, including (i) the potential increase in our requirement to pledge additional collateral or return collateral to our counterparties, (ii) a reduction in new business sales, and (iii) the risk of early contract holder and policyholder withdrawals, as well as lapses and surrenders of existing policies and contracts. We include provisions limiting withdrawal rights in many of our products, which deter the customer from making withdrawals prior to the maturity date of the product. If significant cash is required beyond our anticipated liquidity needs, we have various alternatives available depending on market conditions and the amount and timing of the liquidity need. These available alternative sources of liquidity include cash flows from operations, sales of liquid assets and funding sources, including secured funding agreements, unsecured credit facilities and secured committed facilities.</w:t>
      </w:r>
    </w:p>
    <w:p>
      <w:pPr>
        <w:spacing w:after="0" w:line="87"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Under certain adverse market and economic conditions, our access to liquidity may deteriorate, or the cost to access liquidity may increase. See “Risk Factors — Economic Environment and Capital Markets-Related Risks — Adverse capital and credit market conditions may significantly affect our ability to meet liquidity needs and our access to capital” in our 2025 Annual Report.</w:t>
      </w:r>
    </w:p>
    <w:p>
      <w:pPr>
        <w:spacing w:after="0" w:line="6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Capital</w:t>
      </w:r>
    </w:p>
    <w:p>
      <w:pPr>
        <w:spacing w:after="0" w:line="115"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manage our capital position to maintain our financial strength and credit ratings. We target a combined risk-based capital (“RBC”) ratio of 400% to 450% in normal market conditions. We believe a ratio at this level in normal markets provides us with sufficient capital to absorb risks associated with stressed market scenarios. In addition, our capital position is supported by our ability to generate cash flows within our insurance subsidiaries, our ability to effectively manage the risks of our businesses and our expected ability to borrow funds and raise additional capital to meet operating and growth needs under a variety of market and economic conditions.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We monitor our debt-to-capital ratio using an average of our key leverage ratios as calculated by A.M. Best, Fitch, Moody’s and S&amp;P, and we aim to maintain a ratio commensurate with our financial strength and credit ratings. As such, we may opportunistically look to pursue additional financing over time, which may include borrowings under credit facilities, the issuance of debt, equity or hybrid securities, the incurrence of term loans, or the refinancing or extinguishment of existing indebtedness. There can be no assurance that we will be able to complete any such financing transactions on terms and conditions favorable to us or at all.</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November 2023, we authorized a $750 million share repurchase program under which repurchases may be made through open market purchases, including pursuant to Rule 10b5-1 plans or pursuant to accelerated stock repurchase plans, or through privately negotiated transactions, from time to time at management’s discretion in accordance with applicable legal requirements. Common stock repurchases are dependent upon several factors, including our capital position, liquidity, financial strength and credit ratings, general market conditions, the market price of our common stock compared to management’s assessment of the stock’s underlying value and applicable regulatory approvals, as well as other legal and accounting factors.</w:t>
      </w:r>
    </w:p>
    <w:p>
      <w:pPr>
        <w:spacing w:after="0" w:line="79"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Pursuant to the Merger Agreement, we have agreed that during the period beginning the date of the Merger Agreement through the earlier of the closing of the Merger and the termination of the Merger Agreement, we will not, without the written consent of Aquarian Parent, pay any dividend or other distribution payable in cash, stock or property with respect to our common stock, or subject to certain exceptions, purchase directly or indirectly any of BHF’s or its subsidiaries’ capital stock or other equity or voting interests of BHF or any of its subsidiaries.</w:t>
      </w:r>
    </w:p>
    <w:p>
      <w:pPr>
        <w:spacing w:after="0" w:line="74" w:lineRule="exact"/>
        <w:rPr>
          <w:sz w:val="20"/>
          <w:szCs w:val="20"/>
          <w:color w:val="auto"/>
        </w:rPr>
      </w:pPr>
    </w:p>
    <w:p>
      <w:pPr>
        <w:jc w:val="both"/>
        <w:ind w:left="160" w:firstLine="318"/>
        <w:spacing w:after="0" w:line="250" w:lineRule="auto"/>
        <w:rPr>
          <w:sz w:val="20"/>
          <w:szCs w:val="20"/>
          <w:color w:val="auto"/>
        </w:rPr>
      </w:pPr>
      <w:r>
        <w:rPr>
          <w:rFonts w:ascii="Times New Roman" w:cs="Times New Roman" w:eastAsia="Times New Roman" w:hAnsi="Times New Roman"/>
          <w:sz w:val="18"/>
          <w:szCs w:val="18"/>
          <w:color w:val="auto"/>
        </w:rPr>
        <w:t>The Merger Agreement permits us to pay periodic cash dividends on our preferred stock not in excess of $412.50 per share on the 6.600% Non-Cumulative Preferred Stock, Series A (the “Series A Preferred Stock”), $421.875 per share on the 6.750% Non-Cumulative Preferred Stock, Series B (the “Series B Preferred Stock”), $335.9375 per share on the 5.375% Non-Cumulative Preferred Stock, Series C (the “Series C Preferred Stock”), and $289.0625 per share on the 4.625% Non-Cumulative Preferred Stock, Series D (the “Series D Preferred Stock” and, together with the Series A Preferred Stock, the Series B Preferred Stock and the Series C Preferred Stock, the “Preferred Stock”), in each case, per quarter during the period beginning the date of the Merger Agreement through the earlier of the closing of the Merger and the termination of the Merger Agreement, consistent with the per-quarter dividends due under each applicable Certificate of Designations.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Rating Agencies</w:t>
      </w:r>
    </w:p>
    <w:p>
      <w:pPr>
        <w:spacing w:after="0" w:line="115" w:lineRule="exact"/>
        <w:rPr>
          <w:sz w:val="20"/>
          <w:szCs w:val="20"/>
          <w:color w:val="auto"/>
        </w:rPr>
      </w:pPr>
    </w:p>
    <w:p>
      <w:pPr>
        <w:jc w:val="both"/>
        <w:ind w:left="160" w:firstLine="318"/>
        <w:spacing w:after="0" w:line="251" w:lineRule="auto"/>
        <w:rPr>
          <w:sz w:val="20"/>
          <w:szCs w:val="20"/>
          <w:color w:val="auto"/>
        </w:rPr>
      </w:pPr>
      <w:r>
        <w:rPr>
          <w:rFonts w:ascii="Times New Roman" w:cs="Times New Roman" w:eastAsia="Times New Roman" w:hAnsi="Times New Roman"/>
          <w:sz w:val="18"/>
          <w:szCs w:val="18"/>
          <w:color w:val="auto"/>
        </w:rPr>
        <w:t>Rating agencies continue to review and adjust our ratings. On November 5, 2026, Fitch placed the long-term issuer credit ratings for BHF and Brighthouse Holdings, LLC (“BH Holdings”) and the financial strength ratings for certain of our insurance subsidiaries on Rating Watch Negative. See “Management’s Discussion and Analysis of Financial Condition and Results of Operations — Liquidity and Capital Resources — The Company — Rating Agencies” and “Risk Factors — Risks Related to Our Business — A downgrade or a potential downgrade in our financial strength or credit ratings could result in a loss of business and materially adversely affect our financial condition and results of operations” included in our 2025 Annual Report for a description of the potential impact of changes to our ratings.</w:t>
      </w:r>
    </w:p>
    <w:p>
      <w:pPr>
        <w:spacing w:after="0" w:line="7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Sources and Uses of Liquidity and Capital</w:t>
      </w:r>
    </w:p>
    <w:p>
      <w:pPr>
        <w:spacing w:after="0" w:line="11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Our primary sources and uses of liquidity and capital were as follows at:</w:t>
      </w:r>
    </w:p>
    <w:p>
      <w:pPr>
        <w:spacing w:after="0" w:line="277"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5" w:lineRule="exact"/>
        <w:rPr>
          <w:sz w:val="20"/>
          <w:szCs w:val="20"/>
          <w:color w:val="auto"/>
        </w:rPr>
      </w:pPr>
    </w:p>
    <w:p>
      <w:pPr>
        <w:jc w:val="center"/>
        <w:ind w:left="80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5135880</wp:posOffset>
            </wp:positionH>
            <wp:positionV relativeFrom="paragraph">
              <wp:posOffset>31115</wp:posOffset>
            </wp:positionV>
            <wp:extent cx="20021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jc w:val="right"/>
              <w:ind w:right="54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4"/>
        </w:trPr>
        <w:tc>
          <w:tcPr>
            <w:tcW w:w="8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93"/>
        </w:trPr>
        <w:tc>
          <w:tcPr>
            <w:tcW w:w="80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0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60" w:type="dxa"/>
            <w:vAlign w:val="bottom"/>
          </w:tcPr>
          <w:p>
            <w:pPr>
              <w:spacing w:after="0"/>
              <w:rPr>
                <w:sz w:val="24"/>
                <w:szCs w:val="24"/>
                <w:color w:val="auto"/>
              </w:rPr>
            </w:pPr>
          </w:p>
        </w:tc>
      </w:tr>
      <w:tr>
        <w:trPr>
          <w:trHeight w:val="24"/>
        </w:trPr>
        <w:tc>
          <w:tcPr>
            <w:tcW w:w="8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4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Sources:</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43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00" w:type="dxa"/>
            <w:vAlign w:val="bottom"/>
          </w:tcPr>
          <w:p>
            <w:pPr>
              <w:jc w:val="right"/>
              <w:ind w:right="803"/>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w:t>
            </w:r>
          </w:p>
        </w:tc>
      </w:tr>
      <w:tr>
        <w:trPr>
          <w:trHeight w:val="4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2,047</w:t>
            </w:r>
          </w:p>
        </w:tc>
      </w:tr>
      <w:tr>
        <w:trPr>
          <w:trHeight w:val="43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1,480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payables for collateral under securities loaned and other transactions,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r>
      <w:tr>
        <w:trPr>
          <w:trHeight w:val="435"/>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3"/>
        </w:trPr>
        <w:tc>
          <w:tcPr>
            <w:tcW w:w="8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sources</w:t>
            </w:r>
          </w:p>
        </w:tc>
        <w:tc>
          <w:tcPr>
            <w:tcW w:w="10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4,365</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2,765</w:t>
            </w:r>
          </w:p>
        </w:tc>
      </w:tr>
      <w:tr>
        <w:trPr>
          <w:trHeight w:val="41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Uses:</w:t>
            </w: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 net</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3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policyholder account balances, net</w:t>
            </w:r>
          </w:p>
        </w:tc>
        <w:tc>
          <w:tcPr>
            <w:tcW w:w="10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r>
      <w:tr>
        <w:trPr>
          <w:trHeight w:val="4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 repaid</w:t>
            </w:r>
          </w:p>
        </w:tc>
        <w:tc>
          <w:tcPr>
            <w:tcW w:w="1000" w:type="dxa"/>
            <w:vAlign w:val="bottom"/>
            <w:shd w:val="clear" w:color="auto" w:fill="CCEEFF"/>
          </w:tcPr>
          <w:p>
            <w:pPr>
              <w:spacing w:after="0"/>
              <w:rPr>
                <w:sz w:val="24"/>
                <w:szCs w:val="24"/>
                <w:color w:val="auto"/>
              </w:rPr>
            </w:pPr>
          </w:p>
        </w:tc>
        <w:tc>
          <w:tcPr>
            <w:tcW w:w="5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43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Dividends on preferred stock</w:t>
            </w:r>
          </w:p>
        </w:tc>
        <w:tc>
          <w:tcPr>
            <w:tcW w:w="1000" w:type="dxa"/>
            <w:vAlign w:val="bottom"/>
          </w:tcPr>
          <w:p>
            <w:pPr>
              <w:spacing w:after="0"/>
              <w:rPr>
                <w:sz w:val="24"/>
                <w:szCs w:val="24"/>
                <w:color w:val="auto"/>
              </w:rPr>
            </w:pPr>
          </w:p>
        </w:tc>
        <w:tc>
          <w:tcPr>
            <w:tcW w:w="5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44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Treasury stock acquired in connection with share repurchases</w:t>
            </w:r>
          </w:p>
        </w:tc>
        <w:tc>
          <w:tcPr>
            <w:tcW w:w="1000" w:type="dxa"/>
            <w:vAlign w:val="bottom"/>
            <w:shd w:val="clear" w:color="auto" w:fill="CCEEFF"/>
          </w:tcPr>
          <w:p>
            <w:pPr>
              <w:spacing w:after="0"/>
              <w:rPr>
                <w:sz w:val="24"/>
                <w:szCs w:val="24"/>
                <w:color w:val="auto"/>
              </w:rPr>
            </w:pPr>
          </w:p>
        </w:tc>
        <w:tc>
          <w:tcPr>
            <w:tcW w:w="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r>
      <w:tr>
        <w:trPr>
          <w:trHeight w:val="435"/>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element on certain derivative instruments and other derivative related transactions, net</w:t>
            </w:r>
          </w:p>
        </w:tc>
        <w:tc>
          <w:tcPr>
            <w:tcW w:w="1000" w:type="dxa"/>
            <w:vAlign w:val="bottom"/>
          </w:tcPr>
          <w:p>
            <w:pPr>
              <w:spacing w:after="0"/>
              <w:rPr>
                <w:sz w:val="24"/>
                <w:szCs w:val="24"/>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r>
      <w:tr>
        <w:trPr>
          <w:trHeight w:val="437"/>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1000" w:type="dxa"/>
            <w:vAlign w:val="bottom"/>
            <w:tcBorders>
              <w:bottom w:val="single" w:sz="8" w:color="auto"/>
            </w:tcBorders>
            <w:shd w:val="clear" w:color="auto" w:fill="CCEEFF"/>
          </w:tcPr>
          <w:p>
            <w:pPr>
              <w:spacing w:after="0"/>
              <w:rPr>
                <w:sz w:val="24"/>
                <w:szCs w:val="24"/>
                <w:color w:val="auto"/>
              </w:rPr>
            </w:pP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431"/>
        </w:trPr>
        <w:tc>
          <w:tcPr>
            <w:tcW w:w="80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Total uses</w:t>
            </w:r>
          </w:p>
        </w:tc>
        <w:tc>
          <w:tcPr>
            <w:tcW w:w="10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1,225</w:t>
            </w:r>
          </w:p>
        </w:tc>
        <w:tc>
          <w:tcPr>
            <w:tcW w:w="100" w:type="dxa"/>
            <w:vAlign w:val="bottom"/>
            <w:tcBorders>
              <w:bottom w:val="single" w:sz="8" w:color="CCEEFF"/>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1,204</w:t>
            </w:r>
          </w:p>
        </w:tc>
      </w:tr>
      <w:tr>
        <w:trPr>
          <w:trHeight w:val="458"/>
        </w:trPr>
        <w:tc>
          <w:tcPr>
            <w:tcW w:w="8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1000" w:type="dxa"/>
            <w:vAlign w:val="bottom"/>
            <w:tcBorders>
              <w:bottom w:val="single" w:sz="8" w:color="auto"/>
            </w:tcBorders>
            <w:shd w:val="clear" w:color="auto" w:fill="CCEEFF"/>
          </w:tcPr>
          <w:p>
            <w:pPr>
              <w:jc w:val="right"/>
              <w:ind w:right="803"/>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3,140</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81"/>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The principal cash inflows from our insurance activities come from insurance premiums, annuity considerations and net investment income. The principal cash outflows are the result of various annuity and life insurance products, operating expenses and income tax, as well as interest expense. The primary liquidity concern with respect to these cash flows is the risk of early contract holder and policyholder withdrawal.</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The principal cash inflows from our investment activities come from repayments of principal, proceeds from maturities and sales of investments, as well as settlements of freestanding derivatives. The principal cash outflows relate to purchases of investments and settlements of freestanding derivatives. We typically can have a net cash outflow from investing activities because cash inflows from insurance operations are reinvested in accordance with our ALM discipline to fund insurance liabilities. We closely monitor and manage these risks through our comprehensive investment risk management process. The primary liquidity concerns with respect to these cash flows are the risk of default by debtors and market disruption.</w:t>
      </w:r>
    </w:p>
    <w:p>
      <w:pPr>
        <w:sectPr>
          <w:pgSz w:w="11900" w:h="16838" w:orient="portrait"/>
          <w:cols w:equalWidth="0" w:num="1">
            <w:col w:w="11240"/>
          </w:cols>
          <w:pgMar w:left="320" w:top="230" w:right="339" w:bottom="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72"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113"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The principal cash inflows from our financing activities come from issuances of debt and equity securities, deposits of funds associated with policyholder account balances and lending of securities. The principal cash outflows come from repayments of debt, common stock repurchases, preferred stock dividends, withdrawals associated with policyholder account balances and the return of securities on loan. The primary liquidity concerns with respect to these cash flows are market disruption and the risk of early policyholder withdrawal.</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Sources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summary description of liquidity and capital sources discussed in “— Sources and Uses of Liquidity and Capital,” the following additional information is provided regarding our primary sources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Funding Sources</w:t>
      </w:r>
    </w:p>
    <w:p>
      <w:pPr>
        <w:spacing w:after="0" w:line="113" w:lineRule="exact"/>
        <w:rPr>
          <w:sz w:val="20"/>
          <w:szCs w:val="20"/>
          <w:color w:val="auto"/>
        </w:rPr>
      </w:pPr>
    </w:p>
    <w:p>
      <w:pPr>
        <w:jc w:val="both"/>
        <w:ind w:left="320" w:firstLine="318"/>
        <w:spacing w:after="0" w:line="251" w:lineRule="auto"/>
        <w:rPr>
          <w:sz w:val="20"/>
          <w:szCs w:val="20"/>
          <w:color w:val="auto"/>
        </w:rPr>
      </w:pPr>
      <w:r>
        <w:rPr>
          <w:rFonts w:ascii="Times New Roman" w:cs="Times New Roman" w:eastAsia="Times New Roman" w:hAnsi="Times New Roman"/>
          <w:sz w:val="18"/>
          <w:szCs w:val="18"/>
          <w:color w:val="auto"/>
        </w:rPr>
        <w:t>Liquidity is provided by a variety of funding sources, including secured and unsecured funding agreements, unsecured credit facilities and secured committed facilities. Capital is provided by a variety of funding sources, including issuances of debt and equity securities, as well as borrowings under our credit facilities. We maintain a shelf registration statement with the SEC that permits the issuance of public debt, equity and hybrid securities. As a “Well-Known Seasoned Issuer” under SEC rules, our shelf registration statement provides for automatic effectiveness upon filing and has no stated issuance capacity. The diversity of our funding sources enhances our funding flexibility, limits dependence on any one market or source of funds and generally lowers the cost of funds. Our primary funding sources include:</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and Note 12 of the Notes to the Consolidated Financial Statements included in our 2025 Annual Report for information on preferred stock issuances.</w:t>
      </w:r>
    </w:p>
    <w:p>
      <w:pPr>
        <w:spacing w:after="0" w:line="5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Funding Agreements</w:t>
      </w:r>
    </w:p>
    <w:p>
      <w:pPr>
        <w:spacing w:after="0" w:line="111" w:lineRule="exact"/>
        <w:rPr>
          <w:sz w:val="20"/>
          <w:szCs w:val="20"/>
          <w:color w:val="auto"/>
        </w:rPr>
      </w:pPr>
    </w:p>
    <w:p>
      <w:pPr>
        <w:jc w:val="both"/>
        <w:ind w:left="480" w:firstLine="318"/>
        <w:spacing w:after="0" w:line="252" w:lineRule="auto"/>
        <w:rPr>
          <w:sz w:val="20"/>
          <w:szCs w:val="20"/>
          <w:color w:val="auto"/>
        </w:rPr>
      </w:pPr>
      <w:r>
        <w:rPr>
          <w:rFonts w:ascii="Times New Roman" w:cs="Times New Roman" w:eastAsia="Times New Roman" w:hAnsi="Times New Roman"/>
          <w:sz w:val="18"/>
          <w:szCs w:val="18"/>
          <w:color w:val="auto"/>
        </w:rPr>
        <w:t>Brighthouse Life Insurance Company issues funding agreements and uses the proceeds from such issuances for spread lending purposes in connection with our institutional spread margin business or to provide additional liquidity. The institutional spread margin business is comprised of funding agreements issued in connection with the programs described in more detail below. Activity related to these programs is reported in the Corporate &amp; Other segment. See Note 3 of the Notes to the Consolidated Financial Statements included in our 2025 Annual Report for additional information on funding agreements.</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Repurchase Agreement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January 2024, Brighthouse Life Insurance Company established a secured funding agreement-backed repurchase agreement program (the “FABR Program”), pursuant to which Brighthouse Life Insurance Company may enter into repurchase agreements with bank counterparties and the proceeds of the repurchase agreements are then used by a special purpose entity to purchase funding agreements from Brighthouse Life Insurance Company.</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Commercial Paper Program</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In July 2021, Brighthouse Life Insurance Company established a funding agreement-backed commercial paper program (the “FABCP Program”) for spread lending purposes, pursuant to which a special purpose limited liability company (the “SPLLC”) may issue commercial paper and deposit the proceeds with Brighthouse Life Insurance Company under a funding agreement issued by Brighthouse Life Insurance Company to the SPLLC. The maximum aggregate principal amount permitted to be outstanding at any one time under the FABCP Program is $5.0 billion.</w:t>
      </w:r>
    </w:p>
    <w:p>
      <w:pPr>
        <w:spacing w:after="0" w:line="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Funding Agreement-Backed Notes Program</w:t>
      </w:r>
    </w:p>
    <w:p>
      <w:pPr>
        <w:spacing w:after="0" w:line="113" w:lineRule="exact"/>
        <w:rPr>
          <w:sz w:val="20"/>
          <w:szCs w:val="20"/>
          <w:color w:val="auto"/>
        </w:rPr>
      </w:pPr>
    </w:p>
    <w:p>
      <w:pPr>
        <w:jc w:val="both"/>
        <w:ind w:left="640" w:firstLine="318"/>
        <w:spacing w:after="0" w:line="259" w:lineRule="auto"/>
        <w:rPr>
          <w:sz w:val="20"/>
          <w:szCs w:val="20"/>
          <w:color w:val="auto"/>
        </w:rPr>
      </w:pPr>
      <w:r>
        <w:rPr>
          <w:rFonts w:ascii="Times New Roman" w:cs="Times New Roman" w:eastAsia="Times New Roman" w:hAnsi="Times New Roman"/>
          <w:sz w:val="18"/>
          <w:szCs w:val="18"/>
          <w:color w:val="auto"/>
        </w:rPr>
        <w:t>In April 2021, Brighthouse Life Insurance Company established a funding agreement-backed notes program (the “FABN Program”), pursuant to which Brighthouse Life Insurance Company may issue funding agreements to a special purpose statutory trust for spread lending purposes. The maximum aggregate principal amount permitted to be outstanding at any one time under the FABN Program is $7.0 billion.</w:t>
      </w:r>
    </w:p>
    <w:p>
      <w:pPr>
        <w:spacing w:after="0" w:line="7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Federal Home Loan Bank Funding Agreements</w:t>
      </w:r>
    </w:p>
    <w:p>
      <w:pPr>
        <w:spacing w:after="0" w:line="113" w:lineRule="exact"/>
        <w:rPr>
          <w:sz w:val="20"/>
          <w:szCs w:val="20"/>
          <w:color w:val="auto"/>
        </w:rPr>
      </w:pPr>
    </w:p>
    <w:p>
      <w:pPr>
        <w:jc w:val="both"/>
        <w:ind w:left="640" w:firstLine="318"/>
        <w:spacing w:after="0" w:line="274" w:lineRule="auto"/>
        <w:rPr>
          <w:sz w:val="20"/>
          <w:szCs w:val="20"/>
          <w:color w:val="auto"/>
        </w:rPr>
      </w:pPr>
      <w:r>
        <w:rPr>
          <w:rFonts w:ascii="Times New Roman" w:cs="Times New Roman" w:eastAsia="Times New Roman" w:hAnsi="Times New Roman"/>
          <w:sz w:val="18"/>
          <w:szCs w:val="18"/>
          <w:color w:val="auto"/>
        </w:rPr>
        <w:t>Brighthouse Life Insurance Company is a member of the Federal Home Loan Bank (“FHLB”) of Atlanta, where it maintains a secured funding agreement program, under which funding agreements may be issued.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Farmer Mac Funding Agreements</w:t>
      </w:r>
    </w:p>
    <w:p>
      <w:pPr>
        <w:spacing w:after="0" w:line="113" w:lineRule="exact"/>
        <w:rPr>
          <w:sz w:val="20"/>
          <w:szCs w:val="20"/>
          <w:color w:val="auto"/>
        </w:rPr>
      </w:pPr>
    </w:p>
    <w:p>
      <w:pPr>
        <w:jc w:val="both"/>
        <w:ind w:left="640" w:firstLine="318"/>
        <w:spacing w:after="0" w:line="255" w:lineRule="auto"/>
        <w:rPr>
          <w:sz w:val="20"/>
          <w:szCs w:val="20"/>
          <w:color w:val="auto"/>
        </w:rPr>
      </w:pPr>
      <w:r>
        <w:rPr>
          <w:rFonts w:ascii="Times New Roman" w:cs="Times New Roman" w:eastAsia="Times New Roman" w:hAnsi="Times New Roman"/>
          <w:sz w:val="18"/>
          <w:szCs w:val="18"/>
          <w:color w:val="auto"/>
        </w:rPr>
        <w:t>Brighthouse Life Insurance Company has a secured funding agreement program with the Federal Agricultural Mortgage Corporation and its affiliate Farmer Mac Mortgage Securities Corporation (“Farmer Mac”), pursuant to which the parties may enter into funding agreements in an aggregate amount of up to $750 million. In November 2026, Brighthouse Life Insurance Company amended this program to extend the term from December 1, 2026 to December 1, 2027.</w:t>
      </w:r>
    </w:p>
    <w:p>
      <w:pPr>
        <w:spacing w:after="0" w:line="7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Information regarding funding agreements issued for spread lending purposes is as follows: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3"/>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Issuances</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Repayments</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320" w:type="dxa"/>
            <w:vAlign w:val="bottom"/>
            <w:gridSpan w:val="5"/>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Aggregate Principal Amount</w:t>
            </w: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20" w:type="dxa"/>
            <w:vAlign w:val="bottom"/>
            <w:gridSpan w:val="5"/>
            <w:vMerge w:val="continue"/>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6"/>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1242"/>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6"/>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98"/>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180" w:type="dxa"/>
            <w:vAlign w:val="bottom"/>
          </w:tcPr>
          <w:p>
            <w:pPr>
              <w:spacing w:after="0"/>
              <w:rPr>
                <w:sz w:val="24"/>
                <w:szCs w:val="24"/>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220" w:type="dxa"/>
            <w:vAlign w:val="bottom"/>
          </w:tcPr>
          <w:p>
            <w:pPr>
              <w:spacing w:after="0"/>
              <w:rPr>
                <w:sz w:val="24"/>
                <w:szCs w:val="24"/>
                <w:color w:val="auto"/>
              </w:rPr>
            </w:pPr>
          </w:p>
        </w:tc>
        <w:tc>
          <w:tcPr>
            <w:tcW w:w="92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93"/>
        </w:trPr>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FABR Program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35"/>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FABCP Program</w:t>
            </w:r>
          </w:p>
        </w:tc>
        <w:tc>
          <w:tcPr>
            <w:tcW w:w="16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2,254</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9,426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9,649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6,206</w:t>
            </w:r>
          </w:p>
        </w:tc>
        <w:tc>
          <w:tcPr>
            <w:tcW w:w="0" w:type="dxa"/>
            <w:vAlign w:val="bottom"/>
          </w:tcPr>
          <w:p>
            <w:pPr>
              <w:spacing w:after="0"/>
              <w:rPr>
                <w:sz w:val="1"/>
                <w:szCs w:val="1"/>
                <w:color w:val="auto"/>
              </w:rPr>
            </w:pPr>
          </w:p>
        </w:tc>
      </w:tr>
      <w:tr>
        <w:trPr>
          <w:trHeight w:val="44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FABN Program</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0" w:type="dxa"/>
            <w:vAlign w:val="bottom"/>
          </w:tcPr>
          <w:p>
            <w:pPr>
              <w:spacing w:after="0"/>
              <w:rPr>
                <w:sz w:val="1"/>
                <w:szCs w:val="1"/>
                <w:color w:val="auto"/>
              </w:rPr>
            </w:pPr>
          </w:p>
        </w:tc>
      </w:tr>
      <w:tr>
        <w:trPr>
          <w:trHeight w:val="435"/>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FHLB Funding Agreements</w:t>
            </w:r>
          </w:p>
        </w:tc>
        <w:tc>
          <w:tcPr>
            <w:tcW w:w="160" w:type="dxa"/>
            <w:vAlign w:val="bottom"/>
          </w:tcPr>
          <w:p>
            <w:pPr>
              <w:spacing w:after="0"/>
              <w:rPr>
                <w:sz w:val="24"/>
                <w:szCs w:val="24"/>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4,400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4,200</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5,225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5,025</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0" w:type="dxa"/>
            <w:vAlign w:val="bottom"/>
          </w:tcPr>
          <w:p>
            <w:pPr>
              <w:spacing w:after="0"/>
              <w:rPr>
                <w:sz w:val="1"/>
                <w:szCs w:val="1"/>
                <w:color w:val="auto"/>
              </w:rPr>
            </w:pPr>
          </w:p>
        </w:tc>
      </w:tr>
      <w:tr>
        <w:trPr>
          <w:trHeight w:val="437"/>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Farmer Mac Funding Agreements</w:t>
            </w: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433"/>
        </w:trPr>
        <w:tc>
          <w:tcPr>
            <w:tcW w:w="29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9,030</w:t>
            </w:r>
          </w:p>
        </w:tc>
        <w:tc>
          <w:tcPr>
            <w:tcW w:w="100" w:type="dxa"/>
            <w:vAlign w:val="bottom"/>
          </w:tcPr>
          <w:p>
            <w:pPr>
              <w:spacing w:after="0"/>
              <w:rPr>
                <w:sz w:val="24"/>
                <w:szCs w:val="24"/>
                <w:color w:val="auto"/>
              </w:rPr>
            </w:pPr>
          </w:p>
        </w:tc>
        <w:tc>
          <w:tcPr>
            <w:tcW w:w="18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9,454</w:t>
            </w:r>
          </w:p>
        </w:tc>
        <w:tc>
          <w:tcPr>
            <w:tcW w:w="100" w:type="dxa"/>
            <w:vAlign w:val="bottom"/>
          </w:tcPr>
          <w:p>
            <w:pPr>
              <w:spacing w:after="0"/>
              <w:rPr>
                <w:sz w:val="24"/>
                <w:szCs w:val="24"/>
                <w:color w:val="auto"/>
              </w:rPr>
            </w:pPr>
          </w:p>
        </w:tc>
        <w:tc>
          <w:tcPr>
            <w:tcW w:w="22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14,751</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jc w:val="right"/>
              <w:ind w:right="14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6,536</w:t>
            </w:r>
          </w:p>
        </w:tc>
        <w:tc>
          <w:tcPr>
            <w:tcW w:w="120" w:type="dxa"/>
            <w:vAlign w:val="bottom"/>
          </w:tcPr>
          <w:p>
            <w:pPr>
              <w:spacing w:after="0"/>
              <w:rPr>
                <w:sz w:val="24"/>
                <w:szCs w:val="24"/>
                <w:color w:val="auto"/>
              </w:rPr>
            </w:pPr>
          </w:p>
        </w:tc>
        <w:tc>
          <w:tcPr>
            <w:tcW w:w="26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15,174</w:t>
            </w:r>
          </w:p>
        </w:tc>
        <w:tc>
          <w:tcPr>
            <w:tcW w:w="120" w:type="dxa"/>
            <w:vAlign w:val="bottom"/>
          </w:tcPr>
          <w:p>
            <w:pPr>
              <w:spacing w:after="0"/>
              <w:rPr>
                <w:sz w:val="24"/>
                <w:szCs w:val="24"/>
                <w:color w:val="auto"/>
              </w:rPr>
            </w:pPr>
          </w:p>
        </w:tc>
        <w:tc>
          <w:tcPr>
            <w:tcW w:w="360" w:type="dxa"/>
            <w:vAlign w:val="bottom"/>
            <w:tcBorders>
              <w:top w:val="single" w:sz="8" w:color="auto"/>
              <w:bottom w:val="single" w:sz="8" w:color="auto"/>
            </w:tcBorders>
          </w:tcPr>
          <w:p>
            <w:pPr>
              <w:jc w:val="right"/>
              <w:ind w:right="181"/>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7,681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Debt Issuances</w:t>
      </w:r>
    </w:p>
    <w:p>
      <w:pPr>
        <w:spacing w:after="0" w:line="11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2025 Annual Report for information on debt issuances.</w:t>
      </w:r>
    </w:p>
    <w:p>
      <w:pPr>
        <w:spacing w:after="0" w:line="11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u w:val="single" w:color="auto"/>
          <w:color w:val="auto"/>
        </w:rPr>
        <w:t>Credit and Committed Facilities</w:t>
      </w:r>
    </w:p>
    <w:p>
      <w:pPr>
        <w:spacing w:after="0" w:line="111" w:lineRule="exact"/>
        <w:rPr>
          <w:sz w:val="20"/>
          <w:szCs w:val="20"/>
          <w:color w:val="auto"/>
        </w:rPr>
      </w:pPr>
    </w:p>
    <w:p>
      <w:pPr>
        <w:jc w:val="both"/>
        <w:ind w:left="48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2025 Annual Report for information regarding our credit and committed facilities.</w:t>
      </w:r>
    </w:p>
    <w:p>
      <w:pPr>
        <w:spacing w:after="0" w:line="57" w:lineRule="exact"/>
        <w:rPr>
          <w:sz w:val="20"/>
          <w:szCs w:val="20"/>
          <w:color w:val="auto"/>
        </w:rPr>
      </w:pPr>
    </w:p>
    <w:p>
      <w:pPr>
        <w:jc w:val="both"/>
        <w:ind w:left="480" w:firstLine="318"/>
        <w:spacing w:after="0" w:line="259" w:lineRule="auto"/>
        <w:rPr>
          <w:sz w:val="20"/>
          <w:szCs w:val="20"/>
          <w:color w:val="auto"/>
        </w:rPr>
      </w:pPr>
      <w:r>
        <w:rPr>
          <w:rFonts w:ascii="Times New Roman" w:cs="Times New Roman" w:eastAsia="Times New Roman" w:hAnsi="Times New Roman"/>
          <w:sz w:val="18"/>
          <w:szCs w:val="18"/>
          <w:color w:val="auto"/>
        </w:rPr>
        <w:t>We have no reason to believe that our lending counterparties would be unable to fulfill their respective contractual obligations under these facilities. As commitments under our credit and committed facilities may expire unused, these amounts do not necessarily reflect our actual future cash funding requirements.</w:t>
      </w:r>
    </w:p>
    <w:p>
      <w:pPr>
        <w:spacing w:after="0" w:line="72" w:lineRule="exact"/>
        <w:rPr>
          <w:sz w:val="20"/>
          <w:szCs w:val="20"/>
          <w:color w:val="auto"/>
        </w:rPr>
      </w:pPr>
    </w:p>
    <w:p>
      <w:pPr>
        <w:jc w:val="both"/>
        <w:ind w:left="480" w:firstLine="318"/>
        <w:spacing w:after="0" w:line="255" w:lineRule="auto"/>
        <w:rPr>
          <w:sz w:val="20"/>
          <w:szCs w:val="20"/>
          <w:color w:val="auto"/>
        </w:rPr>
      </w:pPr>
      <w:r>
        <w:rPr>
          <w:rFonts w:ascii="Times New Roman" w:cs="Times New Roman" w:eastAsia="Times New Roman" w:hAnsi="Times New Roman"/>
          <w:sz w:val="18"/>
          <w:szCs w:val="18"/>
          <w:color w:val="auto"/>
        </w:rPr>
        <w:t>Our Revolving Credit Facility contains financial covenants, including requirements to maintain a specified minimum adjusted consolidated net worth, to maintain a ratio of total indebtedness to total capitalization not in excess of a specified percentage and that place limitations on the dollar amount of indebtedness that may be incurred by our subsidiaries, which could restrict our operations and use of funds. At September 30, 2026, we were in compliance with these financial covenants.</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Primary Uses of Liquidity and Capital</w:t>
      </w:r>
    </w:p>
    <w:p>
      <w:pPr>
        <w:spacing w:after="0" w:line="115" w:lineRule="exact"/>
        <w:rPr>
          <w:sz w:val="20"/>
          <w:szCs w:val="20"/>
          <w:color w:val="auto"/>
        </w:rPr>
      </w:pPr>
    </w:p>
    <w:p>
      <w:pPr>
        <w:ind w:left="160" w:firstLine="318"/>
        <w:spacing w:after="0" w:line="274" w:lineRule="auto"/>
        <w:rPr>
          <w:sz w:val="20"/>
          <w:szCs w:val="20"/>
          <w:color w:val="auto"/>
        </w:rPr>
      </w:pPr>
      <w:r>
        <w:rPr>
          <w:rFonts w:ascii="Times New Roman" w:cs="Times New Roman" w:eastAsia="Times New Roman" w:hAnsi="Times New Roman"/>
          <w:sz w:val="18"/>
          <w:szCs w:val="18"/>
          <w:color w:val="auto"/>
        </w:rPr>
        <w:t>In addition to the summarized description of liquidity and capital uses discussed in “— Sources and Uses of Liquidity and Capital,” the following additional information is provided regarding our primary uses of liquidity and capital:</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Common Stock Repurchases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authorizations to repurchase BHF common stock, amounts of common stock repurchased pursuant to such authorizations and the amount remaining under such authorizations at September 30, 2026. See also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w:t>
      </w:r>
    </w:p>
    <w:p>
      <w:pPr>
        <w:spacing w:after="0" w:line="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Preferred Stock Dividends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10 of the Notes to the Interim Condensed Consolidated Financial Statements for information relating to dividends declared and paid on our preferred stock.</w:t>
      </w:r>
    </w:p>
    <w:p>
      <w:pPr>
        <w:sectPr>
          <w:pgSz w:w="11900" w:h="16838" w:orient="portrait"/>
          <w:cols w:equalWidth="0" w:num="1">
            <w:col w:w="11240"/>
          </w:cols>
          <w:pgMar w:left="320" w:top="2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“Dividend Stopper” Provisions in BHF’s Preferred Stock and Junior Subordinated Debentures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Terms applicable to our junior subordinated debentures may restrict our ability to pay interest on those debentures in certain circumstances. Suspension of payments of interest on our junior subordinated debentures, whether required under the relevant indenture or optional, could cause “dividend stopper” provisions applicable under those and other instruments to restrict our ability to pay dividends, if any, on our common stock and repurchase our common stock in various situations, including situations where we may be experiencing financial stress, and may restrict our ability to pay dividends or interest on our preferred stock and junior subordinated debentures as well. Similarly, the terms of our outstanding preferred stock contain restrictions on our ability to repurchase our common stock or pay dividends thereon if we have not fulfilled our dividend obligations under such preferred stock or other preferred securities. In addition, the terms of the agreements governing any preferred stock, debt or other financial instruments that we may issue in the future, may limit or prohibit the payment of dividends on our common stock or preferred stock, or the payment of interest on our junior subordinated debentures.</w:t>
      </w:r>
    </w:p>
    <w:p>
      <w:pPr>
        <w:spacing w:after="0" w:line="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Debt Repayments, Repurchases, Redemptions and Exchanges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See Note 11 of the Notes to the Consolidated Financial Statements included in our 2025 Annual Report for information on debt repayments and repurchases, as well as debt maturities and the terms of our outstanding long-term debt.</w:t>
      </w:r>
    </w:p>
    <w:p>
      <w:pPr>
        <w:spacing w:after="0" w:line="57"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may from time to time seek to retire or purchase our outstanding indebtedness through cash purchases or exchanges for other securities, purchases in the open market, privately negotiated transactions or otherwise. Any such repurchases or exchanges will be dependent upon several factors, including our liquidity requirements, contractual restrictions, general market conditions, as well as applicable regulatory, legal and accounting factors. Whether or not we repurchase any debt and the size and timing of any such repurchases will be determined at our discretion.</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Insurance Liabilities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Liabilities arising from our insurance activities primarily relate to benefit payments under various annuity and life insurance products, as well as payments for policy surrenders, withdrawals and loans. See “— Primary Sources of Liquidity and Capital — Funding Sources — Funding Agreements” for additional information regarding our institutional spread margin business.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Pledged Collateral</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We enter into derivatives to manage various risks relating to our ongoing business operations. We pledge collateral to, and have collateral pledged to us by, counterparties in connection with our derivatives. At September 30, 2026 and December 31, 2025, we pledged $110 million and $34 million, respectively, of cash collateral to counterparties. At September 30, 2026 and December 31, 2025, we were obligated to return cash collateral pledged to us by counterparties of $4.1 billion and $1.5 billion, respectively. The timing of the return of the derivatives collateral is uncertain. We also pledge collateral from time to time in connection with certain funding agreements.</w:t>
      </w:r>
    </w:p>
    <w:p>
      <w:pPr>
        <w:spacing w:after="0" w:line="79"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from counterparties for derivatives, which cannot be sold unless the counterparty is in default, and which is not recorded on our consolidated balance sheets. The amount of this non-cash collateral at estimated fair value was $3.9 billion and $3.2 billion at September 30, 2026 and December 31, 2025, respectively.</w:t>
      </w:r>
    </w:p>
    <w:p>
      <w:pPr>
        <w:spacing w:after="0" w:line="72" w:lineRule="exact"/>
        <w:rPr>
          <w:sz w:val="20"/>
          <w:szCs w:val="20"/>
          <w:color w:val="auto"/>
        </w:rPr>
      </w:pPr>
    </w:p>
    <w:p>
      <w:pPr>
        <w:ind w:left="320" w:right="640" w:firstLine="318"/>
        <w:spacing w:after="0" w:line="368" w:lineRule="auto"/>
        <w:rPr>
          <w:sz w:val="20"/>
          <w:szCs w:val="20"/>
          <w:color w:val="auto"/>
        </w:rPr>
      </w:pPr>
      <w:r>
        <w:rPr>
          <w:rFonts w:ascii="Times New Roman" w:cs="Times New Roman" w:eastAsia="Times New Roman" w:hAnsi="Times New Roman"/>
          <w:sz w:val="18"/>
          <w:szCs w:val="18"/>
          <w:color w:val="auto"/>
        </w:rPr>
        <w:t xml:space="preserve">See Note 8 of the Notes to the Interim Condensed Consolidated Financial Statements for additional information regarding pledged collateral. </w:t>
      </w:r>
      <w:r>
        <w:rPr>
          <w:rFonts w:ascii="Times New Roman" w:cs="Times New Roman" w:eastAsia="Times New Roman" w:hAnsi="Times New Roman"/>
          <w:sz w:val="18"/>
          <w:szCs w:val="18"/>
          <w:i w:val="1"/>
          <w:iCs w:val="1"/>
          <w:u w:val="single" w:color="auto"/>
          <w:color w:val="auto"/>
        </w:rPr>
        <w:t>Securities Lending</w:t>
      </w:r>
    </w:p>
    <w:p>
      <w:pPr>
        <w:spacing w:after="0" w:line="1"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have a securities lending program that aims to enhance the total return on our investment portfolio, whereby securities are loaned to third parties, primarily brokerage firms and commercial banks. We obtain collateral, usually cash, from the borrower, which must be returned to the borrower when the loaned securities are returned to us. Generally, our securities lending contracts expire within twelve months of issuance. We were liable for cash collateral under our control of $3.3 billion and $3.2 billion at September 30, 2026 and December 31, 2025, respectively.</w:t>
      </w:r>
    </w:p>
    <w:p>
      <w:pPr>
        <w:spacing w:after="0" w:line="74"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receive non-cash collateral for securities lending from counterparties, which cannot be sold or re-pledged (except for securities collateral which may be sold or re-pledged if the counterparty is in default), and which is not recorded on our consolidated balance sheets. There was no non-cash collateral at both September 30, 2026 and December 31, 2025.</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Note 7 of the Notes to the Interim Condensed Consolidated Financial Statements for further discussion of our securities lending program.</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Contingencies, Commitments and Guarantees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We establish liabilities for litigation, regulatory and other loss contingencies when it is probable that a loss has been incurred and the amount of the loss can be reasonably estimated. See Note 13 of the Notes to the Interim Condensed Consolidated Financial Statements for additional information regarding contingencies.</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We enter into commitments for the purpose of enhancing the total return on our investment portfolio consisting of commitments to fund partnership investments, bank credit facilities and private corporate bond investments, as well as commitments to lend funds under mortgage loan commitments. We anticipate these commitments could be invested any time over the next five years. See Notes 7 and 13 of the Notes to the Interim Condensed Consolidated Financial Statements for additional information regarding commitments.</w:t>
      </w:r>
    </w:p>
    <w:p>
      <w:pPr>
        <w:spacing w:after="0" w:line="74"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In the normal course of our business, we have provided certain indemnities, guarantees and commitments to third parties such that we may be required to make payments now or in the future. See Note 13 of the Notes to the Interim Condensed Consolidated Financial Statements for additional information regarding guarantees.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Parent Company</w:t>
      </w:r>
    </w:p>
    <w:p>
      <w:pPr>
        <w:spacing w:after="0" w:line="111"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Liquidity and Capital</w:t>
      </w:r>
    </w:p>
    <w:p>
      <w:pPr>
        <w:spacing w:after="0" w:line="115" w:lineRule="exact"/>
        <w:rPr>
          <w:sz w:val="20"/>
          <w:szCs w:val="20"/>
          <w:color w:val="auto"/>
        </w:rPr>
      </w:pPr>
    </w:p>
    <w:p>
      <w:pPr>
        <w:jc w:val="both"/>
        <w:ind w:left="160" w:firstLine="318"/>
        <w:spacing w:after="0" w:line="259" w:lineRule="auto"/>
        <w:rPr>
          <w:sz w:val="20"/>
          <w:szCs w:val="20"/>
          <w:color w:val="auto"/>
        </w:rPr>
      </w:pPr>
      <w:r>
        <w:rPr>
          <w:rFonts w:ascii="Times New Roman" w:cs="Times New Roman" w:eastAsia="Times New Roman" w:hAnsi="Times New Roman"/>
          <w:sz w:val="18"/>
          <w:szCs w:val="18"/>
          <w:color w:val="auto"/>
        </w:rPr>
        <w:t>In evaluating liquidity, it is important to distinguish the cash flow needs of the parent company from the cash flow needs of the combined group of companies. BHF is largely dependent on cash flows from its insurance subsidiaries to meet its obligations. Constraints on BHF’s liquidity may occur as a result of operational demands or as a result of compliance with regulatory requirements.</w:t>
      </w:r>
    </w:p>
    <w:p>
      <w:pPr>
        <w:spacing w:after="0" w:line="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Liquidity and Liquid Assets</w:t>
      </w:r>
    </w:p>
    <w:p>
      <w:pPr>
        <w:spacing w:after="0" w:line="113" w:lineRule="exact"/>
        <w:rPr>
          <w:sz w:val="20"/>
          <w:szCs w:val="20"/>
          <w:color w:val="auto"/>
        </w:rPr>
      </w:pPr>
    </w:p>
    <w:p>
      <w:pPr>
        <w:jc w:val="both"/>
        <w:ind w:left="320" w:firstLine="318"/>
        <w:spacing w:after="0" w:line="259" w:lineRule="auto"/>
        <w:rPr>
          <w:sz w:val="20"/>
          <w:szCs w:val="20"/>
          <w:color w:val="auto"/>
        </w:rPr>
      </w:pPr>
      <w:r>
        <w:rPr>
          <w:rFonts w:ascii="Times New Roman" w:cs="Times New Roman" w:eastAsia="Times New Roman" w:hAnsi="Times New Roman"/>
          <w:sz w:val="18"/>
          <w:szCs w:val="18"/>
          <w:color w:val="auto"/>
        </w:rPr>
        <w:t>At September 30, 2026 and December 31, 2025, BHF and certain of its non-insurance subsidiaries had short-term liquidity of $734 million and $763 million, respectively. Short-term liquidity is comprised of cash and cash equivalents and short-term investments, excluding assets that are pledged or otherwise committed. Assets pledged or otherwise committed include assets held in trust.</w:t>
      </w:r>
    </w:p>
    <w:p>
      <w:pPr>
        <w:spacing w:after="0" w:line="72" w:lineRule="exact"/>
        <w:rPr>
          <w:sz w:val="20"/>
          <w:szCs w:val="20"/>
          <w:color w:val="auto"/>
        </w:rPr>
      </w:pPr>
    </w:p>
    <w:p>
      <w:pPr>
        <w:jc w:val="both"/>
        <w:ind w:left="320" w:firstLine="318"/>
        <w:spacing w:after="0" w:line="255" w:lineRule="auto"/>
        <w:rPr>
          <w:sz w:val="20"/>
          <w:szCs w:val="20"/>
          <w:color w:val="auto"/>
        </w:rPr>
      </w:pPr>
      <w:r>
        <w:rPr>
          <w:rFonts w:ascii="Times New Roman" w:cs="Times New Roman" w:eastAsia="Times New Roman" w:hAnsi="Times New Roman"/>
          <w:sz w:val="18"/>
          <w:szCs w:val="18"/>
          <w:color w:val="auto"/>
        </w:rPr>
        <w:t>At September 30, 2026 and December 31, 2025, BHF and certain of its non-insurance subsidiaries had liquid assets of $972 million and $911 million, respectively, of which $916 million and $868 million, respectively, was held by BHF. Liquid assets are comprised of cash and cash equivalents, short-term investments and publicly-traded securities, excluding assets that are pledged or otherwise committed. Assets pledged or otherwise committed include assets held in trust.</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Statutory Capital and Dividends</w:t>
      </w:r>
    </w:p>
    <w:p>
      <w:pPr>
        <w:spacing w:after="0" w:line="113" w:lineRule="exact"/>
        <w:rPr>
          <w:sz w:val="20"/>
          <w:szCs w:val="20"/>
          <w:color w:val="auto"/>
        </w:rPr>
      </w:pPr>
    </w:p>
    <w:p>
      <w:pPr>
        <w:jc w:val="both"/>
        <w:ind w:left="320" w:firstLine="318"/>
        <w:spacing w:after="0" w:line="266" w:lineRule="auto"/>
        <w:rPr>
          <w:sz w:val="20"/>
          <w:szCs w:val="20"/>
          <w:color w:val="auto"/>
        </w:rPr>
      </w:pPr>
      <w:r>
        <w:rPr>
          <w:rFonts w:ascii="Times New Roman" w:cs="Times New Roman" w:eastAsia="Times New Roman" w:hAnsi="Times New Roman"/>
          <w:sz w:val="17"/>
          <w:szCs w:val="17"/>
          <w:color w:val="auto"/>
        </w:rPr>
        <w:t>The NAIC and state insurance departments have established regulations that provide minimum capitalization requirements based on RBC formulas for insurance companies. RBC is based on a formula calculated by applying factors to various asset, premium, claim, expense and statutory reserve items. The formula takes into account the risk characteristics of the insurer, including asset risk, insurance risk, interest rate risk, market risk and business risk and is calculated on an annual basis. The formula is used as an early warning regulatory tool to identify possible inadequately capitalized insurers for purposes of initiating regulatory action, and not as a means to rank insurers generally. State insurance laws provide insurance regulators the authority to require various actions by, or take various actions against, insurers whose total adjusted capital (“TAC”) does not meet or exceed the amounts required to attain certain RBC levels. As of the date of the most recent annual statutory financial statements filed with insurance regulators, the TAC of each of our insurance subsidiaries subject to these requirements was in excess of the amounts required to attain each of those RBC levels.</w:t>
      </w:r>
    </w:p>
    <w:p>
      <w:pPr>
        <w:spacing w:after="0" w:line="69"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The amount of dividends that our insurance subsidiaries can ultimately pay to BHF through their various parent entities provides an additional margin for risk protection and investment in our businesses. Such dividends are constrained by the amount of surplus our insurance subsidiaries hold to maintain their ratings, which is generally higher than minimum RBC requirements. We proactively take actions to maintain capital consistent with these ratings objectives, which may include adjusting dividend amounts and deploying financial resources from internal or external sources of capital. Certain of these activities may require regulatory approval. Furthermore, the payment of dividends and other distributions by our insurance subsidiaries is governed by the insurance laws and regulations of the states where they are domiciled. Any payment of dividends by Brighthouse Life Insurance Company in 2026 would be subject to Delaware Department of Insurance approval. See Note 12 of the Notes to the Consolidated Financial Statements included in our 2025 Annual Report for additional information regarding the applicable dividend restrictions and certain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60" w:right="1820" w:firstLine="159"/>
        <w:spacing w:after="0" w:line="368" w:lineRule="auto"/>
        <w:rPr>
          <w:sz w:val="20"/>
          <w:szCs w:val="20"/>
          <w:color w:val="auto"/>
        </w:rPr>
      </w:pPr>
      <w:r>
        <w:rPr>
          <w:rFonts w:ascii="Times New Roman" w:cs="Times New Roman" w:eastAsia="Times New Roman" w:hAnsi="Times New Roman"/>
          <w:sz w:val="18"/>
          <w:szCs w:val="18"/>
          <w:color w:val="auto"/>
        </w:rPr>
        <w:t xml:space="preserve">of our subsidiaries’ ordinary dividend capacity, as well as the circumstances under which regulatory approval would be required. </w:t>
      </w:r>
      <w:r>
        <w:rPr>
          <w:rFonts w:ascii="Times New Roman" w:cs="Times New Roman" w:eastAsia="Times New Roman" w:hAnsi="Times New Roman"/>
          <w:sz w:val="18"/>
          <w:szCs w:val="18"/>
          <w:b w:val="1"/>
          <w:bCs w:val="1"/>
          <w:i w:val="1"/>
          <w:iCs w:val="1"/>
          <w:u w:val="single" w:color="auto"/>
          <w:color w:val="auto"/>
        </w:rPr>
        <w:t>Primary Sources and Uses of Liquidity and Capital</w:t>
      </w:r>
    </w:p>
    <w:p>
      <w:pPr>
        <w:spacing w:after="0" w:line="1" w:lineRule="exact"/>
        <w:rPr>
          <w:sz w:val="20"/>
          <w:szCs w:val="20"/>
          <w:color w:val="auto"/>
        </w:rPr>
      </w:pPr>
    </w:p>
    <w:p>
      <w:pPr>
        <w:jc w:val="both"/>
        <w:ind w:left="160" w:firstLine="318"/>
        <w:spacing w:after="0" w:line="255" w:lineRule="auto"/>
        <w:rPr>
          <w:sz w:val="20"/>
          <w:szCs w:val="20"/>
          <w:color w:val="auto"/>
        </w:rPr>
      </w:pPr>
      <w:r>
        <w:rPr>
          <w:rFonts w:ascii="Times New Roman" w:cs="Times New Roman" w:eastAsia="Times New Roman" w:hAnsi="Times New Roman"/>
          <w:sz w:val="18"/>
          <w:szCs w:val="18"/>
          <w:color w:val="auto"/>
        </w:rPr>
        <w:t>The principal sources of funds available to BHF include distributions from BH Holdings, dividends and returns of capital from its insurance subsidiaries and BRCD, capital markets issuances, as well as its own cash and cash equivalents and short-term investments. These sources of funds may also be supplemented by alternate sources of liquidity either directly or indirectly through our insurance subsidiaries. For example, we have established internal liquidity facilities to provide liquidity within and across our regulated and non-regulated entities to support our businesses.</w:t>
      </w:r>
    </w:p>
    <w:p>
      <w:pPr>
        <w:spacing w:after="0" w:line="74"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The primary uses of liquidity of BHF include debt-service obligations (including interest expense and debt repayments), preferred stock dividends, capital contributions to subsidiaries and payment of general operating expenses. Based on our analysis and comparison of our current and future cash inflows from the dividends we receive from subsidiaries that are permitted to be paid without prior insurance regulatory approval, our investment portfolio and other cash flows and anticipated access to the capital markets, we believe there will be sufficient liquidity and capital to enable BHF to make payments on debt, pay preferred stock dividends, contribute capital to its subsidiaries, pay all general operating expenses and meet its cash needs.</w:t>
      </w:r>
    </w:p>
    <w:p>
      <w:pPr>
        <w:spacing w:after="0" w:line="79" w:lineRule="exact"/>
        <w:rPr>
          <w:sz w:val="20"/>
          <w:szCs w:val="20"/>
          <w:color w:val="auto"/>
        </w:rPr>
      </w:pPr>
    </w:p>
    <w:p>
      <w:pPr>
        <w:jc w:val="both"/>
        <w:ind w:left="160"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from MetLife, Inc. (together with its subsidiaries and affiliates, “MetLife”), the Company entered into a tax receivables agreement (the “Tax Receivables Agreement”) with MetLife. In connection with the Tax Receivables Agreement, the Company has a payable to MetLife of $328 million at both September 30, 2026 and December 31, 2025 reported in other liabilities, which would be accelerated upon closing of the Merger. See Note 15 of the Notes to the Consolidated Financial Statements included in our 2025 Annual Report for additional information regarding income tax agreements.</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7"/>
          <w:szCs w:val="17"/>
          <w:color w:val="auto"/>
        </w:rPr>
        <w:t>In addition to the liquidity and capital sources discussed in “— The Company — Primary Sources of Liquidity and Capital” and “— The Company —</w:t>
      </w:r>
    </w:p>
    <w:p>
      <w:pPr>
        <w:spacing w:after="0" w:line="3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Primary Uses of Liquidity and Capital,” the following additional information is provided regarding BHF’s primary sources and uses of liquidity and capital:</w:t>
      </w:r>
    </w:p>
    <w:p>
      <w:pPr>
        <w:spacing w:after="0" w:line="1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Distributions from and Capital Contributions to BH Holdings</w:t>
      </w:r>
    </w:p>
    <w:p>
      <w:pPr>
        <w:spacing w:after="0" w:line="113" w:lineRule="exact"/>
        <w:rPr>
          <w:sz w:val="20"/>
          <w:szCs w:val="20"/>
          <w:color w:val="auto"/>
        </w:rPr>
      </w:pPr>
    </w:p>
    <w:p>
      <w:pPr>
        <w:jc w:val="both"/>
        <w:ind w:left="320" w:firstLine="318"/>
        <w:spacing w:after="0" w:line="274" w:lineRule="auto"/>
        <w:rPr>
          <w:sz w:val="20"/>
          <w:szCs w:val="20"/>
          <w:color w:val="auto"/>
        </w:rPr>
      </w:pPr>
      <w:r>
        <w:rPr>
          <w:rFonts w:ascii="Times New Roman" w:cs="Times New Roman" w:eastAsia="Times New Roman" w:hAnsi="Times New Roman"/>
          <w:sz w:val="18"/>
          <w:szCs w:val="18"/>
          <w:color w:val="auto"/>
        </w:rPr>
        <w:t>During both the nine months ended September 30, 2026 and 2025, BHF did not receive any cash distributions from BH Holdings and did not make any cash capital contributions to BH Holdings.</w:t>
      </w:r>
    </w:p>
    <w:p>
      <w:pPr>
        <w:spacing w:after="0" w:line="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Short-term Intercompany Loans</w:t>
      </w:r>
    </w:p>
    <w:p>
      <w:pPr>
        <w:spacing w:after="0" w:line="113" w:lineRule="exact"/>
        <w:rPr>
          <w:sz w:val="20"/>
          <w:szCs w:val="20"/>
          <w:color w:val="auto"/>
        </w:rPr>
      </w:pPr>
    </w:p>
    <w:p>
      <w:pPr>
        <w:jc w:val="both"/>
        <w:ind w:left="320" w:firstLine="318"/>
        <w:spacing w:after="0" w:line="249" w:lineRule="auto"/>
        <w:rPr>
          <w:sz w:val="20"/>
          <w:szCs w:val="20"/>
          <w:color w:val="auto"/>
        </w:rPr>
      </w:pPr>
      <w:r>
        <w:rPr>
          <w:rFonts w:ascii="Times New Roman" w:cs="Times New Roman" w:eastAsia="Times New Roman" w:hAnsi="Times New Roman"/>
          <w:sz w:val="18"/>
          <w:szCs w:val="18"/>
          <w:color w:val="auto"/>
        </w:rPr>
        <w:t>BHF, as borrower, has a short-term intercompany loan agreement with certain of its non-insurance subsidiaries, as lenders, for the purposes of facilitating the management of the available cash of the borrower and the lenders on a short-term and consolidated basis. Such intercompany loan agreement allows management to optimize the efficient use of and maximize the yield on cash between BHF and its subsidiary lenders. Each loan entered into under this intercompany loan agreement has a term not more than 364 days and bears interest on the unpaid principal amount at a variable rate, payable monthly. During the nine months ended September 30, 2026 and 2025, BHF borrowed $484 million and $587 million, respectively, from certain of its non-insurance subsidiaries and repaid $297 million and $512 million of such borrowings during the nine months ended September 30, 2026 and 2025, respectively. At September 30, 2026 and December 31, 2025, BHF had total obligations outstanding of $632 million and $445 million, respectively, under such agreements.</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Intercompany Liquidity Facilities</w:t>
      </w:r>
    </w:p>
    <w:p>
      <w:pPr>
        <w:spacing w:after="0" w:line="113" w:lineRule="exact"/>
        <w:rPr>
          <w:sz w:val="20"/>
          <w:szCs w:val="20"/>
          <w:color w:val="auto"/>
        </w:rPr>
      </w:pPr>
    </w:p>
    <w:p>
      <w:pPr>
        <w:jc w:val="both"/>
        <w:ind w:left="320" w:firstLine="318"/>
        <w:spacing w:after="0" w:line="252" w:lineRule="auto"/>
        <w:rPr>
          <w:sz w:val="20"/>
          <w:szCs w:val="20"/>
          <w:color w:val="auto"/>
        </w:rPr>
      </w:pPr>
      <w:r>
        <w:rPr>
          <w:rFonts w:ascii="Times New Roman" w:cs="Times New Roman" w:eastAsia="Times New Roman" w:hAnsi="Times New Roman"/>
          <w:sz w:val="18"/>
          <w:szCs w:val="18"/>
          <w:color w:val="auto"/>
        </w:rPr>
        <w:t>BHF has established intercompany liquidity facilities with certain of its insurance and non-insurance subsidiaries to provide short-term liquidity within and across the combined group of companies. Under these facilities, which are comprised of a series of revolving loan agreements among BHF and its participating subsidiaries, each company may lend to or borrow from each other, subject to certain maximum limits for a term of up to 364 days, depending on the agreement. During both the nine months ended September 30, 2026 and 2025, there were no borrowings or repayments by BHF under these facilities and, at both September 30, 2026 and December 31, 2025, BHF had no obligations outstanding under such facilities.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Forward-Looking Statements</w:t>
      </w:r>
    </w:p>
    <w:p>
      <w:pPr>
        <w:spacing w:after="0" w:line="16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This report and other oral or written statements that we make from time to time may contain information that includes or is based upon forward-looking statements within the meaning of the Private Securities Litigation Reform Act of 1995. Such forward-looking statements involve substantial risks and uncertainties. We have tried, wherever possible, to identify such statements using words such as “anticipate,” “estimate,” “expect,” “project,” “may,” “will,” “could,” “intend,” “goal,” “target,” “guidance,” “forecast,” “preliminary,” “objective,” “continue,” “aim,” “plan,” “believe” and other words and terms of similar meaning, or that are tied to future periods, in connection with a discussion of future operating or financial performance. In particular, these include, without limitation, statements relating to the completion of the pending Merger, future actions, prospective services or products, financial projections, future performance or results of current and anticipated services or products, sales efforts, expenses, the outcome of contingencies such as legal proceedings, as well as trends in operating and financial results.</w:t>
      </w:r>
    </w:p>
    <w:p>
      <w:pPr>
        <w:spacing w:after="0" w:line="13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Any or all forward-looking statements may turn out to be wrong. They can be affected by inaccurate assumptions or by known or unknown risks and uncertainties. Many such factors will be important in determining the actual future results of Brighthouse Financial. These statements are based on current expectations and the current economic environment and involve a number of risks and uncertainties that are difficult to predict. These statements are not guarantees of future performance. Actual results could differ materially from those expressed or implied in the forward-looking statements due to a variety of known and unknown risks, uncertainties and other factors. Although it is not possible to identify all of these risks and factors, they include, among others:</w:t>
      </w:r>
    </w:p>
    <w:p>
      <w:pPr>
        <w:spacing w:after="0" w:line="62" w:lineRule="exact"/>
        <w:rPr>
          <w:sz w:val="20"/>
          <w:szCs w:val="20"/>
          <w:color w:val="auto"/>
        </w:rPr>
      </w:pPr>
    </w:p>
    <w:p>
      <w:pPr>
        <w:jc w:val="both"/>
        <w:ind w:left="640" w:hanging="316"/>
        <w:spacing w:after="0" w:line="259"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complete the Merger in the timeframe or manner currently anticipated or at all, including due to a failure to obtain the regulatory approvals required for the closing of the Merger or the occurrence of any event, change or other circumstance that could give rise to the right of one or both of the parties to terminate the Merger Agreement;</w:t>
      </w:r>
    </w:p>
    <w:p>
      <w:pPr>
        <w:spacing w:after="0" w:line="7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pendency of the Merger on our ongoing business and operations, including disruption to our business relationships, the diversion of management’s attention from ongoing business operations and opportunities, or the outcome of any legal proceedings that may be instituted against Aquarian Parent or BHF following announcement of the Merger;</w:t>
      </w:r>
    </w:p>
    <w:p>
      <w:pPr>
        <w:spacing w:after="0" w:line="7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conduct of our business prior to the closing of the Merger and on our ability to pursue alternatives to the Merger;</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the Merger may be more expensive to complete than anticipated, including as a result of unexpected factors or events;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actual experience and actuarial assumptions and the effectiveness of our actuarial models;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risk management costs and exposure to increased market risk due to guarantees within certain of our products;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risk management strategy and the impacts of such strategy on volatility in our profitability measures and the negative effects on our statutory capital;</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differences between actual outcomes and the sensitivities calculated under certain scenarios that we may utilize in connection with our risk management strategies;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rates on our future ULSG policyholder obligations and net income volatility;</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adverse effect of changes in accounting standards, practices or policies applicable to us;</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business and other negative impacts resulting from a downgrade or a potential downgrade in our financial strength or credit ratings;</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reinsurance and the ability of the counterparties to our reinsurance or indemnification arrangements to perform their obligations thereunder;</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heightened competition, including with respect to service, product features, product mix, scale, price, actual or perceived financial strength, claims-paying ratings, credit ratings, e-business capabilities and name recognition;</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and distribute our products through distribution channels and maintain relationships with key distribution partners;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4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third parties to provide services we need, any failure of the practices and procedures of such third parties and any inability to obtain information or assistance we need from third parties;</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subsidiaries to pay dividends to us, and our ability to pay dividends to our shareholders and repurchase our common stock;</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climate change;</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adverse impact of public health crises, extreme mortality events or similar occurrences on our business and the economy in general;</w:t>
      </w:r>
    </w:p>
    <w:p>
      <w:pPr>
        <w:spacing w:after="0" w:line="111"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capital and credit market conditions, including with respect to our ability to meet liquidity needs and access capital;</w:t>
      </w:r>
    </w:p>
    <w:p>
      <w:pPr>
        <w:spacing w:after="0" w:line="11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economic conditions in the capital markets and the U.S. and global economy, as well as geopolitical events, tariffs imposed or threatened by the U.S. or foreign governments, military actions or catastrophic events, on our profitability measures as well as our investment portfolio, including on realized and unrealized losses and impairments, net investment spread and net investment income;</w:t>
      </w:r>
    </w:p>
    <w:p>
      <w:pPr>
        <w:spacing w:after="0" w:line="7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risks that our investment portfolio is subject to, including credit risk, interest rate risk, inflation risk, market valuation risk, liquidity risk, real estate risk, derivatives risk, and other factors outside our control;</w:t>
      </w:r>
    </w:p>
    <w:p>
      <w:pPr>
        <w:spacing w:after="0" w:line="5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regulation and in supervisory and enforcement policies or interpretations thereof on our insurance business or other operations;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material negative tax impact of potential future tax legislation that could make some of our products less attractive to consumers or increase our tax liability;</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policies, procedures and processes in managing risk;</w:t>
      </w:r>
    </w:p>
    <w:p>
      <w:pPr>
        <w:spacing w:after="0" w:line="111"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or disclosure of confidential information, damage to our reputation and impairment of our ability to conduct business effectively as a result of any failure in cyber- or other information security systems;</w:t>
      </w:r>
    </w:p>
    <w:p>
      <w:pPr>
        <w:spacing w:after="0" w:line="5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all or any portion of the tax consequences of our separation from MetLife are not as expected, leading to material additional taxes or material adverse consequences to tax attributes that impact us; and</w:t>
      </w:r>
    </w:p>
    <w:p>
      <w:pPr>
        <w:spacing w:after="0" w:line="5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described in this report and from time to time in documents that we file with the SEC.</w:t>
      </w:r>
    </w:p>
    <w:p>
      <w:pPr>
        <w:spacing w:after="0" w:line="164"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For the reasons described above, we caution you against relying on any forward-looking statements, which should also be read in conjunction with the other cautionary statements included and the risks, uncertainties and other factors identified in our 2025 Annual Report, particularly in the sections entitled “Risk Factors” and “Quantitative and Qualitative Disclosures About Market Risk,” as well as in our other subsequent filings with the SEC. Further, any forward-looking statement speaks only as of the date on which it is made, and we undertake no obligation to update or revise any forward-looking statement to reflect events or circumstances after the date on which the statement is made or to reflect the occurrence of unanticipated events, except as otherwise may be required by law.</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Information</w:t>
      </w:r>
    </w:p>
    <w:p>
      <w:pPr>
        <w:spacing w:after="0" w:line="115"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routinely use our Investor Relations website to provide presentations, press releases, our insurance subsidiaries’ statutory filings, and other information that may be deemed important or material to investors. Accordingly, we encourage investors and others interested in the Company to review the information that we share at http://investor.brighthousefinancial.com. In addition, our Investor Relations website allows interested persons to sign up to automatically receive e-mail alerts when we make filings with the SEC. Information contained on or connected to any website referenced in this report or any of our other filings with the SEC is not incorporated by reference in this report or in any other report or document we file with the SEC, and any website references are intended to be inactive textual references only unless expressly noted.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We have exposure to market risk through our insurance operations and general account investment activities. For purposes of this discussion, “market risk” is defined as changes in estimated fair value resulting from changes in interest rates, equity market prices, credit spreads and foreign currency exchange rates. We regularly analyze our market risk exposure. As a result of that analysis, we have determined that the estimated fair values of certain assets and liabilities are significantly exposed to changes in interest rates, and to a lesser extent, to changes in equity market prices and foreign currency exchange rates. We may have additional financial impacts other than changes in estimated fair value, which are beyond the scope of this discussion. A description of our market risk exposures may be found under “Quantitative and Qualitative Disclosures About Market Risk” in our 2025 Annual Report.</w:t>
      </w:r>
    </w:p>
    <w:p>
      <w:pPr>
        <w:spacing w:after="0" w:line="132" w:lineRule="exact"/>
        <w:rPr>
          <w:sz w:val="20"/>
          <w:szCs w:val="20"/>
          <w:color w:val="auto"/>
        </w:rPr>
      </w:pPr>
    </w:p>
    <w:p>
      <w:pPr>
        <w:ind w:right="520" w:firstLine="318"/>
        <w:spacing w:after="0" w:line="397" w:lineRule="auto"/>
        <w:rPr>
          <w:sz w:val="20"/>
          <w:szCs w:val="20"/>
          <w:color w:val="auto"/>
        </w:rPr>
      </w:pPr>
      <w:r>
        <w:rPr>
          <w:rFonts w:ascii="Times New Roman" w:cs="Times New Roman" w:eastAsia="Times New Roman" w:hAnsi="Times New Roman"/>
          <w:sz w:val="18"/>
          <w:szCs w:val="18"/>
          <w:color w:val="auto"/>
        </w:rPr>
        <w:t xml:space="preserve">There have been no material changes to our market risk exposures from the market risk exposures previously disclosed in our 2025 Annual Report. </w:t>
      </w:r>
      <w:r>
        <w:rPr>
          <w:rFonts w:ascii="Times New Roman" w:cs="Times New Roman" w:eastAsia="Times New Roman" w:hAnsi="Times New Roman"/>
          <w:sz w:val="18"/>
          <w:szCs w:val="18"/>
          <w:b w:val="1"/>
          <w:bCs w:val="1"/>
          <w:color w:val="auto"/>
        </w:rPr>
        <w:t>Item 4. Controls and Procedures</w:t>
      </w:r>
    </w:p>
    <w:p>
      <w:pPr>
        <w:spacing w:after="0" w:line="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Management, with the participation of the Chief Executive Officer and the Chief Financial Officer, has evaluated the effectiveness of the design and operation of the Company’s disclosure controls and procedures as defined in Rules 13a-15(e) and 15d-15(e) under the Securities Exchange Act of 1934, as amended (“Exchange Act”), as of the end of the period covered by this report. Based on that evaluation, the Chief Executive Officer and the Chief Financial Officer have concluded that these disclosure controls and procedures were effective as of September 30, 2026.</w:t>
      </w:r>
    </w:p>
    <w:p>
      <w:pPr>
        <w:spacing w:after="0" w:line="12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MetLife provides certain services to the Company through services agreements, some of which are on a transitional basis. The Company continues to change business processes, implement systems and establish new third-party arrangements. We consider these in aggregate to be material changes in our internal control over financial reporting.</w:t>
      </w:r>
    </w:p>
    <w:p>
      <w:pPr>
        <w:spacing w:after="0" w:line="12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than as noted above, there were no changes to the Company’s internal control over financial reporting (as defined in Rules 13a-15(f) and 15d-15(f) under the Exchange Act) that occurred during the quarter ended September 30, 2026 that have materially affected, or are reasonably likely to materially affect, these internal controls over financial reporting.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 of the Notes to the Interim Condensed Consolidated Financial Statements.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6"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discuss in this report, in our 2025 Annual Report and in our other filings with the SEC, various risks that may materially affect our business. In addition, see “Management’s Discussion and Analysis of Financial Condition and Results of Operations — Note Regarding Forward-Looking Statements” included herein. There have been no material changes to our risk factors from the risk factors previously disclosed in our 2025 Annual Report, other than changes in expectations regarding the anticipated timing of the closing of the Merger, as discussed in “Management’s Discussion and Analysis of Financial Condition and Results of Operations — Recent Developments.”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Issuer Purchases of Equity Securities</w:t>
      </w:r>
    </w:p>
    <w:p>
      <w:pPr>
        <w:spacing w:after="0" w:line="115"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November 16, 2023, BHF’s Board of Directors authorized the repurchase of up to $750 million of BHF’s common stock, which does not have an expiration date. Repurchases made under such authorization may be made through open market purchases, including pursuant to Rule 10b5-1 plans or pursuant to accelerated stock repurchase plans, or through privately negotiated transactions, from time to time at management’s discretion in accordance with applicable legal requirements. The Company did not repurchase any shares of its common stock during the third quarter of 2026. In addition, pursuant to the Merger Agreement, we have agreed that during the period beginning the date of the Merger Agreement through the earlier of the closing of the Merger and the termination of the Merger Agreement, we will not, subject to certain exceptions, purchase directly or indirectly any of BHF’s or its subsidiaries’ capital stock or other equity or voting interests of BHF or any of its subsidiaries. At September 30, 2026, BHF had $441 million remaining under its common stock repurchase program. See “Risk Factors — Risks Related to Our Securities — We are not currently permitted to declare and pay dividends on our common stock, and legal restrictions could limit our ability to pay dividends on our capital stock and our ability to repurchase our common stock at the level we wish in the future” included in our 2025 Annual Report, as well as “Management’s Discussion and Analysis of Financial Condition and Results of Operations — Liquidity and Capital</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Resources — The Company — Capital,” “Management’s Discussion and Analysis of Financial Condition and Results of Operations — Liquidity and Capital Resources — The Company — Primary Uses of Liquidity and Capital — Common Stock Repurchases” and Note 10 of the Notes to the Interim Condensed Consolidated Financial Statements for more information on common stock repurchases.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and Officer Rule 10b5-1 Plans</w:t>
      </w:r>
    </w:p>
    <w:p>
      <w:pPr>
        <w:spacing w:after="0" w:line="11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September 30, 2026, none of the Company’s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96" w:lineRule="exact"/>
        <w:rPr>
          <w:sz w:val="20"/>
          <w:szCs w:val="20"/>
          <w:color w:val="auto"/>
        </w:rPr>
      </w:pPr>
    </w:p>
    <w:p>
      <w:pPr>
        <w:jc w:val="both"/>
        <w:ind w:firstLine="159"/>
        <w:spacing w:after="0" w:line="248" w:lineRule="auto"/>
        <w:rPr>
          <w:sz w:val="20"/>
          <w:szCs w:val="20"/>
          <w:color w:val="auto"/>
        </w:rPr>
      </w:pP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Note Regarding Reliance on Statements in Our Contracts:</w:t>
      </w:r>
      <w:r>
        <w:rPr>
          <w:rFonts w:ascii="Times New Roman" w:cs="Times New Roman" w:eastAsia="Times New Roman" w:hAnsi="Times New Roman"/>
          <w:sz w:val="18"/>
          <w:szCs w:val="18"/>
          <w:i w:val="1"/>
          <w:iCs w:val="1"/>
          <w:color w:val="auto"/>
        </w:rPr>
        <w:t xml:space="preserve"> In reviewing the agreements included as exhibits herein, please remember that they are included to provide you with information regarding their terms and are not intended to provide any other factual or disclosure information about Brighthouse Financial, Inc. and its subsidiaries or affiliates or the other parties to the agreements. The agreements contain representations and warranties by each of the parties to the applicable agreement. These representations and warranties have been made solely for the benefit of the other parties to the applicable agreement and (i) should not in all instances be treated as categorical statements of fact, but rather as a way of allocating the risk to one of the parties if those statements prove to be inaccurate; (ii) have been qualified by disclosures that were made to the other party in connection with the negotiation of the applicable agreement, which disclosures are not necessarily reflected in the agreement; (iii) may apply standards of materiality in a way that is different from what may be viewed as material to investors; and (iv) were made only as of the date of the applicable agreement or such other date or dates as may be specified in the agreement and are subject to more recent developments. Accordingly, these representations and warranties may not describe the actual state of affairs as of the date they were made or at any other time. Additional information about Brighthouse Financial, Inc. and its subsidiaries and affiliates may be found elsewhere herein and in Brighthouse Financial, Inc.’s other public filings, which are available without charge through the U.S. Securities and Exchange Commission website at www.sec.gov.)</w:t>
      </w:r>
    </w:p>
    <w:p>
      <w:pPr>
        <w:spacing w:after="0" w:line="200" w:lineRule="exact"/>
        <w:rPr>
          <w:sz w:val="20"/>
          <w:szCs w:val="20"/>
          <w:color w:val="auto"/>
        </w:rPr>
      </w:pPr>
    </w:p>
    <w:p>
      <w:pPr>
        <w:spacing w:after="0" w:line="217" w:lineRule="exact"/>
        <w:rPr>
          <w:sz w:val="20"/>
          <w:szCs w:val="20"/>
          <w:color w:val="auto"/>
        </w:rPr>
      </w:pPr>
    </w:p>
    <w:tbl>
      <w:tblPr>
        <w:tblLayout w:type="fixed"/>
        <w:tblInd w:w="100" w:type="dxa"/>
        <w:tblCellMar>
          <w:top w:w="0" w:type="dxa"/>
          <w:left w:w="0" w:type="dxa"/>
          <w:bottom w:w="0" w:type="dxa"/>
          <w:right w:w="0" w:type="dxa"/>
        </w:tblCellMar>
      </w:tblPr>
      <w:tr>
        <w:trPr>
          <w:trHeight w:val="233"/>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99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4"/>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31.1*</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 Sarbanes-Oxley Act of 2002.</w:t>
            </w:r>
          </w:p>
        </w:tc>
      </w:tr>
      <w:tr>
        <w:trPr>
          <w:trHeight w:val="21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31.2*</w:t>
            </w:r>
          </w:p>
        </w:tc>
        <w:tc>
          <w:tcPr>
            <w:tcW w:w="7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302 of the Sarbanes-Oxley Act of 2002.</w:t>
            </w:r>
          </w:p>
        </w:tc>
        <w:tc>
          <w:tcPr>
            <w:tcW w:w="40" w:type="dxa"/>
            <w:vAlign w:val="bottom"/>
            <w:tcBorders>
              <w:top w:val="single" w:sz="8" w:color="0000FF"/>
            </w:tcBorders>
          </w:tcPr>
          <w:p>
            <w:pPr>
              <w:spacing w:after="0"/>
              <w:rPr>
                <w:sz w:val="19"/>
                <w:szCs w:val="19"/>
                <w:color w:val="auto"/>
              </w:rPr>
            </w:pPr>
          </w:p>
        </w:tc>
        <w:tc>
          <w:tcPr>
            <w:tcW w:w="2800" w:type="dxa"/>
            <w:vAlign w:val="bottom"/>
          </w:tcPr>
          <w:p>
            <w:pPr>
              <w:spacing w:after="0"/>
              <w:rPr>
                <w:sz w:val="19"/>
                <w:szCs w:val="19"/>
                <w:color w:val="auto"/>
              </w:rPr>
            </w:pPr>
          </w:p>
        </w:tc>
      </w:tr>
      <w:tr>
        <w:trPr>
          <w:trHeight w:val="21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32.1**</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 Sarbanes-Oxley Act of 2002.</w:t>
            </w:r>
          </w:p>
        </w:tc>
      </w:tr>
      <w:tr>
        <w:trPr>
          <w:trHeight w:val="21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32.2**</w:t>
            </w:r>
          </w:p>
        </w:tc>
        <w:tc>
          <w:tcPr>
            <w:tcW w:w="706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Certification of Chief Financial Officer pursuant to Section 906 of the Sarbanes-Oxley Act of 2002.</w:t>
            </w:r>
          </w:p>
        </w:tc>
        <w:tc>
          <w:tcPr>
            <w:tcW w:w="40" w:type="dxa"/>
            <w:vAlign w:val="bottom"/>
            <w:tcBorders>
              <w:top w:val="single" w:sz="8" w:color="0000FF"/>
            </w:tcBorders>
          </w:tcPr>
          <w:p>
            <w:pPr>
              <w:spacing w:after="0"/>
              <w:rPr>
                <w:sz w:val="19"/>
                <w:szCs w:val="19"/>
                <w:color w:val="auto"/>
              </w:rPr>
            </w:pPr>
          </w:p>
        </w:tc>
        <w:tc>
          <w:tcPr>
            <w:tcW w:w="2800" w:type="dxa"/>
            <w:vAlign w:val="bottom"/>
          </w:tcPr>
          <w:p>
            <w:pPr>
              <w:spacing w:after="0"/>
              <w:rPr>
                <w:sz w:val="19"/>
                <w:szCs w:val="19"/>
                <w:color w:val="auto"/>
              </w:rPr>
            </w:pPr>
          </w:p>
        </w:tc>
      </w:tr>
      <w:tr>
        <w:trPr>
          <w:trHeight w:val="205"/>
        </w:trPr>
        <w:tc>
          <w:tcPr>
            <w:tcW w:w="1080" w:type="dxa"/>
            <w:vAlign w:val="bottom"/>
          </w:tcPr>
          <w:p>
            <w:pPr>
              <w:jc w:val="center"/>
              <w:ind w:right="112"/>
              <w:spacing w:after="0" w:line="205" w:lineRule="exact"/>
              <w:rPr>
                <w:sz w:val="20"/>
                <w:szCs w:val="20"/>
                <w:color w:val="auto"/>
              </w:rPr>
            </w:pPr>
            <w:r>
              <w:rPr>
                <w:rFonts w:ascii="Times New Roman" w:cs="Times New Roman" w:eastAsia="Times New Roman" w:hAnsi="Times New Roman"/>
                <w:sz w:val="18"/>
                <w:szCs w:val="18"/>
                <w:color w:val="auto"/>
                <w:w w:val="97"/>
              </w:rPr>
              <w:t>101.INS*</w:t>
            </w:r>
          </w:p>
        </w:tc>
        <w:tc>
          <w:tcPr>
            <w:tcW w:w="9900" w:type="dxa"/>
            <w:vAlign w:val="bottom"/>
            <w:gridSpan w:val="3"/>
          </w:tcPr>
          <w:p>
            <w:pPr>
              <w:spacing w:after="0" w:line="205" w:lineRule="exact"/>
              <w:rPr>
                <w:sz w:val="20"/>
                <w:szCs w:val="20"/>
                <w:color w:val="auto"/>
              </w:rPr>
            </w:pPr>
            <w:r>
              <w:rPr>
                <w:rFonts w:ascii="Times New Roman" w:cs="Times New Roman" w:eastAsia="Times New Roman" w:hAnsi="Times New Roman"/>
                <w:sz w:val="18"/>
                <w:szCs w:val="18"/>
                <w:color w:val="auto"/>
                <w:w w:val="98"/>
              </w:rPr>
              <w:t>XBRL Instance Document - the instance document does not appear in the Interactive Data File because its XBRL tags are embedded within</w:t>
            </w:r>
          </w:p>
        </w:tc>
      </w:tr>
      <w:tr>
        <w:trPr>
          <w:trHeight w:val="231"/>
        </w:trPr>
        <w:tc>
          <w:tcPr>
            <w:tcW w:w="108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247"/>
        </w:trPr>
        <w:tc>
          <w:tcPr>
            <w:tcW w:w="10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101.SCH*</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101.CAL*</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3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101.LAB*</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9"/>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101.PRE*</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8"/>
        </w:trPr>
        <w:tc>
          <w:tcPr>
            <w:tcW w:w="10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101.DEF*</w:t>
            </w: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184"/>
        </w:trPr>
        <w:tc>
          <w:tcPr>
            <w:tcW w:w="1080" w:type="dxa"/>
            <w:vAlign w:val="bottom"/>
          </w:tcPr>
          <w:p>
            <w:pPr>
              <w:jc w:val="center"/>
              <w:ind w:right="112"/>
              <w:spacing w:after="0" w:line="184" w:lineRule="exact"/>
              <w:rPr>
                <w:sz w:val="20"/>
                <w:szCs w:val="20"/>
                <w:color w:val="auto"/>
              </w:rPr>
            </w:pPr>
            <w:r>
              <w:rPr>
                <w:rFonts w:ascii="Times New Roman" w:cs="Times New Roman" w:eastAsia="Times New Roman" w:hAnsi="Times New Roman"/>
                <w:sz w:val="18"/>
                <w:szCs w:val="18"/>
                <w:color w:val="auto"/>
                <w:w w:val="99"/>
              </w:rPr>
              <w:t>104*</w:t>
            </w:r>
          </w:p>
        </w:tc>
        <w:tc>
          <w:tcPr>
            <w:tcW w:w="99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The cover page of Brighthouse Financial, Inc.’s Quarterly Report on Form 10-Q for the quarter ended September 30, 2026, formatted in</w:t>
            </w:r>
          </w:p>
        </w:tc>
      </w:tr>
      <w:tr>
        <w:trPr>
          <w:trHeight w:val="231"/>
        </w:trPr>
        <w:tc>
          <w:tcPr>
            <w:tcW w:w="1080" w:type="dxa"/>
            <w:vAlign w:val="bottom"/>
          </w:tcPr>
          <w:p>
            <w:pPr>
              <w:spacing w:after="0"/>
              <w:rPr>
                <w:sz w:val="20"/>
                <w:szCs w:val="20"/>
                <w:color w:val="auto"/>
              </w:rPr>
            </w:pPr>
          </w:p>
        </w:tc>
        <w:tc>
          <w:tcPr>
            <w:tcW w:w="9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Inline XBRL (included within the Exhibit 101 attachments).</w:t>
            </w:r>
          </w:p>
        </w:tc>
      </w:tr>
    </w:tbl>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87"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18"/>
          <w:szCs w:val="18"/>
          <w:color w:val="auto"/>
        </w:rPr>
        <w:t>BRIGHTHOUSE FINANCIAL, INC.</w:t>
      </w:r>
    </w:p>
    <w:p>
      <w:pPr>
        <w:spacing w:after="0" w:line="111" w:lineRule="exact"/>
        <w:rPr>
          <w:sz w:val="20"/>
          <w:szCs w:val="20"/>
          <w:color w:val="auto"/>
        </w:rPr>
      </w:pPr>
    </w:p>
    <w:p>
      <w:pPr>
        <w:ind w:left="3000"/>
        <w:spacing w:after="0"/>
        <w:tabs>
          <w:tab w:leader="none" w:pos="3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2157730</wp:posOffset>
            </wp:positionH>
            <wp:positionV relativeFrom="paragraph">
              <wp:posOffset>14605</wp:posOffset>
            </wp:positionV>
            <wp:extent cx="31889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188970" cy="8255"/>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p>
      <w:pPr>
        <w:spacing w:after="0" w:line="58"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7"/>
          <w:szCs w:val="17"/>
          <w:color w:val="auto"/>
        </w:rPr>
        <w:t>Name:</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Edward A. Spehar</w:t>
      </w:r>
    </w:p>
    <w:p>
      <w:pPr>
        <w:spacing w:after="0" w:line="43" w:lineRule="exact"/>
        <w:rPr>
          <w:sz w:val="20"/>
          <w:szCs w:val="20"/>
          <w:color w:val="auto"/>
        </w:rPr>
      </w:pPr>
    </w:p>
    <w:p>
      <w:pPr>
        <w:sectPr>
          <w:pgSz w:w="11900" w:h="16838" w:orient="portrait"/>
          <w:cols w:equalWidth="0" w:num="2">
            <w:col w:w="3880" w:space="360"/>
            <w:col w:w="7000"/>
          </w:cols>
          <w:pgMar w:left="320" w:top="230" w:right="339" w:bottom="1440" w:gutter="0" w:footer="0" w:header="0"/>
          <w:type w:val="continuous"/>
        </w:sectPr>
      </w:pPr>
    </w:p>
    <w:p>
      <w:pPr>
        <w:ind w:left="34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70" w:lineRule="exact"/>
        <w:rPr>
          <w:sz w:val="20"/>
          <w:szCs w:val="20"/>
          <w:color w:val="auto"/>
        </w:rPr>
      </w:pPr>
    </w:p>
    <w:p>
      <w:pPr>
        <w:sectPr>
          <w:pgSz w:w="11900" w:h="16838" w:orient="portrait"/>
          <w:cols w:equalWidth="0" w:num="2">
            <w:col w:w="3800" w:space="440"/>
            <w:col w:w="7000"/>
          </w:cols>
          <w:pgMar w:left="320" w:top="230" w:right="339" w:bottom="1440" w:gutter="0" w:footer="0" w:header="0"/>
          <w:type w:val="continuous"/>
        </w:sectPr>
      </w:pPr>
    </w:p>
    <w:p>
      <w:pPr>
        <w:ind w:left="4240"/>
        <w:spacing w:after="0"/>
        <w:rPr>
          <w:sz w:val="20"/>
          <w:szCs w:val="20"/>
          <w:color w:val="auto"/>
        </w:rPr>
      </w:pPr>
      <w:r>
        <w:rPr>
          <w:rFonts w:ascii="Times New Roman" w:cs="Times New Roman" w:eastAsia="Times New Roman" w:hAnsi="Times New Roman"/>
          <w:sz w:val="17"/>
          <w:szCs w:val="17"/>
          <w:color w:val="auto"/>
        </w:rPr>
        <w:t>(Duly Authorized Officer and Principal Financial Officer)</w:t>
      </w:r>
    </w:p>
    <w:p>
      <w:pPr>
        <w:sectPr>
          <w:pgSz w:w="11900" w:h="16838" w:orient="portrait"/>
          <w:cols w:equalWidth="0" w:num="1">
            <w:col w:w="11240"/>
          </w:cols>
          <w:pgMar w:left="320" w:top="230" w:right="339" w:bottom="1440" w:gutter="0" w:footer="0" w:header="0"/>
          <w:type w:val="continuous"/>
        </w:sectPr>
      </w:pP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104</w:t>
      </w:r>
    </w:p>
    <w:p>
      <w:pPr>
        <w:sectPr>
          <w:pgSz w:w="11900" w:h="16838" w:orient="portrait"/>
          <w:cols w:equalWidth="0" w:num="1">
            <w:col w:w="11240"/>
          </w:cols>
          <w:pgMar w:left="320" w:top="230" w:right="339" w:bottom="1440" w:gutter="0" w:footer="0" w:header="0"/>
          <w:type w:val="continuous"/>
        </w:sectPr>
      </w:pPr>
    </w:p>
    <w:bookmarkStart w:id="126" w:name="page127"/>
    <w:bookmarkEnd w:id="126"/>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T. Steigerwalt, certify that:</w:t>
      </w:r>
    </w:p>
    <w:p>
      <w:pPr>
        <w:spacing w:after="0" w:line="85" w:lineRule="exact"/>
        <w:rPr>
          <w:sz w:val="20"/>
          <w:szCs w:val="20"/>
          <w:color w:val="auto"/>
        </w:rPr>
      </w:pPr>
    </w:p>
    <w:p>
      <w:pPr>
        <w:ind w:left="180" w:hanging="174"/>
        <w:spacing w:after="0"/>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83"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2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358" w:right="339" w:bottom="1440" w:gutter="0" w:footer="0" w:header="0"/>
        </w:sectPr>
      </w:pPr>
    </w:p>
    <w:bookmarkStart w:id="127" w:name="page128"/>
    <w:bookmarkEnd w:id="127"/>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CERTIFICATIONS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A. Spehar, certify that:</w:t>
      </w:r>
    </w:p>
    <w:p>
      <w:pPr>
        <w:spacing w:after="0" w:line="85" w:lineRule="exact"/>
        <w:rPr>
          <w:sz w:val="20"/>
          <w:szCs w:val="20"/>
          <w:color w:val="auto"/>
        </w:rPr>
      </w:pPr>
    </w:p>
    <w:p>
      <w:pPr>
        <w:ind w:left="180" w:hanging="174"/>
        <w:spacing w:after="0"/>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Brighthouse Financial, Inc.;</w:t>
      </w:r>
    </w:p>
    <w:p>
      <w:pPr>
        <w:spacing w:after="0" w:line="97" w:lineRule="exact"/>
        <w:rPr>
          <w:rFonts w:ascii="Times New Roman" w:cs="Times New Roman" w:eastAsia="Times New Roman" w:hAnsi="Times New Roman"/>
          <w:sz w:val="18"/>
          <w:szCs w:val="18"/>
          <w:color w:val="auto"/>
        </w:rPr>
      </w:pPr>
    </w:p>
    <w:p>
      <w:pPr>
        <w:ind w:firstLine="6"/>
        <w:spacing w:after="0" w:line="274" w:lineRule="auto"/>
        <w:tabs>
          <w:tab w:leader="none" w:pos="20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4" w:lineRule="exact"/>
        <w:rPr>
          <w:rFonts w:ascii="Times New Roman" w:cs="Times New Roman" w:eastAsia="Times New Roman" w:hAnsi="Times New Roman"/>
          <w:sz w:val="18"/>
          <w:szCs w:val="18"/>
          <w:color w:val="auto"/>
        </w:rPr>
      </w:pPr>
    </w:p>
    <w:p>
      <w:pPr>
        <w:ind w:firstLine="6"/>
        <w:spacing w:after="0" w:line="274" w:lineRule="auto"/>
        <w:tabs>
          <w:tab w:leader="none" w:pos="1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0" w:lineRule="exact"/>
        <w:rPr>
          <w:rFonts w:ascii="Times New Roman" w:cs="Times New Roman" w:eastAsia="Times New Roman" w:hAnsi="Times New Roman"/>
          <w:sz w:val="18"/>
          <w:szCs w:val="18"/>
          <w:color w:val="auto"/>
        </w:rPr>
      </w:pPr>
    </w:p>
    <w:p>
      <w:pPr>
        <w:jc w:val="both"/>
        <w:ind w:firstLine="6"/>
        <w:spacing w:after="0" w:line="259" w:lineRule="auto"/>
        <w:tabs>
          <w:tab w:leader="none" w:pos="17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8" w:lineRule="exact"/>
        <w:rPr>
          <w:rFonts w:ascii="Times New Roman" w:cs="Times New Roman" w:eastAsia="Times New Roman" w:hAnsi="Times New Roman"/>
          <w:sz w:val="18"/>
          <w:szCs w:val="18"/>
          <w:color w:val="auto"/>
        </w:rPr>
      </w:pPr>
    </w:p>
    <w:p>
      <w:pPr>
        <w:ind w:firstLine="6"/>
        <w:spacing w:after="0" w:line="274" w:lineRule="auto"/>
        <w:tabs>
          <w:tab w:leader="none" w:pos="19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1"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83"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3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358" w:right="3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82" w:lineRule="auto"/>
        <w:rPr>
          <w:sz w:val="20"/>
          <w:szCs w:val="20"/>
          <w:color w:val="auto"/>
        </w:rPr>
      </w:pPr>
      <w:r>
        <w:rPr>
          <w:rFonts w:ascii="Times New Roman" w:cs="Times New Roman" w:eastAsia="Times New Roman" w:hAnsi="Times New Roman"/>
          <w:sz w:val="17"/>
          <w:szCs w:val="17"/>
          <w:color w:val="auto"/>
        </w:rPr>
        <w:t>I, Eric T. Steigerwalt, certify that, to my knowledge, (i) Brighthouse Financial, Inc.’s Quarterly Report on Form 10-Q for the quarter ended September 30,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95"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 Eric T. Steigerwalt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4135120</wp:posOffset>
            </wp:positionH>
            <wp:positionV relativeFrom="paragraph">
              <wp:posOffset>14605</wp:posOffset>
            </wp:positionV>
            <wp:extent cx="300355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003550" cy="8255"/>
                    </a:xfrm>
                    <a:prstGeom prst="rect">
                      <a:avLst/>
                    </a:prstGeom>
                    <a:noFill/>
                  </pic:spPr>
                </pic:pic>
              </a:graphicData>
            </a:graphic>
          </wp:anchor>
        </w:drawing>
      </w:r>
    </w:p>
    <w:p>
      <w:pPr>
        <w:spacing w:after="0" w:line="25"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8"/>
          <w:szCs w:val="18"/>
          <w:color w:val="auto"/>
        </w:rPr>
        <w:t>Eric T. Steigerwalt</w:t>
      </w:r>
    </w:p>
    <w:p>
      <w:pPr>
        <w:spacing w:after="0" w:line="32"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7"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p>
      <w:pPr>
        <w:sectPr>
          <w:pgSz w:w="11900" w:h="16838" w:orient="portrait"/>
          <w:cols w:equalWidth="0" w:num="1">
            <w:col w:w="11240"/>
          </w:cols>
          <w:pgMar w:left="320" w:top="358" w:right="3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CERTIFICATION</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 SECTION 1350 OF CHAPTER 63 OF TITLE 18 OF THE UNITED STATES CODE</w:t>
      </w:r>
    </w:p>
    <w:p>
      <w:pPr>
        <w:spacing w:after="0" w:line="151" w:lineRule="exact"/>
        <w:rPr>
          <w:sz w:val="20"/>
          <w:szCs w:val="20"/>
          <w:color w:val="auto"/>
        </w:rPr>
      </w:pPr>
    </w:p>
    <w:p>
      <w:pPr>
        <w:jc w:val="both"/>
        <w:ind w:firstLine="477"/>
        <w:spacing w:after="0" w:line="282" w:lineRule="auto"/>
        <w:rPr>
          <w:sz w:val="20"/>
          <w:szCs w:val="20"/>
          <w:color w:val="auto"/>
        </w:rPr>
      </w:pPr>
      <w:r>
        <w:rPr>
          <w:rFonts w:ascii="Times New Roman" w:cs="Times New Roman" w:eastAsia="Times New Roman" w:hAnsi="Times New Roman"/>
          <w:sz w:val="17"/>
          <w:szCs w:val="17"/>
          <w:color w:val="auto"/>
        </w:rPr>
        <w:t>I, Edward A. Spehar, certify that, to my knowledge, (i) Brighthouse Financial, Inc.’s Quarterly Report on Form 10-Q for the quarter ended September 30, 2026 (the “Form 10-Q”) fully complies with the requirements of Section 13(a) or 15(d) of the Securities Exchange Act of 1934, and (ii) the information contained in the Form 10-Q fairly presents, in all material respects, the financial condition and results of operations of Brighthouse Financial, Inc.</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2026</w:t>
      </w:r>
    </w:p>
    <w:p>
      <w:pPr>
        <w:spacing w:after="0" w:line="200" w:lineRule="exact"/>
        <w:rPr>
          <w:sz w:val="20"/>
          <w:szCs w:val="20"/>
          <w:color w:val="auto"/>
        </w:rPr>
      </w:pPr>
    </w:p>
    <w:p>
      <w:pPr>
        <w:spacing w:after="0" w:line="295"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color w:val="auto"/>
        </w:rPr>
        <w:t>/s/ Edward A. Spehar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3916045</wp:posOffset>
            </wp:positionH>
            <wp:positionV relativeFrom="paragraph">
              <wp:posOffset>14605</wp:posOffset>
            </wp:positionV>
            <wp:extent cx="32226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22625" cy="8255"/>
                    </a:xfrm>
                    <a:prstGeom prst="rect">
                      <a:avLst/>
                    </a:prstGeom>
                    <a:noFill/>
                  </pic:spPr>
                </pic:pic>
              </a:graphicData>
            </a:graphic>
          </wp:anchor>
        </w:drawing>
      </w:r>
    </w:p>
    <w:p>
      <w:pPr>
        <w:spacing w:after="0" w:line="25"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color w:val="auto"/>
        </w:rPr>
        <w:t>Edward A. Spehar</w:t>
      </w:r>
    </w:p>
    <w:p>
      <w:pPr>
        <w:spacing w:after="0" w:line="32"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7" w:lineRule="exact"/>
        <w:rPr>
          <w:sz w:val="20"/>
          <w:szCs w:val="20"/>
          <w:color w:val="auto"/>
        </w:rPr>
      </w:pPr>
    </w:p>
    <w:p>
      <w:pPr>
        <w:jc w:val="both"/>
        <w:ind w:firstLine="477"/>
        <w:spacing w:after="0" w:line="255" w:lineRule="auto"/>
        <w:rPr>
          <w:sz w:val="20"/>
          <w:szCs w:val="20"/>
          <w:color w:val="auto"/>
        </w:rPr>
      </w:pPr>
      <w:r>
        <w:rPr>
          <w:rFonts w:ascii="Times New Roman" w:cs="Times New Roman" w:eastAsia="Times New Roman" w:hAnsi="Times New Roman"/>
          <w:sz w:val="18"/>
          <w:szCs w:val="18"/>
          <w:color w:val="auto"/>
        </w:rPr>
        <w:t>This certification accompanies this Quarterly Report on Form 10-Q pursuant to Section 906 of the Sarbanes-Oxley Act of 2002 and shall not, except to the extent required by such Act, be deemed filed by Brighthouse Financial, Inc.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240"/>
      </w:cols>
      <w:pgMar w:left="320" w:top="35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
      <w:numFmt w:val="bullet"/>
      <w:start w:val="1"/>
    </w:lvl>
  </w:abstractNum>
  <w:abstractNum w:abstractNumId="3">
    <w:nsid w:val="5E884ADC"/>
    <w:multiLevelType w:val="hybridMultilevel"/>
    <w:lvl w:ilvl="0">
      <w:lvlJc w:val="left"/>
      <w:lvlText w:val="•"/>
      <w:numFmt w:val="bullet"/>
      <w:start w:val="1"/>
    </w:lvl>
  </w:abstractNum>
  <w:abstractNum w:abstractNumId="4">
    <w:nsid w:val="51EAD36B"/>
    <w:multiLevelType w:val="hybridMultilevel"/>
    <w:lvl w:ilvl="0">
      <w:lvlJc w:val="left"/>
      <w:lvlText w:val="(%1)"/>
      <w:numFmt w:val="decimal"/>
      <w:start w:val="1"/>
    </w:lvl>
  </w:abstractNum>
  <w:abstractNum w:abstractNumId="5">
    <w:nsid w:val="2D517796"/>
    <w:multiLevelType w:val="hybridMultilevel"/>
    <w:lvl w:ilvl="0">
      <w:lvlJc w:val="left"/>
      <w:lvlText w:val="(%1)"/>
      <w:numFmt w:val="decimal"/>
      <w:start w:val="1"/>
    </w:lvl>
  </w:abstractNum>
  <w:abstractNum w:abstractNumId="6">
    <w:nsid w:val="580BD78F"/>
    <w:multiLevelType w:val="hybridMultilevel"/>
    <w:lvl w:ilvl="0">
      <w:lvlJc w:val="left"/>
      <w:lvlText w:val="(%1)"/>
      <w:numFmt w:val="decimal"/>
      <w:start w:val="1"/>
    </w:lvl>
  </w:abstractNum>
  <w:abstractNum w:abstractNumId="7">
    <w:nsid w:val="153EA438"/>
    <w:multiLevelType w:val="hybridMultilevel"/>
    <w:lvl w:ilvl="0">
      <w:lvlJc w:val="left"/>
      <w:lvlText w:val="(%1)"/>
      <w:numFmt w:val="decimal"/>
      <w:start w:val="1"/>
    </w:lvl>
  </w:abstractNum>
  <w:abstractNum w:abstractNumId="8">
    <w:nsid w:val="3855585C"/>
    <w:multiLevelType w:val="hybridMultilevel"/>
    <w:lvl w:ilvl="0">
      <w:lvlJc w:val="left"/>
      <w:lvlText w:val="(%1)"/>
      <w:numFmt w:val="decimal"/>
      <w:start w:val="1"/>
    </w:lvl>
  </w:abstractNum>
  <w:abstractNum w:abstractNumId="9">
    <w:nsid w:val="70A64E2A"/>
    <w:multiLevelType w:val="hybridMultilevel"/>
    <w:lvl w:ilvl="0">
      <w:lvlJc w:val="left"/>
      <w:lvlText w:val="%1."/>
      <w:numFmt w:val="decimal"/>
      <w:start w:val="7"/>
    </w:lvl>
  </w:abstractNum>
  <w:abstractNum w:abstractNumId="10">
    <w:nsid w:val="6A2342EC"/>
    <w:multiLevelType w:val="hybridMultilevel"/>
    <w:lvl w:ilvl="0">
      <w:lvlJc w:val="left"/>
      <w:lvlText w:val="(%1)"/>
      <w:numFmt w:val="decimal"/>
      <w:start w:val="1"/>
    </w:lvl>
  </w:abstractNum>
  <w:abstractNum w:abstractNumId="11">
    <w:nsid w:val="2A487CB0"/>
    <w:multiLevelType w:val="hybridMultilevel"/>
    <w:lvl w:ilvl="0">
      <w:lvlJc w:val="left"/>
      <w:lvlText w:val="(%1)"/>
      <w:numFmt w:val="decimal"/>
      <w:start w:val="1"/>
    </w:lvl>
  </w:abstractNum>
  <w:abstractNum w:abstractNumId="12">
    <w:nsid w:val="1D4ED43B"/>
    <w:multiLevelType w:val="hybridMultilevel"/>
    <w:lvl w:ilvl="0">
      <w:lvlJc w:val="left"/>
      <w:lvlText w:val="(%1)"/>
      <w:numFmt w:val="decimal"/>
      <w:start w:val="1"/>
    </w:lvl>
  </w:abstractNum>
  <w:abstractNum w:abstractNumId="13">
    <w:nsid w:val="725A06FB"/>
    <w:multiLevelType w:val="hybridMultilevel"/>
    <w:lvl w:ilvl="0">
      <w:lvlJc w:val="left"/>
      <w:lvlText w:val="(%1)"/>
      <w:numFmt w:val="decimal"/>
      <w:start w:val="1"/>
    </w:lvl>
  </w:abstractNum>
  <w:abstractNum w:abstractNumId="14">
    <w:nsid w:val="2CD89A32"/>
    <w:multiLevelType w:val="hybridMultilevel"/>
    <w:lvl w:ilvl="0">
      <w:lvlJc w:val="left"/>
      <w:lvlText w:val="(%1)"/>
      <w:numFmt w:val="decimal"/>
      <w:start w:val="1"/>
    </w:lvl>
  </w:abstractNum>
  <w:abstractNum w:abstractNumId="15">
    <w:nsid w:val="57E4CCAF"/>
    <w:multiLevelType w:val="hybridMultilevel"/>
    <w:lvl w:ilvl="0">
      <w:lvlJc w:val="left"/>
      <w:lvlText w:val="(%1)"/>
      <w:numFmt w:val="decimal"/>
      <w:start w:val="1"/>
    </w:lvl>
  </w:abstractNum>
  <w:abstractNum w:abstractNumId="16">
    <w:nsid w:val="7A6D8D3C"/>
    <w:multiLevelType w:val="hybridMultilevel"/>
    <w:lvl w:ilvl="0">
      <w:lvlJc w:val="left"/>
      <w:lvlText w:val="(%1)"/>
      <w:numFmt w:val="decimal"/>
      <w:start w:val="1"/>
    </w:lvl>
  </w:abstractNum>
  <w:abstractNum w:abstractNumId="17">
    <w:nsid w:val="4B588F54"/>
    <w:multiLevelType w:val="hybridMultilevel"/>
    <w:lvl w:ilvl="0">
      <w:lvlJc w:val="left"/>
      <w:lvlText w:val="(%1)"/>
      <w:numFmt w:val="decimal"/>
      <w:start w:val="1"/>
    </w:lvl>
  </w:abstractNum>
  <w:abstractNum w:abstractNumId="18">
    <w:nsid w:val="542289EC"/>
    <w:multiLevelType w:val="hybridMultilevel"/>
    <w:lvl w:ilvl="0">
      <w:lvlJc w:val="left"/>
      <w:lvlText w:val="(%1)"/>
      <w:numFmt w:val="decimal"/>
      <w:start w:val="1"/>
    </w:lvl>
  </w:abstractNum>
  <w:abstractNum w:abstractNumId="19">
    <w:nsid w:val="6DE91B18"/>
    <w:multiLevelType w:val="hybridMultilevel"/>
    <w:lvl w:ilvl="0">
      <w:lvlJc w:val="left"/>
      <w:lvlText w:val="•"/>
      <w:numFmt w:val="bullet"/>
      <w:start w:val="1"/>
    </w:lvl>
  </w:abstractNum>
  <w:abstractNum w:abstractNumId="20">
    <w:nsid w:val="38437FDB"/>
    <w:multiLevelType w:val="hybridMultilevel"/>
    <w:lvl w:ilvl="0">
      <w:lvlJc w:val="left"/>
      <w:lvlText w:val="(%1)"/>
      <w:numFmt w:val="decimal"/>
      <w:start w:val="1"/>
    </w:lvl>
  </w:abstractNum>
  <w:abstractNum w:abstractNumId="21">
    <w:nsid w:val="7644A45C"/>
    <w:multiLevelType w:val="hybridMultilevel"/>
    <w:lvl w:ilvl="0">
      <w:lvlJc w:val="left"/>
      <w:lvlText w:val="(%1)"/>
      <w:numFmt w:val="lowerRoman"/>
      <w:start w:val="2"/>
    </w:lvl>
  </w:abstractNum>
  <w:abstractNum w:abstractNumId="22">
    <w:nsid w:val="32FFF902"/>
    <w:multiLevelType w:val="hybridMultilevel"/>
    <w:lvl w:ilvl="0">
      <w:lvlJc w:val="left"/>
      <w:lvlText w:val="(%1)"/>
      <w:numFmt w:val="decimal"/>
      <w:start w:val="1"/>
    </w:lvl>
  </w:abstractNum>
  <w:abstractNum w:abstractNumId="23">
    <w:nsid w:val="684A481A"/>
    <w:multiLevelType w:val="hybridMultilevel"/>
    <w:lvl w:ilvl="0">
      <w:lvlJc w:val="left"/>
      <w:lvlText w:val="(%1)"/>
      <w:numFmt w:val="decimal"/>
      <w:start w:val="1"/>
    </w:lvl>
  </w:abstractNum>
  <w:abstractNum w:abstractNumId="24">
    <w:nsid w:val="579478FE"/>
    <w:multiLevelType w:val="hybridMultilevel"/>
    <w:lvl w:ilvl="0">
      <w:lvlJc w:val="left"/>
      <w:lvlText w:val="(%1)"/>
      <w:numFmt w:val="decimal"/>
      <w:start w:val="1"/>
    </w:lvl>
  </w:abstractNum>
  <w:abstractNum w:abstractNumId="25">
    <w:nsid w:val="749ABB43"/>
    <w:multiLevelType w:val="hybridMultilevel"/>
    <w:lvl w:ilvl="0">
      <w:lvlJc w:val="left"/>
      <w:lvlText w:val="(%1)"/>
      <w:numFmt w:val="decimal"/>
      <w:start w:val="1"/>
    </w:lvl>
  </w:abstractNum>
  <w:abstractNum w:abstractNumId="26">
    <w:nsid w:val="3DC240FB"/>
    <w:multiLevelType w:val="hybridMultilevel"/>
    <w:lvl w:ilvl="0">
      <w:lvlJc w:val="left"/>
      <w:lvlText w:val="(%1)"/>
      <w:numFmt w:val="decimal"/>
      <w:start w:val="4"/>
    </w:lvl>
  </w:abstractNum>
  <w:abstractNum w:abstractNumId="27">
    <w:nsid w:val="1BA026FA"/>
    <w:multiLevelType w:val="hybridMultilevel"/>
    <w:lvl w:ilvl="0">
      <w:lvlJc w:val="left"/>
      <w:lvlText w:val="(%1)"/>
      <w:numFmt w:val="decimal"/>
      <w:start w:val="1"/>
    </w:lvl>
  </w:abstractNum>
  <w:abstractNum w:abstractNumId="28">
    <w:nsid w:val="79A1DEAA"/>
    <w:multiLevelType w:val="hybridMultilevel"/>
    <w:lvl w:ilvl="0">
      <w:lvlJc w:val="left"/>
      <w:lvlText w:val="(%1)"/>
      <w:numFmt w:val="decimal"/>
      <w:start w:val="4"/>
    </w:lvl>
  </w:abstractNum>
  <w:abstractNum w:abstractNumId="29">
    <w:nsid w:val="75C6C33A"/>
    <w:multiLevelType w:val="hybridMultilevel"/>
    <w:lvl w:ilvl="0">
      <w:lvlJc w:val="left"/>
      <w:lvlText w:val="(%1)"/>
      <w:numFmt w:val="decimal"/>
      <w:start w:val="1"/>
    </w:lvl>
  </w:abstractNum>
  <w:abstractNum w:abstractNumId="30">
    <w:nsid w:val="12E685FB"/>
    <w:multiLevelType w:val="hybridMultilevel"/>
    <w:lvl w:ilvl="0">
      <w:lvlJc w:val="left"/>
      <w:lvlText w:val="•"/>
      <w:numFmt w:val="bullet"/>
      <w:start w:val="1"/>
    </w:lvl>
  </w:abstractNum>
  <w:abstractNum w:abstractNumId="31">
    <w:nsid w:val="70C6A529"/>
    <w:multiLevelType w:val="hybridMultilevel"/>
    <w:lvl w:ilvl="0">
      <w:lvlJc w:val="left"/>
      <w:lvlText w:val="\emdash "/>
      <w:numFmt w:val="bullet"/>
      <w:start w:val="1"/>
    </w:lvl>
  </w:abstractNum>
  <w:abstractNum w:abstractNumId="32">
    <w:nsid w:val="520EEDD1"/>
    <w:multiLevelType w:val="hybridMultilevel"/>
    <w:lvl w:ilvl="0">
      <w:lvlJc w:val="left"/>
      <w:lvlText w:val="(%1)"/>
      <w:numFmt w:val="decimal"/>
      <w:start w:val="1"/>
    </w:lvl>
  </w:abstractNum>
  <w:abstractNum w:abstractNumId="33">
    <w:nsid w:val="374A3FE6"/>
    <w:multiLevelType w:val="hybridMultilevel"/>
    <w:lvl w:ilvl="0">
      <w:lvlJc w:val="left"/>
      <w:lvlText w:val="•"/>
      <w:numFmt w:val="bullet"/>
      <w:start w:val="1"/>
    </w:lvl>
  </w:abstractNum>
  <w:abstractNum w:abstractNumId="34">
    <w:nsid w:val="4F4EF005"/>
    <w:multiLevelType w:val="hybridMultilevel"/>
    <w:lvl w:ilvl="0">
      <w:lvlJc w:val="left"/>
      <w:lvlText w:val="•"/>
      <w:numFmt w:val="bullet"/>
      <w:start w:val="1"/>
    </w:lvl>
  </w:abstractNum>
  <w:abstractNum w:abstractNumId="35">
    <w:nsid w:val="23F9C13C"/>
    <w:multiLevelType w:val="hybridMultilevel"/>
    <w:lvl w:ilvl="0">
      <w:lvlJc w:val="left"/>
      <w:lvlText w:val="•"/>
      <w:numFmt w:val="bullet"/>
      <w:start w:val="1"/>
    </w:lvl>
  </w:abstractNum>
  <w:abstractNum w:abstractNumId="36">
    <w:nsid w:val="649BB77C"/>
    <w:multiLevelType w:val="hybridMultilevel"/>
    <w:lvl w:ilvl="0">
      <w:lvlJc w:val="left"/>
      <w:lvlText w:val="•"/>
      <w:numFmt w:val="bullet"/>
      <w:start w:val="1"/>
    </w:lvl>
  </w:abstractNum>
  <w:abstractNum w:abstractNumId="37">
    <w:nsid w:val="275AC794"/>
    <w:multiLevelType w:val="hybridMultilevel"/>
    <w:lvl w:ilvl="0">
      <w:lvlJc w:val="left"/>
      <w:lvlText w:val="•"/>
      <w:numFmt w:val="bullet"/>
      <w:start w:val="1"/>
    </w:lvl>
  </w:abstractNum>
  <w:abstractNum w:abstractNumId="38">
    <w:nsid w:val="39386575"/>
    <w:multiLevelType w:val="hybridMultilevel"/>
    <w:lvl w:ilvl="0">
      <w:lvlJc w:val="left"/>
      <w:lvlText w:val="•"/>
      <w:numFmt w:val="bullet"/>
      <w:start w:val="1"/>
    </w:lvl>
    <w:lvl w:ilvl="1">
      <w:lvlJc w:val="left"/>
      <w:lvlText w:val="◦"/>
      <w:numFmt w:val="bullet"/>
      <w:start w:val="1"/>
    </w:lvl>
  </w:abstractNum>
  <w:abstractNum w:abstractNumId="39">
    <w:nsid w:val="1CF10FD8"/>
    <w:multiLevelType w:val="hybridMultilevel"/>
    <w:lvl w:ilvl="0">
      <w:lvlJc w:val="left"/>
      <w:lvlText w:val="•"/>
      <w:numFmt w:val="bullet"/>
      <w:start w:val="1"/>
    </w:lvl>
    <w:lvl w:ilvl="1">
      <w:lvlJc w:val="left"/>
      <w:lvlText w:val="◦"/>
      <w:numFmt w:val="bullet"/>
      <w:start w:val="1"/>
    </w:lvl>
  </w:abstractNum>
  <w:abstractNum w:abstractNumId="40">
    <w:nsid w:val="180115BE"/>
    <w:multiLevelType w:val="hybridMultilevel"/>
    <w:lvl w:ilvl="0">
      <w:lvlJc w:val="left"/>
      <w:lvlText w:val="•"/>
      <w:numFmt w:val="bullet"/>
      <w:start w:val="1"/>
    </w:lvl>
    <w:lvl w:ilvl="1">
      <w:lvlJc w:val="left"/>
      <w:lvlText w:val="◦"/>
      <w:numFmt w:val="bullet"/>
      <w:start w:val="1"/>
    </w:lvl>
  </w:abstractNum>
  <w:abstractNum w:abstractNumId="41">
    <w:nsid w:val="235BA861"/>
    <w:multiLevelType w:val="hybridMultilevel"/>
    <w:lvl w:ilvl="0">
      <w:lvlJc w:val="left"/>
      <w:lvlText w:val="•"/>
      <w:numFmt w:val="bullet"/>
      <w:start w:val="1"/>
    </w:lvl>
    <w:lvl w:ilvl="1">
      <w:lvlJc w:val="left"/>
      <w:lvlText w:val="◦"/>
      <w:numFmt w:val="bullet"/>
      <w:start w:val="1"/>
    </w:lvl>
  </w:abstractNum>
  <w:abstractNum w:abstractNumId="42">
    <w:nsid w:val="47398C89"/>
    <w:multiLevelType w:val="hybridMultilevel"/>
    <w:lvl w:ilvl="0">
      <w:lvlJc w:val="left"/>
      <w:lvlText w:val="◦"/>
      <w:numFmt w:val="bullet"/>
      <w:start w:val="1"/>
    </w:lvl>
  </w:abstractNum>
  <w:abstractNum w:abstractNumId="43">
    <w:nsid w:val="354FE9F9"/>
    <w:multiLevelType w:val="hybridMultilevel"/>
    <w:lvl w:ilvl="0">
      <w:lvlJc w:val="left"/>
      <w:lvlText w:val="•"/>
      <w:numFmt w:val="bullet"/>
      <w:start w:val="1"/>
    </w:lvl>
    <w:lvl w:ilvl="1">
      <w:lvlJc w:val="left"/>
      <w:lvlText w:val="◦"/>
      <w:numFmt w:val="bullet"/>
      <w:start w:val="1"/>
    </w:lvl>
  </w:abstractNum>
  <w:abstractNum w:abstractNumId="44">
    <w:nsid w:val="15B5AF5C"/>
    <w:multiLevelType w:val="hybridMultilevel"/>
    <w:lvl w:ilvl="0">
      <w:lvlJc w:val="left"/>
      <w:lvlText w:val="•"/>
      <w:numFmt w:val="bullet"/>
      <w:start w:val="1"/>
    </w:lvl>
    <w:lvl w:ilvl="1">
      <w:lvlJc w:val="left"/>
      <w:lvlText w:val="◦"/>
      <w:numFmt w:val="bullet"/>
      <w:start w:val="1"/>
    </w:lvl>
  </w:abstractNum>
  <w:abstractNum w:abstractNumId="45">
    <w:nsid w:val="741226BB"/>
    <w:multiLevelType w:val="hybridMultilevel"/>
    <w:lvl w:ilvl="0">
      <w:lvlJc w:val="left"/>
      <w:lvlText w:val="•"/>
      <w:numFmt w:val="bullet"/>
      <w:start w:val="1"/>
    </w:lvl>
    <w:lvl w:ilvl="1">
      <w:lvlJc w:val="left"/>
      <w:lvlText w:val="◦"/>
      <w:numFmt w:val="bullet"/>
      <w:start w:val="1"/>
    </w:lvl>
  </w:abstractNum>
  <w:abstractNum w:abstractNumId="46">
    <w:nsid w:val="D34B6A8"/>
    <w:multiLevelType w:val="hybridMultilevel"/>
    <w:lvl w:ilvl="0">
      <w:lvlJc w:val="left"/>
      <w:lvlText w:val="◦"/>
      <w:numFmt w:val="bullet"/>
      <w:start w:val="1"/>
    </w:lvl>
  </w:abstractNum>
  <w:abstractNum w:abstractNumId="47">
    <w:nsid w:val="10233C99"/>
    <w:multiLevelType w:val="hybridMultilevel"/>
    <w:lvl w:ilvl="0">
      <w:lvlJc w:val="left"/>
      <w:lvlText w:val="•"/>
      <w:numFmt w:val="bullet"/>
      <w:start w:val="1"/>
    </w:lvl>
    <w:lvl w:ilvl="1">
      <w:lvlJc w:val="left"/>
      <w:lvlText w:val="◦"/>
      <w:numFmt w:val="bullet"/>
      <w:start w:val="1"/>
    </w:lvl>
  </w:abstractNum>
  <w:abstractNum w:abstractNumId="48">
    <w:nsid w:val="3F6AB60F"/>
    <w:multiLevelType w:val="hybridMultilevel"/>
    <w:lvl w:ilvl="0">
      <w:lvlJc w:val="left"/>
      <w:lvlText w:val="•"/>
      <w:numFmt w:val="bullet"/>
      <w:start w:val="1"/>
    </w:lvl>
  </w:abstractNum>
  <w:abstractNum w:abstractNumId="49">
    <w:nsid w:val="61574095"/>
    <w:multiLevelType w:val="hybridMultilevel"/>
    <w:lvl w:ilvl="0">
      <w:lvlJc w:val="left"/>
      <w:lvlText w:val="•"/>
      <w:numFmt w:val="bullet"/>
      <w:start w:val="1"/>
    </w:lvl>
  </w:abstractNum>
  <w:abstractNum w:abstractNumId="50">
    <w:nsid w:val="7E0C57B1"/>
    <w:multiLevelType w:val="hybridMultilevel"/>
    <w:lvl w:ilvl="0">
      <w:lvlJc w:val="left"/>
      <w:lvlText w:val="•"/>
      <w:numFmt w:val="bullet"/>
      <w:start w:val="1"/>
    </w:lvl>
  </w:abstractNum>
  <w:abstractNum w:abstractNumId="51">
    <w:nsid w:val="77AE35EB"/>
    <w:multiLevelType w:val="hybridMultilevel"/>
    <w:lvl w:ilvl="0">
      <w:lvlJc w:val="left"/>
      <w:lvlText w:val="•"/>
      <w:numFmt w:val="bullet"/>
      <w:start w:val="1"/>
    </w:lvl>
  </w:abstractNum>
  <w:abstractNum w:abstractNumId="52">
    <w:nsid w:val="579BE4F1"/>
    <w:multiLevelType w:val="hybridMultilevel"/>
    <w:lvl w:ilvl="0">
      <w:lvlJc w:val="left"/>
      <w:lvlText w:val="•"/>
      <w:numFmt w:val="bullet"/>
      <w:start w:val="1"/>
    </w:lvl>
    <w:lvl w:ilvl="1">
      <w:lvlJc w:val="left"/>
      <w:lvlText w:val="◦"/>
      <w:numFmt w:val="bullet"/>
      <w:start w:val="1"/>
    </w:lvl>
  </w:abstractNum>
  <w:abstractNum w:abstractNumId="53">
    <w:nsid w:val="310C50B3"/>
    <w:multiLevelType w:val="hybridMultilevel"/>
    <w:lvl w:ilvl="0">
      <w:lvlJc w:val="left"/>
      <w:lvlText w:val="◦"/>
      <w:numFmt w:val="bullet"/>
      <w:start w:val="1"/>
    </w:lvl>
  </w:abstractNum>
  <w:abstractNum w:abstractNumId="54">
    <w:nsid w:val="5FF87E05"/>
    <w:multiLevelType w:val="hybridMultilevel"/>
    <w:lvl w:ilvl="0">
      <w:lvlJc w:val="left"/>
      <w:lvlText w:val="•"/>
      <w:numFmt w:val="bullet"/>
      <w:start w:val="1"/>
    </w:lvl>
    <w:lvl w:ilvl="1">
      <w:lvlJc w:val="left"/>
      <w:lvlText w:val="◦"/>
      <w:numFmt w:val="bullet"/>
      <w:start w:val="1"/>
    </w:lvl>
  </w:abstractNum>
  <w:abstractNum w:abstractNumId="55">
    <w:nsid w:val="2F305DEF"/>
    <w:multiLevelType w:val="hybridMultilevel"/>
    <w:lvl w:ilvl="0">
      <w:lvlJc w:val="left"/>
      <w:lvlText w:val="•"/>
      <w:numFmt w:val="bullet"/>
      <w:start w:val="1"/>
    </w:lvl>
    <w:lvl w:ilvl="1">
      <w:lvlJc w:val="left"/>
      <w:lvlText w:val="◦"/>
      <w:numFmt w:val="bullet"/>
      <w:start w:val="1"/>
    </w:lvl>
  </w:abstractNum>
  <w:abstractNum w:abstractNumId="56">
    <w:nsid w:val="25A70BF7"/>
    <w:multiLevelType w:val="hybridMultilevel"/>
    <w:lvl w:ilvl="0">
      <w:lvlJc w:val="left"/>
      <w:lvlText w:val="◦"/>
      <w:numFmt w:val="bullet"/>
      <w:start w:val="1"/>
    </w:lvl>
  </w:abstractNum>
  <w:abstractNum w:abstractNumId="57">
    <w:nsid w:val="1DBABF00"/>
    <w:multiLevelType w:val="hybridMultilevel"/>
    <w:lvl w:ilvl="0">
      <w:lvlJc w:val="left"/>
      <w:lvlText w:val="•"/>
      <w:numFmt w:val="bullet"/>
      <w:start w:val="1"/>
    </w:lvl>
  </w:abstractNum>
  <w:abstractNum w:abstractNumId="58">
    <w:nsid w:val="4AD084E9"/>
    <w:multiLevelType w:val="hybridMultilevel"/>
    <w:lvl w:ilvl="0">
      <w:lvlJc w:val="left"/>
      <w:lvlText w:val="•"/>
      <w:numFmt w:val="bullet"/>
      <w:start w:val="1"/>
    </w:lvl>
    <w:lvl w:ilvl="1">
      <w:lvlJc w:val="left"/>
      <w:lvlText w:val="◦"/>
      <w:numFmt w:val="bullet"/>
      <w:start w:val="1"/>
    </w:lvl>
  </w:abstractNum>
  <w:abstractNum w:abstractNumId="59">
    <w:nsid w:val="1F48EAA1"/>
    <w:multiLevelType w:val="hybridMultilevel"/>
    <w:lvl w:ilvl="0">
      <w:lvlJc w:val="left"/>
      <w:lvlText w:val="•"/>
      <w:numFmt w:val="bullet"/>
      <w:start w:val="1"/>
    </w:lvl>
  </w:abstractNum>
  <w:abstractNum w:abstractNumId="60">
    <w:nsid w:val="1381823A"/>
    <w:multiLevelType w:val="hybridMultilevel"/>
    <w:lvl w:ilvl="0">
      <w:lvlJc w:val="left"/>
      <w:lvlText w:val="•"/>
      <w:numFmt w:val="bullet"/>
      <w:start w:val="1"/>
    </w:lvl>
    <w:lvl w:ilvl="1">
      <w:lvlJc w:val="left"/>
      <w:lvlText w:val="◦"/>
      <w:numFmt w:val="bullet"/>
      <w:start w:val="1"/>
    </w:lvl>
  </w:abstractNum>
  <w:abstractNum w:abstractNumId="61">
    <w:nsid w:val="5DB70AE5"/>
    <w:multiLevelType w:val="hybridMultilevel"/>
    <w:lvl w:ilvl="0">
      <w:lvlJc w:val="left"/>
      <w:lvlText w:val="•"/>
      <w:numFmt w:val="bullet"/>
      <w:start w:val="1"/>
    </w:lvl>
  </w:abstractNum>
  <w:abstractNum w:abstractNumId="62">
    <w:nsid w:val="100F8FCA"/>
    <w:multiLevelType w:val="hybridMultilevel"/>
    <w:lvl w:ilvl="0">
      <w:lvlJc w:val="left"/>
      <w:lvlText w:val="•"/>
      <w:numFmt w:val="bullet"/>
      <w:start w:val="1"/>
    </w:lvl>
  </w:abstractNum>
  <w:abstractNum w:abstractNumId="63">
    <w:nsid w:val="6590700B"/>
    <w:multiLevelType w:val="hybridMultilevel"/>
    <w:lvl w:ilvl="0">
      <w:lvlJc w:val="left"/>
      <w:lvlText w:val="•"/>
      <w:numFmt w:val="bullet"/>
      <w:start w:val="1"/>
    </w:lvl>
  </w:abstractNum>
  <w:abstractNum w:abstractNumId="64">
    <w:nsid w:val="15014ACB"/>
    <w:multiLevelType w:val="hybridMultilevel"/>
    <w:lvl w:ilvl="0">
      <w:lvlJc w:val="left"/>
      <w:lvlText w:val="•"/>
      <w:numFmt w:val="bullet"/>
      <w:start w:val="1"/>
    </w:lvl>
  </w:abstractNum>
  <w:abstractNum w:abstractNumId="65">
    <w:nsid w:val="5F5E7FD0"/>
    <w:multiLevelType w:val="hybridMultilevel"/>
    <w:lvl w:ilvl="0">
      <w:lvlJc w:val="left"/>
      <w:lvlText w:val="•"/>
      <w:numFmt w:val="bullet"/>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1"/>
    </w:lvl>
  </w:abstractNum>
  <w:abstractNum w:abstractNumId="68">
    <w:nsid w:val="6B94764"/>
    <w:multiLevelType w:val="hybridMultilevel"/>
    <w:lvl w:ilvl="0">
      <w:lvlJc w:val="left"/>
      <w:lvlText w:val="•"/>
      <w:numFmt w:val="bullet"/>
      <w:start w:val="1"/>
    </w:lvl>
  </w:abstractNum>
  <w:abstractNum w:abstractNumId="69">
    <w:nsid w:val="42C296BD"/>
    <w:multiLevelType w:val="hybridMultilevel"/>
    <w:lvl w:ilvl="0">
      <w:lvlJc w:val="left"/>
      <w:lvlText w:val="(%1)"/>
      <w:numFmt w:val="decimal"/>
      <w:start w:val="1"/>
    </w:lvl>
  </w:abstractNum>
  <w:abstractNum w:abstractNumId="70">
    <w:nsid w:val="168E121F"/>
    <w:multiLevelType w:val="hybridMultilevel"/>
    <w:lvl w:ilvl="0">
      <w:lvlJc w:val="left"/>
      <w:lvlText w:val="•"/>
      <w:numFmt w:val="bullet"/>
      <w:start w:val="1"/>
    </w:lvl>
  </w:abstractNum>
  <w:abstractNum w:abstractNumId="71">
    <w:nsid w:val="1EBA5D23"/>
    <w:multiLevelType w:val="hybridMultilevel"/>
    <w:lvl w:ilvl="0">
      <w:lvlJc w:val="left"/>
      <w:lvlText w:val="•"/>
      <w:numFmt w:val="bullet"/>
      <w:start w:val="1"/>
    </w:lvl>
  </w:abstractNum>
  <w:abstractNum w:abstractNumId="72">
    <w:nsid w:val="661E3F1E"/>
    <w:multiLevelType w:val="hybridMultilevel"/>
    <w:lvl w:ilvl="0">
      <w:lvlJc w:val="left"/>
      <w:lvlText w:val="%1."/>
      <w:numFmt w:val="decimal"/>
      <w:start w:val="1"/>
    </w:lvl>
    <w:lvl w:ilvl="1">
      <w:lvlJc w:val="left"/>
      <w:lvlText w:val="%2)"/>
      <w:numFmt w:val="lowerLetter"/>
      <w:start w:val="1"/>
    </w:lvl>
  </w:abstractNum>
  <w:abstractNum w:abstractNumId="73">
    <w:nsid w:val="5DC79EA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2026-11-05T16:33:35Z</dcterms:created>
  <dcterms:modified xsi:type="dcterms:W3CDTF">2026-11-05T16:33:35Z</dcterms:modified>
</cp:coreProperties>
</file>