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Brighthouse Financial,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10922N103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140" w:type="dxa"/>
            <w:vAlign w:val="bottom"/>
            <w:gridSpan w:val="7"/>
          </w:tcPr>
          <w:p>
            <w:pPr>
              <w:jc w:val="center"/>
              <w:ind w:right="290"/>
              <w:spacing w:after="0"/>
              <w:rPr>
                <w:sz w:val="20"/>
                <w:szCs w:val="20"/>
                <w:color w:val="auto"/>
              </w:rPr>
            </w:pPr>
            <w:r>
              <w:rPr>
                <w:rFonts w:ascii="Arial" w:cs="Arial" w:eastAsia="Arial" w:hAnsi="Arial"/>
                <w:sz w:val="18"/>
                <w:szCs w:val="18"/>
                <w:color w:val="auto"/>
                <w:w w:val="92"/>
              </w:rPr>
              <w:t>CUSIP NO. 10922N103</w:t>
            </w:r>
          </w:p>
        </w:tc>
        <w:tc>
          <w:tcPr>
            <w:tcW w:w="6700" w:type="dxa"/>
            <w:vAlign w:val="bottom"/>
          </w:tcPr>
          <w:p>
            <w:pPr>
              <w:ind w:left="3660"/>
              <w:spacing w:after="0"/>
              <w:rPr>
                <w:sz w:val="20"/>
                <w:szCs w:val="20"/>
                <w:color w:val="auto"/>
              </w:rPr>
            </w:pPr>
            <w:r>
              <w:rPr>
                <w:rFonts w:ascii="Arial" w:cs="Arial" w:eastAsia="Arial" w:hAnsi="Arial"/>
                <w:sz w:val="18"/>
                <w:szCs w:val="18"/>
                <w:color w:val="auto"/>
              </w:rPr>
              <w:t>13G</w:t>
            </w:r>
          </w:p>
        </w:tc>
        <w:tc>
          <w:tcPr>
            <w:tcW w:w="2600" w:type="dxa"/>
            <w:vAlign w:val="bottom"/>
          </w:tcPr>
          <w:p>
            <w:pPr>
              <w:ind w:left="980"/>
              <w:spacing w:after="0"/>
              <w:rPr>
                <w:sz w:val="20"/>
                <w:szCs w:val="20"/>
                <w:color w:val="auto"/>
              </w:rPr>
            </w:pPr>
            <w:r>
              <w:rPr>
                <w:rFonts w:ascii="Arial" w:cs="Arial" w:eastAsia="Arial" w:hAnsi="Arial"/>
                <w:sz w:val="18"/>
                <w:szCs w:val="18"/>
                <w:color w:val="auto"/>
                <w:w w:val="89"/>
              </w:rPr>
              <w:t>PAGE 2 OF 4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6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rPr>
                <w:sz w:val="20"/>
                <w:szCs w:val="20"/>
                <w:color w:val="auto"/>
              </w:rPr>
            </w:pPr>
            <w:r>
              <w:rPr>
                <w:rFonts w:ascii="Arial" w:cs="Arial" w:eastAsia="Arial" w:hAnsi="Arial"/>
                <w:sz w:val="18"/>
                <w:szCs w:val="18"/>
                <w:color w:val="auto"/>
              </w:rPr>
              <w:t>S.S. OR I.R.S. IDENTIFICATION NO. OF ABOVE PERSON</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Dodge &amp; Cox 94-1441976</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7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N/A</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20"/>
                <w:szCs w:val="20"/>
                <w:color w:val="auto"/>
              </w:rPr>
            </w:pPr>
          </w:p>
        </w:tc>
        <w:tc>
          <w:tcPr>
            <w:tcW w:w="15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70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4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6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4"/>
              </w:rPr>
              <w:t>California - U.S.A.</w:t>
            </w:r>
          </w:p>
        </w:tc>
        <w:tc>
          <w:tcPr>
            <w:tcW w:w="67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9,332,774</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6"/>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60" w:type="dxa"/>
            <w:vAlign w:val="bottom"/>
          </w:tcPr>
          <w:p>
            <w:pPr>
              <w:spacing w:after="0"/>
              <w:rPr>
                <w:sz w:val="15"/>
                <w:szCs w:val="15"/>
                <w:color w:val="auto"/>
              </w:rPr>
            </w:pPr>
          </w:p>
        </w:tc>
        <w:tc>
          <w:tcPr>
            <w:tcW w:w="670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4"/>
              </w:rPr>
              <w:t>PERSON</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9,806,273</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70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12"/>
                <w:szCs w:val="12"/>
                <w:color w:val="auto"/>
              </w:rPr>
            </w:pPr>
          </w:p>
        </w:tc>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670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77"/>
              </w:rPr>
              <w:t>AGGREGATE</w:t>
            </w:r>
          </w:p>
        </w:tc>
        <w:tc>
          <w:tcPr>
            <w:tcW w:w="36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9,806,273</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260" w:type="dxa"/>
            <w:vAlign w:val="bottom"/>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9"/>
              </w:rPr>
              <w:t>N/A</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IA</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00" w:type="dxa"/>
            <w:vAlign w:val="bottom"/>
          </w:tcPr>
          <w:p>
            <w:pPr>
              <w:ind w:left="2780"/>
              <w:spacing w:after="0"/>
              <w:rPr>
                <w:sz w:val="20"/>
                <w:szCs w:val="20"/>
                <w:color w:val="auto"/>
              </w:rPr>
            </w:pPr>
            <w:r>
              <w:rPr>
                <w:rFonts w:ascii="Arial" w:cs="Arial" w:eastAsia="Arial" w:hAnsi="Arial"/>
                <w:sz w:val="18"/>
                <w:szCs w:val="18"/>
                <w:color w:val="auto"/>
              </w:rPr>
              <w:t>PAGE 2 OF 4 PAGES</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Name of Issuer:</w:t>
            </w:r>
          </w:p>
        </w:tc>
        <w:tc>
          <w:tcPr>
            <w:tcW w:w="6500" w:type="dxa"/>
            <w:vAlign w:val="bottom"/>
            <w:gridSpan w:val="8"/>
          </w:tcPr>
          <w:p>
            <w:pPr>
              <w:spacing w:after="0"/>
              <w:rPr>
                <w:sz w:val="17"/>
                <w:szCs w:val="17"/>
                <w:color w:val="auto"/>
              </w:rPr>
            </w:pPr>
          </w:p>
        </w:tc>
      </w:tr>
      <w:tr>
        <w:trPr>
          <w:trHeight w:val="345"/>
        </w:trPr>
        <w:tc>
          <w:tcPr>
            <w:tcW w:w="1120" w:type="dxa"/>
            <w:vAlign w:val="bottom"/>
          </w:tcPr>
          <w:p>
            <w:pPr>
              <w:spacing w:after="0"/>
              <w:rPr>
                <w:sz w:val="24"/>
                <w:szCs w:val="24"/>
                <w:color w:val="auto"/>
              </w:rPr>
            </w:pP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rPr>
              <w:t>Brighthouse Financial, Inc.</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1(b)</w:t>
            </w:r>
          </w:p>
        </w:tc>
        <w:tc>
          <w:tcPr>
            <w:tcW w:w="34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1"/>
              </w:rPr>
              <w:t>Address of Issuer’s Principal Executive Offices:</w:t>
            </w:r>
          </w:p>
        </w:tc>
        <w:tc>
          <w:tcPr>
            <w:tcW w:w="4180" w:type="dxa"/>
            <w:vAlign w:val="bottom"/>
            <w:gridSpan w:val="2"/>
          </w:tcPr>
          <w:p>
            <w:pPr>
              <w:spacing w:after="0"/>
              <w:rPr>
                <w:sz w:val="24"/>
                <w:szCs w:val="24"/>
                <w:color w:val="auto"/>
              </w:rPr>
            </w:pPr>
          </w:p>
        </w:tc>
      </w:tr>
      <w:tr>
        <w:trPr>
          <w:trHeight w:val="330"/>
        </w:trPr>
        <w:tc>
          <w:tcPr>
            <w:tcW w:w="1120" w:type="dxa"/>
            <w:vAlign w:val="bottom"/>
          </w:tcPr>
          <w:p>
            <w:pPr>
              <w:spacing w:after="0"/>
              <w:rPr>
                <w:sz w:val="24"/>
                <w:szCs w:val="24"/>
                <w:color w:val="auto"/>
              </w:rPr>
            </w:pP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rPr>
              <w:t>11225 North Community House Road</w:t>
            </w:r>
          </w:p>
        </w:tc>
      </w:tr>
      <w:tr>
        <w:trPr>
          <w:trHeight w:val="230"/>
        </w:trPr>
        <w:tc>
          <w:tcPr>
            <w:tcW w:w="1120" w:type="dxa"/>
            <w:vAlign w:val="bottom"/>
          </w:tcPr>
          <w:p>
            <w:pPr>
              <w:spacing w:after="0"/>
              <w:rPr>
                <w:sz w:val="20"/>
                <w:szCs w:val="20"/>
                <w:color w:val="auto"/>
              </w:rPr>
            </w:pP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rPr>
              <w:t>Charlotte, North Carolina 28277</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2(a)</w:t>
            </w:r>
          </w:p>
        </w:tc>
        <w:tc>
          <w:tcPr>
            <w:tcW w:w="17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Name of Person Filing:</w:t>
            </w:r>
          </w:p>
        </w:tc>
        <w:tc>
          <w:tcPr>
            <w:tcW w:w="5960" w:type="dxa"/>
            <w:vAlign w:val="bottom"/>
            <w:gridSpan w:val="5"/>
          </w:tcPr>
          <w:p>
            <w:pPr>
              <w:spacing w:after="0"/>
              <w:rPr>
                <w:sz w:val="24"/>
                <w:szCs w:val="24"/>
                <w:color w:val="auto"/>
              </w:rPr>
            </w:pPr>
          </w:p>
        </w:tc>
      </w:tr>
      <w:tr>
        <w:trPr>
          <w:trHeight w:val="345"/>
        </w:trPr>
        <w:tc>
          <w:tcPr>
            <w:tcW w:w="1120" w:type="dxa"/>
            <w:vAlign w:val="bottom"/>
          </w:tcPr>
          <w:p>
            <w:pPr>
              <w:spacing w:after="0"/>
              <w:rPr>
                <w:sz w:val="24"/>
                <w:szCs w:val="24"/>
                <w:color w:val="auto"/>
              </w:rPr>
            </w:pP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rPr>
              <w:t>Dodge &amp; Cox</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2(b)</w:t>
            </w:r>
          </w:p>
        </w:tc>
        <w:tc>
          <w:tcPr>
            <w:tcW w:w="39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1"/>
              </w:rPr>
              <w:t>Address of the Principal Office or, if none, Residence:</w:t>
            </w:r>
          </w:p>
        </w:tc>
        <w:tc>
          <w:tcPr>
            <w:tcW w:w="3740" w:type="dxa"/>
            <w:vAlign w:val="bottom"/>
          </w:tcPr>
          <w:p>
            <w:pPr>
              <w:spacing w:after="0"/>
              <w:rPr>
                <w:sz w:val="24"/>
                <w:szCs w:val="24"/>
                <w:color w:val="auto"/>
              </w:rPr>
            </w:pPr>
          </w:p>
        </w:tc>
      </w:tr>
      <w:tr>
        <w:trPr>
          <w:trHeight w:val="330"/>
        </w:trPr>
        <w:tc>
          <w:tcPr>
            <w:tcW w:w="1120" w:type="dxa"/>
            <w:vAlign w:val="bottom"/>
          </w:tcPr>
          <w:p>
            <w:pPr>
              <w:spacing w:after="0"/>
              <w:rPr>
                <w:sz w:val="24"/>
                <w:szCs w:val="24"/>
                <w:color w:val="auto"/>
              </w:rPr>
            </w:pP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rPr>
              <w:t>555 California Street, 40th Floor</w:t>
            </w:r>
          </w:p>
        </w:tc>
      </w:tr>
      <w:tr>
        <w:trPr>
          <w:trHeight w:val="230"/>
        </w:trPr>
        <w:tc>
          <w:tcPr>
            <w:tcW w:w="1120" w:type="dxa"/>
            <w:vAlign w:val="bottom"/>
          </w:tcPr>
          <w:p>
            <w:pPr>
              <w:spacing w:after="0"/>
              <w:rPr>
                <w:sz w:val="20"/>
                <w:szCs w:val="20"/>
                <w:color w:val="auto"/>
              </w:rPr>
            </w:pP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rPr>
              <w:t>San Francisco, CA 94104</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2(c)</w:t>
            </w: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Citizenship:</w:t>
            </w:r>
          </w:p>
        </w:tc>
        <w:tc>
          <w:tcPr>
            <w:tcW w:w="6780" w:type="dxa"/>
            <w:vAlign w:val="bottom"/>
            <w:gridSpan w:val="9"/>
          </w:tcPr>
          <w:p>
            <w:pPr>
              <w:spacing w:after="0"/>
              <w:rPr>
                <w:sz w:val="24"/>
                <w:szCs w:val="24"/>
                <w:color w:val="auto"/>
              </w:rPr>
            </w:pPr>
          </w:p>
        </w:tc>
      </w:tr>
      <w:tr>
        <w:trPr>
          <w:trHeight w:val="345"/>
        </w:trPr>
        <w:tc>
          <w:tcPr>
            <w:tcW w:w="1120" w:type="dxa"/>
            <w:vAlign w:val="bottom"/>
          </w:tcPr>
          <w:p>
            <w:pPr>
              <w:spacing w:after="0"/>
              <w:rPr>
                <w:sz w:val="24"/>
                <w:szCs w:val="24"/>
                <w:color w:val="auto"/>
              </w:rPr>
            </w:pP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rPr>
              <w:t>California - U.S.A.</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2(d)</w:t>
            </w:r>
          </w:p>
        </w:tc>
        <w:tc>
          <w:tcPr>
            <w:tcW w:w="7660" w:type="dxa"/>
            <w:vAlign w:val="bottom"/>
            <w:gridSpan w:val="12"/>
          </w:tcPr>
          <w:p>
            <w:pPr>
              <w:spacing w:after="0"/>
              <w:rPr>
                <w:sz w:val="20"/>
                <w:szCs w:val="20"/>
                <w:color w:val="auto"/>
              </w:rPr>
            </w:pPr>
            <w:r>
              <w:rPr>
                <w:rFonts w:ascii="Arial" w:cs="Arial" w:eastAsia="Arial" w:hAnsi="Arial"/>
                <w:sz w:val="18"/>
                <w:szCs w:val="18"/>
                <w:color w:val="auto"/>
              </w:rPr>
              <w:t>Title of Class of Securities:</w:t>
            </w:r>
          </w:p>
        </w:tc>
      </w:tr>
      <w:tr>
        <w:trPr>
          <w:trHeight w:val="345"/>
        </w:trPr>
        <w:tc>
          <w:tcPr>
            <w:tcW w:w="1120" w:type="dxa"/>
            <w:vAlign w:val="bottom"/>
          </w:tcPr>
          <w:p>
            <w:pPr>
              <w:spacing w:after="0"/>
              <w:rPr>
                <w:sz w:val="24"/>
                <w:szCs w:val="24"/>
                <w:color w:val="auto"/>
              </w:rPr>
            </w:pPr>
          </w:p>
        </w:tc>
        <w:tc>
          <w:tcPr>
            <w:tcW w:w="1920" w:type="dxa"/>
            <w:vAlign w:val="bottom"/>
            <w:tcBorders>
              <w:top w:val="single" w:sz="8" w:color="auto"/>
            </w:tcBorders>
            <w:gridSpan w:val="8"/>
          </w:tcPr>
          <w:p>
            <w:pPr>
              <w:ind w:left="20"/>
              <w:spacing w:after="0"/>
              <w:rPr>
                <w:sz w:val="20"/>
                <w:szCs w:val="20"/>
                <w:color w:val="auto"/>
              </w:rPr>
            </w:pPr>
            <w:r>
              <w:rPr>
                <w:rFonts w:ascii="Arial" w:cs="Arial" w:eastAsia="Arial" w:hAnsi="Arial"/>
                <w:sz w:val="18"/>
                <w:szCs w:val="18"/>
                <w:color w:val="auto"/>
              </w:rPr>
              <w:t>Common Stock</w:t>
            </w:r>
          </w:p>
        </w:tc>
        <w:tc>
          <w:tcPr>
            <w:tcW w:w="5740" w:type="dxa"/>
            <w:vAlign w:val="bottom"/>
            <w:gridSpan w:val="4"/>
          </w:tcPr>
          <w:p>
            <w:pPr>
              <w:spacing w:after="0"/>
              <w:rPr>
                <w:sz w:val="24"/>
                <w:szCs w:val="24"/>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2(e)</w:t>
            </w:r>
          </w:p>
        </w:tc>
        <w:tc>
          <w:tcPr>
            <w:tcW w:w="7660" w:type="dxa"/>
            <w:vAlign w:val="bottom"/>
            <w:gridSpan w:val="12"/>
          </w:tcPr>
          <w:p>
            <w:pPr>
              <w:spacing w:after="0"/>
              <w:rPr>
                <w:sz w:val="20"/>
                <w:szCs w:val="20"/>
                <w:color w:val="auto"/>
              </w:rPr>
            </w:pPr>
            <w:r>
              <w:rPr>
                <w:rFonts w:ascii="Arial" w:cs="Arial" w:eastAsia="Arial" w:hAnsi="Arial"/>
                <w:sz w:val="18"/>
                <w:szCs w:val="18"/>
                <w:color w:val="auto"/>
              </w:rPr>
              <w:t>CUSIP Number:</w:t>
            </w:r>
          </w:p>
        </w:tc>
      </w:tr>
      <w:tr>
        <w:trPr>
          <w:trHeight w:val="345"/>
        </w:trPr>
        <w:tc>
          <w:tcPr>
            <w:tcW w:w="1120" w:type="dxa"/>
            <w:vAlign w:val="bottom"/>
          </w:tcPr>
          <w:p>
            <w:pPr>
              <w:spacing w:after="0"/>
              <w:rPr>
                <w:sz w:val="24"/>
                <w:szCs w:val="24"/>
                <w:color w:val="auto"/>
              </w:rPr>
            </w:pPr>
          </w:p>
        </w:tc>
        <w:tc>
          <w:tcPr>
            <w:tcW w:w="12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10922N103</w:t>
            </w:r>
          </w:p>
        </w:tc>
        <w:tc>
          <w:tcPr>
            <w:tcW w:w="6460" w:type="dxa"/>
            <w:vAlign w:val="bottom"/>
            <w:gridSpan w:val="7"/>
          </w:tcPr>
          <w:p>
            <w:pPr>
              <w:spacing w:after="0"/>
              <w:rPr>
                <w:sz w:val="24"/>
                <w:szCs w:val="24"/>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66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1"/>
              </w:rPr>
              <w:t>If the Statement is being filed pursuant to Rule 13d-1(b), or 13d-2(b), check whether the person filing is a:</w:t>
            </w:r>
          </w:p>
        </w:tc>
      </w:tr>
      <w:tr>
        <w:trPr>
          <w:trHeight w:val="378"/>
        </w:trPr>
        <w:tc>
          <w:tcPr>
            <w:tcW w:w="1120" w:type="dxa"/>
            <w:vAlign w:val="bottom"/>
          </w:tcPr>
          <w:p>
            <w:pPr>
              <w:spacing w:after="0"/>
              <w:rPr>
                <w:sz w:val="24"/>
                <w:szCs w:val="24"/>
                <w:color w:val="auto"/>
              </w:rPr>
            </w:pPr>
          </w:p>
        </w:tc>
        <w:tc>
          <w:tcPr>
            <w:tcW w:w="7660" w:type="dxa"/>
            <w:vAlign w:val="bottom"/>
            <w:gridSpan w:val="12"/>
          </w:tcPr>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Advisor registered under section 203 of the Investment Advisors Act of 1940</w:t>
            </w:r>
          </w:p>
        </w:tc>
      </w:tr>
      <w:tr>
        <w:trPr>
          <w:trHeight w:val="399"/>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7660" w:type="dxa"/>
            <w:vAlign w:val="bottom"/>
            <w:gridSpan w:val="12"/>
          </w:tcPr>
          <w:p>
            <w:pPr>
              <w:spacing w:after="0"/>
              <w:rPr>
                <w:sz w:val="20"/>
                <w:szCs w:val="20"/>
                <w:color w:val="auto"/>
              </w:rPr>
            </w:pPr>
            <w:r>
              <w:rPr>
                <w:rFonts w:ascii="Arial" w:cs="Arial" w:eastAsia="Arial" w:hAnsi="Arial"/>
                <w:sz w:val="18"/>
                <w:szCs w:val="18"/>
                <w:color w:val="auto"/>
              </w:rPr>
              <w:t>Ownership:</w:t>
            </w: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(a)</w:t>
            </w:r>
          </w:p>
        </w:tc>
        <w:tc>
          <w:tcPr>
            <w:tcW w:w="7080" w:type="dxa"/>
            <w:vAlign w:val="bottom"/>
            <w:gridSpan w:val="11"/>
          </w:tcPr>
          <w:p>
            <w:pPr>
              <w:spacing w:after="0"/>
              <w:rPr>
                <w:sz w:val="20"/>
                <w:szCs w:val="20"/>
                <w:color w:val="auto"/>
              </w:rPr>
            </w:pPr>
            <w:r>
              <w:rPr>
                <w:rFonts w:ascii="Arial" w:cs="Arial" w:eastAsia="Arial" w:hAnsi="Arial"/>
                <w:sz w:val="18"/>
                <w:szCs w:val="18"/>
                <w:color w:val="auto"/>
              </w:rPr>
              <w:t>Amount Beneficially Owned:</w:t>
            </w:r>
          </w:p>
        </w:tc>
      </w:tr>
      <w:tr>
        <w:trPr>
          <w:trHeight w:val="358"/>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9,806,273</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1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w:t>
            </w:r>
          </w:p>
        </w:tc>
        <w:tc>
          <w:tcPr>
            <w:tcW w:w="7080" w:type="dxa"/>
            <w:vAlign w:val="bottom"/>
            <w:gridSpan w:val="11"/>
          </w:tcPr>
          <w:p>
            <w:pPr>
              <w:spacing w:after="0"/>
              <w:rPr>
                <w:sz w:val="20"/>
                <w:szCs w:val="20"/>
                <w:color w:val="auto"/>
              </w:rPr>
            </w:pPr>
            <w:r>
              <w:rPr>
                <w:rFonts w:ascii="Arial" w:cs="Arial" w:eastAsia="Arial" w:hAnsi="Arial"/>
                <w:sz w:val="18"/>
                <w:szCs w:val="18"/>
                <w:color w:val="auto"/>
              </w:rPr>
              <w:t>Percent of Class:</w:t>
            </w:r>
          </w:p>
        </w:tc>
      </w:tr>
      <w:tr>
        <w:trPr>
          <w:trHeight w:val="358"/>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8.3%</w:t>
            </w:r>
          </w:p>
        </w:tc>
        <w:tc>
          <w:tcPr>
            <w:tcW w:w="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9759"/>
          </w:cols>
          <w:pgMar w:left="700" w:top="257" w:right="1440" w:bottom="1440" w:gutter="0" w:footer="0" w:header="0"/>
        </w:sectPr>
      </w:pPr>
    </w:p>
    <w:bookmarkStart w:id="3" w:name="page4"/>
    <w:bookmarkEnd w:id="3"/>
    <w:p>
      <w:pPr>
        <w:ind w:left="2160" w:hanging="558"/>
        <w:spacing w:after="0"/>
        <w:tabs>
          <w:tab w:leader="none" w:pos="2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p>
    <w:p>
      <w:pPr>
        <w:spacing w:after="0" w:line="131" w:lineRule="exact"/>
        <w:rPr>
          <w:sz w:val="20"/>
          <w:szCs w:val="20"/>
          <w:color w:val="auto"/>
        </w:rPr>
      </w:pPr>
    </w:p>
    <w:p>
      <w:pPr>
        <w:ind w:left="2160" w:hanging="558"/>
        <w:spacing w:after="0"/>
        <w:tabs>
          <w:tab w:leader="none" w:pos="2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9,332,774</w:t>
      </w:r>
    </w:p>
    <w:p>
      <w:pPr>
        <w:spacing w:after="0" w:line="130" w:lineRule="exact"/>
        <w:rPr>
          <w:rFonts w:ascii="Arial" w:cs="Arial" w:eastAsia="Arial" w:hAnsi="Arial"/>
          <w:sz w:val="18"/>
          <w:szCs w:val="18"/>
          <w:color w:val="auto"/>
        </w:rPr>
      </w:pPr>
    </w:p>
    <w:p>
      <w:pPr>
        <w:ind w:left="2160" w:hanging="558"/>
        <w:spacing w:after="0"/>
        <w:tabs>
          <w:tab w:leader="none" w:pos="2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2160" w:hanging="558"/>
        <w:spacing w:after="0"/>
        <w:tabs>
          <w:tab w:leader="none" w:pos="2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9,806,273</w:t>
      </w:r>
    </w:p>
    <w:p>
      <w:pPr>
        <w:spacing w:after="0" w:line="130" w:lineRule="exact"/>
        <w:rPr>
          <w:rFonts w:ascii="Arial" w:cs="Arial" w:eastAsia="Arial" w:hAnsi="Arial"/>
          <w:sz w:val="18"/>
          <w:szCs w:val="18"/>
          <w:color w:val="auto"/>
        </w:rPr>
      </w:pPr>
    </w:p>
    <w:p>
      <w:pPr>
        <w:ind w:left="2160" w:hanging="558"/>
        <w:spacing w:after="0"/>
        <w:tabs>
          <w:tab w:leader="none" w:pos="2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3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Ownership of Five Percent or Less of a Class:</w:t>
            </w:r>
          </w:p>
        </w:tc>
        <w:tc>
          <w:tcPr>
            <w:tcW w:w="6480" w:type="dxa"/>
            <w:vAlign w:val="bottom"/>
            <w:gridSpan w:val="4"/>
          </w:tcPr>
          <w:p>
            <w:pPr>
              <w:spacing w:after="0"/>
              <w:rPr>
                <w:sz w:val="17"/>
                <w:szCs w:val="17"/>
                <w:color w:val="auto"/>
              </w:rPr>
            </w:pPr>
          </w:p>
        </w:tc>
      </w:tr>
      <w:tr>
        <w:trPr>
          <w:trHeight w:val="345"/>
        </w:trPr>
        <w:tc>
          <w:tcPr>
            <w:tcW w:w="1120" w:type="dxa"/>
            <w:vAlign w:val="bottom"/>
          </w:tcPr>
          <w:p>
            <w:pPr>
              <w:spacing w:after="0"/>
              <w:rPr>
                <w:sz w:val="24"/>
                <w:szCs w:val="24"/>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Not applicable.</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4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Ownership of More than Five Percent on Behalf of Another Person:</w:t>
            </w:r>
          </w:p>
        </w:tc>
        <w:tc>
          <w:tcPr>
            <w:tcW w:w="4900" w:type="dxa"/>
            <w:vAlign w:val="bottom"/>
            <w:gridSpan w:val="2"/>
          </w:tcPr>
          <w:p>
            <w:pPr>
              <w:spacing w:after="0"/>
              <w:rPr>
                <w:sz w:val="24"/>
                <w:szCs w:val="24"/>
                <w:color w:val="auto"/>
              </w:rPr>
            </w:pPr>
          </w:p>
        </w:tc>
      </w:tr>
      <w:tr>
        <w:trPr>
          <w:trHeight w:val="330"/>
        </w:trPr>
        <w:tc>
          <w:tcPr>
            <w:tcW w:w="1120" w:type="dxa"/>
            <w:vAlign w:val="bottom"/>
          </w:tcPr>
          <w:p>
            <w:pPr>
              <w:spacing w:after="0"/>
              <w:rPr>
                <w:sz w:val="24"/>
                <w:szCs w:val="24"/>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w w:val="97"/>
              </w:rPr>
              <w:t>The clients of Dodge &amp; Cox, including investment companies registered under the Investment Company Act of 1940 and other</w:t>
            </w:r>
          </w:p>
        </w:tc>
      </w:tr>
      <w:tr>
        <w:trPr>
          <w:trHeight w:val="216"/>
        </w:trPr>
        <w:tc>
          <w:tcPr>
            <w:tcW w:w="1120" w:type="dxa"/>
            <w:vAlign w:val="bottom"/>
          </w:tcPr>
          <w:p>
            <w:pPr>
              <w:spacing w:after="0"/>
              <w:rPr>
                <w:sz w:val="18"/>
                <w:szCs w:val="18"/>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w w:val="96"/>
              </w:rPr>
              <w:t>managed accounts, have the right to receive or power to direct the receipt of dividends from, and the proceeds from the sale of,</w:t>
            </w:r>
          </w:p>
        </w:tc>
      </w:tr>
      <w:tr>
        <w:trPr>
          <w:trHeight w:val="230"/>
        </w:trPr>
        <w:tc>
          <w:tcPr>
            <w:tcW w:w="1120" w:type="dxa"/>
            <w:vAlign w:val="bottom"/>
          </w:tcPr>
          <w:p>
            <w:pPr>
              <w:spacing w:after="0"/>
              <w:rPr>
                <w:sz w:val="20"/>
                <w:szCs w:val="20"/>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Brighthouse Financial, Inc.</w:t>
            </w:r>
          </w:p>
        </w:tc>
      </w:tr>
      <w:tr>
        <w:trPr>
          <w:trHeight w:val="310"/>
        </w:trPr>
        <w:tc>
          <w:tcPr>
            <w:tcW w:w="1120" w:type="dxa"/>
            <w:vAlign w:val="bottom"/>
          </w:tcPr>
          <w:p>
            <w:pPr>
              <w:spacing w:after="0"/>
              <w:rPr>
                <w:sz w:val="24"/>
                <w:szCs w:val="24"/>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w w:val="90"/>
              </w:rPr>
              <w:t>Dodge &amp; Cox Stock Fund, an investment company registered under the Investment Company Act of 1940, has an interest of 6,699,363,</w:t>
            </w:r>
          </w:p>
        </w:tc>
      </w:tr>
      <w:tr>
        <w:trPr>
          <w:trHeight w:val="230"/>
        </w:trPr>
        <w:tc>
          <w:tcPr>
            <w:tcW w:w="1120" w:type="dxa"/>
            <w:vAlign w:val="bottom"/>
          </w:tcPr>
          <w:p>
            <w:pPr>
              <w:spacing w:after="0"/>
              <w:rPr>
                <w:sz w:val="20"/>
                <w:szCs w:val="20"/>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or 5.6%, of the class of securities reported herein.</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9800" w:type="dxa"/>
            <w:vAlign w:val="bottom"/>
            <w:gridSpan w:val="7"/>
          </w:tcPr>
          <w:p>
            <w:pPr>
              <w:spacing w:after="0"/>
              <w:rPr>
                <w:sz w:val="20"/>
                <w:szCs w:val="20"/>
                <w:color w:val="auto"/>
              </w:rPr>
            </w:pPr>
            <w:r>
              <w:rPr>
                <w:rFonts w:ascii="Arial" w:cs="Arial" w:eastAsia="Arial" w:hAnsi="Arial"/>
                <w:sz w:val="18"/>
                <w:szCs w:val="18"/>
                <w:color w:val="auto"/>
                <w:w w:val="94"/>
              </w:rPr>
              <w:t>Identification and Classification of the Subsidiary Which Acquired the Security Being Reported on By the Parent Holding Company:</w:t>
            </w:r>
          </w:p>
        </w:tc>
      </w:tr>
      <w:tr>
        <w:trPr>
          <w:trHeight w:val="345"/>
        </w:trPr>
        <w:tc>
          <w:tcPr>
            <w:tcW w:w="1120" w:type="dxa"/>
            <w:vAlign w:val="bottom"/>
          </w:tcPr>
          <w:p>
            <w:pPr>
              <w:spacing w:after="0"/>
              <w:rPr>
                <w:sz w:val="24"/>
                <w:szCs w:val="24"/>
                <w:color w:val="auto"/>
              </w:rPr>
            </w:pPr>
          </w:p>
        </w:tc>
        <w:tc>
          <w:tcPr>
            <w:tcW w:w="960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color w:val="auto"/>
              </w:rPr>
              <w:t>Not applicable.</w:t>
            </w:r>
          </w:p>
        </w:tc>
        <w:tc>
          <w:tcPr>
            <w:tcW w:w="200" w:type="dxa"/>
            <w:vAlign w:val="bottom"/>
          </w:tcPr>
          <w:p>
            <w:pPr>
              <w:spacing w:after="0"/>
              <w:rPr>
                <w:sz w:val="24"/>
                <w:szCs w:val="24"/>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4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Identification and Classification of Members of the Group:</w:t>
            </w:r>
          </w:p>
        </w:tc>
        <w:tc>
          <w:tcPr>
            <w:tcW w:w="5540" w:type="dxa"/>
            <w:vAlign w:val="bottom"/>
            <w:gridSpan w:val="3"/>
          </w:tcPr>
          <w:p>
            <w:pPr>
              <w:spacing w:after="0"/>
              <w:rPr>
                <w:sz w:val="24"/>
                <w:szCs w:val="24"/>
                <w:color w:val="auto"/>
              </w:rPr>
            </w:pPr>
          </w:p>
        </w:tc>
      </w:tr>
      <w:tr>
        <w:trPr>
          <w:trHeight w:val="345"/>
        </w:trPr>
        <w:tc>
          <w:tcPr>
            <w:tcW w:w="1120" w:type="dxa"/>
            <w:vAlign w:val="bottom"/>
          </w:tcPr>
          <w:p>
            <w:pPr>
              <w:spacing w:after="0"/>
              <w:rPr>
                <w:sz w:val="24"/>
                <w:szCs w:val="24"/>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Not applicable.</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Notice of Dissolution of a Group:</w:t>
            </w:r>
          </w:p>
        </w:tc>
        <w:tc>
          <w:tcPr>
            <w:tcW w:w="7360" w:type="dxa"/>
            <w:vAlign w:val="bottom"/>
            <w:gridSpan w:val="5"/>
          </w:tcPr>
          <w:p>
            <w:pPr>
              <w:spacing w:after="0"/>
              <w:rPr>
                <w:sz w:val="24"/>
                <w:szCs w:val="24"/>
                <w:color w:val="auto"/>
              </w:rPr>
            </w:pPr>
          </w:p>
        </w:tc>
      </w:tr>
      <w:tr>
        <w:trPr>
          <w:trHeight w:val="345"/>
        </w:trPr>
        <w:tc>
          <w:tcPr>
            <w:tcW w:w="1120" w:type="dxa"/>
            <w:vAlign w:val="bottom"/>
          </w:tcPr>
          <w:p>
            <w:pPr>
              <w:spacing w:after="0"/>
              <w:rPr>
                <w:sz w:val="24"/>
                <w:szCs w:val="24"/>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Not applicable.</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9800" w:type="dxa"/>
            <w:vAlign w:val="bottom"/>
            <w:gridSpan w:val="7"/>
          </w:tcPr>
          <w:p>
            <w:pPr>
              <w:spacing w:after="0"/>
              <w:rPr>
                <w:sz w:val="20"/>
                <w:szCs w:val="20"/>
                <w:color w:val="auto"/>
              </w:rPr>
            </w:pPr>
            <w:r>
              <w:rPr>
                <w:rFonts w:ascii="Arial" w:cs="Arial" w:eastAsia="Arial" w:hAnsi="Arial"/>
                <w:sz w:val="18"/>
                <w:szCs w:val="18"/>
                <w:color w:val="auto"/>
              </w:rPr>
              <w:t>Certification:</w:t>
            </w:r>
          </w:p>
        </w:tc>
      </w:tr>
      <w:tr>
        <w:trPr>
          <w:trHeight w:val="20"/>
        </w:trPr>
        <w:tc>
          <w:tcPr>
            <w:tcW w:w="1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40" w:type="dxa"/>
            <w:vAlign w:val="bottom"/>
            <w:gridSpan w:val="6"/>
          </w:tcPr>
          <w:p>
            <w:pPr>
              <w:spacing w:after="0" w:line="20" w:lineRule="exact"/>
              <w:rPr>
                <w:sz w:val="1"/>
                <w:szCs w:val="1"/>
                <w:color w:val="auto"/>
              </w:rPr>
            </w:pPr>
          </w:p>
        </w:tc>
      </w:tr>
      <w:tr>
        <w:trPr>
          <w:trHeight w:val="330"/>
        </w:trPr>
        <w:tc>
          <w:tcPr>
            <w:tcW w:w="1120" w:type="dxa"/>
            <w:vAlign w:val="bottom"/>
          </w:tcPr>
          <w:p>
            <w:pPr>
              <w:spacing w:after="0"/>
              <w:rPr>
                <w:sz w:val="24"/>
                <w:szCs w:val="24"/>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acquired in the ordinary</w:t>
            </w:r>
          </w:p>
        </w:tc>
      </w:tr>
      <w:tr>
        <w:trPr>
          <w:trHeight w:val="216"/>
        </w:trPr>
        <w:tc>
          <w:tcPr>
            <w:tcW w:w="1120" w:type="dxa"/>
            <w:vAlign w:val="bottom"/>
          </w:tcPr>
          <w:p>
            <w:pPr>
              <w:spacing w:after="0"/>
              <w:rPr>
                <w:sz w:val="18"/>
                <w:szCs w:val="18"/>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w w:val="93"/>
              </w:rPr>
              <w:t>course of business and were not acquired for the purpose of and do not have the effect of changing or influencing the control of the</w:t>
            </w:r>
          </w:p>
        </w:tc>
      </w:tr>
      <w:tr>
        <w:trPr>
          <w:trHeight w:val="230"/>
        </w:trPr>
        <w:tc>
          <w:tcPr>
            <w:tcW w:w="1120" w:type="dxa"/>
            <w:vAlign w:val="bottom"/>
          </w:tcPr>
          <w:p>
            <w:pPr>
              <w:spacing w:after="0"/>
              <w:rPr>
                <w:sz w:val="20"/>
                <w:szCs w:val="20"/>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w w:val="91"/>
              </w:rPr>
              <w:t>issuer of such securities and were not acquired in connection with or as a participant in any transaction having such purpose or effect.</w:t>
            </w: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6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Katherine M. Primas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Compliance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2019-12-21T01:31:58Z</dcterms:created>
  <dcterms:modified xsi:type="dcterms:W3CDTF">2019-12-21T01:31:58Z</dcterms:modified>
</cp:coreProperties>
</file>