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pPr>
      <w:r>
        <w:rPr>
          <w:rFonts w:ascii="Times New Roman;serif" w:hAnsi="Times New Roman;serif"/>
          <w:b/>
          <w:color w:val="000000"/>
          <w:sz w:val="22"/>
        </w:rPr>
        <w:t>Pursuant to Section 13 or 15(d) of The Securities Exchange Act of 1934</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8"/>
        </w:rPr>
        <w:t xml:space="preserve">Date of Report (Date of earliest event reported): </w:t>
      </w:r>
      <w:r>
        <w:rPr>
          <w:rFonts w:ascii="Times New Roman;serif" w:hAnsi="Times New Roman;serif"/>
          <w:b/>
          <w:color w:val="000000"/>
          <w:sz w:val="18"/>
        </w:rPr>
        <w:t>August 18, 2026 (August 12, 2026)</w:t>
      </w:r>
    </w:p>
    <w:p>
      <w:pPr>
        <w:pStyle w:val="TextBody"/>
        <w:bidi w:val="0"/>
        <w:spacing w:before="0" w:after="0"/>
        <w:jc w:val="center"/>
        <w:rPr/>
      </w:pPr>
      <w:r>
        <w:rPr/>
        <w:drawing>
          <wp:inline distT="0" distB="0" distL="0" distR="0">
            <wp:extent cx="22098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09800" cy="504825"/>
                    </a:xfrm>
                    <a:prstGeom prst="rect">
                      <a:avLst/>
                    </a:prstGeom>
                  </pic:spPr>
                </pic:pic>
              </a:graphicData>
            </a:graphic>
          </wp:inline>
        </w:drawing>
      </w:r>
      <w:bookmarkStart w:id="0" w:name="i-1"/>
      <w:bookmarkEnd w:id="0"/>
    </w:p>
    <w:p>
      <w:pPr>
        <w:pStyle w:val="TextBody"/>
        <w:bidi w:val="0"/>
        <w:spacing w:lineRule="auto" w:line="288" w:before="0" w:after="0"/>
        <w:jc w:val="center"/>
        <w:rPr/>
      </w:pPr>
      <w:r>
        <w:rPr>
          <w:rFonts w:ascii="Times New Roman;serif" w:hAnsi="Times New Roman;serif"/>
          <w:b/>
          <w:color w:val="000000"/>
          <w:sz w:val="40"/>
        </w:rPr>
        <w:t>Brighthouse Financial, Inc.</w:t>
      </w:r>
      <w:r>
        <w:rPr>
          <w:color w:val="000000"/>
        </w:rPr>
        <w:t xml:space="preserv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7859" w:type="dxa"/>
        <w:jc w:val="center"/>
        <w:tblInd w:w="0" w:type="dxa"/>
        <w:tblLayout w:type="fixed"/>
        <w:tblCellMar>
          <w:top w:w="28" w:type="dxa"/>
          <w:left w:w="28" w:type="dxa"/>
          <w:bottom w:w="28" w:type="dxa"/>
          <w:right w:w="28" w:type="dxa"/>
        </w:tblCellMar>
      </w:tblPr>
      <w:tblGrid>
        <w:gridCol w:w="1159"/>
        <w:gridCol w:w="1021"/>
        <w:gridCol w:w="1030"/>
        <w:gridCol w:w="687"/>
        <w:gridCol w:w="687"/>
        <w:gridCol w:w="695"/>
        <w:gridCol w:w="752"/>
        <w:gridCol w:w="752"/>
        <w:gridCol w:w="1076"/>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001-37905</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81-3846992</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tbl>
      <w:tblPr>
        <w:tblW w:w="6846" w:type="dxa"/>
        <w:jc w:val="center"/>
        <w:tblInd w:w="0" w:type="dxa"/>
        <w:tblLayout w:type="fixed"/>
        <w:tblCellMar>
          <w:top w:w="28" w:type="dxa"/>
          <w:left w:w="28" w:type="dxa"/>
          <w:bottom w:w="28" w:type="dxa"/>
          <w:right w:w="28" w:type="dxa"/>
        </w:tblCellMar>
      </w:tblPr>
      <w:tblGrid>
        <w:gridCol w:w="124"/>
        <w:gridCol w:w="109"/>
        <w:gridCol w:w="109"/>
        <w:gridCol w:w="1024"/>
        <w:gridCol w:w="1024"/>
        <w:gridCol w:w="1027"/>
        <w:gridCol w:w="294"/>
        <w:gridCol w:w="294"/>
        <w:gridCol w:w="296"/>
        <w:gridCol w:w="429"/>
        <w:gridCol w:w="429"/>
        <w:gridCol w:w="431"/>
        <w:gridCol w:w="109"/>
        <w:gridCol w:w="109"/>
        <w:gridCol w:w="109"/>
        <w:gridCol w:w="272"/>
        <w:gridCol w:w="272"/>
        <w:gridCol w:w="3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11225 North Community House Road,</w:t>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Charlotte,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28277</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8" w:type="dxa"/>
            <w:gridSpan w:val="9"/>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center"/>
        <w:rPr/>
      </w:pPr>
      <w:r>
        <w:rPr>
          <w:rFonts w:ascii="Times New Roman;serif" w:hAnsi="Times New Roman;serif"/>
          <w:b w:val="false"/>
          <w:color w:val="000000"/>
          <w:sz w:val="18"/>
        </w:rPr>
        <w:t xml:space="preserve">Registrant’s telephone number, including area code: </w:t>
      </w:r>
      <w:r>
        <w:rPr>
          <w:rFonts w:ascii="Times New Roman;serif" w:hAnsi="Times New Roman;serif"/>
          <w:b/>
          <w:color w:val="000000"/>
          <w:sz w:val="18"/>
        </w:rPr>
        <w:t>(980) 365-7100</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18"/>
        </w:rPr>
        <w:t>Not Applicable</w:t>
      </w:r>
      <w:r>
        <w:rPr>
          <w:color w:val="000000"/>
        </w:rPr>
        <w:t xml:space="preserv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(Former name or former address, if changed since last report)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Check the appropriate box below if the Form 8-K filing is intended to simultaneously satisfy the filing obligation of the registrant under any of the following provisions: </w:t>
      </w:r>
    </w:p>
    <w:p>
      <w:pPr>
        <w:pStyle w:val="TextBody"/>
        <w:bidi w:val="0"/>
        <w:spacing w:before="0" w:after="0"/>
        <w:jc w:val="both"/>
        <w:rPr/>
      </w:pPr>
      <w:r>
        <w:rPr/>
      </w:r>
    </w:p>
    <w:p>
      <w:pPr>
        <w:pStyle w:val="TextBody"/>
        <w:bidi w:val="0"/>
        <w:spacing w:lineRule="auto" w:line="288" w:before="0" w:after="60"/>
        <w:ind w:left="0" w:right="0" w:hanging="225"/>
        <w:jc w:val="both"/>
        <w:rPr/>
      </w:pPr>
      <w:r>
        <w:rPr>
          <w:color w:val="000000"/>
        </w:rPr>
        <w:t xml:space="preserve">☐ </w:t>
      </w:r>
      <w:r>
        <w:rPr>
          <w:rFonts w:ascii="Times New Roman;serif" w:hAnsi="Times New Roman;serif"/>
          <w:b w:val="false"/>
          <w:color w:val="000000"/>
          <w:sz w:val="18"/>
        </w:rPr>
        <w:t xml:space="preserve">Written communications pursuant to Rule 425 under the Securities Act (17 CFR 230.425) </w:t>
      </w:r>
    </w:p>
    <w:p>
      <w:pPr>
        <w:pStyle w:val="TextBody"/>
        <w:bidi w:val="0"/>
        <w:spacing w:lineRule="auto" w:line="288" w:before="0" w:after="60"/>
        <w:ind w:left="0" w:right="0" w:hanging="225"/>
        <w:jc w:val="both"/>
        <w:rPr/>
      </w:pPr>
      <w:r>
        <w:rPr>
          <w:color w:val="000000"/>
        </w:rPr>
        <w:t xml:space="preserve">☐ </w:t>
      </w:r>
      <w:r>
        <w:rPr>
          <w:rFonts w:ascii="Times New Roman;serif" w:hAnsi="Times New Roman;serif"/>
          <w:b w:val="false"/>
          <w:color w:val="000000"/>
          <w:sz w:val="18"/>
        </w:rPr>
        <w:t xml:space="preserve">Soliciting material pursuant to Rule 14a-12 under the Exchange Act (17 CFR 240.14a-12) </w:t>
      </w:r>
    </w:p>
    <w:p>
      <w:pPr>
        <w:pStyle w:val="TextBody"/>
        <w:bidi w:val="0"/>
        <w:spacing w:lineRule="auto" w:line="288" w:before="0" w:after="60"/>
        <w:ind w:left="0" w:right="0" w:hanging="225"/>
        <w:jc w:val="both"/>
        <w:rPr/>
      </w:pPr>
      <w:r>
        <w:rPr>
          <w:color w:val="000000"/>
        </w:rPr>
        <w:t xml:space="preserve">☐ </w:t>
      </w:r>
      <w:r>
        <w:rPr>
          <w:rFonts w:ascii="Times New Roman;serif" w:hAnsi="Times New Roman;serif"/>
          <w:b w:val="false"/>
          <w:color w:val="000000"/>
          <w:sz w:val="18"/>
        </w:rPr>
        <w:t xml:space="preserve">Pre-commencement communications pursuant to Rule 14d-2(b) under the Exchange Act (17 CFR 240.14d-2(b)) </w:t>
      </w:r>
    </w:p>
    <w:p>
      <w:pPr>
        <w:pStyle w:val="TextBody"/>
        <w:bidi w:val="0"/>
        <w:spacing w:lineRule="auto" w:line="288" w:before="0" w:after="0"/>
        <w:ind w:left="0" w:right="0" w:hanging="225"/>
        <w:jc w:val="both"/>
        <w:rPr/>
      </w:pPr>
      <w:r>
        <w:rPr>
          <w:color w:val="000000"/>
        </w:rPr>
        <w:t xml:space="preserve">☐ </w:t>
      </w:r>
      <w:r>
        <w:rPr>
          <w:rFonts w:ascii="Times New Roman;serif" w:hAnsi="Times New Roman;serif"/>
          <w:b w:val="false"/>
          <w:color w:val="000000"/>
          <w:sz w:val="18"/>
        </w:rPr>
        <w:t xml:space="preserve">Pre-commencement communications pursuant to Rule 13e-4(c) under the Exchange Act (17 CFR 240.13e-4(c)) </w:t>
      </w:r>
    </w:p>
    <w:p>
      <w:pPr>
        <w:pStyle w:val="TextBody"/>
        <w:bidi w:val="0"/>
        <w:spacing w:before="0" w:after="0"/>
        <w:ind w:left="0" w:right="0" w:hanging="225"/>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510"/>
        <w:gridCol w:w="2024"/>
        <w:gridCol w:w="2036"/>
        <w:gridCol w:w="415"/>
        <w:gridCol w:w="390"/>
        <w:gridCol w:w="391"/>
        <w:gridCol w:w="712"/>
        <w:gridCol w:w="712"/>
        <w:gridCol w:w="1015"/>
      </w:tblGrid>
      <w:tr>
        <w:trPr/>
        <w:tc>
          <w:tcPr>
            <w:tcW w:w="2510"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symbol(s)</w:t>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par value $0.01 per share</w:t>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BHF</w:t>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Depositary Shares, each representing a 1/1,000th interest in a share of 6.600% Non-Cumulative Preferred Stock, Series A</w:t>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BHFAP</w:t>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Depositary Shares, each representing a 1/1,000th interest in a share of 6.750% Non-Cumulative Preferred Stock, Series B</w:t>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BHFAO</w:t>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Depositary Shares, each representing a 1/1,000th interest in a share of 5.375% Non-Cumulative Preferred Stock, Series C</w:t>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BHFAN</w:t>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Depositary Shares, each representing a 1/1,000th interest in a share of 4.625% Non-Cumulative Preferred Stock, Series D</w:t>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BHFAM</w:t>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r>
        <w:trPr/>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6.250% Junior Subordinated Debentures due 2058</w:t>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BHFAL</w:t>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before="0" w:after="0"/>
        <w:ind w:left="0" w:right="0" w:hanging="225"/>
        <w:jc w:val="both"/>
        <w:rPr/>
      </w:pPr>
      <w:r>
        <w:rPr/>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1225"/>
        <w:gridCol w:w="1075"/>
        <w:gridCol w:w="1075"/>
        <w:gridCol w:w="1075"/>
        <w:gridCol w:w="1075"/>
        <w:gridCol w:w="1075"/>
        <w:gridCol w:w="1075"/>
        <w:gridCol w:w="1075"/>
        <w:gridCol w:w="1075"/>
        <w:gridCol w:w="109"/>
        <w:gridCol w:w="109"/>
        <w:gridCol w:w="162"/>
      </w:tblGrid>
      <w:tr>
        <w:trPr/>
        <w:tc>
          <w:tcPr>
            <w:tcW w:w="122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825" w:type="dxa"/>
            <w:gridSpan w:val="9"/>
            <w:tcBorders/>
            <w:tcMar>
              <w:top w:w="0" w:type="dxa"/>
              <w:left w:w="0" w:type="dxa"/>
              <w:bottom w:w="0" w:type="dxa"/>
              <w:right w:w="0" w:type="dxa"/>
            </w:tcMar>
            <w:vAlign w:val="center"/>
          </w:tcPr>
          <w:p>
            <w:pPr>
              <w:pStyle w:val="TableContents"/>
              <w:bidi w:val="0"/>
              <w:spacing w:lineRule="auto" w:line="240" w:before="0" w:after="60"/>
              <w:jc w:val="right"/>
              <w:rPr>
                <w:color w:val="000000"/>
              </w:rPr>
            </w:pPr>
            <w:r>
              <w:rPr>
                <w:color w:val="000000"/>
              </w:rPr>
              <w:t> </w:t>
            </w:r>
            <w:r>
              <w:rPr>
                <w:rFonts w:ascii="Times New Roman;serif" w:hAnsi="Times New Roman;serif"/>
                <w:b w:val="false"/>
                <w:color w:val="000000"/>
                <w:sz w:val="18"/>
              </w:rPr>
              <w:t>Emerging growth company</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9825" w:type="dxa"/>
            <w:gridSpan w:val="9"/>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5.02. Departure of Directors or Certain Officers; Election of Directors; Appointment of Certain Officers; Compensatory Arrangements of Certain Officers.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August 17, 2026, the Board of Directors of Brighthouse Financial, Inc. (“Brighthouse Financial” or the “Company”) appointed Richard A. Cook, the Company’s Deputy Chief Accounting Officer, as Chief Accounting Officer (“CAO”), effective September 3, 2026. Mr. Cook will succeed Melissa B. Pavlovich, who informed the Company on August 12, 2026 that she has accepted a new opportunity and will be resigning from the Company. Ms. Pavlovich’s last day at Brighthouse Financial will be September 2, 2026.</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Ms. Pavlovich’s departure is not due to any matters related to the Company’s financial statements or disclosures, or accounting principles and practices.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an offer letter in connection with his appointment, in his new role, Mr. Cook will receive an annual base salary of $425,000. He will have a target annual short-term incentive opportunity under the Amended and Restated Brighthouse Services, LLC Short-Term Incentive Plan of 60% of his annual base salary and will be eligible to receive incentive awards under the Amended and Restated Brighthouse Financial, Inc. 2017 Stock and Incentive Compensation Plan (the “LTI Plan”) with a target opportunity valued at $219,500, in each case, subject to the terms of the applicable plan, individual performance and the Company’s achievement of certain specified performance goals. Awards under the LTI Plan are also subject to the applicable award agreement (including the award agreement supplement).</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Mr. Cook, age 50, joined the Company in 2016 as Investment Controller and served in that role until his appointment as Interim CAO in November 2024. He served as Interim CAO until August 2025, when he was appointed to his current role as the Company’s Deputy CAO.</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Prior to joining the Company, Mr. Cook was Assistant Vice President, Regulatory Reporting for MetLife, Inc. where he was a key member of the Investment External Reporting &amp; Analytics group since 2010. He originally joined MetLife in 2004 and oversaw the Specialized Investment Accounting team. Mr. Cook began his career at State Street Bank &amp; Trust and also worked at AEGON Equity Group.</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345"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tbl>
      <w:tblPr>
        <w:tblW w:w="8610" w:type="dxa"/>
        <w:jc w:val="left"/>
        <w:tblInd w:w="0" w:type="dxa"/>
        <w:tblLayout w:type="fixed"/>
        <w:tblCellMar>
          <w:top w:w="28" w:type="dxa"/>
          <w:left w:w="28" w:type="dxa"/>
          <w:bottom w:w="28" w:type="dxa"/>
          <w:right w:w="28" w:type="dxa"/>
        </w:tblCellMar>
      </w:tblPr>
      <w:tblGrid>
        <w:gridCol w:w="364"/>
        <w:gridCol w:w="320"/>
        <w:gridCol w:w="322"/>
        <w:gridCol w:w="2222"/>
        <w:gridCol w:w="2222"/>
        <w:gridCol w:w="3160"/>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Exhibit No.</w:t>
            </w:r>
          </w:p>
        </w:tc>
        <w:tc>
          <w:tcPr>
            <w:tcW w:w="7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Description</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760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847725"/>
                <wp:effectExtent l="0" t="0" r="0" b="0"/>
                <wp:wrapNone/>
                <wp:docPr id="3" name="Frame2"/>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tbl>
      <w:tblPr>
        <w:tblW w:w="7927" w:type="dxa"/>
        <w:jc w:val="right"/>
        <w:tblInd w:w="0" w:type="dxa"/>
        <w:tblLayout w:type="fixed"/>
        <w:tblCellMar>
          <w:top w:w="28" w:type="dxa"/>
          <w:left w:w="28" w:type="dxa"/>
          <w:bottom w:w="28" w:type="dxa"/>
          <w:right w:w="28" w:type="dxa"/>
        </w:tblCellMar>
      </w:tblPr>
      <w:tblGrid>
        <w:gridCol w:w="326"/>
        <w:gridCol w:w="285"/>
        <w:gridCol w:w="285"/>
        <w:gridCol w:w="741"/>
        <w:gridCol w:w="741"/>
        <w:gridCol w:w="741"/>
        <w:gridCol w:w="741"/>
        <w:gridCol w:w="741"/>
        <w:gridCol w:w="741"/>
        <w:gridCol w:w="741"/>
        <w:gridCol w:w="741"/>
        <w:gridCol w:w="1103"/>
      </w:tblGrid>
      <w:tr>
        <w:trPr/>
        <w:tc>
          <w:tcPr>
            <w:tcW w:w="32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792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BRIGHTHOUSE FINANCIAL, INC.</w:t>
            </w:r>
          </w:p>
        </w:tc>
      </w:tr>
      <w:tr>
        <w:trPr/>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70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Allie Lin</w:t>
            </w:r>
          </w:p>
        </w:tc>
      </w:tr>
      <w:tr>
        <w:trPr/>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Allie Lin</w:t>
            </w:r>
          </w:p>
        </w:tc>
        <w:tc>
          <w:tcPr>
            <w:tcW w:w="2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 w:type="dxa"/>
            <w:gridSpan w:val="3"/>
            <w:tcBorders/>
            <w:tcMar>
              <w:top w:w="0" w:type="dxa"/>
              <w:left w:w="0" w:type="dxa"/>
              <w:bottom w:w="0" w:type="dxa"/>
              <w:right w:w="0" w:type="dxa"/>
            </w:tcMar>
            <w:vAlign w:val="center"/>
          </w:tcPr>
          <w:p>
            <w:pPr>
              <w:pStyle w:val="TableContents"/>
              <w:bidi w:val="0"/>
              <w:spacing w:before="0" w:after="283"/>
              <w:ind w:left="0" w:right="0" w:hanging="720"/>
              <w:jc w:val="left"/>
              <w:rPr>
                <w:sz w:val="4"/>
                <w:szCs w:val="4"/>
              </w:rPr>
            </w:pPr>
            <w:r>
              <w:rPr>
                <w:sz w:val="4"/>
                <w:szCs w:val="4"/>
              </w:rPr>
            </w:r>
          </w:p>
        </w:tc>
        <w:tc>
          <w:tcPr>
            <w:tcW w:w="70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Executive Vice President, General Counsel and Corporate Secretary</w:t>
            </w:r>
          </w:p>
        </w:tc>
      </w:tr>
    </w:tbl>
    <w:p>
      <w:pPr>
        <w:pStyle w:val="TextBody"/>
        <w:bidi w:val="0"/>
        <w:spacing w:before="0" w:after="120"/>
        <w:ind w:left="0" w:right="0" w:firstLine="45"/>
        <w:jc w:val="both"/>
        <w:rPr/>
      </w:pPr>
      <w:r>
        <w:rPr/>
      </w:r>
    </w:p>
    <w:p>
      <w:pPr>
        <w:pStyle w:val="TextBody"/>
        <w:bidi w:val="0"/>
        <w:spacing w:lineRule="auto" w:line="288" w:before="0" w:after="120"/>
        <w:ind w:left="0" w:right="0" w:firstLine="45"/>
        <w:jc w:val="both"/>
        <w:rPr>
          <w:rFonts w:ascii="Times New Roman;serif" w:hAnsi="Times New Roman;serif"/>
          <w:b w:val="false"/>
          <w:color w:val="000000"/>
          <w:sz w:val="22"/>
        </w:rPr>
      </w:pPr>
      <w:r>
        <w:rPr>
          <w:rFonts w:ascii="Times New Roman;serif" w:hAnsi="Times New Roman;serif"/>
          <w:b w:val="false"/>
          <w:color w:val="000000"/>
          <w:sz w:val="22"/>
        </w:rPr>
        <w:t>Date: August 18, 2026</w:t>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847725"/>
                <wp:effectExtent l="0" t="0" r="0" b="0"/>
                <wp:wrapNone/>
                <wp:docPr id="4" name="Frame3"/>
                <a:graphic xmlns:a="http://schemas.openxmlformats.org/drawingml/2006/main">
                  <a:graphicData uri="http://schemas.microsoft.com/office/word/2010/wordprocessingShape">
                    <wps:wsp>
                      <wps:cNvSpPr txBox="1"/>
                      <wps:spPr>
                        <a:xfrm>
                          <a:off x="0" y="0"/>
                          <a:ext cx="6480175" cy="847725"/>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6.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846</Words>
  <Characters>4679</Characters>
  <CharactersWithSpaces>5459</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