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257"/>
        </w:trPr>
        <w:tc>
          <w:tcPr>
            <w:tcW w:w="8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Form 24F-2NT Filer Information  UNITED STATES</w:t>
            </w:r>
          </w:p>
        </w:tc>
        <w:tc>
          <w:tcPr>
            <w:tcW w:w="29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OMB APPROVAL</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2"/>
                <w:szCs w:val="22"/>
                <w:color w:val="auto"/>
              </w:rPr>
            </w:pPr>
          </w:p>
        </w:tc>
        <w:tc>
          <w:tcPr>
            <w:tcW w:w="55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SECURITIES AND EXCHANGE COMMISSION</w:t>
            </w:r>
          </w:p>
        </w:tc>
        <w:tc>
          <w:tcPr>
            <w:tcW w:w="29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OMB Number: 3235-0456</w:t>
            </w:r>
          </w:p>
        </w:tc>
        <w:tc>
          <w:tcPr>
            <w:tcW w:w="0" w:type="dxa"/>
            <w:vAlign w:val="bottom"/>
          </w:tcPr>
          <w:p>
            <w:pPr>
              <w:spacing w:after="0"/>
              <w:rPr>
                <w:sz w:val="1"/>
                <w:szCs w:val="1"/>
                <w:color w:val="auto"/>
              </w:rPr>
            </w:pPr>
          </w:p>
        </w:tc>
      </w:tr>
      <w:tr>
        <w:trPr>
          <w:trHeight w:val="277"/>
        </w:trPr>
        <w:tc>
          <w:tcPr>
            <w:tcW w:w="2660" w:type="dxa"/>
            <w:vAlign w:val="bottom"/>
          </w:tcPr>
          <w:p>
            <w:pPr>
              <w:spacing w:after="0"/>
              <w:rPr>
                <w:sz w:val="24"/>
                <w:szCs w:val="24"/>
                <w:color w:val="auto"/>
              </w:rPr>
            </w:pPr>
          </w:p>
        </w:tc>
        <w:tc>
          <w:tcPr>
            <w:tcW w:w="55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Washington, D.C. 20549</w:t>
            </w:r>
          </w:p>
        </w:tc>
        <w:tc>
          <w:tcPr>
            <w:tcW w:w="200" w:type="dxa"/>
            <w:vAlign w:val="bottom"/>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6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Form 24F-2NT</w:t>
            </w:r>
          </w:p>
        </w:tc>
        <w:tc>
          <w:tcPr>
            <w:tcW w:w="554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FORM 24F-2</w:t>
            </w:r>
          </w:p>
        </w:tc>
        <w:tc>
          <w:tcPr>
            <w:tcW w:w="2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rPr>
              <w:t>Estimated average burden</w:t>
            </w:r>
          </w:p>
        </w:tc>
        <w:tc>
          <w:tcPr>
            <w:tcW w:w="0" w:type="dxa"/>
            <w:vAlign w:val="bottom"/>
          </w:tcPr>
          <w:p>
            <w:pPr>
              <w:spacing w:after="0"/>
              <w:rPr>
                <w:sz w:val="1"/>
                <w:szCs w:val="1"/>
                <w:color w:val="auto"/>
              </w:rPr>
            </w:pPr>
          </w:p>
        </w:tc>
      </w:tr>
      <w:tr>
        <w:trPr>
          <w:trHeight w:val="55"/>
        </w:trPr>
        <w:tc>
          <w:tcPr>
            <w:tcW w:w="2660" w:type="dxa"/>
            <w:vAlign w:val="bottom"/>
          </w:tcPr>
          <w:p>
            <w:pPr>
              <w:spacing w:after="0"/>
              <w:rPr>
                <w:sz w:val="4"/>
                <w:szCs w:val="4"/>
                <w:color w:val="auto"/>
              </w:rPr>
            </w:pPr>
          </w:p>
        </w:tc>
        <w:tc>
          <w:tcPr>
            <w:tcW w:w="5540" w:type="dxa"/>
            <w:vAlign w:val="bottom"/>
            <w:vMerge w:val="continue"/>
          </w:tcPr>
          <w:p>
            <w:pPr>
              <w:spacing w:after="0"/>
              <w:rPr>
                <w:sz w:val="4"/>
                <w:szCs w:val="4"/>
                <w:color w:val="auto"/>
              </w:rPr>
            </w:pPr>
          </w:p>
        </w:tc>
        <w:tc>
          <w:tcPr>
            <w:tcW w:w="2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2660" w:type="dxa"/>
            <w:vAlign w:val="bottom"/>
          </w:tcPr>
          <w:p>
            <w:pPr>
              <w:spacing w:after="0"/>
              <w:rPr>
                <w:sz w:val="24"/>
                <w:szCs w:val="24"/>
                <w:color w:val="auto"/>
              </w:rPr>
            </w:pPr>
          </w:p>
        </w:tc>
        <w:tc>
          <w:tcPr>
            <w:tcW w:w="55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Annual Notice of Securities Sold Pursuant to Rule 24f-2</w:t>
            </w:r>
          </w:p>
        </w:tc>
        <w:tc>
          <w:tcPr>
            <w:tcW w:w="29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hours per response: 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7090410</wp:posOffset>
            </wp:positionH>
            <wp:positionV relativeFrom="paragraph">
              <wp:posOffset>-482600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-482600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24F-2NT: Filer Information</w:t>
      </w:r>
    </w:p>
    <w:p>
      <w:pPr>
        <w:sectPr>
          <w:pgSz w:w="11900" w:h="16838" w:orient="portrait"/>
          <w:cols w:equalWidth="0" w:num="1">
            <w:col w:w="11200"/>
          </w:cols>
          <w:pgMar w:left="320" w:top="261" w:right="37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Filer CIK</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Filer CCC</w:t>
      </w:r>
    </w:p>
    <w:p>
      <w:pPr>
        <w:spacing w:after="0" w:line="1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Filer Investment Company Type</w:t>
      </w:r>
    </w:p>
    <w:p>
      <w:pPr>
        <w:spacing w:after="0" w:line="17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p>
      <w:pPr>
        <w:spacing w:after="0" w:line="58" w:lineRule="exact"/>
        <w:rPr>
          <w:sz w:val="24"/>
          <w:szCs w:val="24"/>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 this an electronic copy of an official filing submitted in paper format?</w:t>
      </w:r>
    </w:p>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Submission Contact Information</w:t>
      </w:r>
    </w:p>
    <w:p>
      <w:pPr>
        <w:spacing w:after="0" w:line="3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 Number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Notification Information</w:t>
      </w:r>
    </w:p>
    <w:p>
      <w:pPr>
        <w:spacing w:after="0" w:line="35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Notify via Filing Website only?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Payor Information</w:t>
      </w:r>
    </w:p>
    <w:p>
      <w:pPr>
        <w:spacing w:after="0" w:line="3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Payor CIK</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Payor CCC</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0001167609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4"/>
          <w:szCs w:val="24"/>
          <w:color w:val="auto"/>
        </w:rPr>
      </w:pPr>
    </w:p>
    <w:p>
      <w:pPr>
        <w:ind w:right="840"/>
        <w:spacing w:after="0" w:line="258" w:lineRule="auto"/>
        <w:rPr>
          <w:sz w:val="20"/>
          <w:szCs w:val="20"/>
          <w:color w:val="auto"/>
        </w:rPr>
      </w:pPr>
      <w:r>
        <w:rPr>
          <w:rFonts w:ascii="Times New Roman" w:cs="Times New Roman" w:eastAsia="Times New Roman" w:hAnsi="Times New Roman"/>
          <w:sz w:val="22"/>
          <w:szCs w:val="22"/>
          <w:color w:val="auto"/>
        </w:rPr>
        <w:t>Form N-4 Filer (Variable Annuity UIT Separate Account)</w:t>
      </w:r>
    </w:p>
    <w:p>
      <w:pPr>
        <w:spacing w:after="0" w:line="23" w:lineRule="exact"/>
        <w:rPr>
          <w:sz w:val="24"/>
          <w:szCs w:val="24"/>
          <w:color w:val="auto"/>
        </w:rPr>
      </w:pPr>
    </w:p>
    <w:p>
      <w:pPr>
        <w:spacing w:after="0"/>
        <w:rPr>
          <w:sz w:val="20"/>
          <w:szCs w:val="20"/>
          <w:color w:val="auto"/>
        </w:rPr>
      </w:pPr>
      <w:r>
        <w:rPr>
          <w:sz w:val="1"/>
          <w:szCs w:val="1"/>
          <w:color w:val="auto"/>
        </w:rPr>
        <w:drawing>
          <wp:inline distT="0" distB="0" distL="0" distR="0">
            <wp:extent cx="137160" cy="1371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124460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360" w:lineRule="exact"/>
        <w:rPr>
          <w:sz w:val="24"/>
          <w:szCs w:val="24"/>
          <w:color w:val="auto"/>
        </w:rPr>
      </w:pPr>
    </w:p>
    <w:p>
      <w:pPr>
        <w:sectPr>
          <w:pgSz w:w="11900" w:h="16838" w:orient="portrait"/>
          <w:cols w:equalWidth="0" w:num="2">
            <w:col w:w="5560" w:space="660"/>
            <w:col w:w="4980"/>
          </w:cols>
          <w:pgMar w:left="320" w:top="261" w:right="379" w:bottom="0" w:gutter="0" w:footer="0" w:header="0"/>
          <w:type w:val="continuous"/>
        </w:sectPr>
      </w:pP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24F-2NT:Series/Class (Contract) Information</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24F-2NT:Annual Filing Information</w:t>
      </w:r>
    </w:p>
    <w:p>
      <w:pPr>
        <w:spacing w:after="0" w:line="3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Form 24F-2 Annual Filing</w:t>
      </w:r>
    </w:p>
    <w:p>
      <w:pPr>
        <w:spacing w:after="0" w:line="280" w:lineRule="exact"/>
        <w:rPr>
          <w:sz w:val="24"/>
          <w:szCs w:val="24"/>
          <w:color w:val="auto"/>
        </w:rPr>
      </w:pPr>
    </w:p>
    <w:p>
      <w:pPr>
        <w:ind w:left="40" w:right="380"/>
        <w:spacing w:after="0" w:line="256" w:lineRule="auto"/>
        <w:rPr>
          <w:sz w:val="20"/>
          <w:szCs w:val="20"/>
          <w:color w:val="auto"/>
        </w:rPr>
      </w:pPr>
      <w:r>
        <w:rPr>
          <w:rFonts w:ascii="Times New Roman" w:cs="Times New Roman" w:eastAsia="Times New Roman" w:hAnsi="Times New Roman"/>
          <w:sz w:val="22"/>
          <w:szCs w:val="22"/>
          <w:color w:val="auto"/>
        </w:rPr>
        <w:t>Filers submitting a 24F-2 where the total fee due is based upon the aggregate net sales of all series and classes with the same fiscal year should only complete one copy of the form. To begin the form select "Add 24F-2 Form".</w:t>
      </w:r>
    </w:p>
    <w:p>
      <w:pPr>
        <w:jc w:val="both"/>
        <w:ind w:left="40" w:right="80"/>
        <w:spacing w:after="0" w:line="244" w:lineRule="auto"/>
        <w:rPr>
          <w:sz w:val="20"/>
          <w:szCs w:val="20"/>
          <w:color w:val="auto"/>
        </w:rPr>
      </w:pPr>
      <w:r>
        <w:rPr>
          <w:rFonts w:ascii="Times New Roman" w:cs="Times New Roman" w:eastAsia="Times New Roman" w:hAnsi="Times New Roman"/>
          <w:sz w:val="22"/>
          <w:szCs w:val="22"/>
          <w:color w:val="auto"/>
        </w:rPr>
        <w:t>Filers calculating fees on a class-by-class or series-by-series basis must complete a separate Form 24F-2 for each class or series. The application will allow you to create a separate form for each series or class within a single submission. Simply select "Add 24F-2 Form" to begin each additional form.</w:t>
      </w:r>
    </w:p>
    <w:p>
      <w:pPr>
        <w:spacing w:after="0" w:line="1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Read instructions at end of Form before preparing Form. See "INSTRUCTIONS" link above.</w:t>
      </w:r>
    </w:p>
    <w:p>
      <w:pPr>
        <w:sectPr>
          <w:pgSz w:w="11900" w:h="16838" w:orient="portrait"/>
          <w:cols w:equalWidth="0" w:num="1">
            <w:col w:w="11200"/>
          </w:cols>
          <w:pgMar w:left="320" w:top="261" w:right="379" w:bottom="0" w:gutter="0" w:footer="0" w:header="0"/>
          <w:type w:val="continuous"/>
        </w:sectPr>
      </w:pP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Annual Filing Information Record:1</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 Name and address of issuer:</w:t>
      </w:r>
    </w:p>
    <w:p>
      <w:pPr>
        <w:spacing w:after="0" w:line="200" w:lineRule="exact"/>
        <w:rPr>
          <w:sz w:val="24"/>
          <w:szCs w:val="24"/>
          <w:color w:val="auto"/>
        </w:rPr>
      </w:pPr>
    </w:p>
    <w:p>
      <w:pPr>
        <w:spacing w:after="0" w:line="2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2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Street 1</w:t>
      </w:r>
    </w:p>
    <w:p>
      <w:pPr>
        <w:spacing w:after="0" w:line="2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Street 2</w:t>
      </w:r>
    </w:p>
    <w:p>
      <w:pPr>
        <w:spacing w:after="0" w:line="2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State</w:t>
      </w:r>
    </w:p>
    <w:p>
      <w:pPr>
        <w:spacing w:after="0" w:line="1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BRIGHTHOUSE LIFE INSURANCE Co OF NY</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285 Madison Avenue</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2">
            <w:col w:w="4120" w:space="720"/>
            <w:col w:w="6360"/>
          </w:cols>
          <w:pgMar w:left="320" w:top="261" w:right="379" w:bottom="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 xml:space="preserve">Zip code and zip code extension or foreign postal code </w:t>
      </w:r>
      <w:r>
        <w:rPr>
          <w:rFonts w:ascii="Times New Roman" w:cs="Times New Roman" w:eastAsia="Times New Roman" w:hAnsi="Times New Roman"/>
          <w:sz w:val="43"/>
          <w:szCs w:val="43"/>
          <w:color w:val="auto"/>
          <w:vertAlign w:val="superscript"/>
        </w:rPr>
        <w:t>10017</w:t>
      </w:r>
    </w:p>
    <w:p>
      <w:pPr>
        <w:spacing w:after="0" w:line="200" w:lineRule="exact"/>
        <w:rPr>
          <w:sz w:val="20"/>
          <w:szCs w:val="20"/>
          <w:color w:val="auto"/>
        </w:rPr>
      </w:pPr>
    </w:p>
    <w:p>
      <w:pPr>
        <w:spacing w:after="0" w:line="326" w:lineRule="exact"/>
        <w:rPr>
          <w:sz w:val="20"/>
          <w:szCs w:val="20"/>
          <w:color w:val="auto"/>
        </w:rPr>
      </w:pPr>
    </w:p>
    <w:p>
      <w:pPr>
        <w:ind w:right="80" w:firstLine="8"/>
        <w:spacing w:after="0" w:line="264" w:lineRule="auto"/>
        <w:tabs>
          <w:tab w:leader="none" w:pos="216" w:val="left"/>
        </w:tabs>
        <w:numPr>
          <w:ilvl w:val="0"/>
          <w:numId w:val="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The name and EDGAR identifier of each series or class of securities for which this Form is filed (if the Form is being filed for all series and classes of securities of the issuer, check the box but do not list series or classes):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Class ID Record:1</w:t>
            </w:r>
          </w:p>
        </w:tc>
        <w:tc>
          <w:tcPr>
            <w:tcW w:w="1140" w:type="dxa"/>
            <w:vAlign w:val="bottom"/>
          </w:tcPr>
          <w:p>
            <w:pPr>
              <w:spacing w:after="0"/>
              <w:rPr>
                <w:sz w:val="24"/>
                <w:szCs w:val="24"/>
                <w:color w:val="auto"/>
              </w:rPr>
            </w:pPr>
          </w:p>
        </w:tc>
      </w:tr>
      <w:tr>
        <w:trPr>
          <w:trHeight w:val="338"/>
        </w:trPr>
        <w:tc>
          <w:tcPr>
            <w:tcW w:w="10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Class Name Brighthouse Shield/R/ Level II 6-Year Annuity</w:t>
            </w:r>
          </w:p>
        </w:tc>
        <w:tc>
          <w:tcPr>
            <w:tcW w:w="1140" w:type="dxa"/>
            <w:vAlign w:val="bottom"/>
          </w:tcPr>
          <w:p>
            <w:pPr>
              <w:spacing w:after="0"/>
              <w:rPr>
                <w:sz w:val="24"/>
                <w:szCs w:val="24"/>
                <w:color w:val="auto"/>
              </w:rPr>
            </w:pPr>
          </w:p>
        </w:tc>
      </w:tr>
      <w:tr>
        <w:trPr>
          <w:trHeight w:val="297"/>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Class ID</w:t>
            </w:r>
          </w:p>
        </w:tc>
        <w:tc>
          <w:tcPr>
            <w:tcW w:w="9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C000261171</w:t>
            </w:r>
          </w:p>
        </w:tc>
        <w:tc>
          <w:tcPr>
            <w:tcW w:w="1140" w:type="dxa"/>
            <w:vAlign w:val="bottom"/>
          </w:tcPr>
          <w:p>
            <w:pPr>
              <w:spacing w:after="0"/>
              <w:rPr>
                <w:sz w:val="24"/>
                <w:szCs w:val="24"/>
                <w:color w:val="auto"/>
              </w:rPr>
            </w:pPr>
          </w:p>
        </w:tc>
      </w:tr>
      <w:tr>
        <w:trPr>
          <w:trHeight w:val="567"/>
        </w:trPr>
        <w:tc>
          <w:tcPr>
            <w:tcW w:w="10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 Investment Company Act File Number:</w:t>
            </w:r>
          </w:p>
        </w:tc>
        <w:tc>
          <w:tcPr>
            <w:tcW w:w="1140" w:type="dxa"/>
            <w:vAlign w:val="bottom"/>
          </w:tcPr>
          <w:p>
            <w:pPr>
              <w:spacing w:after="0"/>
              <w:rPr>
                <w:sz w:val="24"/>
                <w:szCs w:val="24"/>
                <w:color w:val="auto"/>
              </w:rPr>
            </w:pPr>
          </w:p>
        </w:tc>
      </w:tr>
      <w:tr>
        <w:trPr>
          <w:trHeight w:val="283"/>
        </w:trPr>
        <w:tc>
          <w:tcPr>
            <w:tcW w:w="10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Securities Act File Number Record:1</w:t>
            </w:r>
          </w:p>
        </w:tc>
        <w:tc>
          <w:tcPr>
            <w:tcW w:w="1140" w:type="dxa"/>
            <w:vAlign w:val="bottom"/>
          </w:tcPr>
          <w:p>
            <w:pPr>
              <w:spacing w:after="0"/>
              <w:rPr>
                <w:sz w:val="24"/>
                <w:szCs w:val="24"/>
                <w:color w:val="auto"/>
              </w:rPr>
            </w:pPr>
          </w:p>
        </w:tc>
      </w:tr>
      <w:tr>
        <w:trPr>
          <w:trHeight w:val="338"/>
        </w:trPr>
        <w:tc>
          <w:tcPr>
            <w:tcW w:w="10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Securities Act File Number: 333-279315</w:t>
            </w:r>
          </w:p>
        </w:tc>
        <w:tc>
          <w:tcPr>
            <w:tcW w:w="1140" w:type="dxa"/>
            <w:vAlign w:val="bottom"/>
          </w:tcPr>
          <w:p>
            <w:pPr>
              <w:spacing w:after="0"/>
              <w:rPr>
                <w:sz w:val="24"/>
                <w:szCs w:val="24"/>
                <w:color w:val="auto"/>
              </w:rPr>
            </w:pPr>
          </w:p>
        </w:tc>
      </w:tr>
      <w:tr>
        <w:trPr>
          <w:trHeight w:val="567"/>
        </w:trPr>
        <w:tc>
          <w:tcPr>
            <w:tcW w:w="10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4(a). Last day of fiscal year for which this Form is filed: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12/31/2025</w:t>
            </w:r>
          </w:p>
        </w:tc>
      </w:tr>
      <w:tr>
        <w:trPr>
          <w:trHeight w:val="258"/>
        </w:trPr>
        <w:tc>
          <w:tcPr>
            <w:tcW w:w="10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4(b). Check box if this Form is being filed late (i.e., more than 90 calendar days after the end of the issuer’s fiscal</w:t>
            </w:r>
          </w:p>
        </w:tc>
        <w:tc>
          <w:tcPr>
            <w:tcW w:w="1140" w:type="dxa"/>
            <w:vAlign w:val="bottom"/>
          </w:tcPr>
          <w:p>
            <w:pPr>
              <w:spacing w:after="0"/>
              <w:rPr>
                <w:sz w:val="22"/>
                <w:szCs w:val="22"/>
                <w:color w:val="auto"/>
              </w:rPr>
            </w:pPr>
          </w:p>
        </w:tc>
      </w:tr>
      <w:tr>
        <w:trPr>
          <w:trHeight w:val="239"/>
        </w:trPr>
        <w:tc>
          <w:tcPr>
            <w:tcW w:w="10000" w:type="dxa"/>
            <w:vAlign w:val="bottom"/>
            <w:gridSpan w:val="2"/>
          </w:tcPr>
          <w:p>
            <w:pPr>
              <w:ind w:left="40"/>
              <w:spacing w:after="0" w:line="239" w:lineRule="exact"/>
              <w:rPr>
                <w:sz w:val="20"/>
                <w:szCs w:val="20"/>
                <w:color w:val="auto"/>
              </w:rPr>
            </w:pPr>
            <w:r>
              <w:rPr>
                <w:rFonts w:ascii="Times New Roman" w:cs="Times New Roman" w:eastAsia="Times New Roman" w:hAnsi="Times New Roman"/>
                <w:sz w:val="22"/>
                <w:szCs w:val="22"/>
                <w:color w:val="auto"/>
              </w:rPr>
              <w:t>year). (See Instruction A.2)</w:t>
            </w:r>
          </w:p>
        </w:tc>
        <w:tc>
          <w:tcPr>
            <w:tcW w:w="1140" w:type="dxa"/>
            <w:vAlign w:val="bottom"/>
          </w:tcPr>
          <w:p>
            <w:pPr>
              <w:spacing w:after="0"/>
              <w:rPr>
                <w:sz w:val="20"/>
                <w:szCs w:val="20"/>
                <w:color w:val="auto"/>
              </w:rPr>
            </w:pPr>
          </w:p>
        </w:tc>
      </w:tr>
      <w:tr>
        <w:trPr>
          <w:trHeight w:val="286"/>
        </w:trPr>
        <w:tc>
          <w:tcPr>
            <w:tcW w:w="10000" w:type="dxa"/>
            <w:vAlign w:val="bottom"/>
            <w:gridSpan w:val="2"/>
          </w:tcPr>
          <w:p>
            <w:pPr>
              <w:ind w:left="40"/>
              <w:spacing w:after="0"/>
              <w:rPr>
                <w:sz w:val="20"/>
                <w:szCs w:val="20"/>
                <w:color w:val="auto"/>
              </w:rPr>
            </w:pPr>
            <w:r>
              <w:rPr>
                <w:rFonts w:ascii="Times New Roman" w:cs="Times New Roman" w:eastAsia="Times New Roman" w:hAnsi="Times New Roman"/>
                <w:sz w:val="22"/>
                <w:szCs w:val="22"/>
                <w:i w:val="1"/>
                <w:iCs w:val="1"/>
                <w:color w:val="auto"/>
              </w:rPr>
              <w:t>Note: If the Form is being filed late, interest must be paid on the registration fee due.</w:t>
            </w: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-307340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4(c). Check box if this is the last time the issuer will be filing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-133985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firstLine="8"/>
        <w:spacing w:after="0" w:line="264" w:lineRule="auto"/>
        <w:tabs>
          <w:tab w:leader="none" w:pos="216"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Calculation of registration fee (if calculating on a class-by-class or series-by- series basis, provide the EDGAR identifier for each such class or series):</w:t>
      </w:r>
    </w:p>
    <w:p>
      <w:pPr>
        <w:sectPr>
          <w:pgSz w:w="11900" w:h="16838" w:orient="portrait"/>
          <w:cols w:equalWidth="0" w:num="1">
            <w:col w:w="11220"/>
          </w:cols>
          <w:pgMar w:left="320" w:top="166" w:right="359" w:bottom="0" w:gutter="0" w:footer="0" w:header="0"/>
        </w:sectPr>
      </w:pP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Series or Class (Contract) ID</w:t>
      </w:r>
    </w:p>
    <w:p>
      <w:pPr>
        <w:spacing w:after="0" w:line="260" w:lineRule="exact"/>
        <w:rPr>
          <w:sz w:val="20"/>
          <w:szCs w:val="20"/>
          <w:color w:val="auto"/>
        </w:rPr>
      </w:pPr>
    </w:p>
    <w:p>
      <w:pPr>
        <w:ind w:left="300" w:hanging="252"/>
        <w:spacing w:after="0"/>
        <w:tabs>
          <w:tab w:leader="none" w:pos="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sale price of securities sold during the fiscal year pursuant to section 24(f):</w:t>
      </w:r>
    </w:p>
    <w:p>
      <w:pPr>
        <w:spacing w:after="0" w:line="260" w:lineRule="exact"/>
        <w:rPr>
          <w:rFonts w:ascii="Times New Roman" w:cs="Times New Roman" w:eastAsia="Times New Roman" w:hAnsi="Times New Roman"/>
          <w:sz w:val="22"/>
          <w:szCs w:val="22"/>
          <w:color w:val="auto"/>
        </w:rPr>
      </w:pPr>
    </w:p>
    <w:p>
      <w:pPr>
        <w:ind w:left="360" w:hanging="31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price of securities redeemed or repurchased during the fiscal year:</w:t>
      </w:r>
    </w:p>
    <w:p>
      <w:pPr>
        <w:spacing w:after="0" w:line="152" w:lineRule="exact"/>
        <w:rPr>
          <w:rFonts w:ascii="Times New Roman" w:cs="Times New Roman" w:eastAsia="Times New Roman" w:hAnsi="Times New Roman"/>
          <w:sz w:val="22"/>
          <w:szCs w:val="22"/>
          <w:color w:val="auto"/>
        </w:rPr>
      </w:pPr>
    </w:p>
    <w:p>
      <w:pPr>
        <w:ind w:left="40" w:right="180" w:firstLine="8"/>
        <w:spacing w:after="0" w:line="282" w:lineRule="auto"/>
        <w:tabs>
          <w:tab w:leader="none" w:pos="41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price of securities redeemed or repurchased during any prior fiscal year ending no earlier than October 11, 1995 that were not previously used to reduce registration fees payable to the Commission:</w:t>
      </w:r>
    </w:p>
    <w:p>
      <w:pPr>
        <w:spacing w:after="0" w:line="80" w:lineRule="exact"/>
        <w:rPr>
          <w:rFonts w:ascii="Times New Roman" w:cs="Times New Roman" w:eastAsia="Times New Roman" w:hAnsi="Times New Roman"/>
          <w:sz w:val="21"/>
          <w:szCs w:val="21"/>
          <w:color w:val="auto"/>
        </w:rPr>
      </w:pPr>
    </w:p>
    <w:p>
      <w:pPr>
        <w:ind w:left="420" w:hanging="372"/>
        <w:spacing w:after="0"/>
        <w:tabs>
          <w:tab w:leader="none" w:pos="4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available redemption credits [add Items 5(ii) and 5(iii)]:</w:t>
      </w:r>
    </w:p>
    <w:p>
      <w:pPr>
        <w:spacing w:after="0" w:line="260" w:lineRule="exact"/>
        <w:rPr>
          <w:rFonts w:ascii="Times New Roman" w:cs="Times New Roman" w:eastAsia="Times New Roman" w:hAnsi="Times New Roman"/>
          <w:sz w:val="22"/>
          <w:szCs w:val="22"/>
          <w:color w:val="auto"/>
        </w:rPr>
      </w:pPr>
    </w:p>
    <w:p>
      <w:pPr>
        <w:ind w:left="360" w:hanging="31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sales -- if Item 5(i) is greater than Item 5(iv) [subtract Item 5(iv) from Item 5(i)]:</w:t>
      </w:r>
    </w:p>
    <w:p>
      <w:pPr>
        <w:spacing w:after="0" w:line="152" w:lineRule="exact"/>
        <w:rPr>
          <w:sz w:val="20"/>
          <w:szCs w:val="20"/>
          <w:color w:val="auto"/>
        </w:rPr>
      </w:pPr>
    </w:p>
    <w:p>
      <w:pPr>
        <w:ind w:left="40" w:firstLine="8"/>
        <w:spacing w:after="0" w:line="258" w:lineRule="auto"/>
        <w:tabs>
          <w:tab w:leader="none" w:pos="33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Redemption credits available for use in future years -- if Item 5(i) is less than Item 5(iv) [subtract Item 5(iv) from Item 5(i)]:</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(vii) Multiplier for determining registration fee (See Instruction C.9):</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viii) Registration fee due [multiply Item 5(v) by Item 5(vii)] (enter "0" if no fee is due):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422037902.26</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6738360.55</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6738360.55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415299541.71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0.000138100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57352.87</w:t>
      </w:r>
    </w:p>
    <w:p>
      <w:pPr>
        <w:spacing w:after="0" w:line="307" w:lineRule="exact"/>
        <w:rPr>
          <w:sz w:val="20"/>
          <w:szCs w:val="20"/>
          <w:color w:val="auto"/>
        </w:rPr>
      </w:pPr>
    </w:p>
    <w:p>
      <w:pPr>
        <w:sectPr>
          <w:pgSz w:w="11900" w:h="16838" w:orient="portrait"/>
          <w:cols w:equalWidth="0" w:num="2">
            <w:col w:w="9660" w:space="240"/>
            <w:col w:w="1320"/>
          </w:cols>
          <w:pgMar w:left="320" w:top="166" w:right="359" w:bottom="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6. Prepaid Shares</w:t>
      </w:r>
    </w:p>
    <w:p>
      <w:pPr>
        <w:spacing w:after="0" w:line="347" w:lineRule="exact"/>
        <w:rPr>
          <w:sz w:val="20"/>
          <w:szCs w:val="20"/>
          <w:color w:val="auto"/>
        </w:rPr>
      </w:pPr>
    </w:p>
    <w:p>
      <w:pPr>
        <w:jc w:val="both"/>
        <w:ind w:left="40" w:right="320"/>
        <w:spacing w:after="0" w:line="244" w:lineRule="auto"/>
        <w:rPr>
          <w:sz w:val="20"/>
          <w:szCs w:val="20"/>
          <w:color w:val="auto"/>
        </w:rPr>
      </w:pPr>
      <w:r>
        <w:rPr>
          <w:rFonts w:ascii="Times New Roman" w:cs="Times New Roman" w:eastAsia="Times New Roman" w:hAnsi="Times New Roman"/>
          <w:sz w:val="22"/>
          <w:szCs w:val="22"/>
          <w:color w:val="auto"/>
        </w:rPr>
        <w:t>If the response to Item 5(i) was determined by deducting an amount of securities that were registered under the Securities Act of 1933 pursuant to rule 24e-2 as in effect before October 11, 1997, then report the amount of securities (number of shares or other units) deducted here:</w:t>
      </w:r>
    </w:p>
    <w:p>
      <w:pPr>
        <w:spacing w:after="0" w:line="11" w:lineRule="exact"/>
        <w:rPr>
          <w:sz w:val="20"/>
          <w:szCs w:val="20"/>
          <w:color w:val="auto"/>
        </w:rPr>
      </w:pPr>
    </w:p>
    <w:p>
      <w:pPr>
        <w:ind w:left="40" w:right="200"/>
        <w:spacing w:after="0" w:line="282" w:lineRule="auto"/>
        <w:rPr>
          <w:sz w:val="20"/>
          <w:szCs w:val="20"/>
          <w:color w:val="auto"/>
        </w:rPr>
      </w:pPr>
      <w:r>
        <w:rPr>
          <w:rFonts w:ascii="Times New Roman" w:cs="Times New Roman" w:eastAsia="Times New Roman" w:hAnsi="Times New Roman"/>
          <w:sz w:val="21"/>
          <w:szCs w:val="21"/>
          <w:color w:val="auto"/>
        </w:rPr>
        <w:t>If there is a number of shares or other units that were registered pursuant to rule 24e-2 remaining unsold at the end of the fiscal year for which this form is filed that are available for use by the issuer in future fiscal years, then state that number here:</w:t>
      </w:r>
    </w:p>
    <w:p>
      <w:pPr>
        <w:spacing w:after="0" w:line="351" w:lineRule="exact"/>
        <w:rPr>
          <w:sz w:val="20"/>
          <w:szCs w:val="20"/>
          <w:color w:val="auto"/>
        </w:rPr>
      </w:pPr>
    </w:p>
    <w:p>
      <w:pPr>
        <w:ind w:left="260" w:hanging="212"/>
        <w:spacing w:after="0"/>
        <w:tabs>
          <w:tab w:leader="none" w:pos="2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due -- if this Form is being filed more than 90 days after the end of the issuer’s fiscal year (see Instruction D):</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260" w:hanging="212"/>
        <w:spacing w:after="0"/>
        <w:tabs>
          <w:tab w:leader="none" w:pos="2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of the amount of the registration fee due plus any interest due [line 5(viii) plus line 7]:</w:t>
      </w:r>
    </w:p>
    <w:p>
      <w:pPr>
        <w:sectPr>
          <w:pgSz w:w="11900" w:h="16838" w:orient="portrait"/>
          <w:cols w:equalWidth="0" w:num="1">
            <w:col w:w="11220"/>
          </w:cols>
          <w:pgMar w:left="320" w:top="166" w:right="359" w:bottom="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9. Explanatory Notes (if any):</w:t>
      </w:r>
    </w:p>
    <w:p>
      <w:pPr>
        <w:sectPr>
          <w:pgSz w:w="11900" w:h="16838" w:orient="portrait"/>
          <w:cols w:equalWidth="0" w:num="1">
            <w:col w:w="11220"/>
          </w:cols>
          <w:pgMar w:left="320" w:top="166" w:right="35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Signatures</w:t>
      </w:r>
    </w:p>
    <w:p>
      <w:pPr>
        <w:spacing w:after="0" w:line="361"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This report has been signed below by the following persons on behalf of the issuer and in the capacities and on the dates indicated. By (Signature and Title)*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 and Title Richard A. Cook, Chief Accounting Officer Brighthouse Life Insurance Company of NY</w:t>
      </w:r>
    </w:p>
    <w:p>
      <w:pPr>
        <w:spacing w:after="0" w:line="44"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p>
      <w:pPr>
        <w:spacing w:after="0" w:line="44"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Richard A. Cook</w:t>
      </w:r>
    </w:p>
    <w:sectPr>
      <w:pgSz w:w="11900" w:h="16838" w:orient="portrait"/>
      <w:cols w:equalWidth="0" w:num="1">
        <w:col w:w="10440"/>
      </w:cols>
      <w:pgMar w:left="320" w:top="63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6"/>
    </w:lvl>
  </w:abstractNum>
  <w:abstractNum w:abstractNumId="4">
    <w:nsid w:val="46E87CC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2026-03-27T06:03:20Z</dcterms:created>
  <dcterms:modified xsi:type="dcterms:W3CDTF">2026-03-27T06:03:20Z</dcterms:modified>
</cp:coreProperties>
</file>